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958E1">
      <w:pPr>
        <w:pStyle w:val="419"/>
        <w:ind w:firstLine="0"/>
        <w:jc w:val="center"/>
        <w:rPr>
          <w:rFonts w:ascii="Times New Roman" w:hAnsi="Times New Roman"/>
          <w:b/>
          <w:bCs/>
          <w:color w:val="auto"/>
          <w:sz w:val="52"/>
          <w:szCs w:val="52"/>
          <w:highlight w:val="none"/>
        </w:rPr>
      </w:pPr>
      <w:bookmarkStart w:id="0" w:name="_Toc337620797"/>
      <w:bookmarkStart w:id="1" w:name="_Toc341993786"/>
      <w:bookmarkStart w:id="2" w:name="_Toc341992627"/>
      <w:bookmarkStart w:id="3" w:name="_Toc341988481"/>
      <w:bookmarkStart w:id="4" w:name="_Toc342252860"/>
      <w:bookmarkStart w:id="5" w:name="_Toc337622980"/>
      <w:bookmarkStart w:id="6" w:name="_Toc341993112"/>
      <w:bookmarkStart w:id="7" w:name="_Toc341991041"/>
      <w:bookmarkStart w:id="8" w:name="_Toc341992707"/>
      <w:bookmarkStart w:id="9" w:name="_Toc342241484"/>
    </w:p>
    <w:p w14:paraId="135FCC25">
      <w:pPr>
        <w:pStyle w:val="419"/>
        <w:spacing w:before="0" w:after="0"/>
        <w:ind w:firstLine="0"/>
        <w:jc w:val="center"/>
        <w:rPr>
          <w:rFonts w:ascii="Times New Roman" w:hAnsi="Times New Roman"/>
          <w:b/>
          <w:bCs/>
          <w:color w:val="auto"/>
          <w:sz w:val="52"/>
          <w:szCs w:val="52"/>
          <w:highlight w:val="none"/>
        </w:rPr>
      </w:pPr>
      <w:r>
        <w:rPr>
          <w:rFonts w:ascii="Times New Roman" w:hAnsi="Times New Roman"/>
          <w:b/>
          <w:bCs/>
          <w:color w:val="auto"/>
          <w:sz w:val="52"/>
          <w:szCs w:val="52"/>
          <w:highlight w:val="none"/>
        </w:rPr>
        <w:t>政府采购</w:t>
      </w:r>
    </w:p>
    <w:p w14:paraId="4283EC64">
      <w:pPr>
        <w:pStyle w:val="419"/>
        <w:spacing w:before="0" w:after="0"/>
        <w:ind w:firstLine="0"/>
        <w:jc w:val="center"/>
        <w:rPr>
          <w:rFonts w:ascii="Times New Roman" w:hAnsi="Times New Roman"/>
          <w:b/>
          <w:bCs/>
          <w:color w:val="auto"/>
          <w:sz w:val="52"/>
          <w:szCs w:val="52"/>
          <w:highlight w:val="none"/>
        </w:rPr>
      </w:pPr>
      <w:r>
        <w:rPr>
          <w:rFonts w:ascii="Times New Roman" w:hAnsi="Times New Roman"/>
          <w:b/>
          <w:bCs/>
          <w:color w:val="auto"/>
          <w:sz w:val="52"/>
          <w:szCs w:val="52"/>
          <w:highlight w:val="none"/>
        </w:rPr>
        <w:t>竞争性磋商采购文件</w:t>
      </w:r>
    </w:p>
    <w:p w14:paraId="252F19D5">
      <w:pPr>
        <w:pStyle w:val="419"/>
        <w:ind w:firstLine="0"/>
        <w:rPr>
          <w:rFonts w:ascii="Times New Roman" w:hAnsi="Times New Roman"/>
          <w:b/>
          <w:bCs/>
          <w:color w:val="auto"/>
          <w:sz w:val="32"/>
          <w:szCs w:val="32"/>
          <w:highlight w:val="none"/>
        </w:rPr>
      </w:pPr>
    </w:p>
    <w:p w14:paraId="1F876DD9">
      <w:pPr>
        <w:pStyle w:val="419"/>
        <w:ind w:firstLine="0"/>
        <w:rPr>
          <w:rFonts w:ascii="Times New Roman" w:hAnsi="Times New Roman"/>
          <w:b/>
          <w:bCs/>
          <w:color w:val="auto"/>
          <w:sz w:val="32"/>
          <w:szCs w:val="32"/>
          <w:highlight w:val="none"/>
        </w:rPr>
      </w:pPr>
    </w:p>
    <w:p w14:paraId="6636EDD2">
      <w:pPr>
        <w:pStyle w:val="419"/>
        <w:ind w:firstLine="0"/>
        <w:rPr>
          <w:rFonts w:ascii="Times New Roman" w:hAnsi="Times New Roman"/>
          <w:b/>
          <w:bCs/>
          <w:color w:val="auto"/>
          <w:sz w:val="32"/>
          <w:szCs w:val="32"/>
          <w:highlight w:val="none"/>
        </w:rPr>
      </w:pPr>
    </w:p>
    <w:p w14:paraId="35957500">
      <w:pPr>
        <w:pStyle w:val="419"/>
        <w:spacing w:before="0" w:after="0" w:line="480" w:lineRule="auto"/>
        <w:ind w:firstLine="0"/>
        <w:rPr>
          <w:rFonts w:hint="eastAsia" w:ascii="Times New Roman" w:hAnsi="Times New Roman" w:eastAsia="宋体"/>
          <w:b/>
          <w:bCs/>
          <w:color w:val="auto"/>
          <w:szCs w:val="28"/>
          <w:highlight w:val="none"/>
          <w:lang w:eastAsia="zh-CN"/>
        </w:rPr>
      </w:pPr>
      <w:r>
        <w:rPr>
          <w:rFonts w:ascii="Times New Roman" w:hAnsi="Times New Roman"/>
          <w:b/>
          <w:bCs/>
          <w:color w:val="auto"/>
          <w:szCs w:val="28"/>
          <w:highlight w:val="none"/>
        </w:rPr>
        <w:t>项目编号：</w:t>
      </w:r>
      <w:r>
        <w:rPr>
          <w:rFonts w:hint="eastAsia" w:ascii="Times New Roman" w:hAnsi="Times New Roman"/>
          <w:b/>
          <w:bCs/>
          <w:color w:val="auto"/>
          <w:szCs w:val="28"/>
          <w:highlight w:val="none"/>
          <w:lang w:eastAsia="zh-CN"/>
        </w:rPr>
        <w:t>科信建代字[2024]100218号</w:t>
      </w:r>
    </w:p>
    <w:p w14:paraId="58E42DA4">
      <w:pPr>
        <w:pStyle w:val="419"/>
        <w:spacing w:before="0" w:after="0" w:line="480" w:lineRule="auto"/>
        <w:ind w:firstLine="0"/>
        <w:rPr>
          <w:rFonts w:ascii="Times New Roman" w:hAnsi="Times New Roman"/>
          <w:b/>
          <w:bCs/>
          <w:color w:val="auto"/>
          <w:szCs w:val="28"/>
          <w:highlight w:val="none"/>
        </w:rPr>
      </w:pPr>
      <w:r>
        <w:rPr>
          <w:rFonts w:ascii="Times New Roman" w:hAnsi="Times New Roman"/>
          <w:b/>
          <w:bCs/>
          <w:color w:val="auto"/>
          <w:szCs w:val="28"/>
          <w:highlight w:val="none"/>
        </w:rPr>
        <w:t>项目名称：</w:t>
      </w:r>
      <w:r>
        <w:rPr>
          <w:rFonts w:hint="eastAsia" w:ascii="Times New Roman" w:hAnsi="Times New Roman"/>
          <w:b/>
          <w:bCs/>
          <w:color w:val="auto"/>
          <w:szCs w:val="28"/>
          <w:highlight w:val="none"/>
        </w:rPr>
        <w:t>广贤路东段道路及周边公共区域改造项目（监理）</w:t>
      </w:r>
    </w:p>
    <w:p w14:paraId="4DFAED1A">
      <w:pPr>
        <w:pStyle w:val="419"/>
        <w:spacing w:before="0" w:after="0" w:line="480" w:lineRule="auto"/>
        <w:ind w:firstLine="0"/>
        <w:rPr>
          <w:rFonts w:ascii="Times New Roman" w:hAnsi="Times New Roman"/>
          <w:b/>
          <w:bCs/>
          <w:color w:val="auto"/>
          <w:szCs w:val="28"/>
          <w:highlight w:val="none"/>
        </w:rPr>
      </w:pPr>
      <w:r>
        <w:rPr>
          <w:rFonts w:ascii="Times New Roman" w:hAnsi="Times New Roman"/>
          <w:b/>
          <w:bCs/>
          <w:color w:val="auto"/>
          <w:szCs w:val="28"/>
          <w:highlight w:val="none"/>
        </w:rPr>
        <w:t>采购人：</w:t>
      </w:r>
      <w:r>
        <w:rPr>
          <w:rFonts w:hint="eastAsia" w:ascii="Times New Roman" w:hAnsi="Times New Roman"/>
          <w:b/>
          <w:bCs/>
          <w:color w:val="auto"/>
          <w:szCs w:val="28"/>
          <w:highlight w:val="none"/>
        </w:rPr>
        <w:t>宁波高新区公共项目建设中心</w:t>
      </w:r>
    </w:p>
    <w:p w14:paraId="369D4F02">
      <w:pPr>
        <w:pStyle w:val="419"/>
        <w:spacing w:before="0" w:after="0" w:line="480" w:lineRule="auto"/>
        <w:ind w:firstLine="0"/>
        <w:rPr>
          <w:rFonts w:ascii="Times New Roman" w:hAnsi="Times New Roman"/>
          <w:b/>
          <w:bCs/>
          <w:color w:val="auto"/>
          <w:szCs w:val="28"/>
          <w:highlight w:val="none"/>
        </w:rPr>
      </w:pPr>
      <w:r>
        <w:rPr>
          <w:rFonts w:ascii="Times New Roman" w:hAnsi="Times New Roman"/>
          <w:b/>
          <w:bCs/>
          <w:color w:val="auto"/>
          <w:szCs w:val="28"/>
          <w:highlight w:val="none"/>
        </w:rPr>
        <w:t>代理机构：</w:t>
      </w:r>
      <w:r>
        <w:rPr>
          <w:rFonts w:hint="eastAsia" w:ascii="Times New Roman" w:hAnsi="Times New Roman"/>
          <w:b/>
          <w:bCs/>
          <w:color w:val="auto"/>
          <w:szCs w:val="28"/>
          <w:highlight w:val="none"/>
        </w:rPr>
        <w:t>科信联合工程咨询有限公司</w:t>
      </w:r>
    </w:p>
    <w:p w14:paraId="2736C283">
      <w:pPr>
        <w:pStyle w:val="419"/>
        <w:spacing w:before="0" w:after="0"/>
        <w:ind w:firstLine="0"/>
        <w:rPr>
          <w:rFonts w:ascii="Times New Roman" w:hAnsi="Times New Roman"/>
          <w:color w:val="auto"/>
          <w:sz w:val="36"/>
          <w:szCs w:val="36"/>
          <w:highlight w:val="none"/>
        </w:rPr>
      </w:pPr>
    </w:p>
    <w:p w14:paraId="0D20187A">
      <w:pPr>
        <w:pStyle w:val="419"/>
        <w:ind w:firstLine="0"/>
        <w:jc w:val="both"/>
        <w:rPr>
          <w:rFonts w:ascii="Times New Roman" w:hAnsi="Times New Roman"/>
          <w:b/>
          <w:bCs/>
          <w:color w:val="auto"/>
          <w:sz w:val="32"/>
          <w:szCs w:val="32"/>
          <w:highlight w:val="none"/>
        </w:rPr>
      </w:pPr>
    </w:p>
    <w:p w14:paraId="61E2F1BE">
      <w:pPr>
        <w:pStyle w:val="419"/>
        <w:spacing w:before="0" w:after="0"/>
        <w:ind w:firstLine="0"/>
        <w:jc w:val="center"/>
        <w:rPr>
          <w:rFonts w:ascii="Times New Roman" w:hAnsi="Times New Roman"/>
          <w:b/>
          <w:bCs/>
          <w:color w:val="auto"/>
          <w:sz w:val="32"/>
          <w:szCs w:val="32"/>
          <w:highlight w:val="none"/>
        </w:rPr>
      </w:pPr>
      <w:r>
        <w:rPr>
          <w:rFonts w:hint="eastAsia" w:ascii="Times New Roman" w:hAnsi="Times New Roman"/>
          <w:b/>
          <w:bCs/>
          <w:color w:val="auto"/>
          <w:sz w:val="32"/>
          <w:szCs w:val="32"/>
          <w:highlight w:val="none"/>
        </w:rPr>
        <w:t>2024年6</w:t>
      </w:r>
      <w:r>
        <w:rPr>
          <w:rFonts w:ascii="Times New Roman" w:hAnsi="Times New Roman"/>
          <w:b/>
          <w:bCs/>
          <w:color w:val="auto"/>
          <w:sz w:val="32"/>
          <w:szCs w:val="32"/>
          <w:highlight w:val="none"/>
        </w:rPr>
        <w:t>月</w:t>
      </w:r>
    </w:p>
    <w:p w14:paraId="61A731C4">
      <w:pPr>
        <w:pStyle w:val="54"/>
        <w:tabs>
          <w:tab w:val="left" w:pos="1200"/>
          <w:tab w:val="right" w:leader="dot" w:pos="9060"/>
        </w:tabs>
        <w:jc w:val="center"/>
        <w:rPr>
          <w:rFonts w:ascii="Times New Roman" w:hAnsi="Times New Roman" w:eastAsia="宋体"/>
          <w:color w:val="auto"/>
          <w:highlight w:val="none"/>
        </w:rPr>
      </w:pPr>
      <w:r>
        <w:rPr>
          <w:rFonts w:ascii="Times New Roman" w:hAnsi="Times New Roman" w:eastAsia="宋体"/>
          <w:color w:val="auto"/>
          <w:highlight w:val="none"/>
        </w:rPr>
        <w:br w:type="page"/>
      </w:r>
      <w:bookmarkStart w:id="10" w:name="_Toc403986986"/>
      <w:bookmarkStart w:id="11" w:name="_Toc20823272"/>
      <w:bookmarkStart w:id="12" w:name="_Toc479757206"/>
      <w:bookmarkStart w:id="13" w:name="_Toc16938516"/>
      <w:bookmarkStart w:id="14" w:name="_Toc120614210"/>
      <w:bookmarkStart w:id="15" w:name="_Toc403987193"/>
      <w:bookmarkStart w:id="16" w:name="_Toc513029200"/>
      <w:bookmarkStart w:id="17" w:name="_Toc523127445"/>
    </w:p>
    <w:p w14:paraId="60B0F892">
      <w:pPr>
        <w:pStyle w:val="54"/>
        <w:tabs>
          <w:tab w:val="left" w:pos="1200"/>
          <w:tab w:val="right" w:leader="dot" w:pos="9060"/>
        </w:tabs>
        <w:jc w:val="center"/>
        <w:rPr>
          <w:rFonts w:ascii="Times New Roman" w:hAnsi="Times New Roman" w:eastAsia="宋体"/>
          <w:bCs w:val="0"/>
          <w:color w:val="auto"/>
          <w:sz w:val="36"/>
          <w:szCs w:val="36"/>
          <w:highlight w:val="none"/>
        </w:rPr>
      </w:pPr>
      <w:r>
        <w:rPr>
          <w:rFonts w:ascii="Times New Roman" w:hAnsi="Times New Roman" w:eastAsia="宋体"/>
          <w:bCs w:val="0"/>
          <w:color w:val="auto"/>
          <w:sz w:val="36"/>
          <w:szCs w:val="36"/>
          <w:highlight w:val="none"/>
        </w:rPr>
        <w:t>目录</w:t>
      </w:r>
      <w:bookmarkEnd w:id="10"/>
      <w:bookmarkEnd w:id="11"/>
      <w:bookmarkEnd w:id="12"/>
      <w:bookmarkEnd w:id="13"/>
      <w:bookmarkEnd w:id="14"/>
      <w:bookmarkEnd w:id="15"/>
      <w:bookmarkEnd w:id="16"/>
      <w:bookmarkEnd w:id="17"/>
    </w:p>
    <w:p w14:paraId="42F7D138">
      <w:pPr>
        <w:pStyle w:val="54"/>
        <w:tabs>
          <w:tab w:val="right" w:leader="dot" w:pos="9070"/>
        </w:tabs>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TOC \o "1-1" \h \u </w:instrText>
      </w:r>
      <w:r>
        <w:rPr>
          <w:rFonts w:ascii="Times New Roman" w:hAnsi="Times New Roman"/>
          <w:color w:val="auto"/>
          <w:highlight w:val="none"/>
        </w:rPr>
        <w:fldChar w:fldCharType="separate"/>
      </w:r>
      <w:r>
        <w:rPr>
          <w:color w:val="auto"/>
          <w:highlight w:val="none"/>
        </w:rPr>
        <w:fldChar w:fldCharType="begin"/>
      </w:r>
      <w:r>
        <w:rPr>
          <w:color w:val="auto"/>
          <w:highlight w:val="none"/>
        </w:rPr>
        <w:instrText xml:space="preserve"> HYPERLINK \l "_Toc16900" </w:instrText>
      </w:r>
      <w:r>
        <w:rPr>
          <w:color w:val="auto"/>
          <w:highlight w:val="none"/>
        </w:rPr>
        <w:fldChar w:fldCharType="separate"/>
      </w:r>
      <w:r>
        <w:rPr>
          <w:rFonts w:ascii="Times New Roman" w:hAnsi="Times New Roman" w:eastAsia="宋体"/>
          <w:color w:val="auto"/>
          <w:szCs w:val="30"/>
          <w:highlight w:val="none"/>
        </w:rPr>
        <w:t>第一章 竞争性磋商公告</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_Toc16900 \h </w:instrText>
      </w:r>
      <w:r>
        <w:rPr>
          <w:rFonts w:ascii="Times New Roman" w:hAnsi="Times New Roman"/>
          <w:color w:val="auto"/>
          <w:highlight w:val="none"/>
        </w:rPr>
        <w:fldChar w:fldCharType="separate"/>
      </w:r>
      <w:r>
        <w:rPr>
          <w:rFonts w:ascii="Times New Roman" w:hAnsi="Times New Roman"/>
          <w:color w:val="auto"/>
          <w:highlight w:val="none"/>
        </w:rPr>
        <w:t>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3B90508">
      <w:pPr>
        <w:pStyle w:val="54"/>
        <w:tabs>
          <w:tab w:val="right" w:leader="dot" w:pos="9070"/>
        </w:tabs>
        <w:rPr>
          <w:rFonts w:ascii="Times New Roman" w:hAnsi="Times New Roman"/>
          <w:color w:val="auto"/>
          <w:highlight w:val="none"/>
        </w:rPr>
      </w:pPr>
      <w:r>
        <w:rPr>
          <w:color w:val="auto"/>
          <w:highlight w:val="none"/>
        </w:rPr>
        <w:fldChar w:fldCharType="begin"/>
      </w:r>
      <w:r>
        <w:rPr>
          <w:color w:val="auto"/>
          <w:highlight w:val="none"/>
        </w:rPr>
        <w:instrText xml:space="preserve"> HYPERLINK \l "_Toc21462" </w:instrText>
      </w:r>
      <w:r>
        <w:rPr>
          <w:color w:val="auto"/>
          <w:highlight w:val="none"/>
        </w:rPr>
        <w:fldChar w:fldCharType="separate"/>
      </w:r>
      <w:r>
        <w:rPr>
          <w:rFonts w:ascii="Times New Roman" w:hAnsi="Times New Roman" w:eastAsia="宋体"/>
          <w:color w:val="auto"/>
          <w:szCs w:val="30"/>
          <w:highlight w:val="none"/>
        </w:rPr>
        <w:t>第二章</w:t>
      </w:r>
      <w:r>
        <w:rPr>
          <w:rFonts w:hint="eastAsia" w:ascii="Times New Roman" w:hAnsi="Times New Roman" w:eastAsia="宋体"/>
          <w:color w:val="auto"/>
          <w:szCs w:val="30"/>
          <w:highlight w:val="none"/>
          <w:lang w:val="en-US" w:eastAsia="zh-CN"/>
        </w:rPr>
        <w:t xml:space="preserve"> </w:t>
      </w:r>
      <w:r>
        <w:rPr>
          <w:rFonts w:ascii="Times New Roman" w:hAnsi="Times New Roman" w:eastAsia="宋体"/>
          <w:color w:val="auto"/>
          <w:szCs w:val="30"/>
          <w:highlight w:val="none"/>
        </w:rPr>
        <w:t>供应商须知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_Toc21462 \h </w:instrText>
      </w:r>
      <w:r>
        <w:rPr>
          <w:rFonts w:ascii="Times New Roman" w:hAnsi="Times New Roman"/>
          <w:color w:val="auto"/>
          <w:highlight w:val="none"/>
        </w:rPr>
        <w:fldChar w:fldCharType="separate"/>
      </w:r>
      <w:r>
        <w:rPr>
          <w:rFonts w:ascii="Times New Roman" w:hAnsi="Times New Roman"/>
          <w:color w:val="auto"/>
          <w:highlight w:val="none"/>
        </w:rPr>
        <w:t>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5037F48">
      <w:pPr>
        <w:pStyle w:val="54"/>
        <w:tabs>
          <w:tab w:val="right" w:leader="dot" w:pos="9070"/>
        </w:tabs>
        <w:rPr>
          <w:rFonts w:ascii="Times New Roman" w:hAnsi="Times New Roman"/>
          <w:color w:val="auto"/>
          <w:highlight w:val="none"/>
        </w:rPr>
      </w:pPr>
      <w:r>
        <w:rPr>
          <w:color w:val="auto"/>
          <w:highlight w:val="none"/>
        </w:rPr>
        <w:fldChar w:fldCharType="begin"/>
      </w:r>
      <w:r>
        <w:rPr>
          <w:color w:val="auto"/>
          <w:highlight w:val="none"/>
        </w:rPr>
        <w:instrText xml:space="preserve"> HYPERLINK \l "_Toc13205" </w:instrText>
      </w:r>
      <w:r>
        <w:rPr>
          <w:color w:val="auto"/>
          <w:highlight w:val="none"/>
        </w:rPr>
        <w:fldChar w:fldCharType="separate"/>
      </w:r>
      <w:r>
        <w:rPr>
          <w:rFonts w:ascii="Times New Roman" w:hAnsi="Times New Roman" w:eastAsia="宋体"/>
          <w:color w:val="auto"/>
          <w:szCs w:val="30"/>
          <w:highlight w:val="none"/>
        </w:rPr>
        <w:t>第三章</w:t>
      </w:r>
      <w:r>
        <w:rPr>
          <w:rFonts w:hint="eastAsia" w:ascii="Times New Roman" w:hAnsi="Times New Roman" w:eastAsia="宋体"/>
          <w:color w:val="auto"/>
          <w:szCs w:val="30"/>
          <w:highlight w:val="none"/>
          <w:lang w:val="en-US" w:eastAsia="zh-CN"/>
        </w:rPr>
        <w:t xml:space="preserve"> </w:t>
      </w:r>
      <w:r>
        <w:rPr>
          <w:rFonts w:ascii="Times New Roman" w:hAnsi="Times New Roman" w:eastAsia="宋体"/>
          <w:color w:val="auto"/>
          <w:szCs w:val="30"/>
          <w:highlight w:val="none"/>
        </w:rPr>
        <w:t>合同条款及格式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_Toc13205 \h </w:instrText>
      </w:r>
      <w:r>
        <w:rPr>
          <w:rFonts w:ascii="Times New Roman" w:hAnsi="Times New Roman"/>
          <w:color w:val="auto"/>
          <w:highlight w:val="none"/>
        </w:rPr>
        <w:fldChar w:fldCharType="separate"/>
      </w:r>
      <w:r>
        <w:rPr>
          <w:rFonts w:ascii="Times New Roman" w:hAnsi="Times New Roman"/>
          <w:color w:val="auto"/>
          <w:highlight w:val="none"/>
        </w:rPr>
        <w:t>17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76E5E80">
      <w:pPr>
        <w:pStyle w:val="54"/>
        <w:tabs>
          <w:tab w:val="right" w:leader="dot" w:pos="9070"/>
        </w:tabs>
        <w:rPr>
          <w:rFonts w:ascii="Times New Roman" w:hAnsi="Times New Roman"/>
          <w:color w:val="auto"/>
          <w:highlight w:val="none"/>
        </w:rPr>
      </w:pPr>
      <w:r>
        <w:rPr>
          <w:color w:val="auto"/>
          <w:highlight w:val="none"/>
        </w:rPr>
        <w:fldChar w:fldCharType="begin"/>
      </w:r>
      <w:r>
        <w:rPr>
          <w:color w:val="auto"/>
          <w:highlight w:val="none"/>
        </w:rPr>
        <w:instrText xml:space="preserve"> HYPERLINK \l "_Toc2085" </w:instrText>
      </w:r>
      <w:r>
        <w:rPr>
          <w:color w:val="auto"/>
          <w:highlight w:val="none"/>
        </w:rPr>
        <w:fldChar w:fldCharType="separate"/>
      </w:r>
      <w:r>
        <w:rPr>
          <w:rFonts w:ascii="Times New Roman" w:hAnsi="Times New Roman" w:eastAsia="宋体"/>
          <w:color w:val="auto"/>
          <w:szCs w:val="30"/>
          <w:highlight w:val="none"/>
        </w:rPr>
        <w:t>第四章 项目需求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_Toc2085 \h </w:instrText>
      </w:r>
      <w:r>
        <w:rPr>
          <w:rFonts w:ascii="Times New Roman" w:hAnsi="Times New Roman"/>
          <w:color w:val="auto"/>
          <w:highlight w:val="none"/>
        </w:rPr>
        <w:fldChar w:fldCharType="separate"/>
      </w:r>
      <w:r>
        <w:rPr>
          <w:rFonts w:ascii="Times New Roman" w:hAnsi="Times New Roman"/>
          <w:color w:val="auto"/>
          <w:highlight w:val="none"/>
        </w:rPr>
        <w:t>37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82098F2">
      <w:pPr>
        <w:pStyle w:val="54"/>
        <w:tabs>
          <w:tab w:val="right" w:leader="dot" w:pos="9070"/>
        </w:tabs>
        <w:rPr>
          <w:rFonts w:ascii="Times New Roman" w:hAnsi="Times New Roman"/>
          <w:color w:val="auto"/>
          <w:highlight w:val="none"/>
        </w:rPr>
      </w:pPr>
      <w:r>
        <w:rPr>
          <w:color w:val="auto"/>
          <w:highlight w:val="none"/>
        </w:rPr>
        <w:fldChar w:fldCharType="begin"/>
      </w:r>
      <w:r>
        <w:rPr>
          <w:color w:val="auto"/>
          <w:highlight w:val="none"/>
        </w:rPr>
        <w:instrText xml:space="preserve"> HYPERLINK \l "_Toc21693" </w:instrText>
      </w:r>
      <w:r>
        <w:rPr>
          <w:color w:val="auto"/>
          <w:highlight w:val="none"/>
        </w:rPr>
        <w:fldChar w:fldCharType="separate"/>
      </w:r>
      <w:r>
        <w:rPr>
          <w:rFonts w:ascii="Times New Roman" w:hAnsi="Times New Roman" w:eastAsia="宋体"/>
          <w:color w:val="auto"/>
          <w:szCs w:val="30"/>
          <w:highlight w:val="none"/>
        </w:rPr>
        <w:t>第五章</w:t>
      </w:r>
      <w:r>
        <w:rPr>
          <w:rFonts w:hint="eastAsia" w:ascii="Times New Roman" w:hAnsi="Times New Roman" w:eastAsia="宋体"/>
          <w:color w:val="auto"/>
          <w:szCs w:val="30"/>
          <w:highlight w:val="none"/>
          <w:lang w:val="en-US" w:eastAsia="zh-CN"/>
        </w:rPr>
        <w:t xml:space="preserve"> </w:t>
      </w:r>
      <w:r>
        <w:rPr>
          <w:rFonts w:ascii="Times New Roman" w:hAnsi="Times New Roman" w:eastAsia="宋体"/>
          <w:color w:val="auto"/>
          <w:szCs w:val="30"/>
          <w:highlight w:val="none"/>
        </w:rPr>
        <w:t>评审标准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_Toc21693 \h </w:instrText>
      </w:r>
      <w:r>
        <w:rPr>
          <w:rFonts w:ascii="Times New Roman" w:hAnsi="Times New Roman"/>
          <w:color w:val="auto"/>
          <w:highlight w:val="none"/>
        </w:rPr>
        <w:fldChar w:fldCharType="separate"/>
      </w:r>
      <w:r>
        <w:rPr>
          <w:rFonts w:ascii="Times New Roman" w:hAnsi="Times New Roman"/>
          <w:color w:val="auto"/>
          <w:highlight w:val="none"/>
        </w:rPr>
        <w:t>42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BA0F937">
      <w:pPr>
        <w:pStyle w:val="54"/>
        <w:tabs>
          <w:tab w:val="right" w:leader="dot" w:pos="9070"/>
        </w:tabs>
        <w:rPr>
          <w:rFonts w:ascii="Times New Roman" w:hAnsi="Times New Roman"/>
          <w:color w:val="auto"/>
          <w:highlight w:val="none"/>
        </w:rPr>
      </w:pPr>
      <w:r>
        <w:rPr>
          <w:color w:val="auto"/>
          <w:highlight w:val="none"/>
        </w:rPr>
        <w:fldChar w:fldCharType="begin"/>
      </w:r>
      <w:r>
        <w:rPr>
          <w:color w:val="auto"/>
          <w:highlight w:val="none"/>
        </w:rPr>
        <w:instrText xml:space="preserve"> HYPERLINK \l "_Toc24335" </w:instrText>
      </w:r>
      <w:r>
        <w:rPr>
          <w:color w:val="auto"/>
          <w:highlight w:val="none"/>
        </w:rPr>
        <w:fldChar w:fldCharType="separate"/>
      </w:r>
      <w:r>
        <w:rPr>
          <w:rFonts w:ascii="Times New Roman" w:hAnsi="Times New Roman" w:eastAsia="宋体"/>
          <w:color w:val="auto"/>
          <w:szCs w:val="30"/>
          <w:highlight w:val="none"/>
        </w:rPr>
        <w:t>第六章</w:t>
      </w:r>
      <w:r>
        <w:rPr>
          <w:rFonts w:hint="eastAsia" w:ascii="Times New Roman" w:hAnsi="Times New Roman" w:eastAsia="宋体"/>
          <w:color w:val="auto"/>
          <w:szCs w:val="30"/>
          <w:highlight w:val="none"/>
          <w:lang w:val="en-US" w:eastAsia="zh-CN"/>
        </w:rPr>
        <w:t xml:space="preserve"> </w:t>
      </w:r>
      <w:r>
        <w:rPr>
          <w:rFonts w:ascii="Times New Roman" w:hAnsi="Times New Roman" w:eastAsia="宋体"/>
          <w:color w:val="auto"/>
          <w:szCs w:val="30"/>
          <w:highlight w:val="none"/>
        </w:rPr>
        <w:t>响应文件格式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_Toc24335 \h </w:instrText>
      </w:r>
      <w:r>
        <w:rPr>
          <w:rFonts w:ascii="Times New Roman" w:hAnsi="Times New Roman"/>
          <w:color w:val="auto"/>
          <w:highlight w:val="none"/>
        </w:rPr>
        <w:fldChar w:fldCharType="separate"/>
      </w:r>
      <w:r>
        <w:rPr>
          <w:rFonts w:ascii="Times New Roman" w:hAnsi="Times New Roman"/>
          <w:color w:val="auto"/>
          <w:highlight w:val="none"/>
        </w:rPr>
        <w:t>47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0794072">
      <w:pPr>
        <w:pStyle w:val="2"/>
        <w:ind w:firstLine="240"/>
        <w:rPr>
          <w:rFonts w:ascii="Times New Roman" w:hAnsi="Times New Roman"/>
          <w:color w:val="auto"/>
          <w:highlight w:val="none"/>
        </w:rPr>
        <w:sectPr>
          <w:headerReference r:id="rId5" w:type="default"/>
          <w:footerReference r:id="rId6" w:type="default"/>
          <w:footerReference r:id="rId7" w:type="even"/>
          <w:pgSz w:w="11906" w:h="16838"/>
          <w:pgMar w:top="1701" w:right="1418" w:bottom="1418" w:left="1418" w:header="851" w:footer="851" w:gutter="0"/>
          <w:pgNumType w:fmt="upperRoman" w:start="1"/>
          <w:cols w:space="720" w:num="1"/>
          <w:docGrid w:linePitch="312" w:charSpace="0"/>
        </w:sectPr>
      </w:pPr>
      <w:r>
        <w:rPr>
          <w:rFonts w:ascii="Times New Roman" w:hAnsi="Times New Roman"/>
          <w:color w:val="auto"/>
          <w:highlight w:val="none"/>
        </w:rPr>
        <w:fldChar w:fldCharType="end"/>
      </w:r>
    </w:p>
    <w:bookmarkEnd w:id="0"/>
    <w:bookmarkEnd w:id="1"/>
    <w:bookmarkEnd w:id="2"/>
    <w:bookmarkEnd w:id="3"/>
    <w:bookmarkEnd w:id="4"/>
    <w:bookmarkEnd w:id="5"/>
    <w:bookmarkEnd w:id="6"/>
    <w:bookmarkEnd w:id="7"/>
    <w:bookmarkEnd w:id="8"/>
    <w:bookmarkEnd w:id="9"/>
    <w:p w14:paraId="40E063BB">
      <w:pPr>
        <w:pStyle w:val="5"/>
        <w:adjustRightInd/>
        <w:spacing w:before="0" w:after="0" w:line="360" w:lineRule="auto"/>
        <w:jc w:val="center"/>
        <w:textAlignment w:val="auto"/>
        <w:rPr>
          <w:rFonts w:ascii="Times New Roman" w:hAnsi="Times New Roman" w:eastAsia="宋体"/>
          <w:color w:val="auto"/>
          <w:sz w:val="30"/>
          <w:szCs w:val="30"/>
          <w:highlight w:val="none"/>
        </w:rPr>
      </w:pPr>
      <w:bookmarkStart w:id="18" w:name="_Toc16857"/>
      <w:bookmarkStart w:id="19" w:name="_Toc14395"/>
      <w:bookmarkStart w:id="20" w:name="_Toc23178"/>
      <w:bookmarkStart w:id="21" w:name="_Toc23332"/>
      <w:bookmarkStart w:id="22" w:name="_Toc5501"/>
      <w:bookmarkStart w:id="23" w:name="_Toc16564"/>
      <w:bookmarkStart w:id="24" w:name="_Toc16900"/>
      <w:bookmarkStart w:id="25" w:name="_Toc17177"/>
      <w:bookmarkStart w:id="26" w:name="_Toc403560410"/>
      <w:bookmarkStart w:id="27" w:name="_Toc341992630"/>
      <w:bookmarkStart w:id="28" w:name="_Toc366517151"/>
      <w:bookmarkStart w:id="29" w:name="_Toc341992710"/>
      <w:bookmarkStart w:id="30" w:name="_Ref352791871"/>
      <w:bookmarkStart w:id="31" w:name="_Toc337622790"/>
      <w:bookmarkStart w:id="32" w:name="_Toc337622983"/>
      <w:bookmarkStart w:id="33" w:name="_Toc342497332"/>
      <w:bookmarkStart w:id="34" w:name="_Toc337584644"/>
      <w:bookmarkStart w:id="35" w:name="_Toc342374716"/>
      <w:bookmarkStart w:id="36" w:name="_Toc342558384"/>
      <w:bookmarkStart w:id="37" w:name="_Toc337622640"/>
      <w:bookmarkStart w:id="38" w:name="_Toc341993114"/>
      <w:bookmarkStart w:id="39" w:name="_Toc337622690"/>
      <w:bookmarkStart w:id="40" w:name="_Toc341988484"/>
      <w:bookmarkStart w:id="41" w:name="_Toc342241487"/>
      <w:bookmarkStart w:id="42" w:name="_Toc403401434"/>
      <w:bookmarkStart w:id="43" w:name="_Toc337622278"/>
      <w:bookmarkStart w:id="44" w:name="_Toc342252863"/>
      <w:bookmarkStart w:id="45" w:name="_Toc337620800"/>
      <w:bookmarkStart w:id="46" w:name="_Toc341991044"/>
      <w:bookmarkStart w:id="47" w:name="_Toc337584877"/>
      <w:bookmarkStart w:id="48" w:name="_Toc373781378"/>
      <w:bookmarkStart w:id="49" w:name="_Toc337620692"/>
      <w:bookmarkStart w:id="50" w:name="_Toc337622372"/>
      <w:bookmarkStart w:id="51" w:name="_Toc365619242"/>
      <w:bookmarkStart w:id="52" w:name="_Toc337584958"/>
      <w:bookmarkStart w:id="53" w:name="_Toc341993788"/>
      <w:bookmarkStart w:id="54" w:name="_Toc337622590"/>
      <w:bookmarkStart w:id="55" w:name="_Toc337622251"/>
      <w:bookmarkStart w:id="56" w:name="_Toc337620620"/>
      <w:r>
        <w:rPr>
          <w:rFonts w:ascii="Times New Roman" w:hAnsi="Times New Roman" w:eastAsia="宋体"/>
          <w:color w:val="auto"/>
          <w:sz w:val="30"/>
          <w:szCs w:val="30"/>
          <w:highlight w:val="none"/>
        </w:rPr>
        <w:t>第一章 竞争性磋商公告</w:t>
      </w:r>
      <w:bookmarkEnd w:id="18"/>
      <w:bookmarkEnd w:id="19"/>
      <w:bookmarkEnd w:id="20"/>
      <w:bookmarkEnd w:id="21"/>
      <w:bookmarkEnd w:id="22"/>
      <w:bookmarkEnd w:id="23"/>
      <w:bookmarkEnd w:id="24"/>
    </w:p>
    <w:tbl>
      <w:tblPr>
        <w:tblStyle w:val="77"/>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14:paraId="213F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7" w:type="dxa"/>
            <w:noWrap/>
          </w:tcPr>
          <w:p w14:paraId="2A2384FE">
            <w:pPr>
              <w:widowControl/>
              <w:jc w:val="left"/>
              <w:rPr>
                <w:rFonts w:ascii="Times New Roman" w:hAnsi="Times New Roman" w:eastAsia="宋体"/>
                <w:b/>
                <w:bCs/>
                <w:color w:val="auto"/>
                <w:sz w:val="21"/>
                <w:highlight w:val="none"/>
              </w:rPr>
            </w:pPr>
            <w:bookmarkStart w:id="57" w:name="_Toc28359079"/>
            <w:bookmarkStart w:id="58" w:name="_Toc35393790"/>
            <w:bookmarkStart w:id="59" w:name="_Toc35393621"/>
            <w:bookmarkStart w:id="60" w:name="_Toc28359002"/>
            <w:bookmarkStart w:id="61" w:name="_Hlk24379207"/>
            <w:r>
              <w:rPr>
                <w:rFonts w:ascii="Times New Roman" w:hAnsi="Times New Roman" w:eastAsia="宋体"/>
                <w:b/>
                <w:bCs/>
                <w:color w:val="auto"/>
                <w:sz w:val="21"/>
                <w:highlight w:val="none"/>
              </w:rPr>
              <w:t>项目概况</w:t>
            </w:r>
          </w:p>
          <w:p w14:paraId="2C4733D0">
            <w:pPr>
              <w:ind w:firstLine="420" w:firstLineChars="200"/>
              <w:rPr>
                <w:rFonts w:ascii="Times New Roman" w:hAnsi="Times New Roman" w:eastAsia="宋体"/>
                <w:color w:val="auto"/>
                <w:sz w:val="21"/>
                <w:highlight w:val="none"/>
              </w:rPr>
            </w:pPr>
            <w:r>
              <w:rPr>
                <w:rFonts w:hint="eastAsia" w:ascii="Times New Roman" w:hAnsi="Times New Roman" w:eastAsia="宋体"/>
                <w:color w:val="auto"/>
                <w:sz w:val="21"/>
                <w:highlight w:val="none"/>
                <w:u w:val="single"/>
                <w:shd w:val="clear" w:color="auto" w:fill="FFFFFF"/>
              </w:rPr>
              <w:t>广贤路东段道路及周边公共区域改造项目（监理）</w:t>
            </w:r>
            <w:r>
              <w:rPr>
                <w:rFonts w:ascii="Times New Roman" w:hAnsi="Times New Roman" w:eastAsia="宋体"/>
                <w:color w:val="auto"/>
                <w:sz w:val="21"/>
                <w:highlight w:val="none"/>
                <w:shd w:val="clear" w:color="auto" w:fill="FFFFFF"/>
              </w:rPr>
              <w:t>采购项目的潜在供应商应在</w:t>
            </w:r>
            <w:r>
              <w:rPr>
                <w:rFonts w:ascii="Times New Roman" w:hAnsi="Times New Roman" w:eastAsia="宋体"/>
                <w:color w:val="auto"/>
                <w:sz w:val="21"/>
                <w:highlight w:val="none"/>
                <w:u w:val="single"/>
                <w:shd w:val="clear" w:color="auto" w:fill="FFFFFF"/>
              </w:rPr>
              <w:t>政采云平台（www.zcygov.cn）</w:t>
            </w:r>
            <w:r>
              <w:rPr>
                <w:rFonts w:ascii="Times New Roman" w:hAnsi="Times New Roman" w:eastAsia="宋体"/>
                <w:color w:val="auto"/>
                <w:sz w:val="21"/>
                <w:highlight w:val="none"/>
                <w:shd w:val="clear" w:color="auto" w:fill="FFFFFF"/>
              </w:rPr>
              <w:t>获取（下载）采购文件，并于</w:t>
            </w:r>
            <w:r>
              <w:rPr>
                <w:rFonts w:ascii="Times New Roman" w:hAnsi="Times New Roman" w:eastAsia="宋体"/>
                <w:color w:val="auto"/>
                <w:sz w:val="21"/>
                <w:highlight w:val="none"/>
                <w:u w:val="single"/>
                <w:shd w:val="clear" w:color="auto" w:fill="FFFFFF"/>
              </w:rPr>
              <w:t>202</w:t>
            </w:r>
            <w:r>
              <w:rPr>
                <w:rFonts w:hint="eastAsia" w:ascii="Times New Roman" w:hAnsi="Times New Roman" w:eastAsia="宋体"/>
                <w:color w:val="auto"/>
                <w:sz w:val="21"/>
                <w:highlight w:val="none"/>
                <w:u w:val="single"/>
                <w:shd w:val="clear" w:color="auto" w:fill="FFFFFF"/>
              </w:rPr>
              <w:t>4</w:t>
            </w:r>
            <w:r>
              <w:rPr>
                <w:rFonts w:ascii="Times New Roman" w:hAnsi="Times New Roman" w:eastAsia="宋体"/>
                <w:color w:val="auto"/>
                <w:sz w:val="21"/>
                <w:highlight w:val="none"/>
                <w:u w:val="single"/>
                <w:shd w:val="clear" w:color="auto" w:fill="FFFFFF"/>
              </w:rPr>
              <w:t>年</w:t>
            </w:r>
            <w:r>
              <w:rPr>
                <w:rFonts w:hint="eastAsia" w:ascii="Times New Roman" w:hAnsi="Times New Roman" w:eastAsia="宋体"/>
                <w:color w:val="auto"/>
                <w:sz w:val="21"/>
                <w:highlight w:val="none"/>
                <w:u w:val="single"/>
                <w:shd w:val="clear" w:color="auto" w:fill="FFFFFF"/>
                <w:lang w:val="en-US" w:eastAsia="zh-CN"/>
              </w:rPr>
              <w:t>7</w:t>
            </w:r>
            <w:r>
              <w:rPr>
                <w:rFonts w:ascii="Times New Roman" w:hAnsi="Times New Roman" w:eastAsia="宋体"/>
                <w:color w:val="auto"/>
                <w:sz w:val="21"/>
                <w:highlight w:val="none"/>
                <w:u w:val="single"/>
                <w:shd w:val="clear" w:color="auto" w:fill="FFFFFF"/>
              </w:rPr>
              <w:t>月</w:t>
            </w:r>
            <w:r>
              <w:rPr>
                <w:rFonts w:hint="eastAsia" w:ascii="Times New Roman" w:hAnsi="Times New Roman" w:eastAsia="宋体"/>
                <w:color w:val="auto"/>
                <w:sz w:val="21"/>
                <w:highlight w:val="none"/>
                <w:u w:val="single"/>
                <w:shd w:val="clear" w:color="auto" w:fill="FFFFFF"/>
                <w:lang w:val="en-US" w:eastAsia="zh-CN"/>
              </w:rPr>
              <w:t>8</w:t>
            </w:r>
            <w:r>
              <w:rPr>
                <w:rFonts w:ascii="Times New Roman" w:hAnsi="Times New Roman" w:eastAsia="宋体"/>
                <w:color w:val="auto"/>
                <w:sz w:val="21"/>
                <w:highlight w:val="none"/>
                <w:u w:val="single"/>
                <w:shd w:val="clear" w:color="auto" w:fill="FFFFFF"/>
              </w:rPr>
              <w:t>日</w:t>
            </w:r>
            <w:r>
              <w:rPr>
                <w:rFonts w:hint="eastAsia" w:ascii="Times New Roman" w:hAnsi="Times New Roman" w:eastAsia="宋体"/>
                <w:color w:val="auto"/>
                <w:sz w:val="21"/>
                <w:highlight w:val="none"/>
                <w:u w:val="single"/>
                <w:shd w:val="clear" w:color="auto" w:fill="FFFFFF"/>
                <w:lang w:val="en-US" w:eastAsia="zh-CN"/>
              </w:rPr>
              <w:t>09</w:t>
            </w:r>
            <w:r>
              <w:rPr>
                <w:rFonts w:ascii="Times New Roman" w:hAnsi="Times New Roman" w:eastAsia="宋体"/>
                <w:color w:val="auto"/>
                <w:sz w:val="21"/>
                <w:highlight w:val="none"/>
                <w:u w:val="single"/>
                <w:shd w:val="clear" w:color="auto" w:fill="FFFFFF"/>
              </w:rPr>
              <w:t>：</w:t>
            </w:r>
            <w:r>
              <w:rPr>
                <w:rFonts w:hint="eastAsia" w:ascii="Times New Roman" w:hAnsi="Times New Roman" w:eastAsia="宋体"/>
                <w:color w:val="auto"/>
                <w:sz w:val="21"/>
                <w:highlight w:val="none"/>
                <w:u w:val="single"/>
                <w:shd w:val="clear" w:color="auto" w:fill="FFFFFF"/>
                <w:lang w:val="en-US" w:eastAsia="zh-CN"/>
              </w:rPr>
              <w:t>00</w:t>
            </w:r>
            <w:r>
              <w:rPr>
                <w:rFonts w:ascii="Times New Roman" w:hAnsi="Times New Roman" w:eastAsia="宋体"/>
                <w:color w:val="auto"/>
                <w:sz w:val="21"/>
                <w:highlight w:val="none"/>
                <w:shd w:val="clear" w:color="auto" w:fill="FFFFFF"/>
              </w:rPr>
              <w:t>（北京时间，下同）前递交（上传）响应文件</w:t>
            </w:r>
            <w:r>
              <w:rPr>
                <w:rFonts w:ascii="Times New Roman" w:hAnsi="Times New Roman" w:eastAsia="宋体"/>
                <w:color w:val="auto"/>
                <w:sz w:val="21"/>
                <w:highlight w:val="none"/>
              </w:rPr>
              <w:t>。</w:t>
            </w:r>
          </w:p>
        </w:tc>
      </w:tr>
    </w:tbl>
    <w:p w14:paraId="587746E8">
      <w:pPr>
        <w:adjustRightInd/>
        <w:ind w:firstLine="422" w:firstLineChars="200"/>
        <w:textAlignment w:val="auto"/>
        <w:rPr>
          <w:rFonts w:ascii="Times New Roman" w:hAnsi="Times New Roman" w:eastAsia="宋体"/>
          <w:b/>
          <w:color w:val="auto"/>
          <w:sz w:val="21"/>
          <w:highlight w:val="none"/>
        </w:rPr>
      </w:pPr>
      <w:r>
        <w:rPr>
          <w:rFonts w:ascii="Times New Roman" w:hAnsi="Times New Roman" w:eastAsia="宋体"/>
          <w:b/>
          <w:color w:val="auto"/>
          <w:sz w:val="21"/>
          <w:highlight w:val="none"/>
        </w:rPr>
        <w:t>一、项目基本情况</w:t>
      </w:r>
      <w:bookmarkEnd w:id="57"/>
      <w:bookmarkEnd w:id="58"/>
      <w:bookmarkEnd w:id="59"/>
      <w:bookmarkEnd w:id="60"/>
    </w:p>
    <w:p w14:paraId="1B77ECF5">
      <w:pPr>
        <w:adjustRightInd/>
        <w:snapToGrid w:val="0"/>
        <w:ind w:firstLine="420" w:firstLineChars="200"/>
        <w:textAlignment w:val="auto"/>
        <w:rPr>
          <w:rFonts w:hint="eastAsia" w:ascii="Times New Roman" w:hAnsi="Times New Roman" w:eastAsia="宋体"/>
          <w:color w:val="auto"/>
          <w:sz w:val="21"/>
          <w:highlight w:val="none"/>
          <w:lang w:eastAsia="zh-CN"/>
        </w:rPr>
      </w:pPr>
      <w:r>
        <w:rPr>
          <w:rFonts w:ascii="Times New Roman" w:hAnsi="Times New Roman" w:eastAsia="宋体"/>
          <w:color w:val="auto"/>
          <w:sz w:val="21"/>
          <w:highlight w:val="none"/>
        </w:rPr>
        <w:t>项目编号：</w:t>
      </w:r>
      <w:r>
        <w:rPr>
          <w:rFonts w:hint="eastAsia" w:ascii="Times New Roman" w:hAnsi="Times New Roman" w:eastAsia="宋体"/>
          <w:color w:val="auto"/>
          <w:sz w:val="21"/>
          <w:highlight w:val="none"/>
          <w:lang w:eastAsia="zh-CN"/>
        </w:rPr>
        <w:t>科信建代字[2024]100218号</w:t>
      </w:r>
    </w:p>
    <w:p w14:paraId="3F78E4C3">
      <w:pPr>
        <w:adjustRightInd/>
        <w:snapToGrid w:val="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项目名称：</w:t>
      </w:r>
      <w:r>
        <w:rPr>
          <w:rFonts w:hint="eastAsia" w:ascii="Times New Roman" w:hAnsi="Times New Roman" w:eastAsia="宋体"/>
          <w:color w:val="auto"/>
          <w:sz w:val="21"/>
          <w:highlight w:val="none"/>
        </w:rPr>
        <w:t>广贤路东段道路及周边公共区域改造项目（监理）</w:t>
      </w:r>
    </w:p>
    <w:p w14:paraId="181D8962">
      <w:pPr>
        <w:adjustRightInd/>
        <w:snapToGrid w:val="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采购方式：竞争性磋商</w:t>
      </w:r>
    </w:p>
    <w:bookmarkEnd w:id="61"/>
    <w:p w14:paraId="15EBC1A2">
      <w:pPr>
        <w:adjustRightInd/>
        <w:snapToGrid w:val="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预算金额（元）：</w:t>
      </w:r>
      <w:r>
        <w:rPr>
          <w:rFonts w:hint="eastAsia" w:ascii="Times New Roman" w:hAnsi="Times New Roman" w:eastAsia="宋体"/>
          <w:color w:val="auto"/>
          <w:sz w:val="21"/>
          <w:highlight w:val="none"/>
        </w:rPr>
        <w:t>641948.00</w:t>
      </w:r>
    </w:p>
    <w:p w14:paraId="4C05582B">
      <w:pPr>
        <w:adjustRightInd/>
        <w:snapToGrid w:val="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最高限价（元）：</w:t>
      </w:r>
      <w:r>
        <w:rPr>
          <w:rFonts w:hint="eastAsia" w:ascii="Times New Roman" w:hAnsi="Times New Roman" w:eastAsia="宋体"/>
          <w:color w:val="auto"/>
          <w:sz w:val="21"/>
          <w:highlight w:val="none"/>
        </w:rPr>
        <w:t>609850.00</w:t>
      </w:r>
    </w:p>
    <w:p w14:paraId="12207561">
      <w:pPr>
        <w:adjustRightInd/>
        <w:snapToGrid w:val="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采购需求：</w:t>
      </w:r>
    </w:p>
    <w:p w14:paraId="03FDAB7D">
      <w:pPr>
        <w:adjustRightInd/>
        <w:snapToGrid w:val="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标项名称：</w:t>
      </w:r>
      <w:r>
        <w:rPr>
          <w:rFonts w:hint="eastAsia" w:ascii="Times New Roman" w:hAnsi="Times New Roman" w:eastAsia="宋体"/>
          <w:color w:val="auto"/>
          <w:sz w:val="21"/>
          <w:highlight w:val="none"/>
        </w:rPr>
        <w:t>广贤路东段道路及周边公共区域改造项目（监理）</w:t>
      </w:r>
    </w:p>
    <w:p w14:paraId="12647BF9">
      <w:pPr>
        <w:adjustRightInd/>
        <w:snapToGrid w:val="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数量：1  </w:t>
      </w:r>
    </w:p>
    <w:p w14:paraId="37D074D3">
      <w:pPr>
        <w:adjustRightInd/>
        <w:snapToGrid w:val="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预算金额（元）：</w:t>
      </w:r>
      <w:r>
        <w:rPr>
          <w:rFonts w:hint="eastAsia" w:ascii="Times New Roman" w:hAnsi="Times New Roman" w:eastAsia="宋体"/>
          <w:color w:val="auto"/>
          <w:sz w:val="21"/>
          <w:highlight w:val="none"/>
        </w:rPr>
        <w:t>641948.00</w:t>
      </w:r>
    </w:p>
    <w:p w14:paraId="16727A6A">
      <w:pPr>
        <w:adjustRightInd/>
        <w:snapToGrid w:val="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单位：项</w:t>
      </w:r>
    </w:p>
    <w:p w14:paraId="219D0BA9">
      <w:pPr>
        <w:adjustRightInd/>
        <w:snapToGrid w:val="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简要规格描述：</w:t>
      </w:r>
      <w:r>
        <w:rPr>
          <w:rFonts w:hint="eastAsia" w:ascii="Times New Roman" w:hAnsi="Times New Roman" w:eastAsia="宋体"/>
          <w:color w:val="auto"/>
          <w:sz w:val="21"/>
          <w:highlight w:val="none"/>
        </w:rPr>
        <w:t>广贤路东段道路及周边公共区域改造项目（监理）</w:t>
      </w:r>
      <w:r>
        <w:rPr>
          <w:rFonts w:ascii="Times New Roman" w:hAnsi="Times New Roman" w:eastAsia="宋体"/>
          <w:color w:val="auto"/>
          <w:sz w:val="21"/>
          <w:highlight w:val="none"/>
        </w:rPr>
        <w:t>，具体内容见第四章项目需求。</w:t>
      </w:r>
    </w:p>
    <w:p w14:paraId="5E08241B">
      <w:pPr>
        <w:adjustRightInd/>
        <w:snapToGrid w:val="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备注：</w:t>
      </w:r>
      <w:r>
        <w:rPr>
          <w:rFonts w:hint="eastAsia" w:ascii="Times New Roman" w:hAnsi="Times New Roman" w:eastAsia="宋体"/>
          <w:color w:val="auto"/>
          <w:sz w:val="21"/>
          <w:highlight w:val="none"/>
        </w:rPr>
        <w:t>/</w:t>
      </w:r>
    </w:p>
    <w:p w14:paraId="773CE628">
      <w:pPr>
        <w:adjustRightInd/>
        <w:snapToGrid w:val="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合同履约期限：标项1，自签订监理服务合同之日起，至监理范围内所有项目通过竣工验收并保修期满为止。</w:t>
      </w:r>
    </w:p>
    <w:p w14:paraId="51AEE76B">
      <w:pPr>
        <w:adjustRightInd/>
        <w:snapToGrid w:val="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本项目（否）接受联合体参加磋商。</w:t>
      </w:r>
    </w:p>
    <w:p w14:paraId="66797B8B">
      <w:pPr>
        <w:adjustRightInd/>
        <w:snapToGrid w:val="0"/>
        <w:ind w:firstLine="422" w:firstLineChars="200"/>
        <w:textAlignment w:val="auto"/>
        <w:rPr>
          <w:rFonts w:ascii="Times New Roman" w:hAnsi="Times New Roman" w:eastAsia="宋体"/>
          <w:b/>
          <w:color w:val="auto"/>
          <w:sz w:val="21"/>
          <w:highlight w:val="none"/>
        </w:rPr>
      </w:pPr>
      <w:r>
        <w:rPr>
          <w:rFonts w:ascii="Times New Roman" w:hAnsi="Times New Roman" w:eastAsia="宋体"/>
          <w:b/>
          <w:color w:val="auto"/>
          <w:sz w:val="21"/>
          <w:highlight w:val="none"/>
        </w:rPr>
        <w:t>二、申请人的资格要求</w:t>
      </w:r>
    </w:p>
    <w:p w14:paraId="54478036">
      <w:pPr>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7FA428C">
      <w:pPr>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2.落实政府采购政策需满足的资格要求：标项1：本项目专门面向中小企业采购（残疾人福利性单位和监狱企业视同小微企业）</w:t>
      </w:r>
      <w:r>
        <w:rPr>
          <w:rFonts w:ascii="Times New Roman" w:hAnsi="Times New Roman" w:eastAsia="宋体"/>
          <w:bCs/>
          <w:color w:val="auto"/>
          <w:sz w:val="21"/>
          <w:highlight w:val="none"/>
        </w:rPr>
        <w:t>。</w:t>
      </w:r>
    </w:p>
    <w:p w14:paraId="28955B67">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bCs/>
          <w:color w:val="auto"/>
          <w:sz w:val="21"/>
          <w:highlight w:val="none"/>
        </w:rPr>
        <w:t>3.本项目的特定资格要求：标项1，市政公用工程监理</w:t>
      </w:r>
      <w:r>
        <w:rPr>
          <w:rFonts w:hint="eastAsia" w:ascii="Times New Roman" w:hAnsi="Times New Roman" w:eastAsia="宋体"/>
          <w:bCs/>
          <w:color w:val="auto"/>
          <w:sz w:val="21"/>
          <w:highlight w:val="none"/>
        </w:rPr>
        <w:t>乙级</w:t>
      </w:r>
      <w:r>
        <w:rPr>
          <w:rFonts w:ascii="Times New Roman" w:hAnsi="Times New Roman" w:eastAsia="宋体"/>
          <w:bCs/>
          <w:color w:val="auto"/>
          <w:sz w:val="21"/>
          <w:highlight w:val="none"/>
        </w:rPr>
        <w:t>及以上资质或工程监理综合资质。</w:t>
      </w:r>
    </w:p>
    <w:p w14:paraId="79687BC2">
      <w:pPr>
        <w:adjustRightInd/>
        <w:ind w:firstLine="422" w:firstLineChars="200"/>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三、获取（下载）采购文件</w:t>
      </w:r>
    </w:p>
    <w:p w14:paraId="32E248F6">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时间：</w:t>
      </w:r>
      <w:r>
        <w:rPr>
          <w:rFonts w:hint="eastAsia" w:ascii="Times New Roman" w:hAnsi="Times New Roman" w:eastAsia="宋体"/>
          <w:color w:val="auto"/>
          <w:sz w:val="21"/>
          <w:highlight w:val="none"/>
        </w:rPr>
        <w:t>2024年</w:t>
      </w:r>
      <w:r>
        <w:rPr>
          <w:rFonts w:hint="eastAsia" w:ascii="Times New Roman" w:hAnsi="Times New Roman" w:eastAsia="宋体"/>
          <w:color w:val="auto"/>
          <w:sz w:val="21"/>
          <w:highlight w:val="none"/>
          <w:lang w:val="en-US" w:eastAsia="zh-CN"/>
        </w:rPr>
        <w:t>6</w:t>
      </w:r>
      <w:r>
        <w:rPr>
          <w:rFonts w:ascii="Times New Roman" w:hAnsi="Times New Roman" w:eastAsia="宋体"/>
          <w:color w:val="auto"/>
          <w:sz w:val="21"/>
          <w:highlight w:val="none"/>
        </w:rPr>
        <w:t>月</w:t>
      </w:r>
      <w:r>
        <w:rPr>
          <w:rFonts w:hint="eastAsia" w:ascii="Times New Roman" w:hAnsi="Times New Roman" w:eastAsia="宋体"/>
          <w:color w:val="auto"/>
          <w:sz w:val="21"/>
          <w:highlight w:val="none"/>
          <w:lang w:val="en-US" w:eastAsia="zh-CN"/>
        </w:rPr>
        <w:t>26</w:t>
      </w:r>
      <w:r>
        <w:rPr>
          <w:rFonts w:ascii="Times New Roman" w:hAnsi="Times New Roman" w:eastAsia="宋体"/>
          <w:color w:val="auto"/>
          <w:sz w:val="21"/>
          <w:highlight w:val="none"/>
        </w:rPr>
        <w:t>日至202</w:t>
      </w:r>
      <w:r>
        <w:rPr>
          <w:rFonts w:hint="eastAsia" w:ascii="Times New Roman" w:hAnsi="Times New Roman" w:eastAsia="宋体"/>
          <w:color w:val="auto"/>
          <w:sz w:val="21"/>
          <w:highlight w:val="none"/>
        </w:rPr>
        <w:t>4</w:t>
      </w:r>
      <w:r>
        <w:rPr>
          <w:rFonts w:ascii="Times New Roman" w:hAnsi="Times New Roman" w:eastAsia="宋体"/>
          <w:color w:val="auto"/>
          <w:sz w:val="21"/>
          <w:highlight w:val="none"/>
        </w:rPr>
        <w:t>年</w:t>
      </w:r>
      <w:r>
        <w:rPr>
          <w:rFonts w:hint="eastAsia" w:ascii="Times New Roman" w:hAnsi="Times New Roman" w:eastAsia="宋体"/>
          <w:color w:val="auto"/>
          <w:sz w:val="21"/>
          <w:highlight w:val="none"/>
          <w:lang w:val="en-US" w:eastAsia="zh-CN"/>
        </w:rPr>
        <w:t>7</w:t>
      </w:r>
      <w:r>
        <w:rPr>
          <w:rFonts w:ascii="Times New Roman" w:hAnsi="Times New Roman" w:eastAsia="宋体"/>
          <w:color w:val="auto"/>
          <w:sz w:val="21"/>
          <w:highlight w:val="none"/>
        </w:rPr>
        <w:t>月</w:t>
      </w:r>
      <w:r>
        <w:rPr>
          <w:rFonts w:hint="eastAsia" w:ascii="Times New Roman" w:hAnsi="Times New Roman" w:eastAsia="宋体"/>
          <w:color w:val="auto"/>
          <w:sz w:val="21"/>
          <w:highlight w:val="none"/>
          <w:lang w:val="en-US" w:eastAsia="zh-CN"/>
        </w:rPr>
        <w:t>4</w:t>
      </w:r>
      <w:bookmarkStart w:id="130" w:name="_GoBack"/>
      <w:bookmarkEnd w:id="130"/>
      <w:r>
        <w:rPr>
          <w:rFonts w:ascii="Times New Roman" w:hAnsi="Times New Roman" w:eastAsia="宋体"/>
          <w:color w:val="auto"/>
          <w:sz w:val="21"/>
          <w:highlight w:val="none"/>
        </w:rPr>
        <w:t>日，每天上午00:00至12:00，下午12:00至23:59（北京时间，线上获取法定节假日均可，线下获取文件法定节假日除外）</w:t>
      </w:r>
    </w:p>
    <w:p w14:paraId="715E240A">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地点（网址）：政采云平台（www.zcygov.cn）。</w:t>
      </w:r>
    </w:p>
    <w:p w14:paraId="58E609B3">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方式：在线获取。</w:t>
      </w:r>
    </w:p>
    <w:p w14:paraId="39D99C52">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 xml:space="preserve">1.本项目采购文件实行“政府采购云平台”在线获取，不提供采购文件纸质版。供应商获取采购文件前应先完成“政府采购云平台”的账号注册；2.潜在供应商登陆政采云平台，在线申请获取采购文件（进入“项目采购”应用，在获取采购文件菜单中选择项目，申请获取采购文件；仅需浏览采购文件的供应商可点击“游客，浏览采购文件”直接下载采购文件浏览）；3.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未在规定的采购文件提供期限内或未按上述方式获取采购文件的，其响应均视为无效，并不得对采购文件提起质疑投诉。注：请供应商按上述要求获取采购文件，如未在“政采云”系统内完成相关流程，引起的响应无效责任自负。 </w:t>
      </w:r>
    </w:p>
    <w:p w14:paraId="38A4A53D">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售价（元）：0。</w:t>
      </w:r>
    </w:p>
    <w:p w14:paraId="301415A8">
      <w:pPr>
        <w:widowControl/>
        <w:adjustRightInd/>
        <w:ind w:firstLine="422" w:firstLineChars="200"/>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四、响应文件提交（上传）</w:t>
      </w:r>
    </w:p>
    <w:p w14:paraId="587E8D89">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截止时间：</w:t>
      </w:r>
      <w:r>
        <w:rPr>
          <w:rFonts w:ascii="Times New Roman" w:hAnsi="Times New Roman" w:eastAsia="宋体"/>
          <w:color w:val="auto"/>
          <w:sz w:val="21"/>
          <w:highlight w:val="none"/>
          <w:u w:val="single"/>
          <w:shd w:val="clear" w:color="auto" w:fill="FFFFFF"/>
        </w:rPr>
        <w:t>202</w:t>
      </w:r>
      <w:r>
        <w:rPr>
          <w:rFonts w:hint="eastAsia" w:ascii="Times New Roman" w:hAnsi="Times New Roman" w:eastAsia="宋体"/>
          <w:color w:val="auto"/>
          <w:sz w:val="21"/>
          <w:highlight w:val="none"/>
          <w:u w:val="single"/>
          <w:shd w:val="clear" w:color="auto" w:fill="FFFFFF"/>
        </w:rPr>
        <w:t>4</w:t>
      </w:r>
      <w:r>
        <w:rPr>
          <w:rFonts w:ascii="Times New Roman" w:hAnsi="Times New Roman" w:eastAsia="宋体"/>
          <w:color w:val="auto"/>
          <w:sz w:val="21"/>
          <w:highlight w:val="none"/>
          <w:u w:val="single"/>
          <w:shd w:val="clear" w:color="auto" w:fill="FFFFFF"/>
        </w:rPr>
        <w:t>年</w:t>
      </w:r>
      <w:r>
        <w:rPr>
          <w:rFonts w:hint="eastAsia" w:ascii="Times New Roman" w:hAnsi="Times New Roman" w:eastAsia="宋体"/>
          <w:color w:val="auto"/>
          <w:sz w:val="21"/>
          <w:highlight w:val="none"/>
          <w:u w:val="single"/>
          <w:shd w:val="clear" w:color="auto" w:fill="FFFFFF"/>
          <w:lang w:val="en-US" w:eastAsia="zh-CN"/>
        </w:rPr>
        <w:t>7</w:t>
      </w:r>
      <w:r>
        <w:rPr>
          <w:rFonts w:ascii="Times New Roman" w:hAnsi="Times New Roman" w:eastAsia="宋体"/>
          <w:color w:val="auto"/>
          <w:sz w:val="21"/>
          <w:highlight w:val="none"/>
          <w:u w:val="single"/>
          <w:shd w:val="clear" w:color="auto" w:fill="FFFFFF"/>
        </w:rPr>
        <w:t>月</w:t>
      </w:r>
      <w:r>
        <w:rPr>
          <w:rFonts w:hint="eastAsia" w:ascii="Times New Roman" w:hAnsi="Times New Roman" w:eastAsia="宋体"/>
          <w:color w:val="auto"/>
          <w:sz w:val="21"/>
          <w:highlight w:val="none"/>
          <w:u w:val="single"/>
          <w:shd w:val="clear" w:color="auto" w:fill="FFFFFF"/>
          <w:lang w:val="en-US" w:eastAsia="zh-CN"/>
        </w:rPr>
        <w:t>8</w:t>
      </w:r>
      <w:r>
        <w:rPr>
          <w:rFonts w:ascii="Times New Roman" w:hAnsi="Times New Roman" w:eastAsia="宋体"/>
          <w:color w:val="auto"/>
          <w:sz w:val="21"/>
          <w:highlight w:val="none"/>
          <w:u w:val="single"/>
          <w:shd w:val="clear" w:color="auto" w:fill="FFFFFF"/>
        </w:rPr>
        <w:t>日</w:t>
      </w:r>
      <w:r>
        <w:rPr>
          <w:rFonts w:hint="eastAsia" w:ascii="Times New Roman" w:hAnsi="Times New Roman" w:eastAsia="宋体"/>
          <w:color w:val="auto"/>
          <w:sz w:val="21"/>
          <w:highlight w:val="none"/>
          <w:u w:val="single"/>
          <w:shd w:val="clear" w:color="auto" w:fill="FFFFFF"/>
          <w:lang w:val="en-US" w:eastAsia="zh-CN"/>
        </w:rPr>
        <w:t>09</w:t>
      </w:r>
      <w:r>
        <w:rPr>
          <w:rFonts w:ascii="Times New Roman" w:hAnsi="Times New Roman" w:eastAsia="宋体"/>
          <w:color w:val="auto"/>
          <w:sz w:val="21"/>
          <w:highlight w:val="none"/>
          <w:u w:val="single"/>
          <w:shd w:val="clear" w:color="auto" w:fill="FFFFFF"/>
        </w:rPr>
        <w:t>：</w:t>
      </w:r>
      <w:r>
        <w:rPr>
          <w:rFonts w:hint="eastAsia" w:ascii="Times New Roman" w:hAnsi="Times New Roman" w:eastAsia="宋体"/>
          <w:color w:val="auto"/>
          <w:sz w:val="21"/>
          <w:highlight w:val="none"/>
          <w:u w:val="single"/>
          <w:shd w:val="clear" w:color="auto" w:fill="FFFFFF"/>
          <w:lang w:val="en-US" w:eastAsia="zh-CN"/>
        </w:rPr>
        <w:t>00</w:t>
      </w:r>
      <w:r>
        <w:rPr>
          <w:rFonts w:ascii="Times New Roman" w:hAnsi="Times New Roman" w:eastAsia="宋体"/>
          <w:color w:val="auto"/>
          <w:sz w:val="21"/>
          <w:highlight w:val="none"/>
        </w:rPr>
        <w:t>（北京时间）。</w:t>
      </w:r>
    </w:p>
    <w:p w14:paraId="3C9C2CE8">
      <w:pPr>
        <w:widowControl/>
        <w:adjustRightInd/>
        <w:ind w:firstLine="420" w:firstLineChars="200"/>
        <w:textAlignment w:val="auto"/>
        <w:rPr>
          <w:rFonts w:ascii="Times New Roman" w:hAnsi="Times New Roman" w:eastAsia="宋体"/>
          <w:b/>
          <w:bCs/>
          <w:color w:val="auto"/>
          <w:sz w:val="21"/>
          <w:highlight w:val="none"/>
        </w:rPr>
      </w:pPr>
      <w:r>
        <w:rPr>
          <w:rFonts w:ascii="Times New Roman" w:hAnsi="Times New Roman" w:eastAsia="宋体"/>
          <w:color w:val="auto"/>
          <w:sz w:val="21"/>
          <w:highlight w:val="none"/>
        </w:rPr>
        <w:t>地点（网址）：</w:t>
      </w:r>
      <w:r>
        <w:rPr>
          <w:rFonts w:ascii="Times New Roman" w:hAnsi="Times New Roman" w:eastAsia="宋体"/>
          <w:b/>
          <w:bCs/>
          <w:color w:val="auto"/>
          <w:sz w:val="21"/>
          <w:highlight w:val="none"/>
        </w:rPr>
        <w:t>（1）“电子加密响应文件”：https://www.zcygov.cn在线提交；（2）“电子备份响应文件”：宁波市高新区广贤路997号（宁波国家高新区行政服务大厅南三楼，开标室</w:t>
      </w:r>
      <w:r>
        <w:rPr>
          <w:rFonts w:hint="eastAsia" w:ascii="Times New Roman" w:hAnsi="Times New Roman" w:eastAsia="宋体"/>
          <w:b/>
          <w:bCs/>
          <w:color w:val="auto"/>
          <w:sz w:val="21"/>
          <w:highlight w:val="none"/>
          <w:lang w:val="en-US" w:eastAsia="zh-CN"/>
        </w:rPr>
        <w:t>307</w:t>
      </w:r>
      <w:r>
        <w:rPr>
          <w:rFonts w:ascii="Times New Roman" w:hAnsi="Times New Roman" w:eastAsia="宋体"/>
          <w:b/>
          <w:bCs/>
          <w:color w:val="auto"/>
          <w:sz w:val="21"/>
          <w:highlight w:val="none"/>
        </w:rPr>
        <w:t>）。</w:t>
      </w:r>
    </w:p>
    <w:p w14:paraId="6EC48D15">
      <w:pPr>
        <w:widowControl/>
        <w:adjustRightInd/>
        <w:ind w:firstLine="422" w:firstLineChars="200"/>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五、响应文件开启</w:t>
      </w:r>
    </w:p>
    <w:p w14:paraId="43FAE94C">
      <w:pPr>
        <w:pStyle w:val="3"/>
        <w:adjustRightInd/>
        <w:spacing w:after="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开启时间：</w:t>
      </w:r>
      <w:r>
        <w:rPr>
          <w:rFonts w:ascii="Times New Roman" w:hAnsi="Times New Roman" w:eastAsia="宋体"/>
          <w:color w:val="auto"/>
          <w:sz w:val="21"/>
          <w:highlight w:val="none"/>
          <w:u w:val="single"/>
          <w:shd w:val="clear" w:color="auto" w:fill="FFFFFF"/>
        </w:rPr>
        <w:t>202</w:t>
      </w:r>
      <w:r>
        <w:rPr>
          <w:rFonts w:hint="eastAsia" w:ascii="Times New Roman" w:hAnsi="Times New Roman" w:eastAsia="宋体"/>
          <w:color w:val="auto"/>
          <w:sz w:val="21"/>
          <w:highlight w:val="none"/>
          <w:u w:val="single"/>
          <w:shd w:val="clear" w:color="auto" w:fill="FFFFFF"/>
        </w:rPr>
        <w:t>4</w:t>
      </w:r>
      <w:r>
        <w:rPr>
          <w:rFonts w:ascii="Times New Roman" w:hAnsi="Times New Roman" w:eastAsia="宋体"/>
          <w:color w:val="auto"/>
          <w:sz w:val="21"/>
          <w:highlight w:val="none"/>
          <w:u w:val="single"/>
          <w:shd w:val="clear" w:color="auto" w:fill="FFFFFF"/>
        </w:rPr>
        <w:t>年</w:t>
      </w:r>
      <w:r>
        <w:rPr>
          <w:rFonts w:hint="eastAsia" w:ascii="Times New Roman" w:hAnsi="Times New Roman" w:eastAsia="宋体"/>
          <w:color w:val="auto"/>
          <w:sz w:val="21"/>
          <w:highlight w:val="none"/>
          <w:u w:val="single"/>
          <w:shd w:val="clear" w:color="auto" w:fill="FFFFFF"/>
          <w:lang w:val="en-US" w:eastAsia="zh-CN"/>
        </w:rPr>
        <w:t>7</w:t>
      </w:r>
      <w:r>
        <w:rPr>
          <w:rFonts w:ascii="Times New Roman" w:hAnsi="Times New Roman" w:eastAsia="宋体"/>
          <w:color w:val="auto"/>
          <w:sz w:val="21"/>
          <w:highlight w:val="none"/>
          <w:u w:val="single"/>
          <w:shd w:val="clear" w:color="auto" w:fill="FFFFFF"/>
        </w:rPr>
        <w:t>月</w:t>
      </w:r>
      <w:r>
        <w:rPr>
          <w:rFonts w:hint="eastAsia" w:ascii="Times New Roman" w:hAnsi="Times New Roman" w:eastAsia="宋体"/>
          <w:color w:val="auto"/>
          <w:sz w:val="21"/>
          <w:highlight w:val="none"/>
          <w:u w:val="single"/>
          <w:shd w:val="clear" w:color="auto" w:fill="FFFFFF"/>
          <w:lang w:val="en-US" w:eastAsia="zh-CN"/>
        </w:rPr>
        <w:t>8</w:t>
      </w:r>
      <w:r>
        <w:rPr>
          <w:rFonts w:ascii="Times New Roman" w:hAnsi="Times New Roman" w:eastAsia="宋体"/>
          <w:color w:val="auto"/>
          <w:sz w:val="21"/>
          <w:highlight w:val="none"/>
          <w:u w:val="single"/>
          <w:shd w:val="clear" w:color="auto" w:fill="FFFFFF"/>
        </w:rPr>
        <w:t>日</w:t>
      </w:r>
      <w:r>
        <w:rPr>
          <w:rFonts w:hint="eastAsia" w:ascii="Times New Roman" w:hAnsi="Times New Roman" w:eastAsia="宋体"/>
          <w:color w:val="auto"/>
          <w:sz w:val="21"/>
          <w:highlight w:val="none"/>
          <w:u w:val="single"/>
          <w:shd w:val="clear" w:color="auto" w:fill="FFFFFF"/>
          <w:lang w:val="en-US" w:eastAsia="zh-CN"/>
        </w:rPr>
        <w:t>09</w:t>
      </w:r>
      <w:r>
        <w:rPr>
          <w:rFonts w:ascii="Times New Roman" w:hAnsi="Times New Roman" w:eastAsia="宋体"/>
          <w:color w:val="auto"/>
          <w:sz w:val="21"/>
          <w:highlight w:val="none"/>
          <w:u w:val="single"/>
          <w:shd w:val="clear" w:color="auto" w:fill="FFFFFF"/>
        </w:rPr>
        <w:t>：</w:t>
      </w:r>
      <w:r>
        <w:rPr>
          <w:rFonts w:hint="eastAsia" w:ascii="Times New Roman" w:hAnsi="Times New Roman" w:eastAsia="宋体"/>
          <w:color w:val="auto"/>
          <w:sz w:val="21"/>
          <w:highlight w:val="none"/>
          <w:u w:val="single"/>
          <w:shd w:val="clear" w:color="auto" w:fill="FFFFFF"/>
          <w:lang w:val="en-US" w:eastAsia="zh-CN"/>
        </w:rPr>
        <w:t>00</w:t>
      </w:r>
      <w:r>
        <w:rPr>
          <w:rFonts w:ascii="Times New Roman" w:hAnsi="Times New Roman" w:eastAsia="宋体"/>
          <w:color w:val="auto"/>
          <w:sz w:val="21"/>
          <w:highlight w:val="none"/>
        </w:rPr>
        <w:t>（北京时间）。</w:t>
      </w:r>
    </w:p>
    <w:p w14:paraId="1D69C002">
      <w:pPr>
        <w:pStyle w:val="3"/>
        <w:adjustRightInd/>
        <w:spacing w:after="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地点（网址）：</w:t>
      </w:r>
      <w:r>
        <w:rPr>
          <w:rFonts w:ascii="Times New Roman" w:hAnsi="Times New Roman" w:eastAsia="宋体"/>
          <w:b/>
          <w:bCs/>
          <w:color w:val="auto"/>
          <w:sz w:val="21"/>
          <w:highlight w:val="none"/>
        </w:rPr>
        <w:t>政采云平台（http://www.zcygov.cn）。</w:t>
      </w:r>
    </w:p>
    <w:p w14:paraId="4F5C8809">
      <w:pPr>
        <w:pStyle w:val="3"/>
        <w:adjustRightInd/>
        <w:spacing w:after="0"/>
        <w:ind w:firstLine="422" w:firstLineChars="200"/>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六、公告期限</w:t>
      </w:r>
    </w:p>
    <w:p w14:paraId="0717747C">
      <w:pPr>
        <w:pStyle w:val="3"/>
        <w:adjustRightInd/>
        <w:spacing w:after="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自本公告发布之日起3个工作日。</w:t>
      </w:r>
    </w:p>
    <w:p w14:paraId="37D0177A">
      <w:pPr>
        <w:pStyle w:val="3"/>
        <w:adjustRightInd/>
        <w:spacing w:after="0"/>
        <w:ind w:firstLine="422" w:firstLineChars="200"/>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 xml:space="preserve">七、其他补充事宜 </w:t>
      </w:r>
    </w:p>
    <w:p w14:paraId="00927DB9">
      <w:pPr>
        <w:pStyle w:val="3"/>
        <w:adjustRightInd/>
        <w:spacing w:after="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3A72FC">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2、其他事项：</w:t>
      </w:r>
    </w:p>
    <w:p w14:paraId="763AE3C6">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2.1本次政府采购活动有关信息在浙江政府采购网公布，视同送达所有潜在供应商。</w:t>
      </w:r>
    </w:p>
    <w:p w14:paraId="55F8DB45">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2.2本项目实行网上响应，采用电子响应文件。若供应商参与响应，自行承担响应一切费用。</w:t>
      </w:r>
    </w:p>
    <w:p w14:paraId="64AEE09D">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2.2.1响应前准备：各供应商应在响应前应确保成为浙江省政府采购网正式注册入库供应商，并完成CA数字证书办理（供应商CA申领操作指南详见政采云平台（www.zcygov.cn），完成CA数字证书办理预计二周左右，请供应商自行把握时间）。因未注册入库、未办理CA数字证书等原因造成无法获取采购文件、无法响应或响应失败等后果由供应商自行承担。</w:t>
      </w:r>
    </w:p>
    <w:p w14:paraId="392658A1">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2.3响应文件制作：</w:t>
      </w:r>
    </w:p>
    <w:p w14:paraId="10F3D324">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2.3.1应按照本项目采购文件和政采云平台的要求编制、加密并递交响应文件。供应商在使用系统进行响应的过程中遇到涉及平台使用的任何问题，可致电政采云平台技术支持热线咨询，联系方式：95763。</w:t>
      </w:r>
    </w:p>
    <w:p w14:paraId="7030DE07">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2.3.2供应商通过“政采云”平台电子投标工具制作响应文件，电子投标工具请供应商自行前往浙江省政府采购网下载并安装。</w:t>
      </w:r>
    </w:p>
    <w:p w14:paraId="52FE8673">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2.3.3以U盘存储的数据电文形式的备份响应文件1份，按政采云平台项目采购-电子招投标操作指南中上传的电子响应文件格式，以用于异常情况处理。</w:t>
      </w:r>
    </w:p>
    <w:p w14:paraId="1568F10A">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2.3.4电子备份响应文件（不作强制要求，供应商自行决定是否提供）的递交：</w:t>
      </w:r>
    </w:p>
    <w:p w14:paraId="057DA3CB">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 xml:space="preserve">2.3.4.1采用邮寄方式递交电子备份响应文件的，需按以下要求递交：供应商须在本项目开启时间前一日16:00前将电子备份响应文件邮寄至规定地点，由采购代理工作人员进行签收。各供应商自行考虑邮寄在途时间，邮寄过程中无论何种因素导致电子备份响应文件未按时递交的后果，均由供应商自行负责。电子备份响应文件递交时间以采购代理实际收到响应文件的时间为准。迟到的电子备份响应文件将被拒收。请各供应商确保密封包装在邮寄过程密封包装完好，并在邮寄包裹上注明项目名称，因邮寄过程的密封破损造成不符合开启要求的，本采购代理及采购人概不负责。响应文件邮寄地址为：宁波市江南路598号九五国际A座9楼934室。 </w:t>
      </w:r>
    </w:p>
    <w:p w14:paraId="7C29018D">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收件人：</w:t>
      </w:r>
      <w:r>
        <w:rPr>
          <w:rFonts w:hint="eastAsia" w:ascii="Times New Roman" w:hAnsi="Times New Roman" w:eastAsia="宋体"/>
          <w:color w:val="auto"/>
          <w:sz w:val="21"/>
          <w:highlight w:val="none"/>
        </w:rPr>
        <w:t>杜振华</w:t>
      </w:r>
      <w:r>
        <w:rPr>
          <w:rFonts w:ascii="Times New Roman" w:hAnsi="Times New Roman" w:eastAsia="宋体"/>
          <w:color w:val="auto"/>
          <w:sz w:val="21"/>
          <w:highlight w:val="none"/>
        </w:rPr>
        <w:t>联系方式：0574-89076310</w:t>
      </w:r>
    </w:p>
    <w:p w14:paraId="7C9192A6">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 xml:space="preserve">2.4采购项目需要落实的政府采购政策：《关于促进残疾人就业政府采购政策的通知》（财库【2017】141号）、《政府采购促进中小企业发展管理办法》（财库【2020】46号）、《财政部司法部关于政府采购支持监狱企业发展有关问题的通知》（财库【2014】68号）等。 </w:t>
      </w:r>
    </w:p>
    <w:p w14:paraId="7F890148">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2.5本公告中二、申请人的资格要求：第1条中的“重大税收违法案件当事人名单”即为“重大税收违法失信主体”。</w:t>
      </w:r>
    </w:p>
    <w:p w14:paraId="041FC2B1">
      <w:pPr>
        <w:widowControl/>
        <w:adjustRightInd/>
        <w:ind w:firstLine="422" w:firstLineChars="200"/>
        <w:textAlignment w:val="auto"/>
        <w:rPr>
          <w:rFonts w:ascii="Times New Roman" w:hAnsi="Times New Roman" w:eastAsia="宋体"/>
          <w:b/>
          <w:bCs/>
          <w:iCs/>
          <w:color w:val="auto"/>
          <w:sz w:val="21"/>
          <w:highlight w:val="none"/>
        </w:rPr>
      </w:pPr>
      <w:r>
        <w:rPr>
          <w:rFonts w:ascii="Times New Roman" w:hAnsi="Times New Roman" w:eastAsia="宋体"/>
          <w:b/>
          <w:bCs/>
          <w:iCs/>
          <w:color w:val="auto"/>
          <w:sz w:val="21"/>
          <w:highlight w:val="none"/>
        </w:rPr>
        <w:t>八、凡对本次招标提出询问、质疑、投诉，请按以下方式联系</w:t>
      </w:r>
    </w:p>
    <w:p w14:paraId="19FE538C">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1.采购人信息</w:t>
      </w:r>
    </w:p>
    <w:p w14:paraId="779C3E2E">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名    称：</w:t>
      </w:r>
      <w:r>
        <w:rPr>
          <w:rFonts w:hint="eastAsia" w:ascii="Times New Roman" w:hAnsi="Times New Roman" w:eastAsia="宋体"/>
          <w:color w:val="auto"/>
          <w:sz w:val="21"/>
          <w:highlight w:val="none"/>
        </w:rPr>
        <w:t>宁波高新区公共项目建设中心</w:t>
      </w:r>
    </w:p>
    <w:p w14:paraId="3CE94C24">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地    址：宁波市高新区广贤路997号北楼10楼</w:t>
      </w:r>
    </w:p>
    <w:p w14:paraId="329F7BE4">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 xml:space="preserve">传    真：/ </w:t>
      </w:r>
    </w:p>
    <w:p w14:paraId="286FDDA6">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项目联系人（询问）：</w:t>
      </w:r>
      <w:r>
        <w:rPr>
          <w:rFonts w:hint="eastAsia" w:ascii="Times New Roman" w:hAnsi="Times New Roman" w:eastAsia="宋体"/>
          <w:color w:val="auto"/>
          <w:sz w:val="21"/>
          <w:highlight w:val="none"/>
        </w:rPr>
        <w:t>王</w:t>
      </w:r>
      <w:r>
        <w:rPr>
          <w:rFonts w:ascii="Times New Roman" w:hAnsi="Times New Roman" w:eastAsia="宋体"/>
          <w:color w:val="auto"/>
          <w:sz w:val="21"/>
          <w:highlight w:val="none"/>
        </w:rPr>
        <w:t>老师</w:t>
      </w:r>
    </w:p>
    <w:p w14:paraId="76B2EE70">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项目联系方式（询问）：0574-87909128</w:t>
      </w:r>
    </w:p>
    <w:p w14:paraId="4C7B42EE">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质疑联系人：</w:t>
      </w:r>
      <w:r>
        <w:rPr>
          <w:rFonts w:hint="eastAsia" w:ascii="Times New Roman" w:hAnsi="Times New Roman" w:eastAsia="宋体"/>
          <w:color w:val="auto"/>
          <w:sz w:val="21"/>
          <w:highlight w:val="none"/>
        </w:rPr>
        <w:t>柴</w:t>
      </w:r>
      <w:r>
        <w:rPr>
          <w:rFonts w:ascii="Times New Roman" w:hAnsi="Times New Roman" w:eastAsia="宋体"/>
          <w:color w:val="auto"/>
          <w:sz w:val="21"/>
          <w:highlight w:val="none"/>
        </w:rPr>
        <w:t>老师</w:t>
      </w:r>
    </w:p>
    <w:p w14:paraId="459E36D6">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质疑联系方式：0574-879</w:t>
      </w:r>
      <w:r>
        <w:rPr>
          <w:rFonts w:hint="eastAsia" w:ascii="Times New Roman" w:hAnsi="Times New Roman" w:eastAsia="宋体"/>
          <w:color w:val="auto"/>
          <w:sz w:val="21"/>
          <w:highlight w:val="none"/>
        </w:rPr>
        <w:t>11761</w:t>
      </w:r>
    </w:p>
    <w:p w14:paraId="6DCCE9C9">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2.采购代理机构信息</w:t>
      </w:r>
    </w:p>
    <w:p w14:paraId="049F079C">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名称：</w:t>
      </w:r>
      <w:r>
        <w:rPr>
          <w:rFonts w:hint="eastAsia" w:ascii="Times New Roman" w:hAnsi="Times New Roman" w:eastAsia="宋体"/>
          <w:color w:val="auto"/>
          <w:sz w:val="21"/>
          <w:highlight w:val="none"/>
        </w:rPr>
        <w:t>科信联合工程咨询有限公司</w:t>
      </w:r>
    </w:p>
    <w:p w14:paraId="54D1FBAE">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地址：宁波市江南路598号九五国际A座9楼934室</w:t>
      </w:r>
    </w:p>
    <w:p w14:paraId="2B2723BA">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传真：/</w:t>
      </w:r>
    </w:p>
    <w:p w14:paraId="466EB5FF">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项目联系人（询问）：杜振华、</w:t>
      </w:r>
      <w:r>
        <w:rPr>
          <w:rFonts w:hint="eastAsia" w:ascii="Times New Roman" w:hAnsi="Times New Roman" w:eastAsia="宋体"/>
          <w:color w:val="auto"/>
          <w:sz w:val="21"/>
          <w:highlight w:val="none"/>
        </w:rPr>
        <w:t>王腾、</w:t>
      </w:r>
      <w:r>
        <w:rPr>
          <w:rFonts w:ascii="Times New Roman" w:hAnsi="Times New Roman" w:eastAsia="宋体"/>
          <w:color w:val="auto"/>
          <w:sz w:val="21"/>
          <w:highlight w:val="none"/>
        </w:rPr>
        <w:t>李云芝、周丙海、房科红</w:t>
      </w:r>
    </w:p>
    <w:p w14:paraId="6301BCF8">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项目联系方式（询问）：0574-89076310</w:t>
      </w:r>
    </w:p>
    <w:p w14:paraId="490FA1B5">
      <w:pPr>
        <w:ind w:firstLine="420" w:firstLineChars="200"/>
        <w:rPr>
          <w:rFonts w:hint="default" w:ascii="Times New Roman" w:hAnsi="Times New Roman" w:eastAsia="宋体"/>
          <w:color w:val="auto"/>
          <w:sz w:val="21"/>
          <w:highlight w:val="none"/>
          <w:lang w:val="en-US" w:eastAsia="zh-CN"/>
        </w:rPr>
      </w:pPr>
      <w:r>
        <w:rPr>
          <w:rFonts w:ascii="Times New Roman" w:hAnsi="Times New Roman" w:eastAsia="宋体"/>
          <w:color w:val="auto"/>
          <w:sz w:val="21"/>
          <w:highlight w:val="none"/>
        </w:rPr>
        <w:t>质疑联系人：</w:t>
      </w:r>
      <w:r>
        <w:rPr>
          <w:rFonts w:hint="eastAsia" w:ascii="Times New Roman" w:hAnsi="Times New Roman" w:eastAsia="宋体"/>
          <w:color w:val="auto"/>
          <w:sz w:val="21"/>
          <w:highlight w:val="none"/>
          <w:lang w:val="en-US" w:eastAsia="zh-CN"/>
        </w:rPr>
        <w:t>毛军华</w:t>
      </w:r>
    </w:p>
    <w:p w14:paraId="028C3A28">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质疑联系方式：0574-87360849</w:t>
      </w:r>
    </w:p>
    <w:p w14:paraId="41DE1624">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3.同级政府采购监督管理部门</w:t>
      </w:r>
    </w:p>
    <w:p w14:paraId="47A2832F">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名称：宁波市高新区政府采购管理办公室</w:t>
      </w:r>
    </w:p>
    <w:p w14:paraId="4E6A45C9">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地址：宁波市高新区广贤路999号</w:t>
      </w:r>
    </w:p>
    <w:p w14:paraId="74575421">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传真：/</w:t>
      </w:r>
    </w:p>
    <w:p w14:paraId="582F4AB1">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联系人：</w:t>
      </w:r>
      <w:r>
        <w:rPr>
          <w:rFonts w:hint="eastAsia" w:ascii="Times New Roman" w:hAnsi="Times New Roman" w:eastAsia="宋体"/>
          <w:color w:val="auto"/>
          <w:sz w:val="21"/>
          <w:highlight w:val="none"/>
        </w:rPr>
        <w:t>王科</w:t>
      </w:r>
    </w:p>
    <w:p w14:paraId="079EAE0D">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监督投诉电话：0574-89288727</w:t>
      </w:r>
    </w:p>
    <w:p w14:paraId="5DAA253B">
      <w:pPr>
        <w:ind w:firstLine="422" w:firstLineChars="200"/>
        <w:rPr>
          <w:rFonts w:ascii="Times New Roman" w:hAnsi="Times New Roman" w:eastAsia="宋体"/>
          <w:b/>
          <w:bCs/>
          <w:color w:val="auto"/>
          <w:sz w:val="21"/>
          <w:highlight w:val="none"/>
        </w:rPr>
      </w:pPr>
      <w:r>
        <w:rPr>
          <w:rFonts w:ascii="Times New Roman" w:hAnsi="Times New Roman" w:eastAsia="宋体"/>
          <w:b/>
          <w:bCs/>
          <w:color w:val="auto"/>
          <w:sz w:val="21"/>
          <w:highlight w:val="none"/>
        </w:rPr>
        <w:t xml:space="preserve">若对项目采购电子交易系统操作有疑问，可登录政采云（https://www.zcygov.cn/），点击右侧咨询小采，获取采小蜜智能服务管家帮助，或拨打政采云服务热线95763获取热线服务帮助。       </w:t>
      </w:r>
    </w:p>
    <w:p w14:paraId="04BC006A">
      <w:pPr>
        <w:ind w:firstLine="422" w:firstLineChars="200"/>
        <w:rPr>
          <w:rFonts w:ascii="Times New Roman" w:hAnsi="Times New Roman" w:eastAsia="宋体"/>
          <w:color w:val="auto"/>
          <w:sz w:val="21"/>
          <w:highlight w:val="none"/>
        </w:rPr>
      </w:pPr>
      <w:r>
        <w:rPr>
          <w:rFonts w:ascii="Times New Roman" w:hAnsi="Times New Roman" w:eastAsia="宋体"/>
          <w:b/>
          <w:bCs/>
          <w:color w:val="auto"/>
          <w:sz w:val="21"/>
          <w:highlight w:val="none"/>
        </w:rPr>
        <w:t>CA问题联系电话（人工）：汇信CA 400-888-4636；天谷CA 400-087-8198。</w:t>
      </w:r>
    </w:p>
    <w:p w14:paraId="1FB502E1">
      <w:pPr>
        <w:pStyle w:val="430"/>
        <w:spacing w:before="0" w:after="0" w:line="360" w:lineRule="auto"/>
        <w:ind w:left="0" w:firstLine="723" w:firstLineChars="200"/>
        <w:jc w:val="both"/>
        <w:rPr>
          <w:rStyle w:val="133"/>
          <w:rFonts w:ascii="Times New Roman" w:hAnsi="Times New Roman" w:eastAsia="宋体"/>
          <w:b/>
          <w:bCs/>
          <w:color w:val="auto"/>
          <w:highlight w:val="none"/>
          <w:u w:val="none"/>
        </w:rPr>
        <w:sectPr>
          <w:footerReference r:id="rId8" w:type="default"/>
          <w:footnotePr>
            <w:numFmt w:val="decimalEnclosedCircleChinese"/>
          </w:footnotePr>
          <w:pgSz w:w="11906" w:h="16838"/>
          <w:pgMar w:top="1701" w:right="1134" w:bottom="1304" w:left="1134" w:header="964" w:footer="567" w:gutter="567"/>
          <w:pgNumType w:start="1"/>
          <w:cols w:space="720" w:num="1"/>
          <w:docGrid w:type="lines" w:linePitch="312" w:charSpace="0"/>
        </w:sectPr>
      </w:pPr>
    </w:p>
    <w:p w14:paraId="43CA5065">
      <w:pPr>
        <w:pStyle w:val="5"/>
        <w:adjustRightInd/>
        <w:spacing w:before="0" w:after="0" w:line="360" w:lineRule="auto"/>
        <w:jc w:val="center"/>
        <w:textAlignment w:val="auto"/>
        <w:rPr>
          <w:rFonts w:ascii="Times New Roman" w:hAnsi="Times New Roman" w:eastAsia="宋体"/>
          <w:color w:val="auto"/>
          <w:sz w:val="30"/>
          <w:szCs w:val="30"/>
          <w:highlight w:val="none"/>
        </w:rPr>
      </w:pPr>
      <w:bookmarkStart w:id="62" w:name="_Toc18668"/>
      <w:bookmarkStart w:id="63" w:name="_Toc21462"/>
      <w:bookmarkStart w:id="64" w:name="_Toc25376"/>
      <w:bookmarkStart w:id="65" w:name="_Toc16756"/>
      <w:bookmarkStart w:id="66" w:name="_Toc17715"/>
      <w:bookmarkStart w:id="67" w:name="_Toc29344"/>
      <w:bookmarkStart w:id="68" w:name="_Toc1760"/>
      <w:r>
        <w:rPr>
          <w:rFonts w:ascii="Times New Roman" w:hAnsi="Times New Roman" w:eastAsia="宋体"/>
          <w:color w:val="auto"/>
          <w:sz w:val="30"/>
          <w:szCs w:val="30"/>
          <w:highlight w:val="none"/>
        </w:rPr>
        <w:t>第二章</w:t>
      </w:r>
      <w:r>
        <w:rPr>
          <w:rFonts w:hint="eastAsia" w:ascii="Times New Roman" w:hAnsi="Times New Roman" w:eastAsia="宋体"/>
          <w:color w:val="auto"/>
          <w:sz w:val="30"/>
          <w:szCs w:val="30"/>
          <w:highlight w:val="none"/>
          <w:lang w:val="en-US" w:eastAsia="zh-CN"/>
        </w:rPr>
        <w:t xml:space="preserve"> </w:t>
      </w:r>
      <w:r>
        <w:rPr>
          <w:rFonts w:ascii="Times New Roman" w:hAnsi="Times New Roman" w:eastAsia="宋体"/>
          <w:color w:val="auto"/>
          <w:sz w:val="30"/>
          <w:szCs w:val="30"/>
          <w:highlight w:val="none"/>
        </w:rPr>
        <w:t>供应商须知</w:t>
      </w:r>
      <w:bookmarkEnd w:id="25"/>
      <w:bookmarkEnd w:id="62"/>
      <w:bookmarkEnd w:id="63"/>
      <w:bookmarkEnd w:id="64"/>
      <w:bookmarkEnd w:id="65"/>
      <w:bookmarkEnd w:id="66"/>
      <w:bookmarkEnd w:id="67"/>
      <w:bookmarkEnd w:id="68"/>
    </w:p>
    <w:tbl>
      <w:tblPr>
        <w:tblStyle w:val="77"/>
        <w:tblW w:w="83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764"/>
        <w:gridCol w:w="5883"/>
      </w:tblGrid>
      <w:tr w14:paraId="03D86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2C7C7D7">
            <w:pPr>
              <w:adjustRightInd/>
              <w:spacing w:line="400" w:lineRule="exact"/>
              <w:jc w:val="center"/>
              <w:rPr>
                <w:rFonts w:ascii="Times New Roman" w:hAnsi="Times New Roman" w:eastAsia="宋体"/>
                <w:b/>
                <w:bCs/>
                <w:color w:val="auto"/>
                <w:sz w:val="21"/>
                <w:highlight w:val="none"/>
              </w:rPr>
            </w:pPr>
            <w:r>
              <w:rPr>
                <w:rFonts w:ascii="Times New Roman" w:hAnsi="Times New Roman" w:eastAsia="宋体"/>
                <w:b/>
                <w:bCs/>
                <w:color w:val="auto"/>
                <w:sz w:val="21"/>
                <w:highlight w:val="none"/>
              </w:rPr>
              <w:t>序号</w:t>
            </w:r>
          </w:p>
        </w:tc>
        <w:tc>
          <w:tcPr>
            <w:tcW w:w="7647" w:type="dxa"/>
            <w:gridSpan w:val="2"/>
            <w:tcBorders>
              <w:top w:val="single" w:color="auto" w:sz="4" w:space="0"/>
              <w:left w:val="single" w:color="auto" w:sz="4" w:space="0"/>
              <w:bottom w:val="single" w:color="auto" w:sz="4" w:space="0"/>
              <w:right w:val="single" w:color="auto" w:sz="4" w:space="0"/>
            </w:tcBorders>
            <w:vAlign w:val="center"/>
          </w:tcPr>
          <w:p w14:paraId="21AF9AC0">
            <w:pPr>
              <w:adjustRightInd/>
              <w:spacing w:line="400" w:lineRule="exact"/>
              <w:jc w:val="center"/>
              <w:rPr>
                <w:rFonts w:ascii="Times New Roman" w:hAnsi="Times New Roman" w:eastAsia="宋体"/>
                <w:b/>
                <w:bCs/>
                <w:color w:val="auto"/>
                <w:sz w:val="21"/>
                <w:highlight w:val="none"/>
              </w:rPr>
            </w:pPr>
            <w:r>
              <w:rPr>
                <w:rFonts w:ascii="Times New Roman" w:hAnsi="Times New Roman" w:eastAsia="宋体"/>
                <w:b/>
                <w:bCs/>
                <w:color w:val="auto"/>
                <w:sz w:val="21"/>
                <w:highlight w:val="none"/>
              </w:rPr>
              <w:t>内容</w:t>
            </w:r>
          </w:p>
        </w:tc>
      </w:tr>
      <w:tr w14:paraId="75F3E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CA821F8">
            <w:pPr>
              <w:adjustRightInd/>
              <w:snapToGrid w:val="0"/>
              <w:spacing w:line="240" w:lineRule="auto"/>
              <w:jc w:val="center"/>
              <w:rPr>
                <w:rFonts w:ascii="Times New Roman" w:hAnsi="Times New Roman" w:eastAsia="宋体"/>
                <w:color w:val="auto"/>
                <w:sz w:val="21"/>
                <w:highlight w:val="none"/>
              </w:rPr>
            </w:pPr>
            <w:r>
              <w:rPr>
                <w:rFonts w:ascii="Times New Roman" w:hAnsi="Times New Roman" w:eastAsia="宋体"/>
                <w:color w:val="auto"/>
                <w:sz w:val="21"/>
                <w:highlight w:val="none"/>
              </w:rPr>
              <w:t>1</w:t>
            </w:r>
          </w:p>
        </w:tc>
        <w:tc>
          <w:tcPr>
            <w:tcW w:w="1764" w:type="dxa"/>
            <w:tcBorders>
              <w:top w:val="single" w:color="auto" w:sz="4" w:space="0"/>
              <w:left w:val="single" w:color="auto" w:sz="4" w:space="0"/>
              <w:bottom w:val="single" w:color="auto" w:sz="4" w:space="0"/>
              <w:right w:val="single" w:color="auto" w:sz="4" w:space="0"/>
            </w:tcBorders>
            <w:vAlign w:val="center"/>
          </w:tcPr>
          <w:p w14:paraId="23A57AC5">
            <w:pPr>
              <w:adjustRightInd/>
              <w:snapToGrid w:val="0"/>
              <w:spacing w:line="240" w:lineRule="auto"/>
              <w:jc w:val="left"/>
              <w:rPr>
                <w:rFonts w:ascii="Times New Roman" w:hAnsi="Times New Roman" w:eastAsia="宋体"/>
                <w:color w:val="auto"/>
                <w:sz w:val="21"/>
                <w:highlight w:val="none"/>
              </w:rPr>
            </w:pPr>
            <w:r>
              <w:rPr>
                <w:rFonts w:ascii="Times New Roman" w:hAnsi="Times New Roman" w:eastAsia="宋体"/>
                <w:color w:val="auto"/>
                <w:sz w:val="21"/>
                <w:highlight w:val="none"/>
              </w:rPr>
              <w:t>项目编号</w:t>
            </w:r>
          </w:p>
        </w:tc>
        <w:tc>
          <w:tcPr>
            <w:tcW w:w="5883" w:type="dxa"/>
            <w:tcBorders>
              <w:top w:val="single" w:color="auto" w:sz="4" w:space="0"/>
              <w:left w:val="single" w:color="auto" w:sz="4" w:space="0"/>
              <w:bottom w:val="single" w:color="auto" w:sz="4" w:space="0"/>
              <w:right w:val="single" w:color="auto" w:sz="4" w:space="0"/>
            </w:tcBorders>
            <w:vAlign w:val="center"/>
          </w:tcPr>
          <w:p w14:paraId="0885621A">
            <w:pPr>
              <w:tabs>
                <w:tab w:val="left" w:pos="675"/>
                <w:tab w:val="left" w:pos="2550"/>
                <w:tab w:val="left" w:pos="4935"/>
                <w:tab w:val="left" w:pos="6641"/>
              </w:tabs>
              <w:adjustRightInd/>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详见“第一章 竞争性磋商公告”。</w:t>
            </w:r>
          </w:p>
        </w:tc>
      </w:tr>
      <w:tr w14:paraId="1259F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878C424">
            <w:pPr>
              <w:adjustRightInd/>
              <w:snapToGrid w:val="0"/>
              <w:spacing w:line="240" w:lineRule="auto"/>
              <w:jc w:val="center"/>
              <w:rPr>
                <w:rFonts w:ascii="Times New Roman" w:hAnsi="Times New Roman" w:eastAsia="宋体"/>
                <w:color w:val="auto"/>
                <w:sz w:val="21"/>
                <w:highlight w:val="none"/>
              </w:rPr>
            </w:pPr>
            <w:r>
              <w:rPr>
                <w:rFonts w:ascii="Times New Roman" w:hAnsi="Times New Roman" w:eastAsia="宋体"/>
                <w:color w:val="auto"/>
                <w:sz w:val="21"/>
                <w:highlight w:val="none"/>
              </w:rPr>
              <w:t>2</w:t>
            </w:r>
          </w:p>
        </w:tc>
        <w:tc>
          <w:tcPr>
            <w:tcW w:w="1764" w:type="dxa"/>
            <w:tcBorders>
              <w:top w:val="single" w:color="auto" w:sz="4" w:space="0"/>
              <w:left w:val="single" w:color="auto" w:sz="4" w:space="0"/>
              <w:bottom w:val="single" w:color="auto" w:sz="4" w:space="0"/>
              <w:right w:val="single" w:color="auto" w:sz="4" w:space="0"/>
            </w:tcBorders>
            <w:vAlign w:val="center"/>
          </w:tcPr>
          <w:p w14:paraId="682F3013">
            <w:pPr>
              <w:adjustRightInd/>
              <w:snapToGrid w:val="0"/>
              <w:spacing w:line="240" w:lineRule="auto"/>
              <w:jc w:val="left"/>
              <w:rPr>
                <w:rFonts w:ascii="Times New Roman" w:hAnsi="Times New Roman" w:eastAsia="宋体"/>
                <w:color w:val="auto"/>
                <w:sz w:val="21"/>
                <w:highlight w:val="none"/>
              </w:rPr>
            </w:pPr>
            <w:r>
              <w:rPr>
                <w:rFonts w:ascii="Times New Roman" w:hAnsi="Times New Roman" w:eastAsia="宋体"/>
                <w:color w:val="auto"/>
                <w:sz w:val="21"/>
                <w:highlight w:val="none"/>
              </w:rPr>
              <w:t>项目名称</w:t>
            </w:r>
          </w:p>
        </w:tc>
        <w:tc>
          <w:tcPr>
            <w:tcW w:w="5883" w:type="dxa"/>
            <w:tcBorders>
              <w:top w:val="single" w:color="auto" w:sz="4" w:space="0"/>
              <w:left w:val="single" w:color="auto" w:sz="4" w:space="0"/>
              <w:bottom w:val="single" w:color="auto" w:sz="4" w:space="0"/>
              <w:right w:val="single" w:color="auto" w:sz="4" w:space="0"/>
            </w:tcBorders>
            <w:vAlign w:val="center"/>
          </w:tcPr>
          <w:p w14:paraId="1E4E8449">
            <w:pPr>
              <w:tabs>
                <w:tab w:val="left" w:pos="675"/>
                <w:tab w:val="left" w:pos="2550"/>
                <w:tab w:val="left" w:pos="4935"/>
                <w:tab w:val="left" w:pos="6641"/>
              </w:tabs>
              <w:adjustRightInd/>
              <w:spacing w:line="240" w:lineRule="auto"/>
              <w:rPr>
                <w:rFonts w:ascii="Times New Roman" w:hAnsi="Times New Roman" w:eastAsia="宋体"/>
                <w:color w:val="auto"/>
                <w:sz w:val="21"/>
                <w:highlight w:val="none"/>
              </w:rPr>
            </w:pPr>
            <w:r>
              <w:rPr>
                <w:rFonts w:hint="eastAsia" w:ascii="Times New Roman" w:hAnsi="Times New Roman" w:eastAsia="宋体"/>
                <w:color w:val="auto"/>
                <w:sz w:val="21"/>
                <w:highlight w:val="none"/>
              </w:rPr>
              <w:t>广贤路东段道路及周边公共区域改造项目（监理）</w:t>
            </w:r>
          </w:p>
        </w:tc>
      </w:tr>
      <w:tr w14:paraId="52341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CF821B3">
            <w:pPr>
              <w:adjustRightInd/>
              <w:snapToGrid w:val="0"/>
              <w:spacing w:line="240" w:lineRule="auto"/>
              <w:jc w:val="center"/>
              <w:rPr>
                <w:rFonts w:ascii="Times New Roman" w:hAnsi="Times New Roman" w:eastAsia="宋体"/>
                <w:color w:val="auto"/>
                <w:sz w:val="21"/>
                <w:highlight w:val="none"/>
              </w:rPr>
            </w:pPr>
            <w:r>
              <w:rPr>
                <w:rFonts w:ascii="Times New Roman" w:hAnsi="Times New Roman" w:eastAsia="宋体"/>
                <w:color w:val="auto"/>
                <w:sz w:val="21"/>
                <w:highlight w:val="none"/>
              </w:rPr>
              <w:t>3</w:t>
            </w:r>
          </w:p>
        </w:tc>
        <w:tc>
          <w:tcPr>
            <w:tcW w:w="1764" w:type="dxa"/>
            <w:tcBorders>
              <w:top w:val="single" w:color="auto" w:sz="4" w:space="0"/>
              <w:left w:val="single" w:color="auto" w:sz="4" w:space="0"/>
              <w:bottom w:val="single" w:color="auto" w:sz="4" w:space="0"/>
              <w:right w:val="single" w:color="auto" w:sz="4" w:space="0"/>
            </w:tcBorders>
            <w:vAlign w:val="center"/>
          </w:tcPr>
          <w:p w14:paraId="05B4AA8A">
            <w:pPr>
              <w:adjustRightInd/>
              <w:snapToGrid w:val="0"/>
              <w:spacing w:line="240" w:lineRule="auto"/>
              <w:jc w:val="left"/>
              <w:rPr>
                <w:rFonts w:ascii="Times New Roman" w:hAnsi="Times New Roman" w:eastAsia="宋体"/>
                <w:color w:val="auto"/>
                <w:sz w:val="21"/>
                <w:highlight w:val="none"/>
              </w:rPr>
            </w:pPr>
            <w:r>
              <w:rPr>
                <w:rFonts w:ascii="Times New Roman" w:hAnsi="Times New Roman" w:eastAsia="宋体"/>
                <w:color w:val="auto"/>
                <w:sz w:val="21"/>
                <w:highlight w:val="none"/>
              </w:rPr>
              <w:t>采购人</w:t>
            </w:r>
          </w:p>
        </w:tc>
        <w:tc>
          <w:tcPr>
            <w:tcW w:w="5883" w:type="dxa"/>
            <w:tcBorders>
              <w:top w:val="single" w:color="auto" w:sz="4" w:space="0"/>
              <w:left w:val="single" w:color="auto" w:sz="4" w:space="0"/>
              <w:bottom w:val="single" w:color="auto" w:sz="4" w:space="0"/>
              <w:right w:val="single" w:color="auto" w:sz="4" w:space="0"/>
            </w:tcBorders>
            <w:vAlign w:val="center"/>
          </w:tcPr>
          <w:p w14:paraId="637E59F9">
            <w:pPr>
              <w:tabs>
                <w:tab w:val="left" w:pos="675"/>
                <w:tab w:val="left" w:pos="2550"/>
                <w:tab w:val="left" w:pos="4935"/>
                <w:tab w:val="left" w:pos="6641"/>
              </w:tabs>
              <w:adjustRightInd/>
              <w:spacing w:line="240" w:lineRule="auto"/>
              <w:rPr>
                <w:rFonts w:ascii="Times New Roman" w:hAnsi="Times New Roman" w:eastAsia="宋体"/>
                <w:color w:val="auto"/>
                <w:sz w:val="21"/>
                <w:highlight w:val="none"/>
              </w:rPr>
            </w:pPr>
            <w:r>
              <w:rPr>
                <w:rFonts w:hint="eastAsia" w:ascii="Times New Roman" w:hAnsi="Times New Roman" w:eastAsia="宋体"/>
                <w:color w:val="auto"/>
                <w:sz w:val="21"/>
                <w:highlight w:val="none"/>
              </w:rPr>
              <w:t>宁波高新区公共项目建设中心</w:t>
            </w:r>
          </w:p>
        </w:tc>
      </w:tr>
      <w:tr w14:paraId="29693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B268D48">
            <w:pPr>
              <w:adjustRightInd/>
              <w:snapToGrid w:val="0"/>
              <w:spacing w:line="240" w:lineRule="auto"/>
              <w:jc w:val="center"/>
              <w:rPr>
                <w:rFonts w:ascii="Times New Roman" w:hAnsi="Times New Roman" w:eastAsia="宋体"/>
                <w:color w:val="auto"/>
                <w:sz w:val="21"/>
                <w:highlight w:val="none"/>
              </w:rPr>
            </w:pPr>
            <w:r>
              <w:rPr>
                <w:rFonts w:ascii="Times New Roman" w:hAnsi="Times New Roman" w:eastAsia="宋体"/>
                <w:color w:val="auto"/>
                <w:sz w:val="21"/>
                <w:highlight w:val="none"/>
              </w:rPr>
              <w:t>4</w:t>
            </w:r>
          </w:p>
        </w:tc>
        <w:tc>
          <w:tcPr>
            <w:tcW w:w="1764" w:type="dxa"/>
            <w:tcBorders>
              <w:top w:val="single" w:color="auto" w:sz="4" w:space="0"/>
              <w:left w:val="single" w:color="auto" w:sz="4" w:space="0"/>
              <w:bottom w:val="single" w:color="auto" w:sz="4" w:space="0"/>
              <w:right w:val="single" w:color="auto" w:sz="4" w:space="0"/>
            </w:tcBorders>
            <w:vAlign w:val="center"/>
          </w:tcPr>
          <w:p w14:paraId="1A12C0BF">
            <w:pPr>
              <w:adjustRightInd/>
              <w:snapToGrid w:val="0"/>
              <w:spacing w:line="240" w:lineRule="auto"/>
              <w:jc w:val="left"/>
              <w:rPr>
                <w:rFonts w:ascii="Times New Roman" w:hAnsi="Times New Roman" w:eastAsia="宋体"/>
                <w:color w:val="auto"/>
                <w:sz w:val="21"/>
                <w:highlight w:val="none"/>
              </w:rPr>
            </w:pPr>
            <w:r>
              <w:rPr>
                <w:rFonts w:ascii="Times New Roman" w:hAnsi="Times New Roman" w:eastAsia="宋体"/>
                <w:color w:val="auto"/>
                <w:sz w:val="21"/>
                <w:highlight w:val="none"/>
              </w:rPr>
              <w:t>磋商代理机构</w:t>
            </w:r>
          </w:p>
        </w:tc>
        <w:tc>
          <w:tcPr>
            <w:tcW w:w="5883" w:type="dxa"/>
            <w:tcBorders>
              <w:top w:val="single" w:color="auto" w:sz="4" w:space="0"/>
              <w:left w:val="single" w:color="auto" w:sz="4" w:space="0"/>
              <w:bottom w:val="single" w:color="auto" w:sz="4" w:space="0"/>
              <w:right w:val="single" w:color="auto" w:sz="4" w:space="0"/>
            </w:tcBorders>
            <w:vAlign w:val="center"/>
          </w:tcPr>
          <w:p w14:paraId="3873358A">
            <w:pPr>
              <w:tabs>
                <w:tab w:val="left" w:pos="675"/>
                <w:tab w:val="left" w:pos="2550"/>
                <w:tab w:val="left" w:pos="4935"/>
                <w:tab w:val="left" w:pos="6641"/>
              </w:tabs>
              <w:adjustRightInd/>
              <w:spacing w:line="240" w:lineRule="auto"/>
              <w:rPr>
                <w:rFonts w:ascii="Times New Roman" w:hAnsi="Times New Roman" w:eastAsia="宋体"/>
                <w:color w:val="auto"/>
                <w:sz w:val="21"/>
                <w:highlight w:val="none"/>
              </w:rPr>
            </w:pPr>
            <w:r>
              <w:rPr>
                <w:rFonts w:hint="eastAsia" w:ascii="Times New Roman" w:hAnsi="Times New Roman" w:eastAsia="宋体"/>
                <w:color w:val="auto"/>
                <w:sz w:val="21"/>
                <w:highlight w:val="none"/>
              </w:rPr>
              <w:t>科信联合工程咨询有限公司</w:t>
            </w:r>
          </w:p>
        </w:tc>
      </w:tr>
      <w:tr w14:paraId="09B6C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11E9C10">
            <w:pPr>
              <w:adjustRightInd/>
              <w:spacing w:line="400" w:lineRule="exact"/>
              <w:jc w:val="center"/>
              <w:rPr>
                <w:rFonts w:ascii="Times New Roman" w:hAnsi="Times New Roman" w:eastAsia="宋体"/>
                <w:color w:val="auto"/>
                <w:sz w:val="21"/>
                <w:highlight w:val="none"/>
              </w:rPr>
            </w:pPr>
            <w:r>
              <w:rPr>
                <w:rFonts w:ascii="Times New Roman" w:hAnsi="Times New Roman" w:eastAsia="宋体"/>
                <w:color w:val="auto"/>
                <w:sz w:val="21"/>
                <w:highlight w:val="none"/>
              </w:rPr>
              <w:t>★5</w:t>
            </w:r>
          </w:p>
        </w:tc>
        <w:tc>
          <w:tcPr>
            <w:tcW w:w="1764" w:type="dxa"/>
            <w:tcBorders>
              <w:top w:val="single" w:color="auto" w:sz="4" w:space="0"/>
              <w:left w:val="single" w:color="auto" w:sz="4" w:space="0"/>
              <w:bottom w:val="single" w:color="auto" w:sz="4" w:space="0"/>
              <w:right w:val="single" w:color="auto" w:sz="4" w:space="0"/>
            </w:tcBorders>
            <w:vAlign w:val="center"/>
          </w:tcPr>
          <w:p w14:paraId="0FE62D6B">
            <w:pPr>
              <w:adjustRightInd/>
              <w:spacing w:line="400" w:lineRule="exact"/>
              <w:jc w:val="center"/>
              <w:rPr>
                <w:rFonts w:ascii="Times New Roman" w:hAnsi="Times New Roman" w:eastAsia="宋体"/>
                <w:color w:val="auto"/>
                <w:sz w:val="21"/>
                <w:highlight w:val="none"/>
              </w:rPr>
            </w:pPr>
            <w:r>
              <w:rPr>
                <w:rFonts w:ascii="Times New Roman" w:hAnsi="Times New Roman" w:eastAsia="宋体"/>
                <w:color w:val="auto"/>
                <w:sz w:val="21"/>
                <w:highlight w:val="none"/>
              </w:rPr>
              <w:t>报价及费用</w:t>
            </w:r>
          </w:p>
        </w:tc>
        <w:tc>
          <w:tcPr>
            <w:tcW w:w="5883" w:type="dxa"/>
            <w:tcBorders>
              <w:top w:val="single" w:color="auto" w:sz="4" w:space="0"/>
              <w:left w:val="single" w:color="auto" w:sz="4" w:space="0"/>
              <w:bottom w:val="single" w:color="auto" w:sz="4" w:space="0"/>
              <w:right w:val="single" w:color="auto" w:sz="4" w:space="0"/>
            </w:tcBorders>
            <w:vAlign w:val="center"/>
          </w:tcPr>
          <w:p w14:paraId="13CA1058">
            <w:pPr>
              <w:adjustRightInd/>
              <w:spacing w:line="240" w:lineRule="auto"/>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（1）响应报价：</w:t>
            </w:r>
            <w:r>
              <w:rPr>
                <w:rFonts w:hint="eastAsia" w:ascii="Times New Roman" w:hAnsi="Times New Roman" w:eastAsia="宋体"/>
                <w:color w:val="auto"/>
                <w:kern w:val="2"/>
                <w:sz w:val="21"/>
                <w:highlight w:val="none"/>
              </w:rPr>
              <w:t>供应商</w:t>
            </w:r>
            <w:r>
              <w:rPr>
                <w:rFonts w:ascii="Times New Roman" w:hAnsi="Times New Roman" w:eastAsia="宋体"/>
                <w:color w:val="auto"/>
                <w:kern w:val="2"/>
                <w:sz w:val="21"/>
                <w:highlight w:val="none"/>
              </w:rPr>
              <w:t>的</w:t>
            </w:r>
            <w:r>
              <w:rPr>
                <w:rFonts w:hint="eastAsia" w:ascii="Times New Roman" w:hAnsi="Times New Roman" w:eastAsia="宋体"/>
                <w:color w:val="auto"/>
                <w:kern w:val="2"/>
                <w:sz w:val="21"/>
                <w:highlight w:val="none"/>
              </w:rPr>
              <w:t>响应</w:t>
            </w:r>
            <w:r>
              <w:rPr>
                <w:rFonts w:ascii="Times New Roman" w:hAnsi="Times New Roman" w:eastAsia="宋体"/>
                <w:color w:val="auto"/>
                <w:kern w:val="2"/>
                <w:sz w:val="21"/>
                <w:highlight w:val="none"/>
              </w:rPr>
              <w:t>报价应以人民币进行报价</w:t>
            </w:r>
            <w:r>
              <w:rPr>
                <w:rFonts w:hint="eastAsia" w:ascii="Times New Roman" w:hAnsi="Times New Roman" w:eastAsia="宋体"/>
                <w:color w:val="auto"/>
                <w:kern w:val="2"/>
                <w:sz w:val="21"/>
                <w:highlight w:val="none"/>
              </w:rPr>
              <w:t>，</w:t>
            </w:r>
            <w:r>
              <w:rPr>
                <w:rFonts w:hint="eastAsia" w:hAnsi="宋体" w:eastAsia="宋体" w:cs="宋体"/>
                <w:color w:val="auto"/>
                <w:sz w:val="21"/>
                <w:highlight w:val="none"/>
              </w:rPr>
              <w:t>包含但不限于：</w:t>
            </w:r>
            <w:r>
              <w:rPr>
                <w:rFonts w:ascii="Times New Roman" w:hAnsi="Times New Roman" w:eastAsia="宋体"/>
                <w:color w:val="auto"/>
                <w:sz w:val="21"/>
                <w:highlight w:val="none"/>
              </w:rPr>
              <w:t>本项目响应报价为直至完成本项目服务工作所需的人力物力成本、管理费、其他费用、利润、税金等完成本项目的所有费用</w:t>
            </w:r>
            <w:r>
              <w:rPr>
                <w:rFonts w:ascii="Times New Roman" w:hAnsi="Times New Roman" w:eastAsia="宋体"/>
                <w:color w:val="auto"/>
                <w:kern w:val="2"/>
                <w:sz w:val="21"/>
                <w:highlight w:val="none"/>
              </w:rPr>
              <w:t>；</w:t>
            </w:r>
          </w:p>
          <w:p w14:paraId="7E2CAF5C">
            <w:pPr>
              <w:adjustRightInd/>
              <w:spacing w:line="240" w:lineRule="auto"/>
              <w:jc w:val="left"/>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（2）不论响应结果如何，供应商均应自行承担所有与采购活动有关的全部费用；</w:t>
            </w:r>
          </w:p>
          <w:p w14:paraId="2386E20A">
            <w:pPr>
              <w:spacing w:line="240" w:lineRule="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（3）采购预算/最高限价：采购预算/最高限价详见第一章竞争性磋商公告；</w:t>
            </w:r>
            <w:r>
              <w:rPr>
                <w:rFonts w:hint="eastAsia" w:ascii="Times New Roman" w:hAnsi="Times New Roman" w:eastAsia="宋体"/>
                <w:color w:val="auto"/>
                <w:kern w:val="2"/>
                <w:sz w:val="21"/>
                <w:highlight w:val="none"/>
              </w:rPr>
              <w:t>响应</w:t>
            </w:r>
            <w:r>
              <w:rPr>
                <w:rFonts w:ascii="Times New Roman" w:hAnsi="Times New Roman" w:eastAsia="宋体"/>
                <w:color w:val="auto"/>
                <w:kern w:val="2"/>
                <w:sz w:val="21"/>
                <w:highlight w:val="none"/>
              </w:rPr>
              <w:t>报价超过最高限价的作无效标处理。</w:t>
            </w:r>
          </w:p>
          <w:p w14:paraId="326A576C">
            <w:pPr>
              <w:spacing w:line="240" w:lineRule="auto"/>
              <w:rPr>
                <w:rFonts w:ascii="Times New Roman" w:hAnsi="Times New Roman" w:eastAsia="宋体"/>
                <w:color w:val="auto"/>
                <w:sz w:val="21"/>
                <w:highlight w:val="none"/>
              </w:rPr>
            </w:pPr>
            <w:r>
              <w:rPr>
                <w:rFonts w:hint="eastAsia" w:ascii="Times New Roman" w:hAnsi="Times New Roman" w:eastAsia="宋体"/>
                <w:b/>
                <w:bCs/>
                <w:color w:val="auto"/>
                <w:kern w:val="2"/>
                <w:sz w:val="21"/>
                <w:highlight w:val="none"/>
              </w:rPr>
              <w:t>注：1、</w:t>
            </w:r>
            <w:r>
              <w:rPr>
                <w:rFonts w:ascii="Times New Roman" w:hAnsi="Times New Roman" w:eastAsia="宋体"/>
                <w:b/>
                <w:bCs/>
                <w:color w:val="auto"/>
                <w:kern w:val="2"/>
                <w:sz w:val="21"/>
                <w:highlight w:val="none"/>
              </w:rPr>
              <w:t>监理合同中监理费暂以</w:t>
            </w:r>
            <w:r>
              <w:rPr>
                <w:rFonts w:hint="eastAsia" w:ascii="Times New Roman" w:hAnsi="Times New Roman" w:eastAsia="宋体"/>
                <w:b/>
                <w:bCs/>
                <w:color w:val="auto"/>
                <w:kern w:val="2"/>
                <w:sz w:val="21"/>
                <w:highlight w:val="none"/>
              </w:rPr>
              <w:t>施工中标价作</w:t>
            </w:r>
            <w:r>
              <w:rPr>
                <w:rFonts w:ascii="Times New Roman" w:hAnsi="Times New Roman" w:eastAsia="宋体"/>
                <w:b/>
                <w:bCs/>
                <w:color w:val="auto"/>
                <w:kern w:val="2"/>
                <w:sz w:val="21"/>
                <w:highlight w:val="none"/>
              </w:rPr>
              <w:t>为</w:t>
            </w:r>
            <w:r>
              <w:rPr>
                <w:rFonts w:hint="eastAsia" w:ascii="Times New Roman" w:hAnsi="Times New Roman" w:eastAsia="宋体"/>
                <w:b/>
                <w:bCs/>
                <w:color w:val="auto"/>
                <w:kern w:val="2"/>
                <w:sz w:val="21"/>
                <w:highlight w:val="none"/>
              </w:rPr>
              <w:t>计算</w:t>
            </w:r>
            <w:r>
              <w:rPr>
                <w:rFonts w:ascii="Times New Roman" w:hAnsi="Times New Roman" w:eastAsia="宋体"/>
                <w:b/>
                <w:bCs/>
                <w:color w:val="auto"/>
                <w:kern w:val="2"/>
                <w:sz w:val="21"/>
                <w:highlight w:val="none"/>
              </w:rPr>
              <w:t>基数，</w:t>
            </w:r>
            <w:r>
              <w:rPr>
                <w:rFonts w:hint="eastAsia" w:ascii="Times New Roman" w:hAnsi="Times New Roman" w:eastAsia="宋体"/>
                <w:b/>
                <w:bCs/>
                <w:color w:val="auto"/>
                <w:kern w:val="2"/>
                <w:sz w:val="21"/>
                <w:highlight w:val="none"/>
              </w:rPr>
              <w:t>工程</w:t>
            </w:r>
            <w:r>
              <w:rPr>
                <w:rFonts w:ascii="Times New Roman" w:hAnsi="Times New Roman" w:eastAsia="宋体"/>
                <w:b/>
                <w:bCs/>
                <w:color w:val="auto"/>
                <w:kern w:val="2"/>
                <w:sz w:val="21"/>
                <w:highlight w:val="none"/>
              </w:rPr>
              <w:t>复杂</w:t>
            </w:r>
            <w:r>
              <w:rPr>
                <w:rFonts w:hint="eastAsia" w:ascii="Times New Roman" w:hAnsi="Times New Roman" w:eastAsia="宋体"/>
                <w:b/>
                <w:bCs/>
                <w:color w:val="auto"/>
                <w:kern w:val="2"/>
                <w:sz w:val="21"/>
                <w:highlight w:val="none"/>
              </w:rPr>
              <w:t>程度</w:t>
            </w:r>
            <w:r>
              <w:rPr>
                <w:rFonts w:ascii="Times New Roman" w:hAnsi="Times New Roman" w:eastAsia="宋体"/>
                <w:b/>
                <w:bCs/>
                <w:color w:val="auto"/>
                <w:kern w:val="2"/>
                <w:sz w:val="21"/>
                <w:highlight w:val="none"/>
              </w:rPr>
              <w:t>系数为1.0，最终以工程结算审</w:t>
            </w:r>
            <w:r>
              <w:rPr>
                <w:rFonts w:hint="eastAsia" w:ascii="Times New Roman" w:hAnsi="Times New Roman" w:eastAsia="宋体"/>
                <w:b/>
                <w:bCs/>
                <w:color w:val="auto"/>
                <w:kern w:val="2"/>
                <w:sz w:val="21"/>
                <w:highlight w:val="none"/>
              </w:rPr>
              <w:t>定</w:t>
            </w:r>
            <w:r>
              <w:rPr>
                <w:rFonts w:ascii="Times New Roman" w:hAnsi="Times New Roman" w:eastAsia="宋体"/>
                <w:b/>
                <w:bCs/>
                <w:color w:val="auto"/>
                <w:kern w:val="2"/>
                <w:sz w:val="21"/>
                <w:highlight w:val="none"/>
              </w:rPr>
              <w:t>金额作为计算基数，按《浙江省建设工程其他费用定额（2018版）》中的工程监理费收费标准乘以系数0.92结合</w:t>
            </w:r>
            <w:r>
              <w:rPr>
                <w:rFonts w:hint="eastAsia" w:ascii="Times New Roman" w:hAnsi="Times New Roman" w:eastAsia="宋体"/>
                <w:b/>
                <w:bCs/>
                <w:color w:val="auto"/>
                <w:kern w:val="2"/>
                <w:sz w:val="21"/>
                <w:highlight w:val="none"/>
              </w:rPr>
              <w:t>成交下浮</w:t>
            </w:r>
            <w:r>
              <w:rPr>
                <w:rFonts w:ascii="Times New Roman" w:hAnsi="Times New Roman" w:eastAsia="宋体"/>
                <w:b/>
                <w:bCs/>
                <w:color w:val="auto"/>
                <w:kern w:val="2"/>
                <w:sz w:val="21"/>
                <w:highlight w:val="none"/>
              </w:rPr>
              <w:t>率计算监理费。</w:t>
            </w:r>
          </w:p>
        </w:tc>
      </w:tr>
      <w:tr w14:paraId="11602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700FDE9">
            <w:pPr>
              <w:adjustRightInd/>
              <w:spacing w:line="400" w:lineRule="exact"/>
              <w:jc w:val="center"/>
              <w:rPr>
                <w:rFonts w:ascii="Times New Roman" w:hAnsi="Times New Roman" w:eastAsia="宋体"/>
                <w:color w:val="auto"/>
                <w:sz w:val="21"/>
                <w:highlight w:val="none"/>
              </w:rPr>
            </w:pPr>
            <w:r>
              <w:rPr>
                <w:rFonts w:ascii="Times New Roman" w:hAnsi="Times New Roman" w:eastAsia="宋体"/>
                <w:color w:val="auto"/>
                <w:sz w:val="21"/>
                <w:highlight w:val="none"/>
              </w:rPr>
              <w:t>6</w:t>
            </w:r>
          </w:p>
        </w:tc>
        <w:tc>
          <w:tcPr>
            <w:tcW w:w="1764" w:type="dxa"/>
            <w:tcBorders>
              <w:top w:val="single" w:color="auto" w:sz="4" w:space="0"/>
              <w:left w:val="single" w:color="auto" w:sz="4" w:space="0"/>
              <w:bottom w:val="single" w:color="auto" w:sz="4" w:space="0"/>
              <w:right w:val="single" w:color="auto" w:sz="4" w:space="0"/>
            </w:tcBorders>
            <w:vAlign w:val="center"/>
          </w:tcPr>
          <w:p w14:paraId="779365DB">
            <w:pPr>
              <w:adjustRightInd/>
              <w:spacing w:line="400" w:lineRule="exact"/>
              <w:jc w:val="left"/>
              <w:rPr>
                <w:rFonts w:ascii="Times New Roman" w:hAnsi="Times New Roman" w:eastAsia="宋体"/>
                <w:color w:val="auto"/>
                <w:sz w:val="21"/>
                <w:highlight w:val="none"/>
              </w:rPr>
            </w:pPr>
            <w:r>
              <w:rPr>
                <w:rFonts w:ascii="Times New Roman" w:hAnsi="Times New Roman" w:eastAsia="宋体"/>
                <w:color w:val="auto"/>
                <w:sz w:val="21"/>
                <w:highlight w:val="none"/>
              </w:rPr>
              <w:t>结果公示</w:t>
            </w:r>
          </w:p>
        </w:tc>
        <w:tc>
          <w:tcPr>
            <w:tcW w:w="5883" w:type="dxa"/>
            <w:tcBorders>
              <w:top w:val="single" w:color="auto" w:sz="4" w:space="0"/>
              <w:left w:val="single" w:color="auto" w:sz="4" w:space="0"/>
              <w:bottom w:val="single" w:color="auto" w:sz="4" w:space="0"/>
              <w:right w:val="single" w:color="auto" w:sz="4" w:space="0"/>
            </w:tcBorders>
            <w:vAlign w:val="center"/>
          </w:tcPr>
          <w:p w14:paraId="4B38D2A8">
            <w:pPr>
              <w:adjustRightInd/>
              <w:spacing w:line="400" w:lineRule="exact"/>
              <w:rPr>
                <w:rFonts w:ascii="Times New Roman" w:hAnsi="Times New Roman" w:eastAsia="宋体"/>
                <w:color w:val="auto"/>
                <w:kern w:val="2"/>
                <w:sz w:val="21"/>
                <w:highlight w:val="none"/>
              </w:rPr>
            </w:pPr>
            <w:r>
              <w:rPr>
                <w:rFonts w:ascii="Times New Roman" w:hAnsi="Times New Roman" w:eastAsia="宋体"/>
                <w:color w:val="auto"/>
                <w:sz w:val="21"/>
                <w:highlight w:val="none"/>
              </w:rPr>
              <w:t>评审结束后，成交结果公示于浙江政府采购网、宁波政府采购网、宁波市公共资源交易电子服务系统、</w:t>
            </w:r>
            <w:r>
              <w:rPr>
                <w:rFonts w:hint="eastAsia" w:ascii="Times New Roman" w:hAnsi="Times New Roman" w:eastAsia="宋体"/>
                <w:color w:val="auto"/>
                <w:sz w:val="21"/>
                <w:highlight w:val="none"/>
              </w:rPr>
              <w:t>科信联合工程咨询有限公司</w:t>
            </w:r>
            <w:r>
              <w:rPr>
                <w:rFonts w:ascii="Times New Roman" w:hAnsi="Times New Roman" w:eastAsia="宋体"/>
                <w:color w:val="auto"/>
                <w:sz w:val="21"/>
                <w:highlight w:val="none"/>
              </w:rPr>
              <w:t>网网站上公布。</w:t>
            </w:r>
          </w:p>
        </w:tc>
      </w:tr>
      <w:tr w14:paraId="6C895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72A9AEF">
            <w:pPr>
              <w:adjustRightInd/>
              <w:spacing w:line="240" w:lineRule="auto"/>
              <w:jc w:val="center"/>
              <w:rPr>
                <w:rFonts w:ascii="Times New Roman" w:hAnsi="Times New Roman" w:eastAsia="宋体"/>
                <w:color w:val="auto"/>
                <w:sz w:val="21"/>
                <w:highlight w:val="none"/>
              </w:rPr>
            </w:pPr>
            <w:r>
              <w:rPr>
                <w:rFonts w:ascii="Times New Roman" w:hAnsi="Times New Roman" w:eastAsia="宋体"/>
                <w:color w:val="auto"/>
                <w:sz w:val="21"/>
                <w:highlight w:val="none"/>
              </w:rPr>
              <w:t>7</w:t>
            </w:r>
          </w:p>
        </w:tc>
        <w:tc>
          <w:tcPr>
            <w:tcW w:w="1764" w:type="dxa"/>
            <w:tcBorders>
              <w:top w:val="single" w:color="auto" w:sz="4" w:space="0"/>
              <w:left w:val="single" w:color="auto" w:sz="4" w:space="0"/>
              <w:bottom w:val="single" w:color="auto" w:sz="4" w:space="0"/>
              <w:right w:val="single" w:color="auto" w:sz="4" w:space="0"/>
            </w:tcBorders>
            <w:vAlign w:val="center"/>
          </w:tcPr>
          <w:p w14:paraId="5C84FA37">
            <w:pPr>
              <w:adjustRightInd/>
              <w:spacing w:line="240" w:lineRule="auto"/>
              <w:jc w:val="left"/>
              <w:rPr>
                <w:rFonts w:ascii="Times New Roman" w:hAnsi="Times New Roman" w:eastAsia="宋体"/>
                <w:color w:val="auto"/>
                <w:sz w:val="21"/>
                <w:highlight w:val="none"/>
              </w:rPr>
            </w:pPr>
            <w:r>
              <w:rPr>
                <w:rFonts w:ascii="Times New Roman" w:hAnsi="Times New Roman" w:eastAsia="宋体"/>
                <w:color w:val="auto"/>
                <w:sz w:val="21"/>
                <w:highlight w:val="none"/>
              </w:rPr>
              <w:t>采购资金来源</w:t>
            </w:r>
          </w:p>
        </w:tc>
        <w:tc>
          <w:tcPr>
            <w:tcW w:w="5883" w:type="dxa"/>
            <w:tcBorders>
              <w:top w:val="single" w:color="auto" w:sz="4" w:space="0"/>
              <w:left w:val="single" w:color="auto" w:sz="4" w:space="0"/>
              <w:bottom w:val="single" w:color="auto" w:sz="4" w:space="0"/>
              <w:right w:val="single" w:color="auto" w:sz="4" w:space="0"/>
            </w:tcBorders>
            <w:vAlign w:val="center"/>
          </w:tcPr>
          <w:p w14:paraId="1DEA3AC3">
            <w:pPr>
              <w:adjustRightInd/>
              <w:spacing w:line="240" w:lineRule="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预算资金。</w:t>
            </w:r>
          </w:p>
        </w:tc>
      </w:tr>
      <w:tr w14:paraId="108D0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29373C3">
            <w:pPr>
              <w:adjustRightInd/>
              <w:spacing w:line="240" w:lineRule="auto"/>
              <w:jc w:val="center"/>
              <w:rPr>
                <w:rFonts w:ascii="Times New Roman" w:hAnsi="Times New Roman" w:eastAsia="宋体"/>
                <w:color w:val="auto"/>
                <w:sz w:val="21"/>
                <w:highlight w:val="none"/>
              </w:rPr>
            </w:pPr>
            <w:r>
              <w:rPr>
                <w:rFonts w:ascii="Times New Roman" w:hAnsi="Times New Roman" w:eastAsia="宋体"/>
                <w:color w:val="auto"/>
                <w:sz w:val="21"/>
                <w:highlight w:val="none"/>
              </w:rPr>
              <w:t>8</w:t>
            </w:r>
          </w:p>
        </w:tc>
        <w:tc>
          <w:tcPr>
            <w:tcW w:w="1764" w:type="dxa"/>
            <w:tcBorders>
              <w:top w:val="single" w:color="auto" w:sz="4" w:space="0"/>
              <w:left w:val="single" w:color="auto" w:sz="4" w:space="0"/>
              <w:bottom w:val="single" w:color="auto" w:sz="4" w:space="0"/>
              <w:right w:val="single" w:color="auto" w:sz="4" w:space="0"/>
            </w:tcBorders>
            <w:vAlign w:val="center"/>
          </w:tcPr>
          <w:p w14:paraId="1741C64C">
            <w:pPr>
              <w:adjustRightInd/>
              <w:spacing w:line="240" w:lineRule="auto"/>
              <w:jc w:val="left"/>
              <w:rPr>
                <w:rFonts w:ascii="Times New Roman" w:hAnsi="Times New Roman" w:eastAsia="宋体"/>
                <w:color w:val="auto"/>
                <w:sz w:val="21"/>
                <w:highlight w:val="none"/>
              </w:rPr>
            </w:pPr>
            <w:r>
              <w:rPr>
                <w:rFonts w:ascii="Times New Roman" w:hAnsi="Times New Roman" w:eastAsia="宋体"/>
                <w:color w:val="auto"/>
                <w:sz w:val="21"/>
                <w:highlight w:val="none"/>
              </w:rPr>
              <w:t>采购方式</w:t>
            </w:r>
          </w:p>
        </w:tc>
        <w:tc>
          <w:tcPr>
            <w:tcW w:w="5883" w:type="dxa"/>
            <w:tcBorders>
              <w:top w:val="single" w:color="auto" w:sz="4" w:space="0"/>
              <w:left w:val="single" w:color="auto" w:sz="4" w:space="0"/>
              <w:bottom w:val="single" w:color="auto" w:sz="4" w:space="0"/>
              <w:right w:val="single" w:color="auto" w:sz="4" w:space="0"/>
            </w:tcBorders>
            <w:vAlign w:val="center"/>
          </w:tcPr>
          <w:p w14:paraId="23C01E16">
            <w:pPr>
              <w:adjustRightInd/>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竞争性磋商。</w:t>
            </w:r>
          </w:p>
        </w:tc>
      </w:tr>
      <w:tr w14:paraId="73363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C53C341">
            <w:pPr>
              <w:adjustRightInd/>
              <w:spacing w:line="400" w:lineRule="exact"/>
              <w:jc w:val="center"/>
              <w:rPr>
                <w:rFonts w:ascii="Times New Roman" w:hAnsi="Times New Roman" w:eastAsia="宋体"/>
                <w:color w:val="auto"/>
                <w:sz w:val="21"/>
                <w:highlight w:val="none"/>
              </w:rPr>
            </w:pPr>
            <w:r>
              <w:rPr>
                <w:rFonts w:ascii="Times New Roman" w:hAnsi="Times New Roman" w:eastAsia="宋体"/>
                <w:color w:val="auto"/>
                <w:sz w:val="21"/>
                <w:highlight w:val="none"/>
              </w:rPr>
              <w:t>★9</w:t>
            </w:r>
          </w:p>
        </w:tc>
        <w:tc>
          <w:tcPr>
            <w:tcW w:w="1764" w:type="dxa"/>
            <w:tcBorders>
              <w:top w:val="single" w:color="auto" w:sz="4" w:space="0"/>
              <w:left w:val="single" w:color="auto" w:sz="4" w:space="0"/>
              <w:bottom w:val="single" w:color="auto" w:sz="4" w:space="0"/>
              <w:right w:val="single" w:color="auto" w:sz="4" w:space="0"/>
            </w:tcBorders>
            <w:vAlign w:val="center"/>
          </w:tcPr>
          <w:p w14:paraId="1CB93956">
            <w:pPr>
              <w:adjustRightInd/>
              <w:spacing w:line="400" w:lineRule="exact"/>
              <w:jc w:val="left"/>
              <w:rPr>
                <w:rFonts w:ascii="Times New Roman" w:hAnsi="Times New Roman" w:eastAsia="宋体"/>
                <w:color w:val="auto"/>
                <w:sz w:val="21"/>
                <w:highlight w:val="none"/>
              </w:rPr>
            </w:pPr>
            <w:r>
              <w:rPr>
                <w:rFonts w:ascii="Times New Roman" w:hAnsi="Times New Roman" w:eastAsia="宋体"/>
                <w:color w:val="auto"/>
                <w:sz w:val="21"/>
                <w:highlight w:val="none"/>
              </w:rPr>
              <w:t>响应有效期</w:t>
            </w:r>
          </w:p>
        </w:tc>
        <w:tc>
          <w:tcPr>
            <w:tcW w:w="5883" w:type="dxa"/>
            <w:tcBorders>
              <w:top w:val="single" w:color="auto" w:sz="4" w:space="0"/>
              <w:left w:val="single" w:color="auto" w:sz="4" w:space="0"/>
              <w:bottom w:val="single" w:color="auto" w:sz="4" w:space="0"/>
              <w:right w:val="single" w:color="auto" w:sz="4" w:space="0"/>
            </w:tcBorders>
            <w:vAlign w:val="center"/>
          </w:tcPr>
          <w:p w14:paraId="75BFE95B">
            <w:pPr>
              <w:adjustRightInd/>
              <w:spacing w:line="400" w:lineRule="exact"/>
              <w:rPr>
                <w:rFonts w:ascii="Times New Roman" w:hAnsi="Times New Roman" w:eastAsia="宋体"/>
                <w:color w:val="auto"/>
                <w:sz w:val="21"/>
                <w:highlight w:val="none"/>
              </w:rPr>
            </w:pPr>
            <w:r>
              <w:rPr>
                <w:rFonts w:ascii="Times New Roman" w:hAnsi="Times New Roman" w:eastAsia="宋体"/>
                <w:color w:val="auto"/>
                <w:sz w:val="21"/>
                <w:highlight w:val="none"/>
              </w:rPr>
              <w:t>响应文件开启之日起60天。</w:t>
            </w:r>
          </w:p>
        </w:tc>
      </w:tr>
      <w:tr w14:paraId="2D8E3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73ADAD8">
            <w:pPr>
              <w:adjustRightInd/>
              <w:spacing w:line="400" w:lineRule="exact"/>
              <w:jc w:val="center"/>
              <w:rPr>
                <w:rFonts w:ascii="Times New Roman" w:hAnsi="Times New Roman" w:eastAsia="宋体"/>
                <w:color w:val="auto"/>
                <w:sz w:val="21"/>
                <w:highlight w:val="none"/>
              </w:rPr>
            </w:pPr>
            <w:r>
              <w:rPr>
                <w:rFonts w:ascii="Times New Roman" w:hAnsi="Times New Roman" w:eastAsia="宋体"/>
                <w:color w:val="auto"/>
                <w:sz w:val="21"/>
                <w:highlight w:val="none"/>
              </w:rPr>
              <w:t>10</w:t>
            </w:r>
          </w:p>
        </w:tc>
        <w:tc>
          <w:tcPr>
            <w:tcW w:w="1764" w:type="dxa"/>
            <w:tcBorders>
              <w:top w:val="single" w:color="auto" w:sz="4" w:space="0"/>
              <w:left w:val="single" w:color="auto" w:sz="4" w:space="0"/>
              <w:bottom w:val="single" w:color="auto" w:sz="4" w:space="0"/>
              <w:right w:val="single" w:color="auto" w:sz="4" w:space="0"/>
            </w:tcBorders>
            <w:vAlign w:val="center"/>
          </w:tcPr>
          <w:p w14:paraId="2244022D">
            <w:pPr>
              <w:adjustRightInd/>
              <w:spacing w:line="400" w:lineRule="exact"/>
              <w:jc w:val="left"/>
              <w:rPr>
                <w:rFonts w:ascii="Times New Roman" w:hAnsi="Times New Roman" w:eastAsia="宋体"/>
                <w:color w:val="auto"/>
                <w:sz w:val="21"/>
                <w:highlight w:val="none"/>
              </w:rPr>
            </w:pPr>
            <w:r>
              <w:rPr>
                <w:rFonts w:ascii="Times New Roman" w:hAnsi="Times New Roman" w:eastAsia="宋体"/>
                <w:color w:val="auto"/>
                <w:sz w:val="21"/>
                <w:highlight w:val="none"/>
              </w:rPr>
              <w:t>响应文件份数</w:t>
            </w:r>
          </w:p>
        </w:tc>
        <w:tc>
          <w:tcPr>
            <w:tcW w:w="5883" w:type="dxa"/>
            <w:tcBorders>
              <w:top w:val="single" w:color="auto" w:sz="4" w:space="0"/>
              <w:left w:val="single" w:color="auto" w:sz="4" w:space="0"/>
              <w:bottom w:val="single" w:color="auto" w:sz="4" w:space="0"/>
              <w:right w:val="single" w:color="auto" w:sz="4" w:space="0"/>
            </w:tcBorders>
            <w:vAlign w:val="center"/>
          </w:tcPr>
          <w:p w14:paraId="75A36DDA">
            <w:pPr>
              <w:adjustRightInd/>
              <w:spacing w:line="400" w:lineRule="exact"/>
              <w:rPr>
                <w:rFonts w:ascii="Times New Roman" w:hAnsi="Times New Roman" w:eastAsia="宋体"/>
                <w:color w:val="auto"/>
                <w:sz w:val="21"/>
                <w:highlight w:val="none"/>
              </w:rPr>
            </w:pPr>
            <w:r>
              <w:rPr>
                <w:rFonts w:ascii="Times New Roman" w:hAnsi="Times New Roman" w:eastAsia="宋体"/>
                <w:color w:val="auto"/>
                <w:sz w:val="21"/>
                <w:highlight w:val="none"/>
              </w:rPr>
              <w:t>上传到政府采购云平台的电子响应文件（含资格审查部分、技术商务部分、报价部分）1份。</w:t>
            </w:r>
          </w:p>
        </w:tc>
      </w:tr>
      <w:tr w14:paraId="05F74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66CA1FF">
            <w:pPr>
              <w:adjustRightInd/>
              <w:spacing w:line="400" w:lineRule="exact"/>
              <w:jc w:val="center"/>
              <w:rPr>
                <w:rFonts w:ascii="Times New Roman" w:hAnsi="Times New Roman" w:eastAsia="宋体"/>
                <w:color w:val="auto"/>
                <w:sz w:val="21"/>
                <w:highlight w:val="none"/>
              </w:rPr>
            </w:pPr>
            <w:r>
              <w:rPr>
                <w:rFonts w:ascii="Times New Roman" w:hAnsi="Times New Roman" w:eastAsia="宋体"/>
                <w:color w:val="auto"/>
                <w:sz w:val="21"/>
                <w:highlight w:val="none"/>
              </w:rPr>
              <w:t>★11</w:t>
            </w:r>
          </w:p>
        </w:tc>
        <w:tc>
          <w:tcPr>
            <w:tcW w:w="1764" w:type="dxa"/>
            <w:tcBorders>
              <w:top w:val="single" w:color="auto" w:sz="4" w:space="0"/>
              <w:left w:val="single" w:color="auto" w:sz="4" w:space="0"/>
              <w:bottom w:val="single" w:color="auto" w:sz="4" w:space="0"/>
              <w:right w:val="single" w:color="auto" w:sz="4" w:space="0"/>
            </w:tcBorders>
            <w:vAlign w:val="center"/>
          </w:tcPr>
          <w:p w14:paraId="03FE4D79">
            <w:pPr>
              <w:adjustRightInd/>
              <w:spacing w:line="400" w:lineRule="exact"/>
              <w:jc w:val="left"/>
              <w:rPr>
                <w:rFonts w:ascii="Times New Roman" w:hAnsi="Times New Roman" w:eastAsia="宋体"/>
                <w:color w:val="auto"/>
                <w:sz w:val="21"/>
                <w:highlight w:val="none"/>
              </w:rPr>
            </w:pPr>
            <w:r>
              <w:rPr>
                <w:rFonts w:ascii="Times New Roman" w:hAnsi="Times New Roman" w:eastAsia="宋体"/>
                <w:color w:val="auto"/>
                <w:sz w:val="21"/>
                <w:highlight w:val="none"/>
              </w:rPr>
              <w:t>磋商保证金</w:t>
            </w:r>
          </w:p>
        </w:tc>
        <w:tc>
          <w:tcPr>
            <w:tcW w:w="5883" w:type="dxa"/>
            <w:tcBorders>
              <w:top w:val="single" w:color="auto" w:sz="4" w:space="0"/>
              <w:left w:val="single" w:color="auto" w:sz="4" w:space="0"/>
              <w:bottom w:val="single" w:color="auto" w:sz="4" w:space="0"/>
              <w:right w:val="single" w:color="auto" w:sz="4" w:space="0"/>
            </w:tcBorders>
            <w:vAlign w:val="center"/>
          </w:tcPr>
          <w:p w14:paraId="597DBC27">
            <w:pPr>
              <w:adjustRightInd/>
              <w:spacing w:line="400" w:lineRule="exact"/>
              <w:rPr>
                <w:rFonts w:ascii="Times New Roman" w:hAnsi="Times New Roman" w:eastAsia="宋体"/>
                <w:color w:val="auto"/>
                <w:sz w:val="21"/>
                <w:highlight w:val="none"/>
              </w:rPr>
            </w:pPr>
            <w:r>
              <w:rPr>
                <w:rFonts w:ascii="Times New Roman" w:hAnsi="Times New Roman" w:eastAsia="宋体"/>
                <w:color w:val="auto"/>
                <w:sz w:val="21"/>
                <w:highlight w:val="none"/>
              </w:rPr>
              <w:t>无。</w:t>
            </w:r>
          </w:p>
        </w:tc>
      </w:tr>
      <w:tr w14:paraId="79283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4BAD182">
            <w:pPr>
              <w:adjustRightInd/>
              <w:spacing w:line="400" w:lineRule="exact"/>
              <w:jc w:val="center"/>
              <w:rPr>
                <w:rFonts w:ascii="Times New Roman" w:hAnsi="Times New Roman" w:eastAsia="宋体"/>
                <w:color w:val="auto"/>
                <w:sz w:val="21"/>
                <w:highlight w:val="none"/>
              </w:rPr>
            </w:pPr>
            <w:r>
              <w:rPr>
                <w:rFonts w:ascii="Times New Roman" w:hAnsi="Times New Roman" w:eastAsia="宋体"/>
                <w:color w:val="auto"/>
                <w:sz w:val="21"/>
                <w:highlight w:val="none"/>
              </w:rPr>
              <w:t>12</w:t>
            </w:r>
          </w:p>
        </w:tc>
        <w:tc>
          <w:tcPr>
            <w:tcW w:w="1764" w:type="dxa"/>
            <w:tcBorders>
              <w:top w:val="single" w:color="auto" w:sz="4" w:space="0"/>
              <w:left w:val="single" w:color="auto" w:sz="4" w:space="0"/>
              <w:bottom w:val="single" w:color="auto" w:sz="4" w:space="0"/>
              <w:right w:val="single" w:color="auto" w:sz="4" w:space="0"/>
            </w:tcBorders>
            <w:vAlign w:val="center"/>
          </w:tcPr>
          <w:p w14:paraId="77AEB04F">
            <w:pPr>
              <w:adjustRightInd/>
              <w:spacing w:line="400" w:lineRule="exact"/>
              <w:jc w:val="left"/>
              <w:rPr>
                <w:rFonts w:ascii="Times New Roman" w:hAnsi="Times New Roman" w:eastAsia="宋体"/>
                <w:color w:val="auto"/>
                <w:sz w:val="21"/>
                <w:highlight w:val="none"/>
              </w:rPr>
            </w:pPr>
            <w:r>
              <w:rPr>
                <w:rFonts w:ascii="Times New Roman" w:hAnsi="Times New Roman" w:eastAsia="宋体"/>
                <w:color w:val="auto"/>
                <w:sz w:val="21"/>
                <w:highlight w:val="none"/>
              </w:rPr>
              <w:t>响应截止时间</w:t>
            </w:r>
          </w:p>
        </w:tc>
        <w:tc>
          <w:tcPr>
            <w:tcW w:w="5883" w:type="dxa"/>
            <w:tcBorders>
              <w:top w:val="single" w:color="auto" w:sz="4" w:space="0"/>
              <w:left w:val="single" w:color="auto" w:sz="4" w:space="0"/>
              <w:bottom w:val="single" w:color="auto" w:sz="4" w:space="0"/>
              <w:right w:val="single" w:color="auto" w:sz="4" w:space="0"/>
            </w:tcBorders>
            <w:vAlign w:val="center"/>
          </w:tcPr>
          <w:p w14:paraId="4C55B710">
            <w:pPr>
              <w:adjustRightInd/>
              <w:spacing w:line="400" w:lineRule="exact"/>
              <w:rPr>
                <w:rFonts w:ascii="Times New Roman" w:hAnsi="Times New Roman" w:eastAsia="宋体"/>
                <w:color w:val="auto"/>
                <w:sz w:val="21"/>
                <w:highlight w:val="none"/>
              </w:rPr>
            </w:pPr>
            <w:r>
              <w:rPr>
                <w:rFonts w:ascii="Times New Roman" w:hAnsi="Times New Roman" w:eastAsia="宋体"/>
                <w:color w:val="auto"/>
                <w:sz w:val="21"/>
                <w:highlight w:val="none"/>
              </w:rPr>
              <w:t>详见第一章 竞争性磋商公告。</w:t>
            </w:r>
          </w:p>
        </w:tc>
      </w:tr>
      <w:tr w14:paraId="3FE2E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31D12A5">
            <w:pPr>
              <w:adjustRightInd/>
              <w:spacing w:line="400" w:lineRule="exact"/>
              <w:jc w:val="center"/>
              <w:rPr>
                <w:rFonts w:ascii="Times New Roman" w:hAnsi="Times New Roman" w:eastAsia="宋体"/>
                <w:color w:val="auto"/>
                <w:sz w:val="21"/>
                <w:highlight w:val="none"/>
              </w:rPr>
            </w:pPr>
            <w:r>
              <w:rPr>
                <w:rFonts w:ascii="Times New Roman" w:hAnsi="Times New Roman" w:eastAsia="宋体"/>
                <w:color w:val="auto"/>
                <w:sz w:val="21"/>
                <w:highlight w:val="none"/>
              </w:rPr>
              <w:t>13</w:t>
            </w:r>
          </w:p>
        </w:tc>
        <w:tc>
          <w:tcPr>
            <w:tcW w:w="1764" w:type="dxa"/>
            <w:tcBorders>
              <w:top w:val="single" w:color="auto" w:sz="4" w:space="0"/>
              <w:left w:val="single" w:color="auto" w:sz="4" w:space="0"/>
              <w:bottom w:val="single" w:color="auto" w:sz="4" w:space="0"/>
              <w:right w:val="single" w:color="auto" w:sz="4" w:space="0"/>
            </w:tcBorders>
            <w:vAlign w:val="center"/>
          </w:tcPr>
          <w:p w14:paraId="7178E124">
            <w:pPr>
              <w:adjustRightInd/>
              <w:spacing w:line="400" w:lineRule="exact"/>
              <w:jc w:val="left"/>
              <w:rPr>
                <w:rFonts w:ascii="Times New Roman" w:hAnsi="Times New Roman" w:eastAsia="宋体"/>
                <w:color w:val="auto"/>
                <w:sz w:val="21"/>
                <w:highlight w:val="none"/>
              </w:rPr>
            </w:pPr>
            <w:r>
              <w:rPr>
                <w:rFonts w:ascii="Times New Roman" w:hAnsi="Times New Roman" w:eastAsia="宋体"/>
                <w:color w:val="auto"/>
                <w:sz w:val="21"/>
                <w:highlight w:val="none"/>
              </w:rPr>
              <w:t>响应文件提交</w:t>
            </w:r>
          </w:p>
        </w:tc>
        <w:tc>
          <w:tcPr>
            <w:tcW w:w="5883" w:type="dxa"/>
            <w:tcBorders>
              <w:top w:val="single" w:color="auto" w:sz="4" w:space="0"/>
              <w:left w:val="single" w:color="auto" w:sz="4" w:space="0"/>
              <w:bottom w:val="single" w:color="auto" w:sz="4" w:space="0"/>
              <w:right w:val="single" w:color="auto" w:sz="4" w:space="0"/>
            </w:tcBorders>
            <w:vAlign w:val="center"/>
          </w:tcPr>
          <w:p w14:paraId="03357FB7">
            <w:pPr>
              <w:adjustRightInd/>
              <w:spacing w:line="400" w:lineRule="exact"/>
              <w:rPr>
                <w:rFonts w:ascii="Times New Roman" w:hAnsi="Times New Roman" w:eastAsia="宋体"/>
                <w:color w:val="auto"/>
                <w:sz w:val="21"/>
                <w:highlight w:val="none"/>
              </w:rPr>
            </w:pPr>
            <w:r>
              <w:rPr>
                <w:rFonts w:ascii="Times New Roman" w:hAnsi="Times New Roman" w:eastAsia="宋体"/>
                <w:color w:val="auto"/>
                <w:sz w:val="21"/>
                <w:highlight w:val="none"/>
              </w:rPr>
              <w:t>详见第一章 竞争性磋商公告。</w:t>
            </w:r>
          </w:p>
        </w:tc>
      </w:tr>
      <w:tr w14:paraId="158E7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A542487">
            <w:pPr>
              <w:adjustRightInd/>
              <w:spacing w:line="400" w:lineRule="exact"/>
              <w:jc w:val="center"/>
              <w:rPr>
                <w:rFonts w:ascii="Times New Roman" w:hAnsi="Times New Roman" w:eastAsia="宋体"/>
                <w:color w:val="auto"/>
                <w:sz w:val="21"/>
                <w:highlight w:val="none"/>
              </w:rPr>
            </w:pPr>
            <w:r>
              <w:rPr>
                <w:rFonts w:ascii="Times New Roman" w:hAnsi="Times New Roman" w:eastAsia="宋体"/>
                <w:color w:val="auto"/>
                <w:sz w:val="21"/>
                <w:highlight w:val="none"/>
              </w:rPr>
              <w:t>14</w:t>
            </w:r>
          </w:p>
        </w:tc>
        <w:tc>
          <w:tcPr>
            <w:tcW w:w="1764" w:type="dxa"/>
            <w:tcBorders>
              <w:top w:val="single" w:color="auto" w:sz="4" w:space="0"/>
              <w:left w:val="single" w:color="auto" w:sz="4" w:space="0"/>
              <w:bottom w:val="single" w:color="auto" w:sz="4" w:space="0"/>
              <w:right w:val="single" w:color="auto" w:sz="4" w:space="0"/>
            </w:tcBorders>
            <w:vAlign w:val="center"/>
          </w:tcPr>
          <w:p w14:paraId="0E132A08">
            <w:pPr>
              <w:adjustRightInd/>
              <w:spacing w:line="400" w:lineRule="exact"/>
              <w:jc w:val="left"/>
              <w:rPr>
                <w:rFonts w:ascii="Times New Roman" w:hAnsi="Times New Roman" w:eastAsia="宋体"/>
                <w:color w:val="auto"/>
                <w:sz w:val="21"/>
                <w:highlight w:val="none"/>
              </w:rPr>
            </w:pPr>
            <w:r>
              <w:rPr>
                <w:rFonts w:ascii="Times New Roman" w:hAnsi="Times New Roman" w:eastAsia="宋体"/>
                <w:color w:val="auto"/>
                <w:sz w:val="21"/>
                <w:highlight w:val="none"/>
              </w:rPr>
              <w:t>磋商时间及地点</w:t>
            </w:r>
          </w:p>
        </w:tc>
        <w:tc>
          <w:tcPr>
            <w:tcW w:w="5883" w:type="dxa"/>
            <w:tcBorders>
              <w:top w:val="single" w:color="auto" w:sz="4" w:space="0"/>
              <w:left w:val="single" w:color="auto" w:sz="4" w:space="0"/>
              <w:bottom w:val="single" w:color="auto" w:sz="4" w:space="0"/>
              <w:right w:val="single" w:color="auto" w:sz="4" w:space="0"/>
            </w:tcBorders>
            <w:vAlign w:val="center"/>
          </w:tcPr>
          <w:p w14:paraId="7E77307D">
            <w:pPr>
              <w:adjustRightInd/>
              <w:spacing w:line="400" w:lineRule="exact"/>
              <w:rPr>
                <w:rFonts w:ascii="Times New Roman" w:hAnsi="Times New Roman" w:eastAsia="宋体"/>
                <w:color w:val="auto"/>
                <w:sz w:val="21"/>
                <w:highlight w:val="none"/>
              </w:rPr>
            </w:pPr>
            <w:r>
              <w:rPr>
                <w:rFonts w:ascii="Times New Roman" w:hAnsi="Times New Roman" w:eastAsia="宋体"/>
                <w:color w:val="auto"/>
                <w:sz w:val="21"/>
                <w:highlight w:val="none"/>
              </w:rPr>
              <w:t>详见第一章 竞争性磋商公告。</w:t>
            </w:r>
          </w:p>
        </w:tc>
      </w:tr>
      <w:tr w14:paraId="747B3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F0C8051">
            <w:pPr>
              <w:adjustRightInd/>
              <w:spacing w:line="400" w:lineRule="exact"/>
              <w:jc w:val="center"/>
              <w:rPr>
                <w:rFonts w:ascii="Times New Roman" w:hAnsi="Times New Roman" w:eastAsia="宋体"/>
                <w:color w:val="auto"/>
                <w:sz w:val="21"/>
                <w:highlight w:val="none"/>
              </w:rPr>
            </w:pPr>
            <w:r>
              <w:rPr>
                <w:rFonts w:ascii="Times New Roman" w:hAnsi="Times New Roman" w:eastAsia="宋体"/>
                <w:color w:val="auto"/>
                <w:sz w:val="21"/>
                <w:highlight w:val="none"/>
              </w:rPr>
              <w:t>15</w:t>
            </w:r>
          </w:p>
        </w:tc>
        <w:tc>
          <w:tcPr>
            <w:tcW w:w="1764" w:type="dxa"/>
            <w:tcBorders>
              <w:top w:val="single" w:color="auto" w:sz="4" w:space="0"/>
              <w:left w:val="single" w:color="auto" w:sz="4" w:space="0"/>
              <w:bottom w:val="single" w:color="auto" w:sz="4" w:space="0"/>
              <w:right w:val="single" w:color="auto" w:sz="4" w:space="0"/>
            </w:tcBorders>
            <w:vAlign w:val="center"/>
          </w:tcPr>
          <w:p w14:paraId="3FD0DC13">
            <w:pPr>
              <w:adjustRightInd/>
              <w:spacing w:line="400" w:lineRule="exact"/>
              <w:jc w:val="left"/>
              <w:rPr>
                <w:rFonts w:ascii="Times New Roman" w:hAnsi="Times New Roman" w:eastAsia="宋体"/>
                <w:color w:val="auto"/>
                <w:sz w:val="21"/>
                <w:highlight w:val="none"/>
              </w:rPr>
            </w:pPr>
            <w:r>
              <w:rPr>
                <w:rFonts w:ascii="Times New Roman" w:hAnsi="Times New Roman" w:eastAsia="宋体"/>
                <w:color w:val="auto"/>
                <w:sz w:val="21"/>
                <w:highlight w:val="none"/>
              </w:rPr>
              <w:t>签订合同时间</w:t>
            </w:r>
          </w:p>
        </w:tc>
        <w:tc>
          <w:tcPr>
            <w:tcW w:w="5883" w:type="dxa"/>
            <w:tcBorders>
              <w:top w:val="single" w:color="auto" w:sz="4" w:space="0"/>
              <w:left w:val="single" w:color="auto" w:sz="4" w:space="0"/>
              <w:bottom w:val="single" w:color="auto" w:sz="4" w:space="0"/>
              <w:right w:val="single" w:color="auto" w:sz="4" w:space="0"/>
            </w:tcBorders>
            <w:vAlign w:val="center"/>
          </w:tcPr>
          <w:p w14:paraId="4CD85902">
            <w:pPr>
              <w:adjustRightInd/>
              <w:spacing w:line="400" w:lineRule="exact"/>
              <w:rPr>
                <w:rFonts w:ascii="Times New Roman" w:hAnsi="Times New Roman" w:eastAsia="宋体"/>
                <w:color w:val="auto"/>
                <w:sz w:val="21"/>
                <w:highlight w:val="none"/>
              </w:rPr>
            </w:pPr>
            <w:r>
              <w:rPr>
                <w:rFonts w:ascii="Times New Roman" w:hAnsi="Times New Roman" w:eastAsia="宋体"/>
                <w:color w:val="auto"/>
                <w:sz w:val="21"/>
                <w:highlight w:val="none"/>
              </w:rPr>
              <w:t>成交通知书发出之日起30日内。</w:t>
            </w:r>
          </w:p>
        </w:tc>
      </w:tr>
      <w:tr w14:paraId="441AF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718787C">
            <w:pPr>
              <w:adjustRightInd/>
              <w:spacing w:line="400" w:lineRule="exact"/>
              <w:jc w:val="center"/>
              <w:rPr>
                <w:rFonts w:ascii="Times New Roman" w:hAnsi="Times New Roman" w:eastAsia="宋体"/>
                <w:color w:val="auto"/>
                <w:sz w:val="21"/>
                <w:highlight w:val="none"/>
              </w:rPr>
            </w:pPr>
            <w:r>
              <w:rPr>
                <w:rFonts w:ascii="Times New Roman" w:hAnsi="Times New Roman" w:eastAsia="宋体"/>
                <w:color w:val="auto"/>
                <w:sz w:val="21"/>
                <w:highlight w:val="none"/>
              </w:rPr>
              <w:t>16</w:t>
            </w:r>
          </w:p>
        </w:tc>
        <w:tc>
          <w:tcPr>
            <w:tcW w:w="1764" w:type="dxa"/>
            <w:tcBorders>
              <w:top w:val="single" w:color="auto" w:sz="4" w:space="0"/>
              <w:left w:val="single" w:color="auto" w:sz="4" w:space="0"/>
              <w:bottom w:val="single" w:color="auto" w:sz="4" w:space="0"/>
              <w:right w:val="single" w:color="auto" w:sz="4" w:space="0"/>
            </w:tcBorders>
            <w:vAlign w:val="center"/>
          </w:tcPr>
          <w:p w14:paraId="1FF0E551">
            <w:pPr>
              <w:adjustRightInd/>
              <w:spacing w:line="400" w:lineRule="exact"/>
              <w:jc w:val="left"/>
              <w:rPr>
                <w:rFonts w:ascii="Times New Roman" w:hAnsi="Times New Roman" w:eastAsia="宋体"/>
                <w:color w:val="auto"/>
                <w:sz w:val="21"/>
                <w:highlight w:val="none"/>
              </w:rPr>
            </w:pPr>
            <w:r>
              <w:rPr>
                <w:rFonts w:ascii="Times New Roman" w:hAnsi="Times New Roman" w:eastAsia="宋体"/>
                <w:color w:val="auto"/>
                <w:sz w:val="21"/>
                <w:highlight w:val="none"/>
              </w:rPr>
              <w:t>授予合同</w:t>
            </w:r>
          </w:p>
        </w:tc>
        <w:tc>
          <w:tcPr>
            <w:tcW w:w="5883" w:type="dxa"/>
            <w:tcBorders>
              <w:top w:val="single" w:color="auto" w:sz="4" w:space="0"/>
              <w:left w:val="single" w:color="auto" w:sz="4" w:space="0"/>
              <w:bottom w:val="single" w:color="auto" w:sz="4" w:space="0"/>
              <w:right w:val="single" w:color="auto" w:sz="4" w:space="0"/>
            </w:tcBorders>
            <w:vAlign w:val="center"/>
          </w:tcPr>
          <w:p w14:paraId="69C93658">
            <w:pPr>
              <w:adjustRightInd/>
              <w:spacing w:line="400" w:lineRule="exact"/>
              <w:rPr>
                <w:rFonts w:ascii="Times New Roman" w:hAnsi="Times New Roman" w:eastAsia="宋体"/>
                <w:color w:val="auto"/>
                <w:sz w:val="21"/>
                <w:highlight w:val="none"/>
              </w:rPr>
            </w:pPr>
            <w:r>
              <w:rPr>
                <w:rFonts w:ascii="Times New Roman" w:hAnsi="Times New Roman" w:eastAsia="宋体"/>
                <w:color w:val="auto"/>
                <w:sz w:val="21"/>
                <w:highlight w:val="none"/>
              </w:rPr>
              <w:t>按政府采购办有关规定，成交人在签订合同后需报政府采购办备案。</w:t>
            </w:r>
          </w:p>
        </w:tc>
      </w:tr>
      <w:tr w14:paraId="3FD3D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4C4CBB1">
            <w:pPr>
              <w:pStyle w:val="39"/>
              <w:adjustRightInd/>
              <w:spacing w:line="400" w:lineRule="exact"/>
              <w:jc w:val="center"/>
              <w:rPr>
                <w:rFonts w:ascii="Times New Roman" w:hAnsi="Times New Roman" w:eastAsia="宋体"/>
                <w:color w:val="auto"/>
                <w:highlight w:val="none"/>
              </w:rPr>
            </w:pPr>
            <w:r>
              <w:rPr>
                <w:rFonts w:ascii="Times New Roman" w:hAnsi="Times New Roman" w:eastAsia="宋体"/>
                <w:color w:val="auto"/>
                <w:highlight w:val="none"/>
              </w:rPr>
              <w:t>17</w:t>
            </w:r>
          </w:p>
        </w:tc>
        <w:tc>
          <w:tcPr>
            <w:tcW w:w="1764" w:type="dxa"/>
            <w:tcBorders>
              <w:top w:val="single" w:color="auto" w:sz="4" w:space="0"/>
              <w:left w:val="single" w:color="auto" w:sz="4" w:space="0"/>
              <w:bottom w:val="single" w:color="auto" w:sz="4" w:space="0"/>
              <w:right w:val="single" w:color="auto" w:sz="4" w:space="0"/>
            </w:tcBorders>
            <w:vAlign w:val="center"/>
          </w:tcPr>
          <w:p w14:paraId="76EF4C01">
            <w:pPr>
              <w:pStyle w:val="39"/>
              <w:adjustRightInd/>
              <w:spacing w:line="400" w:lineRule="exact"/>
              <w:jc w:val="left"/>
              <w:rPr>
                <w:rFonts w:ascii="Times New Roman" w:hAnsi="Times New Roman" w:eastAsia="宋体"/>
                <w:color w:val="auto"/>
                <w:highlight w:val="none"/>
              </w:rPr>
            </w:pPr>
            <w:r>
              <w:rPr>
                <w:rFonts w:ascii="Times New Roman" w:hAnsi="Times New Roman" w:eastAsia="宋体"/>
                <w:color w:val="auto"/>
                <w:highlight w:val="none"/>
              </w:rPr>
              <w:t>其他事项</w:t>
            </w:r>
          </w:p>
        </w:tc>
        <w:tc>
          <w:tcPr>
            <w:tcW w:w="5883" w:type="dxa"/>
            <w:tcBorders>
              <w:top w:val="single" w:color="auto" w:sz="4" w:space="0"/>
              <w:left w:val="single" w:color="auto" w:sz="4" w:space="0"/>
              <w:bottom w:val="single" w:color="auto" w:sz="4" w:space="0"/>
              <w:right w:val="single" w:color="auto" w:sz="4" w:space="0"/>
            </w:tcBorders>
            <w:vAlign w:val="center"/>
          </w:tcPr>
          <w:p w14:paraId="096F0DE0">
            <w:pPr>
              <w:adjustRightInd/>
              <w:spacing w:line="400" w:lineRule="exact"/>
              <w:rPr>
                <w:rFonts w:ascii="Times New Roman" w:hAnsi="Times New Roman" w:eastAsia="宋体"/>
                <w:color w:val="auto"/>
                <w:sz w:val="21"/>
                <w:highlight w:val="none"/>
              </w:rPr>
            </w:pPr>
            <w:r>
              <w:rPr>
                <w:rFonts w:ascii="Times New Roman" w:hAnsi="Times New Roman" w:eastAsia="宋体"/>
                <w:color w:val="auto"/>
                <w:sz w:val="21"/>
                <w:highlight w:val="none"/>
              </w:rPr>
              <w:t>参加采购活动的供应商在采购活动前必须到“浙江省政府采购云平台”上进行注册登记。</w:t>
            </w:r>
          </w:p>
        </w:tc>
      </w:tr>
      <w:tr w14:paraId="7360E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77388E2">
            <w:pPr>
              <w:pStyle w:val="39"/>
              <w:adjustRightInd/>
              <w:spacing w:line="400" w:lineRule="exact"/>
              <w:jc w:val="center"/>
              <w:rPr>
                <w:rFonts w:ascii="Times New Roman" w:hAnsi="Times New Roman" w:eastAsia="宋体"/>
                <w:color w:val="auto"/>
                <w:highlight w:val="none"/>
              </w:rPr>
            </w:pPr>
            <w:r>
              <w:rPr>
                <w:rFonts w:ascii="Times New Roman" w:hAnsi="Times New Roman" w:eastAsia="宋体"/>
                <w:color w:val="auto"/>
                <w:highlight w:val="none"/>
              </w:rPr>
              <w:t>18</w:t>
            </w:r>
          </w:p>
        </w:tc>
        <w:tc>
          <w:tcPr>
            <w:tcW w:w="1764" w:type="dxa"/>
            <w:tcBorders>
              <w:top w:val="single" w:color="auto" w:sz="4" w:space="0"/>
              <w:left w:val="single" w:color="auto" w:sz="4" w:space="0"/>
              <w:bottom w:val="single" w:color="auto" w:sz="4" w:space="0"/>
              <w:right w:val="single" w:color="auto" w:sz="4" w:space="0"/>
            </w:tcBorders>
            <w:vAlign w:val="center"/>
          </w:tcPr>
          <w:p w14:paraId="1EABFE1F">
            <w:pPr>
              <w:adjustRightInd/>
              <w:spacing w:line="400" w:lineRule="exact"/>
              <w:jc w:val="left"/>
              <w:rPr>
                <w:rFonts w:ascii="Times New Roman" w:hAnsi="Times New Roman" w:eastAsia="宋体"/>
                <w:color w:val="auto"/>
                <w:sz w:val="21"/>
                <w:highlight w:val="none"/>
              </w:rPr>
            </w:pPr>
            <w:r>
              <w:rPr>
                <w:rFonts w:ascii="Times New Roman" w:hAnsi="Times New Roman" w:eastAsia="宋体"/>
                <w:color w:val="auto"/>
                <w:sz w:val="21"/>
                <w:highlight w:val="none"/>
              </w:rPr>
              <w:t>签约方</w:t>
            </w:r>
          </w:p>
        </w:tc>
        <w:tc>
          <w:tcPr>
            <w:tcW w:w="5883" w:type="dxa"/>
            <w:tcBorders>
              <w:top w:val="single" w:color="auto" w:sz="4" w:space="0"/>
              <w:left w:val="single" w:color="auto" w:sz="4" w:space="0"/>
              <w:bottom w:val="single" w:color="auto" w:sz="4" w:space="0"/>
              <w:right w:val="single" w:color="auto" w:sz="4" w:space="0"/>
            </w:tcBorders>
            <w:vAlign w:val="center"/>
          </w:tcPr>
          <w:p w14:paraId="6044C99B">
            <w:pPr>
              <w:adjustRightInd/>
              <w:spacing w:line="400" w:lineRule="exact"/>
              <w:rPr>
                <w:rFonts w:ascii="Times New Roman" w:hAnsi="Times New Roman" w:eastAsia="宋体"/>
                <w:color w:val="auto"/>
                <w:sz w:val="21"/>
                <w:highlight w:val="none"/>
              </w:rPr>
            </w:pPr>
            <w:r>
              <w:rPr>
                <w:rFonts w:hint="eastAsia" w:ascii="Times New Roman" w:hAnsi="Times New Roman" w:eastAsia="宋体"/>
                <w:color w:val="auto"/>
                <w:sz w:val="21"/>
                <w:highlight w:val="none"/>
              </w:rPr>
              <w:t>宁波高新区公共项目建设中心</w:t>
            </w:r>
          </w:p>
        </w:tc>
      </w:tr>
      <w:tr w14:paraId="5EB1B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5E445EE">
            <w:pPr>
              <w:pStyle w:val="39"/>
              <w:adjustRightInd/>
              <w:spacing w:line="400" w:lineRule="exact"/>
              <w:jc w:val="center"/>
              <w:rPr>
                <w:rFonts w:ascii="Times New Roman" w:hAnsi="Times New Roman" w:eastAsia="宋体"/>
                <w:color w:val="auto"/>
                <w:highlight w:val="none"/>
              </w:rPr>
            </w:pPr>
            <w:r>
              <w:rPr>
                <w:rFonts w:ascii="Times New Roman" w:hAnsi="Times New Roman" w:eastAsia="宋体"/>
                <w:color w:val="auto"/>
                <w:highlight w:val="none"/>
              </w:rPr>
              <w:t>19</w:t>
            </w:r>
          </w:p>
        </w:tc>
        <w:tc>
          <w:tcPr>
            <w:tcW w:w="7647" w:type="dxa"/>
            <w:gridSpan w:val="2"/>
            <w:tcBorders>
              <w:top w:val="single" w:color="auto" w:sz="4" w:space="0"/>
              <w:left w:val="single" w:color="auto" w:sz="4" w:space="0"/>
              <w:bottom w:val="single" w:color="auto" w:sz="4" w:space="0"/>
              <w:right w:val="single" w:color="auto" w:sz="4" w:space="0"/>
            </w:tcBorders>
            <w:vAlign w:val="center"/>
          </w:tcPr>
          <w:p w14:paraId="468EA890">
            <w:pPr>
              <w:adjustRightInd/>
              <w:spacing w:line="400" w:lineRule="exact"/>
              <w:rPr>
                <w:rFonts w:ascii="Times New Roman" w:hAnsi="Times New Roman" w:eastAsia="宋体"/>
                <w:color w:val="auto"/>
                <w:sz w:val="21"/>
                <w:highlight w:val="none"/>
                <w:u w:val="single"/>
              </w:rPr>
            </w:pPr>
            <w:r>
              <w:rPr>
                <w:rFonts w:ascii="Times New Roman" w:hAnsi="Times New Roman" w:eastAsia="宋体"/>
                <w:color w:val="auto"/>
                <w:sz w:val="21"/>
                <w:highlight w:val="none"/>
              </w:rPr>
              <w:t>解释：本采购文件的解释权属于采购单位。</w:t>
            </w:r>
          </w:p>
        </w:tc>
      </w:tr>
    </w:tbl>
    <w:p w14:paraId="65B46081">
      <w:pPr>
        <w:pStyle w:val="21"/>
        <w:tabs>
          <w:tab w:val="left" w:pos="720"/>
        </w:tabs>
        <w:adjustRightInd/>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69" w:name="_Toc16938558"/>
      <w:bookmarkStart w:id="70" w:name="_Toc513029242"/>
      <w:bookmarkStart w:id="71" w:name="_Toc120614221"/>
      <w:bookmarkStart w:id="72" w:name="_Toc479757207"/>
      <w:bookmarkStart w:id="73" w:name="_Toc20823314"/>
    </w:p>
    <w:p w14:paraId="3349EB45">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一、总则</w:t>
      </w:r>
    </w:p>
    <w:p w14:paraId="2376C760">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（一）适用范围</w:t>
      </w:r>
    </w:p>
    <w:p w14:paraId="0F2A8C71">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本采购文件适用于本项目的采购邀请、响应、评审、验收、合同履约、付款等行为（法律、法规另有规定的，从其规定）。</w:t>
      </w:r>
    </w:p>
    <w:p w14:paraId="5CA21E22">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（二）定义</w:t>
      </w:r>
    </w:p>
    <w:p w14:paraId="4CB7FD38">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1.“采购单位”系指组织本次采购的代理机构和采购人。</w:t>
      </w:r>
    </w:p>
    <w:p w14:paraId="6DEB48F3">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2.“供应商”系指向采购单位提交响应文件的单位或个人。</w:t>
      </w:r>
    </w:p>
    <w:p w14:paraId="5FFB6EF6">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3.“服务”系指采购文件规定供应商须承担的各项义务。</w:t>
      </w:r>
    </w:p>
    <w:p w14:paraId="3A01543B">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4.“项目”系指供应商按采购文件规定向采购人提供的产品和服务。</w:t>
      </w:r>
    </w:p>
    <w:p w14:paraId="4992E07F">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5.“书面形式”包括信函、传真、电报等。</w:t>
      </w:r>
    </w:p>
    <w:p w14:paraId="1F16973D">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6.“★”系指实质性要求条款。</w:t>
      </w:r>
    </w:p>
    <w:p w14:paraId="49052E78">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（三）采购方式</w:t>
      </w:r>
    </w:p>
    <w:p w14:paraId="1C813AC5">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本次采购采用竞争性磋商方式进行。</w:t>
      </w:r>
    </w:p>
    <w:p w14:paraId="75E189EF">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（四）磋商委托</w:t>
      </w:r>
    </w:p>
    <w:p w14:paraId="5A5488F1">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供应商代表须携带有效身份证件。如供应商代表不是法定代表人，须有法定代表人出具的授权委托书（响应文件正本用原件，副本可用复印件，格式见第六章）。</w:t>
      </w:r>
    </w:p>
    <w:p w14:paraId="2B17A4AA">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（五）磋商费用</w:t>
      </w:r>
    </w:p>
    <w:p w14:paraId="60A8DF70">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不论采购结果如何，供应商均应自行承担所有与采购有关的全部费用（采购文件有相关规定除外）。</w:t>
      </w:r>
    </w:p>
    <w:p w14:paraId="030CFDD8">
      <w:pPr>
        <w:pStyle w:val="21"/>
        <w:tabs>
          <w:tab w:val="left" w:pos="720"/>
          <w:tab w:val="center" w:pos="481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（六）联合体报价</w:t>
      </w:r>
    </w:p>
    <w:p w14:paraId="0BCE6F5F">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本项目不接受联合体响应。</w:t>
      </w:r>
    </w:p>
    <w:p w14:paraId="2B26BE30">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（七）转包与分包</w:t>
      </w:r>
    </w:p>
    <w:p w14:paraId="026C4D30">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本项目不允许转包，</w:t>
      </w:r>
      <w:r>
        <w:rPr>
          <w:rFonts w:hint="eastAsia" w:ascii="Times New Roman" w:hAnsi="Times New Roman" w:eastAsia="宋体"/>
          <w:bCs/>
          <w:color w:val="auto"/>
          <w:highlight w:val="none"/>
        </w:rPr>
        <w:t>不可以采用分包方式履行合同</w:t>
      </w:r>
      <w:r>
        <w:rPr>
          <w:rFonts w:ascii="Times New Roman" w:hAnsi="Times New Roman" w:eastAsia="宋体"/>
          <w:bCs/>
          <w:color w:val="auto"/>
          <w:highlight w:val="none"/>
        </w:rPr>
        <w:t>。</w:t>
      </w:r>
    </w:p>
    <w:p w14:paraId="00E73C5D">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（八）特别说明</w:t>
      </w:r>
    </w:p>
    <w:p w14:paraId="543F74EF">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★1.供应商应仔细阅读采购文件的所有内容，按照采购文件的要求提交响应文件，并对所提供的全部资料的真实性承担法律责任。</w:t>
      </w:r>
    </w:p>
    <w:p w14:paraId="1EED007B">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2.提供相同品牌产品且通过资格审查、符合性审查的不同供应商参加同一合同项下响应的，按一家供应商计算。</w:t>
      </w:r>
    </w:p>
    <w:p w14:paraId="17BE9208">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若采用综合评分法进行评审的，评审后得分最高的同品牌供应商获得成交人推荐资格；评审得分相同的，由磋商小组按照采购文件规定的方式确定一个供应商获得成交人的推荐资格，采购文件未规定的采取随机抽取的方式确定，其他同品牌供应商不作为成交候选人。</w:t>
      </w:r>
    </w:p>
    <w:p w14:paraId="2FDF0A03">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非单一产品采购项目，供应商使用相同制造产品（相同制造产品是指采购文件中指定的“核心产品”）作为其项目的一部分，按一家供应商认定。</w:t>
      </w:r>
    </w:p>
    <w:p w14:paraId="71AC8819">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3.其他组织或自然人参加响应的，由其他组织（营业执照上的所属姓名或相关负责人）或自然人签署的相关响应资料与本采购文件规定由法定代表人签署的的文件材料具有同等效力。</w:t>
      </w:r>
    </w:p>
    <w:p w14:paraId="38079436">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（九）关于分公司响应</w:t>
      </w:r>
    </w:p>
    <w:p w14:paraId="1560CDEC">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除银行、保险、石油石化、电力、电信、移动、联通等行业外，分公司响应的，需提供具有法人资格的总公司的营业执照及授权书，授权书须加盖总公司公章。总公司可就本项目或此类项目在一定范围或时间内出具授权书。已由总公司授权的，总公司取得的相关资质证书对分公司有效。分支机构参加响应的，由分支机构负责人签署的相关响应资料与本采购文件规定由法定代表人签署的的文件材料具有同等效力。</w:t>
      </w:r>
    </w:p>
    <w:p w14:paraId="07DB83F5">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（十）关于知识产权</w:t>
      </w:r>
    </w:p>
    <w:p w14:paraId="0BA78EB9">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1.供应商必须保证，采购人在中华人民共和国境内使用货物、资料、技术、服务或其任何一部分时，享有不受限制的无偿使用权，如有第三方向采购人提出侵犯其专利权、商标权或其它知识产权的主张，该责任应由供应商承担。</w:t>
      </w:r>
    </w:p>
    <w:p w14:paraId="0058DB72">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2.报价应包含所有应向所有权人支付的专利权、商标权或其它知识产权的一切相关费用。</w:t>
      </w:r>
    </w:p>
    <w:p w14:paraId="33F00575">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3.系统软件、通用软件必须是具有在中国境内的合法使用权或版权的正版软件，涉及到第三方提出侵权或知识产权的起诉及支付版税等费用由供应商承担所有责任及费用。</w:t>
      </w:r>
    </w:p>
    <w:p w14:paraId="191F8E24">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（十一）质疑和投诉</w:t>
      </w:r>
    </w:p>
    <w:p w14:paraId="4A3992FC">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1.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631E2AA1">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2.提出质疑的供应商应当是参与所质疑项目采购活动的供应商。未依法获取采购文件的，不得就采购文件提出质疑；未提交响应文件的供应商，视为与采购结果没有利害关系，不得就采购响应截止时间后的采购过程、采购结果提出质疑。</w:t>
      </w:r>
    </w:p>
    <w:p w14:paraId="2EA8D066">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3.供应商提出质疑应当提交质疑函和必要的证明材料，质疑函应当面以书面形式提出，质疑函格式和内容须符合财政部《质疑函范本》要求，供应商可到浙江政府采购网下载专区下载财政部《质疑函范本》。</w:t>
      </w:r>
    </w:p>
    <w:p w14:paraId="4B553311">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3F84D43E">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5.供应商对采购人或采购代理机构的质疑答复不满意或者采购人或采购代理机构未在规定时间内作出答复的，可以在答复期满后十五个工作日内向同级采购监管部门投诉，供应商可到浙江政府采购网下载专区下载财政部《投诉函范本》。</w:t>
      </w:r>
    </w:p>
    <w:p w14:paraId="1FCDDBD4">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二、采购文件</w:t>
      </w:r>
    </w:p>
    <w:p w14:paraId="7418B805">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（一）采购文件的构成。本采购文件由以下部分组成：</w:t>
      </w:r>
    </w:p>
    <w:p w14:paraId="05EBF20D">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1.竞争性磋商公告</w:t>
      </w:r>
    </w:p>
    <w:p w14:paraId="4B7873F9">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2.供应商须知</w:t>
      </w:r>
    </w:p>
    <w:p w14:paraId="755401A3">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3.合同条款及格式</w:t>
      </w:r>
    </w:p>
    <w:p w14:paraId="00239915">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4.项目需求</w:t>
      </w:r>
    </w:p>
    <w:p w14:paraId="68D4F0E3">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5.评审标准</w:t>
      </w:r>
    </w:p>
    <w:p w14:paraId="677B8109">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6.响应文件格式</w:t>
      </w:r>
    </w:p>
    <w:p w14:paraId="7689CF37">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7.本项目采购文件的澄清、答复、修改、补充的内容</w:t>
      </w:r>
    </w:p>
    <w:p w14:paraId="1EC8EF40">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（二）供应商的风险</w:t>
      </w:r>
    </w:p>
    <w:p w14:paraId="44FBA083">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供应商没有按照采购文件要求提供全部资料，或者供应商没有对采购文件在各方面作出实质性响应是供应商的风险，并可能导致其响应文件被拒绝。</w:t>
      </w:r>
    </w:p>
    <w:p w14:paraId="09CE6CBB">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（三）采购文件的澄清与修改</w:t>
      </w:r>
    </w:p>
    <w:p w14:paraId="28EB0C41">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1.提交首次响应文件截止之日前，采购人、采购代理机构或者磋商小组对已发出的采购文件进行必要的澄清或者修改，澄清或者修改的内容作为采购文件的组成部分。澄清或者修改的内容可能影响响应文件编制的，采购人、采购代理机构将在提交首次响应文件截止时间至少5日前，在规定信息发布网站上通知所有获取采购文件的供应商；不足5日的，采购人、采购代理机构将顺延提交首次响应文件截止时间，在规定信息发布网站上通知所有获取采购文件的供应商。</w:t>
      </w:r>
    </w:p>
    <w:p w14:paraId="79E1EF2A">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2.购买采购文件的潜在供应商对采购文件有异议，应知其权益受到损害之日起七个工作日内。逾期提出的将不予受理。对采购文件的异议应有法定代表人或授权代表签字，并加盖供应商公章和注明日期。</w:t>
      </w:r>
    </w:p>
    <w:p w14:paraId="0ED32C3F">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没有提出异议且又参与了该项目磋商的供应商将被视为完全认同采购文件。</w:t>
      </w:r>
    </w:p>
    <w:p w14:paraId="25AFCB5F">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三、响应文件的编制</w:t>
      </w:r>
    </w:p>
    <w:p w14:paraId="4C118F8D">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（一）响应文件的组成</w:t>
      </w:r>
    </w:p>
    <w:p w14:paraId="6847D379">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响应文件至少包含以下部分：</w:t>
      </w:r>
    </w:p>
    <w:p w14:paraId="2F7B6DB0">
      <w:pPr>
        <w:pStyle w:val="39"/>
        <w:adjustRightInd/>
        <w:snapToGrid w:val="0"/>
        <w:ind w:firstLine="422" w:firstLineChars="200"/>
        <w:rPr>
          <w:rFonts w:ascii="Times New Roman" w:hAnsi="Times New Roman" w:eastAsia="宋体"/>
          <w:b/>
          <w:bCs/>
          <w:color w:val="auto"/>
          <w:highlight w:val="none"/>
        </w:rPr>
      </w:pPr>
      <w:r>
        <w:rPr>
          <w:rFonts w:ascii="Times New Roman" w:hAnsi="Times New Roman" w:eastAsia="宋体"/>
          <w:b/>
          <w:bCs/>
          <w:color w:val="auto"/>
          <w:highlight w:val="none"/>
        </w:rPr>
        <w:t>A.资格审查部分：</w:t>
      </w:r>
    </w:p>
    <w:p w14:paraId="406371BD">
      <w:pPr>
        <w:adjustRightInd/>
        <w:snapToGrid w:val="0"/>
        <w:ind w:firstLine="420" w:firstLineChars="200"/>
        <w:rPr>
          <w:rFonts w:ascii="Times New Roman" w:hAnsi="Times New Roman" w:eastAsia="宋体"/>
          <w:color w:val="auto"/>
          <w:sz w:val="21"/>
          <w:highlight w:val="none"/>
        </w:rPr>
      </w:pPr>
      <w:bookmarkStart w:id="74" w:name="_Hlk16697615"/>
      <w:r>
        <w:rPr>
          <w:rFonts w:ascii="Times New Roman" w:hAnsi="Times New Roman" w:eastAsia="宋体"/>
          <w:color w:val="auto"/>
          <w:sz w:val="21"/>
          <w:highlight w:val="none"/>
        </w:rPr>
        <w:t>1、供应商资格声明函（格式附后）；</w:t>
      </w:r>
    </w:p>
    <w:p w14:paraId="5C769EE8">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2、符合《中华人民共和国政府采购法》第二十二条规定的供应商资格条件，提供以下材料及承诺（承诺详见《供应商资格声明函》）：</w:t>
      </w:r>
    </w:p>
    <w:p w14:paraId="29C2D442">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（1）供应商的营业执照副本复印件（如有）、特定资格证明材料复印件（如有）（加盖公章或各自单位公章）；</w:t>
      </w:r>
    </w:p>
    <w:p w14:paraId="6DE2B7E8">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3、中小企业声明函（如有）（格式附后）；</w:t>
      </w:r>
    </w:p>
    <w:p w14:paraId="16214CBD">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4、</w:t>
      </w:r>
      <w:r>
        <w:rPr>
          <w:rFonts w:ascii="Times New Roman" w:hAnsi="Times New Roman" w:eastAsia="宋体"/>
          <w:color w:val="auto"/>
          <w:sz w:val="21"/>
          <w:highlight w:val="none"/>
          <w:lang w:val="zh-CN"/>
        </w:rPr>
        <w:t>残疾人福利性单位声明函</w:t>
      </w:r>
      <w:r>
        <w:rPr>
          <w:rFonts w:ascii="Times New Roman" w:hAnsi="Times New Roman" w:eastAsia="宋体"/>
          <w:color w:val="auto"/>
          <w:sz w:val="21"/>
          <w:highlight w:val="none"/>
        </w:rPr>
        <w:t>（如有）（格式附后）；</w:t>
      </w:r>
    </w:p>
    <w:p w14:paraId="1A40B3F0">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5、采购文件要求的其他资格条件证明材料（如有）。</w:t>
      </w:r>
    </w:p>
    <w:bookmarkEnd w:id="74"/>
    <w:p w14:paraId="462F947E">
      <w:pPr>
        <w:pStyle w:val="39"/>
        <w:adjustRightInd/>
        <w:snapToGrid w:val="0"/>
        <w:ind w:firstLine="422" w:firstLineChars="200"/>
        <w:rPr>
          <w:rFonts w:ascii="Times New Roman" w:hAnsi="Times New Roman" w:eastAsia="宋体"/>
          <w:b/>
          <w:bCs/>
          <w:color w:val="auto"/>
          <w:highlight w:val="none"/>
        </w:rPr>
      </w:pPr>
      <w:r>
        <w:rPr>
          <w:rFonts w:ascii="Times New Roman" w:hAnsi="Times New Roman" w:eastAsia="宋体"/>
          <w:b/>
          <w:bCs/>
          <w:color w:val="auto"/>
          <w:highlight w:val="none"/>
        </w:rPr>
        <w:t>B.报价部分：</w:t>
      </w:r>
    </w:p>
    <w:p w14:paraId="44CD0194">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1、报价函（格式附后）；</w:t>
      </w:r>
    </w:p>
    <w:p w14:paraId="288F7BF3">
      <w:pPr>
        <w:adjustRightInd/>
        <w:snapToGrid w:val="0"/>
        <w:ind w:firstLine="420" w:firstLineChars="200"/>
        <w:rPr>
          <w:rFonts w:ascii="Times New Roman" w:hAnsi="Times New Roman" w:eastAsia="宋体"/>
          <w:color w:val="auto"/>
          <w:sz w:val="21"/>
          <w:highlight w:val="none"/>
        </w:rPr>
      </w:pPr>
      <w:r>
        <w:rPr>
          <w:rFonts w:hint="eastAsia" w:ascii="Times New Roman" w:hAnsi="Times New Roman" w:eastAsia="宋体"/>
          <w:color w:val="auto"/>
          <w:sz w:val="21"/>
          <w:highlight w:val="none"/>
        </w:rPr>
        <w:t>1.1、报价函附录</w:t>
      </w:r>
      <w:r>
        <w:rPr>
          <w:rFonts w:ascii="Times New Roman" w:hAnsi="Times New Roman" w:eastAsia="宋体"/>
          <w:color w:val="auto"/>
          <w:sz w:val="21"/>
          <w:highlight w:val="none"/>
        </w:rPr>
        <w:t>（格式附后）；</w:t>
      </w:r>
    </w:p>
    <w:p w14:paraId="2ADB83E4">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2、首次报价一览表（格式附后）；</w:t>
      </w:r>
    </w:p>
    <w:p w14:paraId="15C273CD">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3、供应商针对报价需要说明的其他文件和说明（格式自拟）。</w:t>
      </w:r>
    </w:p>
    <w:p w14:paraId="1C403BD3">
      <w:pPr>
        <w:pStyle w:val="39"/>
        <w:adjustRightInd/>
        <w:snapToGrid w:val="0"/>
        <w:ind w:firstLine="422" w:firstLineChars="200"/>
        <w:rPr>
          <w:rFonts w:ascii="Times New Roman" w:hAnsi="Times New Roman" w:eastAsia="宋体"/>
          <w:b/>
          <w:bCs/>
          <w:color w:val="auto"/>
          <w:highlight w:val="none"/>
        </w:rPr>
      </w:pPr>
      <w:r>
        <w:rPr>
          <w:rFonts w:ascii="Times New Roman" w:hAnsi="Times New Roman" w:eastAsia="宋体"/>
          <w:b/>
          <w:bCs/>
          <w:color w:val="auto"/>
          <w:highlight w:val="none"/>
        </w:rPr>
        <w:t>C.技术商务部分：</w:t>
      </w:r>
    </w:p>
    <w:p w14:paraId="4B154D29">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1、需求响应（偏离）表（格式附后）；</w:t>
      </w:r>
    </w:p>
    <w:p w14:paraId="06A4D2FD">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2、法定代表人身份证明或法定代表人授权委托书（格式附后）；</w:t>
      </w:r>
    </w:p>
    <w:p w14:paraId="3BE83E2F">
      <w:pPr>
        <w:adjustRightInd/>
        <w:snapToGrid w:val="0"/>
        <w:ind w:firstLine="420" w:firstLineChars="200"/>
        <w:rPr>
          <w:rFonts w:ascii="Times New Roman" w:hAnsi="Times New Roman" w:eastAsia="宋体"/>
          <w:color w:val="auto"/>
          <w:sz w:val="21"/>
          <w:highlight w:val="none"/>
        </w:rPr>
      </w:pPr>
      <w:r>
        <w:rPr>
          <w:rFonts w:hint="eastAsia" w:ascii="Times New Roman" w:hAnsi="Times New Roman" w:eastAsia="宋体"/>
          <w:color w:val="auto"/>
          <w:sz w:val="21"/>
          <w:highlight w:val="none"/>
        </w:rPr>
        <w:t>3、监理人员组成表</w:t>
      </w:r>
      <w:r>
        <w:rPr>
          <w:rFonts w:ascii="Times New Roman" w:hAnsi="Times New Roman" w:eastAsia="宋体"/>
          <w:color w:val="auto"/>
          <w:sz w:val="21"/>
          <w:highlight w:val="none"/>
        </w:rPr>
        <w:t>（格式附后）</w:t>
      </w:r>
      <w:r>
        <w:rPr>
          <w:rFonts w:hint="eastAsia" w:ascii="Times New Roman" w:hAnsi="Times New Roman" w:eastAsia="宋体"/>
          <w:color w:val="auto"/>
          <w:sz w:val="21"/>
          <w:highlight w:val="none"/>
        </w:rPr>
        <w:t>；</w:t>
      </w:r>
    </w:p>
    <w:p w14:paraId="655D3388">
      <w:pPr>
        <w:adjustRightInd/>
        <w:snapToGrid w:val="0"/>
        <w:ind w:firstLine="420" w:firstLineChars="200"/>
        <w:rPr>
          <w:rFonts w:ascii="Times New Roman" w:hAnsi="Times New Roman" w:eastAsia="宋体"/>
          <w:color w:val="auto"/>
          <w:sz w:val="21"/>
          <w:highlight w:val="none"/>
        </w:rPr>
      </w:pPr>
      <w:r>
        <w:rPr>
          <w:rFonts w:hint="eastAsia" w:ascii="Times New Roman" w:hAnsi="Times New Roman" w:eastAsia="宋体"/>
          <w:color w:val="auto"/>
          <w:sz w:val="21"/>
          <w:highlight w:val="none"/>
        </w:rPr>
        <w:t>4、办公及检测设备投入表（格式自拟）；</w:t>
      </w:r>
    </w:p>
    <w:p w14:paraId="6C3EEE0B">
      <w:pPr>
        <w:adjustRightInd/>
        <w:snapToGrid w:val="0"/>
        <w:ind w:firstLine="420" w:firstLineChars="200"/>
        <w:rPr>
          <w:rFonts w:ascii="Times New Roman" w:hAnsi="Times New Roman" w:eastAsia="宋体"/>
          <w:color w:val="auto"/>
          <w:sz w:val="21"/>
          <w:highlight w:val="none"/>
        </w:rPr>
      </w:pPr>
      <w:r>
        <w:rPr>
          <w:rFonts w:hint="eastAsia" w:ascii="Times New Roman" w:hAnsi="Times New Roman" w:eastAsia="宋体"/>
          <w:color w:val="auto"/>
          <w:sz w:val="21"/>
          <w:highlight w:val="none"/>
        </w:rPr>
        <w:t>5</w:t>
      </w:r>
      <w:r>
        <w:rPr>
          <w:rFonts w:ascii="Times New Roman" w:hAnsi="Times New Roman" w:eastAsia="宋体"/>
          <w:color w:val="auto"/>
          <w:sz w:val="21"/>
          <w:highlight w:val="none"/>
        </w:rPr>
        <w:t>、评分标准（按顺序）或采购文件需要提供的其他技术商务材料（格式自拟）；</w:t>
      </w:r>
    </w:p>
    <w:p w14:paraId="202C4A9C">
      <w:pPr>
        <w:adjustRightInd/>
        <w:snapToGrid w:val="0"/>
        <w:ind w:firstLine="420" w:firstLineChars="200"/>
        <w:rPr>
          <w:rFonts w:ascii="Times New Roman" w:hAnsi="Times New Roman" w:eastAsia="宋体"/>
          <w:color w:val="auto"/>
          <w:sz w:val="21"/>
          <w:highlight w:val="none"/>
        </w:rPr>
      </w:pPr>
      <w:r>
        <w:rPr>
          <w:rFonts w:hint="eastAsia" w:ascii="Times New Roman" w:hAnsi="Times New Roman" w:eastAsia="宋体"/>
          <w:color w:val="auto"/>
          <w:sz w:val="21"/>
          <w:highlight w:val="none"/>
        </w:rPr>
        <w:t>6</w:t>
      </w:r>
      <w:r>
        <w:rPr>
          <w:rFonts w:ascii="Times New Roman" w:hAnsi="Times New Roman" w:eastAsia="宋体"/>
          <w:color w:val="auto"/>
          <w:sz w:val="21"/>
          <w:highlight w:val="none"/>
        </w:rPr>
        <w:t>、评分标准要求提供的其他技术资料及说明。</w:t>
      </w:r>
    </w:p>
    <w:p w14:paraId="0950AB40">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（二）响应文件的语言及计量</w:t>
      </w:r>
    </w:p>
    <w:p w14:paraId="316F1233">
      <w:pPr>
        <w:adjustRightInd/>
        <w:snapToGrid w:val="0"/>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★1.响应文件以及供应商与采购单位就有关磋商事宜的所有来往函电，均应以中文汉语书写。除签名、盖章、专用名称等特殊情形外，以中文汉语以外的文字表述的响应文件视同未提供。</w:t>
      </w:r>
    </w:p>
    <w:p w14:paraId="3D2A2D7B">
      <w:pPr>
        <w:adjustRightInd/>
        <w:snapToGrid w:val="0"/>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★2.报价计量单位：采购文件已有明确规定的，使用采购文件规定的计量单位；采购文件没有规定的，应采用中华人民共和国法定计量单位（货币单位：人民币元），否则视同未响应。</w:t>
      </w:r>
    </w:p>
    <w:p w14:paraId="1787D594">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（三）报价要求</w:t>
      </w:r>
    </w:p>
    <w:p w14:paraId="1E2D83BF">
      <w:pPr>
        <w:pStyle w:val="21"/>
        <w:tabs>
          <w:tab w:val="left" w:pos="720"/>
        </w:tabs>
        <w:adjustRightInd/>
        <w:snapToGrid w:val="0"/>
        <w:ind w:left="0"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1.报价应按采购文件中相关附表格式填写。</w:t>
      </w:r>
    </w:p>
    <w:p w14:paraId="4A27AF3B">
      <w:pPr>
        <w:pStyle w:val="21"/>
        <w:tabs>
          <w:tab w:val="left" w:pos="720"/>
        </w:tabs>
        <w:adjustRightInd/>
        <w:snapToGrid w:val="0"/>
        <w:ind w:left="0"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★2.响应文件只允许有一个总报价，有选择的或有条件的报价将不予接受。</w:t>
      </w:r>
    </w:p>
    <w:p w14:paraId="2264A8CC">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（四）响应文件的有效期</w:t>
      </w:r>
    </w:p>
    <w:p w14:paraId="080F0D3A">
      <w:pPr>
        <w:pStyle w:val="21"/>
        <w:tabs>
          <w:tab w:val="left" w:pos="720"/>
        </w:tabs>
        <w:adjustRightInd/>
        <w:snapToGrid w:val="0"/>
        <w:ind w:left="0"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★1.自递交首次响应文件截止日起</w:t>
      </w:r>
      <w:r>
        <w:rPr>
          <w:rFonts w:ascii="Times New Roman" w:hAnsi="Times New Roman" w:eastAsia="宋体"/>
          <w:color w:val="auto"/>
          <w:sz w:val="21"/>
          <w:highlight w:val="none"/>
          <w:u w:val="single"/>
        </w:rPr>
        <w:t xml:space="preserve"> 60 </w:t>
      </w:r>
      <w:r>
        <w:rPr>
          <w:rFonts w:ascii="Times New Roman" w:hAnsi="Times New Roman" w:eastAsia="宋体"/>
          <w:color w:val="auto"/>
          <w:sz w:val="21"/>
          <w:highlight w:val="none"/>
        </w:rPr>
        <w:t>天响应文件应保持有效。有效期不足的响应文件将被拒绝。</w:t>
      </w:r>
    </w:p>
    <w:p w14:paraId="74F83FFE">
      <w:pPr>
        <w:pStyle w:val="21"/>
        <w:tabs>
          <w:tab w:val="left" w:pos="720"/>
        </w:tabs>
        <w:adjustRightInd/>
        <w:snapToGrid w:val="0"/>
        <w:ind w:left="0"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2.在特殊情况下，采购人可与供应商协商延长响应文件的有效期，这种要求和答复均以书面形式进行。</w:t>
      </w:r>
    </w:p>
    <w:p w14:paraId="557F772D">
      <w:pPr>
        <w:pStyle w:val="21"/>
        <w:tabs>
          <w:tab w:val="left" w:pos="720"/>
        </w:tabs>
        <w:adjustRightInd/>
        <w:snapToGrid w:val="0"/>
        <w:ind w:left="0"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3.成交供应商的响应文件自开启之日起至合同履行完毕止均应保持有效。</w:t>
      </w:r>
    </w:p>
    <w:p w14:paraId="3A8D6A81">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（五）响应文件的签署和份数</w:t>
      </w:r>
    </w:p>
    <w:p w14:paraId="7D46E256">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1.供应商应按本采购文件规定的格式和顺序编制、装订响应文件并标注页码，响应文件内容不完整、编排混乱导致响应文件被误读、漏读或者查找不到相关内容的，是供应商的责任。</w:t>
      </w:r>
    </w:p>
    <w:p w14:paraId="3C0A76ED">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2、响应文件的份数：</w:t>
      </w:r>
    </w:p>
    <w:p w14:paraId="1A453DE9">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本项目实行网上响应，供应商应准备以下响应文件：</w:t>
      </w:r>
    </w:p>
    <w:p w14:paraId="2A7A7CAB">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上传到政府采购云平台的电子响应文件（含资格审查部分、技术商务部分、报价部分）1份。</w:t>
      </w:r>
    </w:p>
    <w:p w14:paraId="22990EDA">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3、电子响应文件：</w:t>
      </w:r>
    </w:p>
    <w:p w14:paraId="5BDDB88F">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供应商应根据政府采购云平台的要求及本采购文件规定的格式和顺序编制电子响应文件并进行关联定位。</w:t>
      </w:r>
    </w:p>
    <w:p w14:paraId="11DF913F">
      <w:pPr>
        <w:pStyle w:val="39"/>
        <w:adjustRightInd/>
        <w:snapToGrid w:val="0"/>
        <w:ind w:firstLine="422" w:firstLineChars="200"/>
        <w:rPr>
          <w:rFonts w:ascii="Times New Roman" w:hAnsi="Times New Roman" w:eastAsia="宋体"/>
          <w:b/>
          <w:bCs/>
          <w:color w:val="auto"/>
          <w:highlight w:val="none"/>
        </w:rPr>
      </w:pPr>
      <w:r>
        <w:rPr>
          <w:rFonts w:ascii="Times New Roman" w:hAnsi="Times New Roman" w:eastAsia="宋体"/>
          <w:b/>
          <w:bCs/>
          <w:color w:val="auto"/>
          <w:highlight w:val="none"/>
        </w:rPr>
        <w:t>（六）响应文件的递交、修改和撤回</w:t>
      </w:r>
    </w:p>
    <w:p w14:paraId="59A689B1">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供应商应当在响应截止时间前完成电子响应文件的传输递交，并可以补充、修改或者撤回电子响应文件。补充或者修改电子响应文件的，应当先行撤回原文件，补充、修改后重新传输递交。响应截止时间前未完成传输的，视为撤回响应文件。响应截止时间后传输递交的响应文件，将被拒收。</w:t>
      </w:r>
    </w:p>
    <w:p w14:paraId="14E067B2">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四、磋商程序</w:t>
      </w:r>
    </w:p>
    <w:p w14:paraId="0E1C0B1B">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（一）磋商准备</w:t>
      </w:r>
    </w:p>
    <w:p w14:paraId="39FDA5B2">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采购代理机构将在规定的时间和地点进行磋商，供应商的法定代表人或授权代表应参加磋商并签到。供应商的法定代表人或授权代表未按时签到的，视同放弃磋商权利、认可磋商结果。</w:t>
      </w:r>
    </w:p>
    <w:p w14:paraId="664B2D41">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（二）磋商程序：</w:t>
      </w:r>
    </w:p>
    <w:p w14:paraId="55AFC0DA">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1、电子招投标采购活动程序：</w:t>
      </w:r>
    </w:p>
    <w:p w14:paraId="03479729">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第一阶段：</w:t>
      </w:r>
    </w:p>
    <w:p w14:paraId="0342CBD0">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（1）供应商在提交响应文件截止时间之前完成电子响应文件的传输递交。</w:t>
      </w:r>
    </w:p>
    <w:p w14:paraId="7CD0467D">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（2）响应截止时间后，供应商登录政府采购云平台，用“项目采购-开标评标”功能对电子响应文件进行在线解密，在线解密电子响应文件时间以政采云平台设置为准。</w:t>
      </w:r>
    </w:p>
    <w:p w14:paraId="116D0EFA">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（3）在政府采购云平台开启已解密供应商的“响应文件”，并做首次报价记录。</w:t>
      </w:r>
    </w:p>
    <w:p w14:paraId="6440CC46">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第二阶段：</w:t>
      </w:r>
    </w:p>
    <w:p w14:paraId="5D92E11D">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（1）资格审查：采购人或者采购代理机构对供应商的资格进行审查，不符合资格审查的供应商将被拒绝。</w:t>
      </w:r>
    </w:p>
    <w:p w14:paraId="41DA63BD">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（2）符合性审查：磋商小组应当对符合资格的供应商的响应文件进行符合性审查，以确定其是否满足采购文件的实质性要求。</w:t>
      </w:r>
    </w:p>
    <w:p w14:paraId="695C7312">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（3）磋商小组依照顺序与进入磋商的单一供应商分别进行磋商。</w:t>
      </w:r>
    </w:p>
    <w:p w14:paraId="75C7F3E2">
      <w:pPr>
        <w:pStyle w:val="39"/>
        <w:adjustRightInd/>
        <w:snapToGrid w:val="0"/>
        <w:ind w:firstLine="422" w:firstLineChars="200"/>
        <w:rPr>
          <w:rFonts w:ascii="Times New Roman" w:hAnsi="Times New Roman" w:eastAsia="宋体"/>
          <w:bCs/>
          <w:color w:val="auto"/>
          <w:highlight w:val="none"/>
        </w:rPr>
      </w:pPr>
      <w:r>
        <w:rPr>
          <w:rFonts w:ascii="Times New Roman" w:hAnsi="Times New Roman" w:eastAsia="宋体"/>
          <w:b/>
          <w:color w:val="auto"/>
          <w:highlight w:val="none"/>
        </w:rPr>
        <w:t>在磋商过程中，磋商小组可以根据采购文件和磋商情况实质性变动采购需求中的技术、服务要求（即本采购文件第四章 项目需求）以及合同草案条款（即本采购文件第三章 合同条款及格式）；对采购文件作出的实质性变动是采购文件的有效组成部分，磋商小组以书面形式同时通知所有参加磋商的供应商。供应商按照采购文件的变动情况和磋商小组的要求在规定时间内重新提交响应文件（或补充文件），并由其法定代表人或授权代表签字或加盖公章。重新提交的响应文件（或补充文件）具有相应的法律效力；磋商结束后，磋商小组要求所有实质性响应的供应商在规定时间内提交最后报价。最后报价是供应商响应文件的有效组成部分。</w:t>
      </w:r>
    </w:p>
    <w:p w14:paraId="1837E877">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（4）经磋商确定最终采购需求和提交最后报价的供应商后，由磋商小组采用综合评分法对提交最后报价的供应商的响应文件和最后报价进行综合评分（评分标准详见第五章 评审标准）。</w:t>
      </w:r>
    </w:p>
    <w:p w14:paraId="3431C00D">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5）磋商小组根据综合评分情况，按照评审得分（技术商务分+价格分）由高到低顺序推荐3名成交候选供应商，并编写评审报告。评审得分相同的，按照最后报价由低到高的顺序推荐。评审得分且最后报价相同的，按照技术指标优劣顺序推荐。</w:t>
      </w:r>
    </w:p>
    <w:p w14:paraId="51D0E401">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（6）在政府采购云平台公布评审结果。</w:t>
      </w:r>
    </w:p>
    <w:p w14:paraId="727689D2">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（7）磋商会议结束。</w:t>
      </w:r>
    </w:p>
    <w:p w14:paraId="7AE7C867">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（8）采购人从评审报告提出的成交候选供应商中，按照排序由高到低的原则确定成交供应商。采购代理机构在浙江省政府采购网、宁波市政府采购网和</w:t>
      </w:r>
      <w:r>
        <w:rPr>
          <w:rFonts w:hint="eastAsia" w:ascii="Times New Roman" w:hAnsi="Times New Roman" w:eastAsia="宋体"/>
          <w:bCs/>
          <w:color w:val="auto"/>
          <w:highlight w:val="none"/>
        </w:rPr>
        <w:t>科信联合工程咨询有限公司</w:t>
      </w:r>
      <w:r>
        <w:rPr>
          <w:rFonts w:ascii="Times New Roman" w:hAnsi="Times New Roman" w:eastAsia="宋体"/>
          <w:bCs/>
          <w:color w:val="auto"/>
          <w:highlight w:val="none"/>
        </w:rPr>
        <w:t>网站上公布成交结果。</w:t>
      </w:r>
    </w:p>
    <w:p w14:paraId="1383881B">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2、特别说明：政府采购云平台如对电子化开启及评审程序有调整的，按调整后的程序操作。</w:t>
      </w:r>
    </w:p>
    <w:p w14:paraId="5FC8909D">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本项目原则上采用政采云电子招投标开启程序，但有下情形之一的，按以下情况处理：</w:t>
      </w:r>
    </w:p>
    <w:p w14:paraId="221D1167">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（1）采购过程中出现以下情形，导致电子交易平台无法正常运行，或者无法保证电子交易的公平、公正和安全时，采购人（或代理机构）可中止电子交易活动：</w:t>
      </w:r>
    </w:p>
    <w:p w14:paraId="29F67264">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1.1电子交易平台发生故障而无法登录访问的；</w:t>
      </w:r>
    </w:p>
    <w:p w14:paraId="63BF0620">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1.2电子交易平台应用或数据库出现错误，不能进行正常操作的；</w:t>
      </w:r>
    </w:p>
    <w:p w14:paraId="76179457">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1.3电子交易平台发现严重安全漏洞，有潜在泄密危险的；</w:t>
      </w:r>
    </w:p>
    <w:p w14:paraId="499E50B4">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1.4病毒发作导致不能进行正常操作的；</w:t>
      </w:r>
    </w:p>
    <w:p w14:paraId="66A5CA00">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1.5其他无法保证电子交易的公平、公正和安全的情况。</w:t>
      </w:r>
    </w:p>
    <w:p w14:paraId="7582015E">
      <w:pPr>
        <w:pStyle w:val="39"/>
        <w:adjustRightInd/>
        <w:snapToGrid w:val="0"/>
        <w:ind w:firstLine="422" w:firstLineChars="200"/>
        <w:rPr>
          <w:rFonts w:ascii="Times New Roman" w:hAnsi="Times New Roman" w:eastAsia="宋体"/>
          <w:bCs/>
          <w:color w:val="auto"/>
          <w:highlight w:val="none"/>
        </w:rPr>
      </w:pPr>
      <w:r>
        <w:rPr>
          <w:rFonts w:ascii="Times New Roman" w:hAnsi="Times New Roman" w:eastAsia="宋体"/>
          <w:b/>
          <w:color w:val="auto"/>
          <w:highlight w:val="none"/>
        </w:rPr>
        <w:t>出现前款规定情形，不影响采购公平、公正性的，采购人（或代理机构）可以待上述情形消除后继续组织电子交易活动。</w:t>
      </w:r>
    </w:p>
    <w:p w14:paraId="4FD7C8EE">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五、评审</w:t>
      </w:r>
    </w:p>
    <w:p w14:paraId="7785AFF0">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（一）组建磋商小组</w:t>
      </w:r>
    </w:p>
    <w:p w14:paraId="06529C29">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磋商小组根据国家相关规定和有关的法规组建磋商小组。</w:t>
      </w:r>
    </w:p>
    <w:p w14:paraId="2F54BE80">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（二）评审的方式</w:t>
      </w:r>
    </w:p>
    <w:p w14:paraId="03AE60BD">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本项目采用不公开方式评审，评审的依据为采购文件和响应文件。</w:t>
      </w:r>
    </w:p>
    <w:p w14:paraId="7FB4E4BA">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（三）</w:t>
      </w:r>
      <w:r>
        <w:rPr>
          <w:rFonts w:ascii="Times New Roman" w:hAnsi="Times New Roman" w:eastAsia="宋体"/>
          <w:b/>
          <w:bCs/>
          <w:color w:val="auto"/>
          <w:highlight w:val="none"/>
        </w:rPr>
        <w:t>评审程序</w:t>
      </w:r>
    </w:p>
    <w:p w14:paraId="620E59CE">
      <w:pPr>
        <w:adjustRightInd/>
        <w:snapToGrid w:val="0"/>
        <w:ind w:firstLine="422" w:firstLineChars="200"/>
        <w:rPr>
          <w:rFonts w:ascii="Times New Roman" w:hAnsi="Times New Roman" w:eastAsia="宋体"/>
          <w:b/>
          <w:bCs/>
          <w:color w:val="auto"/>
          <w:sz w:val="21"/>
          <w:highlight w:val="none"/>
        </w:rPr>
      </w:pPr>
      <w:r>
        <w:rPr>
          <w:rFonts w:ascii="Times New Roman" w:hAnsi="Times New Roman" w:eastAsia="宋体"/>
          <w:b/>
          <w:bCs/>
          <w:color w:val="auto"/>
          <w:sz w:val="21"/>
          <w:highlight w:val="none"/>
        </w:rPr>
        <w:t>1.形式审查</w:t>
      </w:r>
    </w:p>
    <w:p w14:paraId="78425D59">
      <w:pPr>
        <w:adjustRightInd/>
        <w:snapToGrid w:val="0"/>
        <w:ind w:firstLine="420" w:firstLineChars="200"/>
        <w:rPr>
          <w:rFonts w:ascii="Times New Roman" w:hAnsi="Times New Roman" w:eastAsia="宋体"/>
          <w:b/>
          <w:color w:val="auto"/>
          <w:sz w:val="21"/>
          <w:highlight w:val="none"/>
        </w:rPr>
      </w:pPr>
      <w:r>
        <w:rPr>
          <w:rFonts w:ascii="Times New Roman" w:hAnsi="Times New Roman" w:eastAsia="宋体"/>
          <w:color w:val="auto"/>
          <w:sz w:val="21"/>
          <w:highlight w:val="none"/>
        </w:rPr>
        <w:t>采购人代表和代理机构工作人员对供应商的资格和响应文件的完整性、合法性等进行审查。</w:t>
      </w:r>
    </w:p>
    <w:p w14:paraId="4E2511C7">
      <w:pPr>
        <w:adjustRightInd/>
        <w:snapToGrid w:val="0"/>
        <w:ind w:firstLine="422" w:firstLineChars="200"/>
        <w:rPr>
          <w:rFonts w:ascii="Times New Roman" w:hAnsi="Times New Roman" w:eastAsia="宋体"/>
          <w:b/>
          <w:bCs/>
          <w:color w:val="auto"/>
          <w:sz w:val="21"/>
          <w:highlight w:val="none"/>
        </w:rPr>
      </w:pPr>
      <w:r>
        <w:rPr>
          <w:rFonts w:ascii="Times New Roman" w:hAnsi="Times New Roman" w:eastAsia="宋体"/>
          <w:b/>
          <w:bCs/>
          <w:color w:val="auto"/>
          <w:sz w:val="21"/>
          <w:highlight w:val="none"/>
        </w:rPr>
        <w:t>2.实质审查与比较</w:t>
      </w:r>
    </w:p>
    <w:p w14:paraId="76D3F959">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（1）磋商小组审查响应文件的实质性内容是否符合采购文件的实质性要求。</w:t>
      </w:r>
    </w:p>
    <w:p w14:paraId="0A1E790C">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（2）磋商小组将根据供应商的响应文件进行审查、核对，如有疑问，将对供应商进行询问，供应商要向磋商小组澄清有关问题，并最终以书面形式进行答复。</w:t>
      </w:r>
    </w:p>
    <w:p w14:paraId="659511DF">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供应商代表未到场或者拒绝澄清或者澄清的内容改变了响应文件的实质性内容的，磋商小组有权对该响应文件做出不利于供应商的评判。</w:t>
      </w:r>
    </w:p>
    <w:p w14:paraId="0E869A67">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（3）各供应商的技术商务得分为所有磋商小组成员的有效评分的算术平均数，由指定专人进行计算复核。</w:t>
      </w:r>
    </w:p>
    <w:p w14:paraId="674C8BB1">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（4）代理机构工作人员协助磋商小组根据本项目的评分标准计算各供应商的报价得分。</w:t>
      </w:r>
    </w:p>
    <w:p w14:paraId="7E01CA93">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5）磋商小组完成评审后，评审成员对各部分得分汇总，计算出本项目最终得分，对明显畸高、畸低的评分（评审小组成员个人主观打分偏离所有评审小组成员主观打分平均值30%以上的），磋商小组组长提醒相关评审人员进行复核或书面说明理由。磋商小组按评审原则推荐成交候选供应商同时起草评审报告。</w:t>
      </w:r>
    </w:p>
    <w:p w14:paraId="0CA833B2">
      <w:pPr>
        <w:adjustRightInd/>
        <w:snapToGrid w:val="0"/>
        <w:ind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3.响应无效的情形</w:t>
      </w:r>
    </w:p>
    <w:p w14:paraId="710180D7">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实质上没有响应采购文件要求的响应文件将被视为无效响应，供应商不得通过修正或撤消不合要求的偏离或保留从而使其响应成为实质上响应的文件。但磋商小组可以要求供应商在限期内对响应文件中含义不明确、同类问题表述不一致或者有明显文字和计算错误的内容等做出必要的澄清、说明或者更正。供应商的澄清、说明或更正不得超出响应文件的范围或者改变响应文件的实质性内容。供应商的澄清、说明或更正应当由法定代表人或授权代表签字或者加盖公章。限期内不补正或经补正后仍不符合采购文件要求的，应认定其响应无效。供应商澄清、说明或更正后，不影响磋商小组对其响应文件所作的评价和评分结果。</w:t>
      </w:r>
    </w:p>
    <w:p w14:paraId="6F7EECF0">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1）在资格审查中，如发现下列情形之一的，响应文件将被视为无效：</w:t>
      </w:r>
    </w:p>
    <w:p w14:paraId="60C8E221">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（1）资格证明文件不全的，或者不符合采购文件标明的资格要求的；</w:t>
      </w:r>
    </w:p>
    <w:p w14:paraId="6B0915AB">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（2）供应商资格声明函无法定代表人或授权代表签名；</w:t>
      </w:r>
    </w:p>
    <w:p w14:paraId="66C0EEE2">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2）在符合性审查（技术商务部分）时，如发现下列情形之一的，响应文件将被视为无效：</w:t>
      </w:r>
    </w:p>
    <w:p w14:paraId="3C439990">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（1）未提交报价函或报价函内容不符合采购文件要求；</w:t>
      </w:r>
    </w:p>
    <w:p w14:paraId="3C3992C5">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（2）未按照采购文件规定要求签署或盖章；</w:t>
      </w:r>
    </w:p>
    <w:p w14:paraId="270A094F">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（3）响应文件无法定代表人签署本人姓名（或印盖本人姓名章），或签署人未提供有效的法定代表人授权委托书或授权委托书填写项目不齐全的；</w:t>
      </w:r>
    </w:p>
    <w:p w14:paraId="48564D94">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（4）响应文件项目不齐全；</w:t>
      </w:r>
    </w:p>
    <w:p w14:paraId="59EA0A3B">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（5）响应文件标明的响应或偏离与事实不符或虚假响应的；</w:t>
      </w:r>
    </w:p>
    <w:p w14:paraId="5A9D6439">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（6）响应文件的实质性内容未使用中文表述、意思表述不明确、前后矛盾或者使用计量单位不符合采购文件要求的（经磋商小组认定并允许其当场更正的笔误除外）；</w:t>
      </w:r>
    </w:p>
    <w:p w14:paraId="5A602326">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（7）带“★”的条款不能满足采购文件要求、未实质性响应采购文件要求或者响应文件有采购人不能接受的附加条件的；</w:t>
      </w:r>
    </w:p>
    <w:p w14:paraId="61C34690">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（8）允许偏离的技术、性能指标或者辅助功能项目发生负偏离达5项（不含）以上的；</w:t>
      </w:r>
    </w:p>
    <w:p w14:paraId="1F369901">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（9）技术方案不明确，存在一个或一个以上备选（替代）方案的；</w:t>
      </w:r>
    </w:p>
    <w:p w14:paraId="7FE636C9">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（10）法律、法规和采购文件规定的其他无效情形；</w:t>
      </w:r>
    </w:p>
    <w:p w14:paraId="3695552C">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（11）响应文件的有效期不满足采购文件要求；</w:t>
      </w:r>
    </w:p>
    <w:p w14:paraId="3452D1A0">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（12）响应文件（技术商务部分）存在采购文件所规定的其它无效投响应条款要求。</w:t>
      </w:r>
    </w:p>
    <w:p w14:paraId="17E9F60C">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3）在符合性审查（报价部分）时，如发现下列情形之一的，响应文件将被视为无效：</w:t>
      </w:r>
    </w:p>
    <w:p w14:paraId="4D143B43">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（1）未按照采购文件规定要求签署或盖章；</w:t>
      </w:r>
    </w:p>
    <w:p w14:paraId="2A0CA2A7">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（2）响应文件项目不齐全；</w:t>
      </w:r>
    </w:p>
    <w:p w14:paraId="257A53BE">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（3）未采用人民币报价或者未按照采购文件标明的币种报价的；</w:t>
      </w:r>
    </w:p>
    <w:p w14:paraId="6085C815">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（4）报价超出最高限价，或者超出采购预算金额，采购人不能支付的；</w:t>
      </w:r>
    </w:p>
    <w:p w14:paraId="71D8BF88">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（5）报价具有选择性的；</w:t>
      </w:r>
    </w:p>
    <w:p w14:paraId="08EC8BD0">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（6）报价中出现重大缺项、漏项；</w:t>
      </w:r>
    </w:p>
    <w:p w14:paraId="3DD88730">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（7）磋商小组认为供应商的报价明显低于其他通过符合性审查供应商的报价，有可能影响产品质量或者不能诚信履约的，且不能在评审现场合理时间内提供相关证明材料说明其报价的合理性的；</w:t>
      </w:r>
    </w:p>
    <w:p w14:paraId="759AF3C3">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（8）响应文件（报价部分）内容与响应文件（技术商务部分）内容有重大差异的；</w:t>
      </w:r>
    </w:p>
    <w:p w14:paraId="49709F59">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（9）法律、法规和采购文件规定的其他无效情形；</w:t>
      </w:r>
    </w:p>
    <w:p w14:paraId="635F9F62">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（10）响应文件（报价部分）存在采购文件所规定的其它无效响应条款要求。</w:t>
      </w:r>
    </w:p>
    <w:p w14:paraId="3FD7AD90">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4）不同供应商的响应文件出自同一终端设备或在相同Internet主机分配地址（相同IP地址）网上报名响应的。</w:t>
      </w:r>
    </w:p>
    <w:p w14:paraId="2115A679">
      <w:pPr>
        <w:adjustRightInd/>
        <w:ind w:firstLine="422" w:firstLineChars="200"/>
        <w:contextualSpacing/>
        <w:rPr>
          <w:rFonts w:ascii="Times New Roman" w:hAnsi="Times New Roman" w:eastAsia="宋体"/>
          <w:b/>
          <w:color w:val="auto"/>
          <w:sz w:val="21"/>
          <w:highlight w:val="none"/>
        </w:rPr>
      </w:pPr>
      <w:r>
        <w:rPr>
          <w:rFonts w:ascii="Times New Roman" w:hAnsi="Times New Roman" w:eastAsia="宋体"/>
          <w:b/>
          <w:color w:val="auto"/>
          <w:sz w:val="21"/>
          <w:highlight w:val="none"/>
        </w:rPr>
        <w:t>（四）澄清问题的形式</w:t>
      </w:r>
    </w:p>
    <w:p w14:paraId="1D4BFAFE">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对响应文件中含义不明确、同类问题表述不一致或者有明显文字和计算错误的内容，磋商小组以书面形式要求供应商作出必要的澄清、说明或者补正。供应商的澄清、说明或者更正不得超出响应文件的范围或者改变响应文件的实质性内容。供应商的澄清、说明或者更正应当由法定代表人或授权代表签字或者加盖公章。</w:t>
      </w:r>
    </w:p>
    <w:p w14:paraId="2355B901">
      <w:pPr>
        <w:adjustRightInd/>
        <w:ind w:firstLine="422" w:firstLineChars="200"/>
        <w:contextualSpacing/>
        <w:rPr>
          <w:rFonts w:ascii="Times New Roman" w:hAnsi="Times New Roman" w:eastAsia="宋体"/>
          <w:b/>
          <w:color w:val="auto"/>
          <w:sz w:val="21"/>
          <w:highlight w:val="none"/>
        </w:rPr>
      </w:pPr>
      <w:r>
        <w:rPr>
          <w:rFonts w:ascii="Times New Roman" w:hAnsi="Times New Roman" w:eastAsia="宋体"/>
          <w:b/>
          <w:color w:val="auto"/>
          <w:sz w:val="21"/>
          <w:highlight w:val="none"/>
        </w:rPr>
        <w:t>（五）错误修正</w:t>
      </w:r>
    </w:p>
    <w:p w14:paraId="5FE599B2">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响应文件报价出现前后不一致的，除采购文件另有规定外，按照下列规定修正：</w:t>
      </w:r>
    </w:p>
    <w:p w14:paraId="653B58C3">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1.响应文件中报价一览表（报价表）内容与响应文件中相应内容不一致的，以报价一览表（报价表）为准；</w:t>
      </w:r>
    </w:p>
    <w:p w14:paraId="7E3A4554">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2.大写金额和小写金额不一致的，以大写金额为准；</w:t>
      </w:r>
    </w:p>
    <w:p w14:paraId="687E7708">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3.单价金额小数点或者百分比有明显错位的，以报价一览表的总价为准，并修改单价；</w:t>
      </w:r>
    </w:p>
    <w:p w14:paraId="5F42E213">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4.总价金额与按单价汇总金额不一致的，以单价金额计算结果为准。</w:t>
      </w:r>
    </w:p>
    <w:p w14:paraId="73C84C41">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同时出现两种以上不一致的，按照前款规定的顺序修正。修正后的报价经供应商确认后产生约束力，供应商不确认的，其响应无效。供应商在政采云系统中就本项目填写的报价与以pdf格式上传文件中的报价不一致的，应以pdf格式上传文件中的报价为准。</w:t>
      </w:r>
    </w:p>
    <w:p w14:paraId="78DC06D6">
      <w:pPr>
        <w:pStyle w:val="39"/>
        <w:tabs>
          <w:tab w:val="left" w:pos="630"/>
        </w:tabs>
        <w:adjustRightInd/>
        <w:ind w:firstLine="422" w:firstLineChars="200"/>
        <w:contextualSpacing/>
        <w:rPr>
          <w:rFonts w:ascii="Times New Roman" w:hAnsi="Times New Roman" w:eastAsia="宋体"/>
          <w:b/>
          <w:color w:val="auto"/>
          <w:highlight w:val="none"/>
        </w:rPr>
      </w:pPr>
      <w:r>
        <w:rPr>
          <w:rFonts w:ascii="Times New Roman" w:hAnsi="Times New Roman" w:eastAsia="宋体"/>
          <w:b/>
          <w:color w:val="auto"/>
          <w:highlight w:val="none"/>
        </w:rPr>
        <w:t>（六）评审原则和评审办法</w:t>
      </w:r>
    </w:p>
    <w:p w14:paraId="27DB1AC0">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54EED4F0">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2.评审办法。本项目评审办法是</w:t>
      </w:r>
      <w:r>
        <w:rPr>
          <w:rFonts w:ascii="Times New Roman" w:hAnsi="Times New Roman" w:eastAsia="宋体"/>
          <w:color w:val="auto"/>
          <w:sz w:val="21"/>
          <w:highlight w:val="none"/>
          <w:u w:val="single"/>
        </w:rPr>
        <w:t xml:space="preserve"> 综合评分法 </w:t>
      </w:r>
      <w:r>
        <w:rPr>
          <w:rFonts w:ascii="Times New Roman" w:hAnsi="Times New Roman" w:eastAsia="宋体"/>
          <w:color w:val="auto"/>
          <w:sz w:val="21"/>
          <w:highlight w:val="none"/>
        </w:rPr>
        <w:t>，具体评审内容及评分标准等详见《第五章：评审标准》。</w:t>
      </w:r>
    </w:p>
    <w:p w14:paraId="4CEDE399">
      <w:pPr>
        <w:pStyle w:val="39"/>
        <w:tabs>
          <w:tab w:val="left" w:pos="630"/>
        </w:tabs>
        <w:adjustRightInd/>
        <w:ind w:firstLine="420" w:firstLineChars="200"/>
        <w:contextualSpacing/>
        <w:rPr>
          <w:rFonts w:ascii="Times New Roman" w:hAnsi="Times New Roman" w:eastAsia="宋体"/>
          <w:bCs/>
          <w:color w:val="auto"/>
          <w:highlight w:val="none"/>
        </w:rPr>
      </w:pPr>
      <w:r>
        <w:rPr>
          <w:rFonts w:ascii="Times New Roman" w:hAnsi="Times New Roman" w:eastAsia="宋体"/>
          <w:bCs/>
          <w:color w:val="auto"/>
          <w:highlight w:val="none"/>
        </w:rPr>
        <w:t>（七）磋商小组判断响应文件的有效性、合格性和响应情况，仅依据供应商所提交一切文件的真实表述，不受与本项目无直接关联的外部信息、传言而影响自身的专业判断。</w:t>
      </w:r>
    </w:p>
    <w:p w14:paraId="16FF510E">
      <w:pPr>
        <w:pStyle w:val="39"/>
        <w:tabs>
          <w:tab w:val="left" w:pos="630"/>
        </w:tabs>
        <w:adjustRightInd/>
        <w:ind w:firstLine="420" w:firstLineChars="200"/>
        <w:contextualSpacing/>
        <w:rPr>
          <w:rFonts w:ascii="Times New Roman" w:hAnsi="Times New Roman" w:eastAsia="宋体"/>
          <w:bCs/>
          <w:color w:val="auto"/>
          <w:highlight w:val="none"/>
        </w:rPr>
      </w:pPr>
      <w:r>
        <w:rPr>
          <w:rFonts w:ascii="Times New Roman" w:hAnsi="Times New Roman" w:eastAsia="宋体"/>
          <w:bCs/>
          <w:color w:val="auto"/>
          <w:highlight w:val="none"/>
        </w:rPr>
        <w:t>（八）磋商小组成员依法独立评审，并对评审意见承担个人责任。磋商小组成员对需要共同认定的事项存在争议的，按照少数服从多数的原则做出结论。持不同意见的评委应当在评审报告上签署不同意见并说明理由，否则视为同意。</w:t>
      </w:r>
    </w:p>
    <w:p w14:paraId="4BC9E99D">
      <w:pPr>
        <w:pStyle w:val="39"/>
        <w:tabs>
          <w:tab w:val="left" w:pos="630"/>
        </w:tabs>
        <w:adjustRightInd/>
        <w:ind w:firstLine="422" w:firstLineChars="200"/>
        <w:contextualSpacing/>
        <w:rPr>
          <w:rFonts w:ascii="Times New Roman" w:hAnsi="Times New Roman" w:eastAsia="宋体"/>
          <w:b/>
          <w:color w:val="auto"/>
          <w:highlight w:val="none"/>
        </w:rPr>
      </w:pPr>
      <w:r>
        <w:rPr>
          <w:rFonts w:ascii="Times New Roman" w:hAnsi="Times New Roman" w:eastAsia="宋体"/>
          <w:b/>
          <w:color w:val="auto"/>
          <w:highlight w:val="none"/>
        </w:rPr>
        <w:t>（九）评审过程的监控</w:t>
      </w:r>
    </w:p>
    <w:p w14:paraId="6512CF46">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1.本项目评审过程实行全程录音、录像监控，供应商在评审过程中所进行的试图影响评审结果的不公正活动，可能导致其响应被拒绝。</w:t>
      </w:r>
    </w:p>
    <w:p w14:paraId="2E912AFC">
      <w:pPr>
        <w:pStyle w:val="39"/>
        <w:adjustRightInd/>
        <w:ind w:firstLine="420" w:firstLineChars="200"/>
        <w:contextualSpacing/>
        <w:rPr>
          <w:rFonts w:ascii="Times New Roman" w:hAnsi="Times New Roman" w:eastAsia="宋体"/>
          <w:color w:val="auto"/>
          <w:highlight w:val="none"/>
        </w:rPr>
      </w:pPr>
      <w:r>
        <w:rPr>
          <w:rFonts w:ascii="Times New Roman" w:hAnsi="Times New Roman" w:eastAsia="宋体"/>
          <w:color w:val="auto"/>
          <w:highlight w:val="none"/>
        </w:rPr>
        <w:t>2.开启后到成交通知书发出之前，所有涉及磋商小组名单以及对响应文件的澄清、评价、比较等情况，磋商小组成员、采购人和采购代理机构的有关人员均不得向供应商或其他无关人员透露。</w:t>
      </w:r>
    </w:p>
    <w:p w14:paraId="30E6C7E0">
      <w:pPr>
        <w:pStyle w:val="39"/>
        <w:tabs>
          <w:tab w:val="left" w:pos="630"/>
        </w:tabs>
        <w:adjustRightInd/>
        <w:ind w:firstLine="422" w:firstLineChars="200"/>
        <w:contextualSpacing/>
        <w:rPr>
          <w:rFonts w:ascii="Times New Roman" w:hAnsi="Times New Roman" w:eastAsia="宋体"/>
          <w:b/>
          <w:color w:val="auto"/>
          <w:highlight w:val="none"/>
        </w:rPr>
      </w:pPr>
      <w:r>
        <w:rPr>
          <w:rFonts w:ascii="Times New Roman" w:hAnsi="Times New Roman" w:eastAsia="宋体"/>
          <w:b/>
          <w:color w:val="auto"/>
          <w:highlight w:val="none"/>
        </w:rPr>
        <w:t>六、确定成交供应商：本项目由采购人（或采购人事先授权磋商小组）确定成交供应商。</w:t>
      </w:r>
    </w:p>
    <w:p w14:paraId="1534B02F">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1.采购代理机构应当在评审结束后2个工作日内将评审报告送采购人确认。</w:t>
      </w:r>
    </w:p>
    <w:p w14:paraId="243B09D6">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2B56D0E">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3.采购人或者采购代理机构应当在成交供应商确定后2个工作日内，在省级以上财政部门指定的政府采购信息发布媒体上公告成交结果，同时向成交供应商发出成交通知书。</w:t>
      </w:r>
    </w:p>
    <w:p w14:paraId="03121DB6">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4.若成交供应商放弃成交，或因不可抗力提出不能履行合同，或不按采购文件规定提交履约保证金（不适用），或其它原因被依法撤销成交资格，则采购人重新组织采购活动。</w:t>
      </w:r>
    </w:p>
    <w:p w14:paraId="42427744">
      <w:pPr>
        <w:pStyle w:val="39"/>
        <w:adjustRightInd/>
        <w:ind w:firstLine="422" w:firstLineChars="200"/>
        <w:contextualSpacing/>
        <w:rPr>
          <w:rFonts w:ascii="Times New Roman" w:hAnsi="Times New Roman" w:eastAsia="宋体"/>
          <w:b/>
          <w:color w:val="auto"/>
          <w:highlight w:val="none"/>
        </w:rPr>
      </w:pPr>
      <w:r>
        <w:rPr>
          <w:rFonts w:ascii="Times New Roman" w:hAnsi="Times New Roman" w:eastAsia="宋体"/>
          <w:b/>
          <w:color w:val="auto"/>
          <w:highlight w:val="none"/>
        </w:rPr>
        <w:t>七、合同授予</w:t>
      </w:r>
    </w:p>
    <w:p w14:paraId="0B4A00F7">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1.采购人与成交供应商应当在成交通知书发出之日起30日内签订合同。同时，采购代理机构对合同内容进行审查，如发现与采购结果和响应承诺内容不一致的，应予以纠正。</w:t>
      </w:r>
    </w:p>
    <w:p w14:paraId="624110A9">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2.成交供应商拖延、拒签合同的，将被取消成交资格。</w:t>
      </w:r>
    </w:p>
    <w:p w14:paraId="79D31701">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3.成交供应商拒绝与采购人签订合同的，采购人可以按照评审报告推荐的成交候选供应商名单排序，确定下一候选人为成交供应商或重新组织采购活动。拒绝签订政府采购合同的成交供应商不得参加该项目重新开展的采购活动。</w:t>
      </w:r>
    </w:p>
    <w:p w14:paraId="74DF5C2A">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4.成交人如不遵守采购文件或响应文件各项条款的邀约与要约，或在接到成交通知书后借故拖延，拒签合同的，采购人将按《浙江省政府采购供应商注册及诚信管理暂行办法》的规定上报诚信状况。给采购人造成的损失的还应当予以赔偿。</w:t>
      </w:r>
    </w:p>
    <w:p w14:paraId="21B1AA15">
      <w:pPr>
        <w:pStyle w:val="39"/>
        <w:adjustRightInd/>
        <w:ind w:firstLine="422" w:firstLineChars="200"/>
        <w:contextualSpacing/>
        <w:rPr>
          <w:rFonts w:ascii="Times New Roman" w:hAnsi="Times New Roman" w:eastAsia="宋体"/>
          <w:b/>
          <w:color w:val="auto"/>
          <w:highlight w:val="none"/>
        </w:rPr>
      </w:pPr>
      <w:bookmarkStart w:id="75" w:name="_Toc8588"/>
      <w:r>
        <w:rPr>
          <w:rFonts w:ascii="Times New Roman" w:hAnsi="Times New Roman" w:eastAsia="宋体"/>
          <w:b/>
          <w:color w:val="auto"/>
          <w:highlight w:val="none"/>
        </w:rPr>
        <w:t>八、履约验收</w:t>
      </w:r>
      <w:bookmarkEnd w:id="75"/>
    </w:p>
    <w:p w14:paraId="1E738803">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采购人负责对成交供应商的履约行为进行验收。政府向社会公众提供的公共服务项目，验收时应当邀请服务对象参与并出具意见，验收结果应当向社会公告。</w:t>
      </w:r>
    </w:p>
    <w:p w14:paraId="4236D08F">
      <w:pPr>
        <w:pStyle w:val="39"/>
        <w:adjustRightInd/>
        <w:ind w:firstLine="422" w:firstLineChars="200"/>
        <w:contextualSpacing/>
        <w:rPr>
          <w:rFonts w:ascii="Times New Roman" w:hAnsi="Times New Roman" w:eastAsia="宋体"/>
          <w:b/>
          <w:color w:val="auto"/>
          <w:highlight w:val="none"/>
        </w:rPr>
      </w:pPr>
      <w:r>
        <w:rPr>
          <w:rFonts w:ascii="Times New Roman" w:hAnsi="Times New Roman" w:eastAsia="宋体"/>
          <w:b/>
          <w:color w:val="auto"/>
          <w:highlight w:val="none"/>
        </w:rPr>
        <w:t>九、特别说明</w:t>
      </w:r>
    </w:p>
    <w:p w14:paraId="7B233A33">
      <w:pPr>
        <w:adjustRightInd/>
        <w:ind w:firstLine="420" w:firstLineChars="200"/>
        <w:contextualSpacing/>
        <w:rPr>
          <w:rFonts w:ascii="Times New Roman" w:hAnsi="Times New Roman" w:eastAsia="宋体"/>
          <w:color w:val="auto"/>
          <w:sz w:val="21"/>
          <w:highlight w:val="none"/>
        </w:rPr>
      </w:pPr>
      <w:bookmarkStart w:id="76" w:name="_Toc28649"/>
      <w:r>
        <w:rPr>
          <w:rFonts w:ascii="Times New Roman" w:hAnsi="Times New Roman" w:eastAsia="宋体"/>
          <w:color w:val="auto"/>
          <w:sz w:val="21"/>
          <w:highlight w:val="none"/>
        </w:rPr>
        <w:t>1、本项目</w:t>
      </w:r>
      <w:r>
        <w:rPr>
          <w:rFonts w:ascii="Times New Roman" w:hAnsi="Times New Roman" w:eastAsia="宋体"/>
          <w:b/>
          <w:bCs/>
          <w:color w:val="auto"/>
          <w:sz w:val="21"/>
          <w:highlight w:val="none"/>
          <w:u w:val="single"/>
        </w:rPr>
        <w:t>是</w:t>
      </w:r>
      <w:r>
        <w:rPr>
          <w:rFonts w:ascii="Times New Roman" w:hAnsi="Times New Roman" w:eastAsia="宋体"/>
          <w:color w:val="auto"/>
          <w:sz w:val="21"/>
          <w:highlight w:val="none"/>
        </w:rPr>
        <w:t>专门面向中小企业采购，专门面向中小企业采购的项目，不再执行价格评审优惠的扶持政策。</w:t>
      </w:r>
    </w:p>
    <w:p w14:paraId="43C66886">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2、本项目对应的中小企业划分标准所属行业：</w:t>
      </w:r>
      <w:r>
        <w:rPr>
          <w:rFonts w:ascii="Times New Roman" w:hAnsi="Times New Roman" w:eastAsia="宋体"/>
          <w:b/>
          <w:bCs/>
          <w:color w:val="auto"/>
          <w:sz w:val="21"/>
          <w:highlight w:val="none"/>
          <w:u w:val="single"/>
        </w:rPr>
        <w:t>其他未列明行业</w:t>
      </w:r>
      <w:r>
        <w:rPr>
          <w:rFonts w:ascii="Times New Roman" w:hAnsi="Times New Roman" w:eastAsia="宋体"/>
          <w:color w:val="auto"/>
          <w:sz w:val="21"/>
          <w:highlight w:val="none"/>
        </w:rPr>
        <w:t xml:space="preserve">。 </w:t>
      </w:r>
    </w:p>
    <w:p w14:paraId="0E86E089">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3、中小企业是指中华人民共和国境内依法设立，依据国务院批准的中小企业划分标准确定的中型企业、小型企业和微型企业，但与大企业的负责人为同一人，或者与大企业存在直接控股、管理关系的除外。</w:t>
      </w:r>
    </w:p>
    <w:p w14:paraId="5634D559">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符合中小企业划分标准的个体工商户，在政府采购活动中视同中小企业。</w:t>
      </w:r>
    </w:p>
    <w:p w14:paraId="6223BEB3">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国务院批准的中小企业划分标准：具体见工信部联企业【2011】300号。</w:t>
      </w:r>
    </w:p>
    <w:p w14:paraId="40A8A52B">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4、企业应按照采购文件格式要求提供《中小企业声明函》。</w:t>
      </w:r>
    </w:p>
    <w:p w14:paraId="4645EAE3">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710DDD2">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6、根据《关于促进残疾人就业政府采购政策的通知》（财库【2017】141号）规定，在政府采购活动中，残疾人福利性单位视同小型、微型企业。残疾人福利性单位参加政府采购活动时，提供《残疾人福利性单位声明函》。</w:t>
      </w:r>
    </w:p>
    <w:p w14:paraId="1A88AF0F">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7、供应商按照《政府采购促进中小企业发展管理办法》（财库【2020】46号）规定提供声明函内容不实的，属于提供虚假材料谋取中标、成交，依照《中华人民共和国政府采购法》等国家有关规定追究相应责任。</w:t>
      </w:r>
    </w:p>
    <w:p w14:paraId="26DBBEBB">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8、支持绿色发展</w:t>
      </w:r>
    </w:p>
    <w:p w14:paraId="55A1B717">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8.1为助力打好污染防治攻坚战，推广使用绿色包装，政府采购服务项目中涉及商品包装和快递包装的，供应商提供产品及相关快递服务的具体包装要求要参考《商品包装政府采购需求标准（试行）》、《快递包装政府采购需求标准（试行）》。</w:t>
      </w:r>
    </w:p>
    <w:p w14:paraId="3DB534C8">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8.2鼓励供应商在参加政府采购过程中开展绿色设计、选择绿色材料、打造绿色制造工艺、开展绿色运输、做好废弃产品回收处理，实现产品全周期的绿色环保。</w:t>
      </w:r>
    </w:p>
    <w:p w14:paraId="6E524533">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9、平等对待内外资企业和符合条件的破产重整企业，切实保障企业公平竞争，平等维护企业的合法利益。</w:t>
      </w:r>
    </w:p>
    <w:p w14:paraId="71C5161C">
      <w:pPr>
        <w:tabs>
          <w:tab w:val="left" w:pos="778"/>
        </w:tabs>
        <w:jc w:val="left"/>
        <w:rPr>
          <w:rFonts w:ascii="Times New Roman" w:hAnsi="Times New Roman"/>
          <w:color w:val="auto"/>
          <w:highlight w:val="none"/>
        </w:rPr>
        <w:sectPr>
          <w:footnotePr>
            <w:numFmt w:val="decimalEnclosedCircleChinese"/>
          </w:footnotePr>
          <w:pgSz w:w="11906" w:h="16838"/>
          <w:pgMar w:top="1701" w:right="1134" w:bottom="1304" w:left="1134" w:header="964" w:footer="567" w:gutter="567"/>
          <w:cols w:space="720" w:num="1"/>
          <w:docGrid w:type="lines" w:linePitch="312" w:charSpace="0"/>
        </w:sectPr>
      </w:pPr>
    </w:p>
    <w:p w14:paraId="606F659E">
      <w:pPr>
        <w:pStyle w:val="5"/>
        <w:numPr>
          <w:ilvl w:val="0"/>
          <w:numId w:val="1"/>
        </w:numPr>
        <w:adjustRightInd/>
        <w:spacing w:before="0" w:after="0" w:line="360" w:lineRule="auto"/>
        <w:jc w:val="center"/>
        <w:textAlignment w:val="auto"/>
        <w:rPr>
          <w:rFonts w:hAnsi="宋体" w:eastAsia="宋体" w:cs="宋体"/>
          <w:color w:val="auto"/>
          <w:sz w:val="30"/>
          <w:szCs w:val="30"/>
          <w:highlight w:val="none"/>
        </w:rPr>
      </w:pPr>
      <w:bookmarkStart w:id="77" w:name="_Toc20353"/>
      <w:bookmarkStart w:id="78" w:name="_Toc25906"/>
      <w:bookmarkStart w:id="79" w:name="_Toc13205"/>
      <w:bookmarkStart w:id="80" w:name="_Toc24318"/>
      <w:bookmarkStart w:id="81" w:name="_Toc31716"/>
      <w:bookmarkStart w:id="82" w:name="_Toc18702"/>
      <w:bookmarkStart w:id="83" w:name="_Toc17263"/>
      <w:r>
        <w:rPr>
          <w:rFonts w:hint="eastAsia" w:hAnsi="宋体" w:eastAsia="宋体" w:cs="宋体"/>
          <w:color w:val="auto"/>
          <w:sz w:val="30"/>
          <w:szCs w:val="30"/>
          <w:highlight w:val="none"/>
          <w:lang w:val="en-US" w:eastAsia="zh-CN"/>
        </w:rPr>
        <w:t xml:space="preserve"> </w:t>
      </w:r>
      <w:r>
        <w:rPr>
          <w:rFonts w:hint="eastAsia" w:hAnsi="宋体" w:eastAsia="宋体" w:cs="宋体"/>
          <w:color w:val="auto"/>
          <w:sz w:val="30"/>
          <w:szCs w:val="30"/>
          <w:highlight w:val="none"/>
        </w:rPr>
        <w:t>合同条款及格式</w:t>
      </w:r>
      <w:bookmarkEnd w:id="69"/>
      <w:bookmarkEnd w:id="70"/>
      <w:bookmarkEnd w:id="71"/>
      <w:bookmarkEnd w:id="72"/>
      <w:bookmarkEnd w:id="73"/>
      <w:bookmarkEnd w:id="76"/>
      <w:bookmarkEnd w:id="77"/>
      <w:bookmarkEnd w:id="78"/>
      <w:bookmarkEnd w:id="79"/>
      <w:bookmarkEnd w:id="80"/>
      <w:bookmarkEnd w:id="81"/>
      <w:bookmarkEnd w:id="82"/>
      <w:bookmarkEnd w:id="83"/>
      <w:bookmarkStart w:id="84" w:name="_Toc20823315"/>
      <w:bookmarkStart w:id="85" w:name="_Toc16938590"/>
      <w:bookmarkStart w:id="86" w:name="_Toc513029243"/>
      <w:bookmarkStart w:id="87" w:name="_Toc20823346"/>
      <w:bookmarkStart w:id="88" w:name="_Toc120614244"/>
      <w:bookmarkStart w:id="89" w:name="_Toc16938559"/>
      <w:bookmarkStart w:id="90" w:name="_Toc462564139"/>
      <w:bookmarkStart w:id="91" w:name="_Toc479757211"/>
    </w:p>
    <w:p w14:paraId="15345D5B">
      <w:pPr>
        <w:jc w:val="center"/>
        <w:outlineLvl w:val="1"/>
        <w:rPr>
          <w:rFonts w:hAnsi="宋体" w:eastAsia="宋体" w:cs="宋体"/>
          <w:b/>
          <w:color w:val="auto"/>
          <w:sz w:val="21"/>
          <w:highlight w:val="none"/>
        </w:rPr>
      </w:pPr>
      <w:r>
        <w:rPr>
          <w:rFonts w:hint="eastAsia" w:hAnsi="宋体" w:eastAsia="宋体" w:cs="宋体"/>
          <w:b/>
          <w:color w:val="auto"/>
          <w:sz w:val="32"/>
          <w:szCs w:val="32"/>
          <w:highlight w:val="none"/>
        </w:rPr>
        <w:t>第一部分 协议书</w:t>
      </w:r>
    </w:p>
    <w:p w14:paraId="388551DA">
      <w:pPr>
        <w:ind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委托人（全称）：</w:t>
      </w:r>
      <w:r>
        <w:rPr>
          <w:rFonts w:hint="eastAsia" w:hAnsi="宋体" w:eastAsia="宋体" w:cs="宋体"/>
          <w:color w:val="auto"/>
          <w:sz w:val="21"/>
          <w:highlight w:val="none"/>
          <w:u w:val="single"/>
        </w:rPr>
        <w:t>宁波高新区公共项目建设中心</w:t>
      </w:r>
    </w:p>
    <w:p w14:paraId="5C78A3A7">
      <w:pPr>
        <w:ind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监理人（全称）：</w:t>
      </w:r>
      <w:r>
        <w:rPr>
          <w:rFonts w:hint="eastAsia" w:hAnsi="宋体" w:eastAsia="宋体" w:cs="宋体"/>
          <w:color w:val="auto"/>
          <w:sz w:val="21"/>
          <w:highlight w:val="none"/>
          <w:u w:val="single"/>
        </w:rPr>
        <w:t xml:space="preserve">                           </w:t>
      </w:r>
    </w:p>
    <w:p w14:paraId="78E96596">
      <w:pPr>
        <w:ind w:firstLine="420" w:firstLineChars="200"/>
        <w:rPr>
          <w:rFonts w:hAnsi="宋体" w:eastAsia="宋体" w:cs="宋体"/>
          <w:color w:val="auto"/>
          <w:sz w:val="21"/>
          <w:highlight w:val="none"/>
        </w:rPr>
      </w:pPr>
      <w:r>
        <w:rPr>
          <w:rFonts w:hint="eastAsia" w:hAnsi="宋体" w:eastAsia="宋体" w:cs="宋体"/>
          <w:color w:val="auto"/>
          <w:sz w:val="21"/>
          <w:highlight w:val="none"/>
        </w:rPr>
        <w:t>根据《中华人民共和国民法典》、《中华人民共和国建筑法》及其他有关法律、法规，遵循平等、自愿、公平和诚信的原则，双方就下述工程委托监理与相关服务事项协商一致，订立本合同。</w:t>
      </w:r>
    </w:p>
    <w:p w14:paraId="64130392">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一、工程概况</w:t>
      </w:r>
    </w:p>
    <w:p w14:paraId="09BD1367">
      <w:pPr>
        <w:ind w:firstLine="420" w:firstLineChars="200"/>
        <w:rPr>
          <w:rFonts w:ascii="Times New Roman" w:hAnsi="Times New Roman" w:eastAsia="宋体"/>
          <w:color w:val="auto"/>
          <w:sz w:val="21"/>
          <w:highlight w:val="none"/>
          <w:u w:val="single"/>
        </w:rPr>
      </w:pPr>
      <w:r>
        <w:rPr>
          <w:rFonts w:hint="eastAsia" w:hAnsi="宋体" w:eastAsia="宋体" w:cs="宋体"/>
          <w:color w:val="auto"/>
          <w:sz w:val="21"/>
          <w:highlight w:val="none"/>
        </w:rPr>
        <w:t>1、工程名称：</w:t>
      </w:r>
      <w:r>
        <w:rPr>
          <w:rFonts w:hint="eastAsia" w:ascii="Times New Roman" w:hAnsi="Times New Roman" w:eastAsia="宋体"/>
          <w:color w:val="auto"/>
          <w:sz w:val="21"/>
          <w:highlight w:val="none"/>
          <w:u w:val="single"/>
        </w:rPr>
        <w:t>广贤路东段道路及周边公共区域改造项目</w:t>
      </w:r>
    </w:p>
    <w:p w14:paraId="414DA89E">
      <w:pPr>
        <w:ind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2、工程地点：</w:t>
      </w:r>
    </w:p>
    <w:p w14:paraId="7586B520">
      <w:pPr>
        <w:ind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3、工程规模：</w:t>
      </w:r>
    </w:p>
    <w:p w14:paraId="0B1ED2AB">
      <w:pPr>
        <w:ind w:firstLine="420" w:firstLineChars="200"/>
        <w:rPr>
          <w:rFonts w:hAnsi="宋体" w:eastAsia="宋体" w:cs="宋体"/>
          <w:color w:val="auto"/>
          <w:spacing w:val="-8"/>
          <w:sz w:val="21"/>
          <w:highlight w:val="none"/>
          <w:u w:val="single"/>
        </w:rPr>
      </w:pPr>
      <w:r>
        <w:rPr>
          <w:rFonts w:hint="eastAsia" w:hAnsi="宋体" w:eastAsia="宋体" w:cs="宋体"/>
          <w:color w:val="auto"/>
          <w:sz w:val="21"/>
          <w:highlight w:val="none"/>
        </w:rPr>
        <w:t>4、建筑安装工程费：</w:t>
      </w:r>
    </w:p>
    <w:p w14:paraId="33EEDC76">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二、词语限定</w:t>
      </w:r>
    </w:p>
    <w:p w14:paraId="287ABC63">
      <w:pPr>
        <w:ind w:firstLine="420" w:firstLineChars="200"/>
        <w:rPr>
          <w:rFonts w:hAnsi="宋体" w:eastAsia="宋体" w:cs="宋体"/>
          <w:color w:val="auto"/>
          <w:sz w:val="21"/>
          <w:highlight w:val="none"/>
        </w:rPr>
      </w:pPr>
      <w:r>
        <w:rPr>
          <w:rFonts w:hint="eastAsia" w:hAnsi="宋体" w:eastAsia="宋体" w:cs="宋体"/>
          <w:color w:val="auto"/>
          <w:sz w:val="21"/>
          <w:highlight w:val="none"/>
        </w:rPr>
        <w:t>协议书中相关词语的含义与通用条件中的定义与解释相同。</w:t>
      </w:r>
    </w:p>
    <w:p w14:paraId="3EC8EC8A">
      <w:pPr>
        <w:ind w:firstLine="422" w:firstLineChars="200"/>
        <w:rPr>
          <w:rFonts w:hAnsi="宋体" w:eastAsia="宋体" w:cs="宋体"/>
          <w:color w:val="auto"/>
          <w:sz w:val="21"/>
          <w:highlight w:val="none"/>
        </w:rPr>
      </w:pPr>
      <w:r>
        <w:rPr>
          <w:rFonts w:hint="eastAsia" w:hAnsi="宋体" w:eastAsia="宋体" w:cs="宋体"/>
          <w:b/>
          <w:color w:val="auto"/>
          <w:sz w:val="21"/>
          <w:highlight w:val="none"/>
        </w:rPr>
        <w:t>三、组成本合同的文件</w:t>
      </w:r>
    </w:p>
    <w:p w14:paraId="7990D439">
      <w:pPr>
        <w:ind w:firstLine="420" w:firstLineChars="200"/>
        <w:rPr>
          <w:rFonts w:hAnsi="宋体" w:eastAsia="宋体" w:cs="宋体"/>
          <w:color w:val="auto"/>
          <w:sz w:val="21"/>
          <w:highlight w:val="none"/>
        </w:rPr>
      </w:pPr>
      <w:r>
        <w:rPr>
          <w:rFonts w:hint="eastAsia" w:hAnsi="宋体" w:eastAsia="宋体" w:cs="宋体"/>
          <w:color w:val="auto"/>
          <w:sz w:val="21"/>
          <w:highlight w:val="none"/>
        </w:rPr>
        <w:t>1、协议书；</w:t>
      </w:r>
    </w:p>
    <w:p w14:paraId="353EA8A4">
      <w:pPr>
        <w:ind w:firstLine="420" w:firstLineChars="200"/>
        <w:rPr>
          <w:rFonts w:hAnsi="宋体" w:eastAsia="宋体" w:cs="宋体"/>
          <w:color w:val="auto"/>
          <w:sz w:val="21"/>
          <w:highlight w:val="none"/>
        </w:rPr>
      </w:pPr>
      <w:r>
        <w:rPr>
          <w:rFonts w:hint="eastAsia" w:hAnsi="宋体" w:eastAsia="宋体" w:cs="宋体"/>
          <w:color w:val="auto"/>
          <w:sz w:val="21"/>
          <w:highlight w:val="none"/>
        </w:rPr>
        <w:t>2、中标（成交）通知书；</w:t>
      </w:r>
    </w:p>
    <w:p w14:paraId="344A4B23">
      <w:pPr>
        <w:ind w:firstLine="420" w:firstLineChars="200"/>
        <w:rPr>
          <w:rFonts w:hAnsi="宋体" w:eastAsia="宋体" w:cs="宋体"/>
          <w:color w:val="auto"/>
          <w:sz w:val="21"/>
          <w:highlight w:val="none"/>
        </w:rPr>
      </w:pPr>
      <w:r>
        <w:rPr>
          <w:rFonts w:hint="eastAsia" w:hAnsi="宋体" w:eastAsia="宋体" w:cs="宋体"/>
          <w:color w:val="auto"/>
          <w:sz w:val="21"/>
          <w:highlight w:val="none"/>
        </w:rPr>
        <w:t>3、专用条件；</w:t>
      </w:r>
    </w:p>
    <w:p w14:paraId="2692833E">
      <w:pPr>
        <w:ind w:firstLine="420" w:firstLineChars="200"/>
        <w:rPr>
          <w:rFonts w:hAnsi="宋体" w:eastAsia="宋体" w:cs="宋体"/>
          <w:color w:val="auto"/>
          <w:sz w:val="21"/>
          <w:highlight w:val="none"/>
        </w:rPr>
      </w:pPr>
      <w:r>
        <w:rPr>
          <w:rFonts w:hint="eastAsia" w:hAnsi="宋体" w:eastAsia="宋体" w:cs="宋体"/>
          <w:color w:val="auto"/>
          <w:sz w:val="21"/>
          <w:highlight w:val="none"/>
        </w:rPr>
        <w:t>4、通用条件；</w:t>
      </w:r>
    </w:p>
    <w:p w14:paraId="0389D512">
      <w:pPr>
        <w:ind w:firstLine="420" w:firstLineChars="200"/>
        <w:rPr>
          <w:rFonts w:hAnsi="宋体" w:eastAsia="宋体" w:cs="宋体"/>
          <w:color w:val="auto"/>
          <w:sz w:val="21"/>
          <w:highlight w:val="none"/>
        </w:rPr>
      </w:pPr>
      <w:r>
        <w:rPr>
          <w:rFonts w:hint="eastAsia" w:hAnsi="宋体" w:eastAsia="宋体" w:cs="宋体"/>
          <w:color w:val="auto"/>
          <w:sz w:val="21"/>
          <w:highlight w:val="none"/>
        </w:rPr>
        <w:t>5、附录：委托人派遣的人员和提供的房屋、资料、设备</w:t>
      </w:r>
    </w:p>
    <w:p w14:paraId="61CBDB38">
      <w:pPr>
        <w:ind w:firstLine="420" w:firstLineChars="200"/>
        <w:rPr>
          <w:rFonts w:hAnsi="宋体" w:eastAsia="宋体" w:cs="宋体"/>
          <w:color w:val="auto"/>
          <w:sz w:val="21"/>
          <w:highlight w:val="none"/>
        </w:rPr>
      </w:pPr>
      <w:r>
        <w:rPr>
          <w:rFonts w:hint="eastAsia" w:hAnsi="宋体" w:eastAsia="宋体" w:cs="宋体"/>
          <w:color w:val="auto"/>
          <w:sz w:val="21"/>
          <w:highlight w:val="none"/>
        </w:rPr>
        <w:t>本合同签订后，双方依法签订的补充协议也是本合同文件的组成部分。</w:t>
      </w:r>
    </w:p>
    <w:p w14:paraId="212168F7">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四、总监理工程师</w:t>
      </w:r>
    </w:p>
    <w:p w14:paraId="7FC9C9A4">
      <w:pPr>
        <w:ind w:left="319" w:leftChars="114" w:firstLine="210" w:firstLineChars="100"/>
        <w:rPr>
          <w:rFonts w:hAnsi="宋体" w:eastAsia="宋体" w:cs="宋体"/>
          <w:color w:val="auto"/>
          <w:sz w:val="21"/>
          <w:highlight w:val="none"/>
          <w:u w:val="single"/>
        </w:rPr>
      </w:pPr>
      <w:r>
        <w:rPr>
          <w:rFonts w:hint="eastAsia" w:hAnsi="宋体" w:eastAsia="宋体" w:cs="宋体"/>
          <w:color w:val="auto"/>
          <w:sz w:val="21"/>
          <w:highlight w:val="none"/>
        </w:rPr>
        <w:t>总监理工程师姓名：</w:t>
      </w:r>
      <w:r>
        <w:rPr>
          <w:rFonts w:hint="eastAsia" w:hAnsi="宋体" w:eastAsia="宋体" w:cs="宋体"/>
          <w:color w:val="auto"/>
          <w:sz w:val="21"/>
          <w:highlight w:val="none"/>
          <w:u w:val="single"/>
        </w:rPr>
        <w:t xml:space="preserve">          </w:t>
      </w:r>
      <w:r>
        <w:rPr>
          <w:rFonts w:hint="eastAsia" w:hAnsi="宋体" w:eastAsia="宋体" w:cs="宋体"/>
          <w:color w:val="auto"/>
          <w:sz w:val="21"/>
          <w:highlight w:val="none"/>
        </w:rPr>
        <w:t>，注册号：</w:t>
      </w:r>
      <w:r>
        <w:rPr>
          <w:rFonts w:hint="eastAsia" w:hAnsi="宋体" w:eastAsia="宋体" w:cs="宋体"/>
          <w:color w:val="auto"/>
          <w:sz w:val="21"/>
          <w:highlight w:val="none"/>
          <w:u w:val="single"/>
        </w:rPr>
        <w:t xml:space="preserve">          。</w:t>
      </w:r>
    </w:p>
    <w:p w14:paraId="1E30ACB6">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五、签约酬金</w:t>
      </w:r>
    </w:p>
    <w:p w14:paraId="0ECAF638">
      <w:pPr>
        <w:ind w:firstLine="420" w:firstLineChars="200"/>
        <w:rPr>
          <w:rFonts w:hAnsi="宋体" w:eastAsia="宋体" w:cs="宋体"/>
          <w:color w:val="auto"/>
          <w:sz w:val="21"/>
          <w:highlight w:val="none"/>
        </w:rPr>
      </w:pPr>
      <w:r>
        <w:rPr>
          <w:rFonts w:hint="eastAsia" w:hAnsi="宋体" w:eastAsia="宋体" w:cs="宋体"/>
          <w:color w:val="auto"/>
          <w:sz w:val="21"/>
          <w:highlight w:val="none"/>
        </w:rPr>
        <w:t>1、监理酬金：</w:t>
      </w:r>
      <w:r>
        <w:rPr>
          <w:rFonts w:hint="eastAsia" w:hAnsi="宋体" w:eastAsia="宋体" w:cs="宋体"/>
          <w:color w:val="auto"/>
          <w:sz w:val="21"/>
          <w:highlight w:val="none"/>
          <w:u w:val="single"/>
        </w:rPr>
        <w:t>人民币（大写）               元整（￥          元）</w:t>
      </w:r>
    </w:p>
    <w:p w14:paraId="2BFF5790">
      <w:pPr>
        <w:ind w:firstLine="390" w:firstLineChars="200"/>
        <w:rPr>
          <w:rFonts w:hAnsi="宋体" w:eastAsia="宋体" w:cs="宋体"/>
          <w:b/>
          <w:color w:val="auto"/>
          <w:spacing w:val="-8"/>
          <w:sz w:val="21"/>
          <w:highlight w:val="none"/>
        </w:rPr>
      </w:pPr>
      <w:r>
        <w:rPr>
          <w:rFonts w:hint="eastAsia" w:hAnsi="宋体" w:eastAsia="宋体" w:cs="宋体"/>
          <w:b/>
          <w:color w:val="auto"/>
          <w:spacing w:val="-8"/>
          <w:sz w:val="21"/>
          <w:highlight w:val="none"/>
        </w:rPr>
        <w:t>六、期限</w:t>
      </w:r>
    </w:p>
    <w:p w14:paraId="6AE7047A">
      <w:pPr>
        <w:ind w:firstLine="388" w:firstLineChars="200"/>
        <w:rPr>
          <w:rFonts w:hAnsi="宋体" w:eastAsia="宋体" w:cs="宋体"/>
          <w:color w:val="auto"/>
          <w:spacing w:val="-8"/>
          <w:sz w:val="21"/>
          <w:highlight w:val="none"/>
          <w:u w:val="single"/>
        </w:rPr>
      </w:pPr>
      <w:r>
        <w:rPr>
          <w:rFonts w:hint="eastAsia" w:hAnsi="宋体" w:eastAsia="宋体" w:cs="宋体"/>
          <w:color w:val="auto"/>
          <w:spacing w:val="-8"/>
          <w:sz w:val="21"/>
          <w:highlight w:val="none"/>
        </w:rPr>
        <w:t>1、监理期限：</w:t>
      </w:r>
      <w:r>
        <w:rPr>
          <w:rFonts w:hint="eastAsia" w:hAnsi="宋体" w:eastAsia="宋体" w:cs="宋体"/>
          <w:color w:val="auto"/>
          <w:spacing w:val="-8"/>
          <w:sz w:val="21"/>
          <w:highlight w:val="none"/>
          <w:u w:val="single"/>
        </w:rPr>
        <w:t>自签订监理服务合同之日起，至监理范围内所有项目通过竣工验收并保修期满为止。</w:t>
      </w:r>
    </w:p>
    <w:p w14:paraId="7DEEF466">
      <w:pPr>
        <w:ind w:firstLine="390" w:firstLineChars="200"/>
        <w:rPr>
          <w:rFonts w:hAnsi="宋体" w:eastAsia="宋体" w:cs="宋体"/>
          <w:b/>
          <w:color w:val="auto"/>
          <w:spacing w:val="-8"/>
          <w:sz w:val="21"/>
          <w:highlight w:val="none"/>
        </w:rPr>
      </w:pPr>
      <w:r>
        <w:rPr>
          <w:rFonts w:hint="eastAsia" w:hAnsi="宋体" w:eastAsia="宋体" w:cs="宋体"/>
          <w:b/>
          <w:color w:val="auto"/>
          <w:spacing w:val="-8"/>
          <w:sz w:val="21"/>
          <w:highlight w:val="none"/>
        </w:rPr>
        <w:t>七、双方承诺</w:t>
      </w:r>
    </w:p>
    <w:p w14:paraId="16D9BF27">
      <w:pPr>
        <w:ind w:firstLine="388" w:firstLineChars="200"/>
        <w:rPr>
          <w:rFonts w:hAnsi="宋体" w:eastAsia="宋体" w:cs="宋体"/>
          <w:color w:val="auto"/>
          <w:spacing w:val="-8"/>
          <w:sz w:val="21"/>
          <w:highlight w:val="none"/>
        </w:rPr>
      </w:pPr>
      <w:r>
        <w:rPr>
          <w:rFonts w:hint="eastAsia" w:hAnsi="宋体" w:eastAsia="宋体" w:cs="宋体"/>
          <w:color w:val="auto"/>
          <w:spacing w:val="-8"/>
          <w:sz w:val="21"/>
          <w:highlight w:val="none"/>
        </w:rPr>
        <w:t>1、监理人向委托人承诺，按照本合同约定提供监理与相关服务。</w:t>
      </w:r>
    </w:p>
    <w:p w14:paraId="3A3793D1">
      <w:pPr>
        <w:ind w:firstLine="388" w:firstLineChars="200"/>
        <w:rPr>
          <w:rFonts w:hAnsi="宋体" w:eastAsia="宋体" w:cs="宋体"/>
          <w:color w:val="auto"/>
          <w:spacing w:val="-8"/>
          <w:sz w:val="21"/>
          <w:highlight w:val="none"/>
        </w:rPr>
      </w:pPr>
      <w:r>
        <w:rPr>
          <w:rFonts w:hint="eastAsia" w:hAnsi="宋体" w:eastAsia="宋体" w:cs="宋体"/>
          <w:color w:val="auto"/>
          <w:spacing w:val="-8"/>
          <w:sz w:val="21"/>
          <w:highlight w:val="none"/>
        </w:rPr>
        <w:t>2、委托人向监理人承诺，按照本合同约定派遣相应的人员，提供房屋、资料、设备，并按本合同约定支付酬金。</w:t>
      </w:r>
    </w:p>
    <w:p w14:paraId="48F2B605">
      <w:pPr>
        <w:ind w:firstLine="390" w:firstLineChars="200"/>
        <w:rPr>
          <w:rFonts w:hAnsi="宋体" w:eastAsia="宋体" w:cs="宋体"/>
          <w:color w:val="auto"/>
          <w:spacing w:val="-8"/>
          <w:sz w:val="21"/>
          <w:highlight w:val="none"/>
        </w:rPr>
      </w:pPr>
      <w:r>
        <w:rPr>
          <w:rFonts w:hint="eastAsia" w:hAnsi="宋体" w:eastAsia="宋体" w:cs="宋体"/>
          <w:b/>
          <w:color w:val="auto"/>
          <w:spacing w:val="-8"/>
          <w:sz w:val="21"/>
          <w:highlight w:val="none"/>
        </w:rPr>
        <w:t>八、合同订立</w:t>
      </w:r>
    </w:p>
    <w:p w14:paraId="7A949070">
      <w:pPr>
        <w:ind w:firstLine="388" w:firstLineChars="200"/>
        <w:rPr>
          <w:rFonts w:hAnsi="宋体" w:eastAsia="宋体" w:cs="宋体"/>
          <w:color w:val="auto"/>
          <w:spacing w:val="-8"/>
          <w:sz w:val="21"/>
          <w:highlight w:val="none"/>
        </w:rPr>
      </w:pPr>
      <w:r>
        <w:rPr>
          <w:rFonts w:hint="eastAsia" w:hAnsi="宋体" w:eastAsia="宋体" w:cs="宋体"/>
          <w:color w:val="auto"/>
          <w:spacing w:val="-8"/>
          <w:sz w:val="21"/>
          <w:highlight w:val="none"/>
        </w:rPr>
        <w:t>1、订立时间：2024年    月    日。</w:t>
      </w:r>
    </w:p>
    <w:p w14:paraId="72B4BEE9">
      <w:pPr>
        <w:ind w:firstLine="388" w:firstLineChars="200"/>
        <w:rPr>
          <w:rFonts w:hAnsi="宋体" w:eastAsia="宋体" w:cs="宋体"/>
          <w:color w:val="auto"/>
          <w:sz w:val="21"/>
          <w:highlight w:val="none"/>
        </w:rPr>
      </w:pPr>
      <w:r>
        <w:rPr>
          <w:rFonts w:hint="eastAsia" w:hAnsi="宋体" w:eastAsia="宋体" w:cs="宋体"/>
          <w:color w:val="auto"/>
          <w:spacing w:val="-8"/>
          <w:sz w:val="21"/>
          <w:highlight w:val="none"/>
        </w:rPr>
        <w:t>2、</w:t>
      </w:r>
      <w:r>
        <w:rPr>
          <w:rFonts w:hint="eastAsia" w:hAnsi="宋体" w:eastAsia="宋体" w:cs="宋体"/>
          <w:color w:val="auto"/>
          <w:sz w:val="21"/>
          <w:highlight w:val="none"/>
        </w:rPr>
        <w:t>订立地点：</w:t>
      </w:r>
      <w:r>
        <w:rPr>
          <w:rFonts w:hint="eastAsia" w:hAnsi="宋体" w:eastAsia="宋体" w:cs="宋体"/>
          <w:color w:val="auto"/>
          <w:sz w:val="21"/>
          <w:highlight w:val="none"/>
          <w:u w:val="single"/>
        </w:rPr>
        <w:t>宁波市高新区</w:t>
      </w:r>
      <w:r>
        <w:rPr>
          <w:rFonts w:hint="eastAsia" w:hAnsi="宋体" w:eastAsia="宋体" w:cs="宋体"/>
          <w:color w:val="auto"/>
          <w:sz w:val="21"/>
          <w:highlight w:val="none"/>
        </w:rPr>
        <w:t>。</w:t>
      </w:r>
    </w:p>
    <w:p w14:paraId="7F9B3AC9">
      <w:pPr>
        <w:ind w:firstLine="388" w:firstLineChars="200"/>
        <w:rPr>
          <w:rFonts w:hAnsi="宋体" w:eastAsia="宋体" w:cs="宋体"/>
          <w:color w:val="auto"/>
          <w:spacing w:val="-8"/>
          <w:sz w:val="21"/>
          <w:highlight w:val="none"/>
        </w:rPr>
      </w:pPr>
      <w:r>
        <w:rPr>
          <w:rFonts w:hint="eastAsia" w:hAnsi="宋体" w:eastAsia="宋体" w:cs="宋体"/>
          <w:color w:val="auto"/>
          <w:spacing w:val="-8"/>
          <w:sz w:val="21"/>
          <w:highlight w:val="none"/>
        </w:rPr>
        <w:t>3、本合同一式</w:t>
      </w:r>
      <w:r>
        <w:rPr>
          <w:rFonts w:hint="eastAsia" w:hAnsi="宋体" w:eastAsia="宋体" w:cs="宋体"/>
          <w:color w:val="auto"/>
          <w:spacing w:val="-8"/>
          <w:sz w:val="21"/>
          <w:highlight w:val="none"/>
          <w:u w:val="single"/>
        </w:rPr>
        <w:t>壹拾</w:t>
      </w:r>
      <w:r>
        <w:rPr>
          <w:rFonts w:hint="eastAsia" w:hAnsi="宋体" w:eastAsia="宋体" w:cs="宋体"/>
          <w:color w:val="auto"/>
          <w:spacing w:val="-8"/>
          <w:sz w:val="21"/>
          <w:highlight w:val="none"/>
        </w:rPr>
        <w:t>份，具有同等法律效力，委托人执</w:t>
      </w:r>
      <w:r>
        <w:rPr>
          <w:rFonts w:hint="eastAsia" w:hAnsi="宋体" w:eastAsia="宋体" w:cs="宋体"/>
          <w:color w:val="auto"/>
          <w:spacing w:val="-8"/>
          <w:sz w:val="21"/>
          <w:highlight w:val="none"/>
          <w:u w:val="single"/>
        </w:rPr>
        <w:t>柒</w:t>
      </w:r>
      <w:r>
        <w:rPr>
          <w:rFonts w:hint="eastAsia" w:hAnsi="宋体" w:eastAsia="宋体" w:cs="宋体"/>
          <w:color w:val="auto"/>
          <w:spacing w:val="-8"/>
          <w:sz w:val="21"/>
          <w:highlight w:val="none"/>
        </w:rPr>
        <w:t>份，监理人执</w:t>
      </w:r>
      <w:r>
        <w:rPr>
          <w:rFonts w:hint="eastAsia" w:hAnsi="宋体" w:eastAsia="宋体" w:cs="宋体"/>
          <w:color w:val="auto"/>
          <w:spacing w:val="-8"/>
          <w:sz w:val="21"/>
          <w:highlight w:val="none"/>
          <w:u w:val="single"/>
        </w:rPr>
        <w:t>叁</w:t>
      </w:r>
      <w:r>
        <w:rPr>
          <w:rFonts w:hint="eastAsia" w:hAnsi="宋体" w:eastAsia="宋体" w:cs="宋体"/>
          <w:color w:val="auto"/>
          <w:spacing w:val="-8"/>
          <w:sz w:val="21"/>
          <w:highlight w:val="none"/>
        </w:rPr>
        <w:t>份。</w:t>
      </w:r>
    </w:p>
    <w:p w14:paraId="4C646180">
      <w:pPr>
        <w:ind w:firstLine="420" w:firstLineChars="200"/>
        <w:rPr>
          <w:rFonts w:hAnsi="宋体" w:eastAsia="宋体" w:cs="宋体"/>
          <w:color w:val="auto"/>
          <w:sz w:val="21"/>
          <w:highlight w:val="none"/>
        </w:rPr>
      </w:pPr>
    </w:p>
    <w:p w14:paraId="58C951D4">
      <w:pPr>
        <w:ind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委托人：</w:t>
      </w:r>
      <w:r>
        <w:rPr>
          <w:rFonts w:hint="eastAsia" w:hAnsi="宋体" w:eastAsia="宋体" w:cs="宋体"/>
          <w:color w:val="auto"/>
          <w:sz w:val="21"/>
          <w:highlight w:val="none"/>
          <w:u w:val="single"/>
        </w:rPr>
        <w:t xml:space="preserve">（签章）               </w:t>
      </w:r>
      <w:r>
        <w:rPr>
          <w:rFonts w:hint="eastAsia" w:hAnsi="宋体" w:eastAsia="宋体" w:cs="宋体"/>
          <w:color w:val="auto"/>
          <w:sz w:val="21"/>
          <w:highlight w:val="none"/>
        </w:rPr>
        <w:t xml:space="preserve">       监理人：</w:t>
      </w:r>
      <w:r>
        <w:rPr>
          <w:rFonts w:hint="eastAsia" w:hAnsi="宋体" w:eastAsia="宋体" w:cs="宋体"/>
          <w:color w:val="auto"/>
          <w:sz w:val="21"/>
          <w:highlight w:val="none"/>
          <w:u w:val="single"/>
        </w:rPr>
        <w:t xml:space="preserve">（签章）                 </w:t>
      </w:r>
    </w:p>
    <w:p w14:paraId="036D6597">
      <w:pPr>
        <w:ind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住所：</w:t>
      </w:r>
      <w:r>
        <w:rPr>
          <w:rFonts w:hint="eastAsia" w:hAnsi="宋体" w:eastAsia="宋体" w:cs="宋体"/>
          <w:color w:val="auto"/>
          <w:sz w:val="21"/>
          <w:highlight w:val="none"/>
          <w:u w:val="single"/>
        </w:rPr>
        <w:t xml:space="preserve">                         </w:t>
      </w:r>
      <w:r>
        <w:rPr>
          <w:rFonts w:hint="eastAsia" w:hAnsi="宋体" w:eastAsia="宋体" w:cs="宋体"/>
          <w:color w:val="auto"/>
          <w:sz w:val="21"/>
          <w:highlight w:val="none"/>
        </w:rPr>
        <w:t xml:space="preserve">       住所：</w:t>
      </w:r>
      <w:r>
        <w:rPr>
          <w:rFonts w:hint="eastAsia" w:hAnsi="宋体" w:eastAsia="宋体" w:cs="宋体"/>
          <w:color w:val="auto"/>
          <w:sz w:val="21"/>
          <w:highlight w:val="none"/>
          <w:u w:val="single"/>
        </w:rPr>
        <w:t xml:space="preserve">                           </w:t>
      </w:r>
    </w:p>
    <w:p w14:paraId="1B3F46E9">
      <w:pPr>
        <w:ind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邮政编码：</w:t>
      </w:r>
      <w:r>
        <w:rPr>
          <w:rFonts w:hint="eastAsia" w:hAnsi="宋体" w:eastAsia="宋体" w:cs="宋体"/>
          <w:color w:val="auto"/>
          <w:sz w:val="21"/>
          <w:highlight w:val="none"/>
          <w:u w:val="single"/>
        </w:rPr>
        <w:t xml:space="preserve">                     </w:t>
      </w:r>
      <w:r>
        <w:rPr>
          <w:rFonts w:hint="eastAsia" w:hAnsi="宋体" w:eastAsia="宋体" w:cs="宋体"/>
          <w:color w:val="auto"/>
          <w:sz w:val="21"/>
          <w:highlight w:val="none"/>
        </w:rPr>
        <w:t xml:space="preserve">       邮政编码：</w:t>
      </w:r>
      <w:r>
        <w:rPr>
          <w:rFonts w:hint="eastAsia" w:hAnsi="宋体" w:eastAsia="宋体" w:cs="宋体"/>
          <w:color w:val="auto"/>
          <w:sz w:val="21"/>
          <w:highlight w:val="none"/>
          <w:u w:val="single"/>
        </w:rPr>
        <w:t xml:space="preserve">                       </w:t>
      </w:r>
    </w:p>
    <w:p w14:paraId="59AB4F01">
      <w:pPr>
        <w:ind w:firstLine="420" w:firstLineChars="200"/>
        <w:rPr>
          <w:rFonts w:hAnsi="宋体" w:eastAsia="宋体" w:cs="宋体"/>
          <w:color w:val="auto"/>
          <w:sz w:val="21"/>
          <w:highlight w:val="none"/>
        </w:rPr>
      </w:pPr>
      <w:r>
        <w:rPr>
          <w:rFonts w:hint="eastAsia" w:hAnsi="宋体" w:eastAsia="宋体" w:cs="宋体"/>
          <w:color w:val="auto"/>
          <w:sz w:val="21"/>
          <w:highlight w:val="none"/>
        </w:rPr>
        <w:t>法定代表人或其授权                    法定代表人或其授权</w:t>
      </w:r>
    </w:p>
    <w:p w14:paraId="2F2110B4">
      <w:pPr>
        <w:ind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的代理人：</w:t>
      </w:r>
      <w:r>
        <w:rPr>
          <w:rFonts w:hint="eastAsia" w:hAnsi="宋体" w:eastAsia="宋体" w:cs="宋体"/>
          <w:color w:val="auto"/>
          <w:sz w:val="21"/>
          <w:highlight w:val="none"/>
          <w:u w:val="single"/>
        </w:rPr>
        <w:t xml:space="preserve">（签字）             </w:t>
      </w:r>
      <w:r>
        <w:rPr>
          <w:rFonts w:hint="eastAsia" w:hAnsi="宋体" w:eastAsia="宋体" w:cs="宋体"/>
          <w:color w:val="auto"/>
          <w:sz w:val="21"/>
          <w:highlight w:val="none"/>
        </w:rPr>
        <w:t xml:space="preserve">       法定代表人：</w:t>
      </w:r>
      <w:r>
        <w:rPr>
          <w:rFonts w:hint="eastAsia" w:hAnsi="宋体" w:eastAsia="宋体" w:cs="宋体"/>
          <w:color w:val="auto"/>
          <w:sz w:val="21"/>
          <w:highlight w:val="none"/>
          <w:u w:val="single"/>
        </w:rPr>
        <w:t xml:space="preserve">（签字）             </w:t>
      </w:r>
    </w:p>
    <w:p w14:paraId="00F18C52">
      <w:pPr>
        <w:ind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开户银行：</w:t>
      </w:r>
      <w:r>
        <w:rPr>
          <w:rFonts w:hint="eastAsia" w:hAnsi="宋体" w:eastAsia="宋体" w:cs="宋体"/>
          <w:color w:val="auto"/>
          <w:sz w:val="21"/>
          <w:highlight w:val="none"/>
          <w:u w:val="single"/>
        </w:rPr>
        <w:t xml:space="preserve">                     </w:t>
      </w:r>
      <w:r>
        <w:rPr>
          <w:rFonts w:hint="eastAsia" w:hAnsi="宋体" w:eastAsia="宋体" w:cs="宋体"/>
          <w:color w:val="auto"/>
          <w:sz w:val="21"/>
          <w:highlight w:val="none"/>
        </w:rPr>
        <w:t xml:space="preserve">       开户银行：</w:t>
      </w:r>
      <w:r>
        <w:rPr>
          <w:rFonts w:hint="eastAsia" w:hAnsi="宋体" w:eastAsia="宋体" w:cs="宋体"/>
          <w:color w:val="auto"/>
          <w:sz w:val="21"/>
          <w:highlight w:val="none"/>
          <w:u w:val="single"/>
        </w:rPr>
        <w:t xml:space="preserve">                       </w:t>
      </w:r>
    </w:p>
    <w:p w14:paraId="0EFA5DB7">
      <w:pPr>
        <w:ind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账号：</w:t>
      </w:r>
      <w:r>
        <w:rPr>
          <w:rFonts w:hint="eastAsia" w:hAnsi="宋体" w:eastAsia="宋体" w:cs="宋体"/>
          <w:color w:val="auto"/>
          <w:sz w:val="21"/>
          <w:highlight w:val="none"/>
          <w:u w:val="single"/>
        </w:rPr>
        <w:t xml:space="preserve">                         </w:t>
      </w:r>
      <w:r>
        <w:rPr>
          <w:rFonts w:hint="eastAsia" w:hAnsi="宋体" w:eastAsia="宋体" w:cs="宋体"/>
          <w:color w:val="auto"/>
          <w:sz w:val="21"/>
          <w:highlight w:val="none"/>
        </w:rPr>
        <w:t xml:space="preserve">       账号：</w:t>
      </w:r>
      <w:r>
        <w:rPr>
          <w:rFonts w:hint="eastAsia" w:hAnsi="宋体" w:eastAsia="宋体" w:cs="宋体"/>
          <w:color w:val="auto"/>
          <w:sz w:val="21"/>
          <w:highlight w:val="none"/>
          <w:u w:val="single"/>
        </w:rPr>
        <w:t xml:space="preserve">                           </w:t>
      </w:r>
    </w:p>
    <w:p w14:paraId="4D14ECD3">
      <w:pPr>
        <w:ind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电话：</w:t>
      </w:r>
      <w:r>
        <w:rPr>
          <w:rFonts w:hint="eastAsia" w:hAnsi="宋体" w:eastAsia="宋体" w:cs="宋体"/>
          <w:color w:val="auto"/>
          <w:sz w:val="21"/>
          <w:highlight w:val="none"/>
          <w:u w:val="single"/>
        </w:rPr>
        <w:t xml:space="preserve">                         </w:t>
      </w:r>
      <w:r>
        <w:rPr>
          <w:rFonts w:hint="eastAsia" w:hAnsi="宋体" w:eastAsia="宋体" w:cs="宋体"/>
          <w:color w:val="auto"/>
          <w:sz w:val="21"/>
          <w:highlight w:val="none"/>
        </w:rPr>
        <w:t xml:space="preserve">       电话：</w:t>
      </w:r>
      <w:r>
        <w:rPr>
          <w:rFonts w:hint="eastAsia" w:hAnsi="宋体" w:eastAsia="宋体" w:cs="宋体"/>
          <w:color w:val="auto"/>
          <w:sz w:val="21"/>
          <w:highlight w:val="none"/>
          <w:u w:val="single"/>
        </w:rPr>
        <w:t xml:space="preserve">                           </w:t>
      </w:r>
    </w:p>
    <w:p w14:paraId="65321B7B">
      <w:pPr>
        <w:ind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传真：</w:t>
      </w:r>
      <w:r>
        <w:rPr>
          <w:rFonts w:hint="eastAsia" w:hAnsi="宋体" w:eastAsia="宋体" w:cs="宋体"/>
          <w:color w:val="auto"/>
          <w:sz w:val="21"/>
          <w:highlight w:val="none"/>
          <w:u w:val="single"/>
        </w:rPr>
        <w:t xml:space="preserve">                         </w:t>
      </w:r>
      <w:r>
        <w:rPr>
          <w:rFonts w:hint="eastAsia" w:hAnsi="宋体" w:eastAsia="宋体" w:cs="宋体"/>
          <w:color w:val="auto"/>
          <w:sz w:val="21"/>
          <w:highlight w:val="none"/>
        </w:rPr>
        <w:t xml:space="preserve">       传真：</w:t>
      </w:r>
      <w:r>
        <w:rPr>
          <w:rFonts w:hint="eastAsia" w:hAnsi="宋体" w:eastAsia="宋体" w:cs="宋体"/>
          <w:color w:val="auto"/>
          <w:sz w:val="21"/>
          <w:highlight w:val="none"/>
          <w:u w:val="single"/>
        </w:rPr>
        <w:t xml:space="preserve">                           </w:t>
      </w:r>
    </w:p>
    <w:p w14:paraId="53AE22A6">
      <w:pPr>
        <w:ind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电子邮箱：</w:t>
      </w:r>
      <w:r>
        <w:rPr>
          <w:rFonts w:hint="eastAsia" w:hAnsi="宋体" w:eastAsia="宋体" w:cs="宋体"/>
          <w:color w:val="auto"/>
          <w:sz w:val="21"/>
          <w:highlight w:val="none"/>
          <w:u w:val="single"/>
        </w:rPr>
        <w:t xml:space="preserve">                     </w:t>
      </w:r>
      <w:r>
        <w:rPr>
          <w:rFonts w:hint="eastAsia" w:hAnsi="宋体" w:eastAsia="宋体" w:cs="宋体"/>
          <w:color w:val="auto"/>
          <w:sz w:val="21"/>
          <w:highlight w:val="none"/>
        </w:rPr>
        <w:t xml:space="preserve">       电子邮箱：</w:t>
      </w:r>
      <w:r>
        <w:rPr>
          <w:rFonts w:hint="eastAsia" w:hAnsi="宋体" w:eastAsia="宋体" w:cs="宋体"/>
          <w:color w:val="auto"/>
          <w:sz w:val="21"/>
          <w:highlight w:val="none"/>
          <w:u w:val="single"/>
        </w:rPr>
        <w:t xml:space="preserve">                       </w:t>
      </w:r>
    </w:p>
    <w:p w14:paraId="2E41D6F5">
      <w:pPr>
        <w:widowControl/>
        <w:autoSpaceDE w:val="0"/>
        <w:autoSpaceDN w:val="0"/>
        <w:snapToGrid w:val="0"/>
        <w:jc w:val="center"/>
        <w:outlineLvl w:val="1"/>
        <w:rPr>
          <w:rFonts w:hAnsi="宋体" w:eastAsia="宋体" w:cs="宋体"/>
          <w:color w:val="auto"/>
          <w:spacing w:val="4"/>
          <w:sz w:val="30"/>
          <w:szCs w:val="30"/>
          <w:highlight w:val="none"/>
        </w:rPr>
        <w:sectPr>
          <w:headerReference r:id="rId9" w:type="default"/>
          <w:footerReference r:id="rId10" w:type="default"/>
          <w:pgSz w:w="11910" w:h="16845"/>
          <w:pgMar w:top="1440" w:right="1080" w:bottom="1440" w:left="1080" w:header="0" w:footer="1035" w:gutter="0"/>
          <w:cols w:space="720" w:num="1"/>
        </w:sectPr>
      </w:pPr>
    </w:p>
    <w:p w14:paraId="29B583D7">
      <w:pPr>
        <w:widowControl/>
        <w:autoSpaceDE w:val="0"/>
        <w:autoSpaceDN w:val="0"/>
        <w:snapToGrid w:val="0"/>
        <w:jc w:val="center"/>
        <w:outlineLvl w:val="1"/>
        <w:rPr>
          <w:rFonts w:hAnsi="宋体" w:eastAsia="宋体" w:cs="宋体"/>
          <w:color w:val="auto"/>
          <w:sz w:val="21"/>
          <w:highlight w:val="none"/>
        </w:rPr>
      </w:pPr>
      <w:r>
        <w:rPr>
          <w:rFonts w:hint="eastAsia" w:hAnsi="宋体" w:eastAsia="宋体" w:cs="宋体"/>
          <w:b/>
          <w:color w:val="auto"/>
          <w:sz w:val="32"/>
          <w:szCs w:val="32"/>
          <w:highlight w:val="none"/>
        </w:rPr>
        <w:t>第二部分 标准条件</w:t>
      </w:r>
    </w:p>
    <w:p w14:paraId="004BC1F4">
      <w:pPr>
        <w:ind w:firstLine="413" w:firstLineChars="196"/>
        <w:rPr>
          <w:rFonts w:hAnsi="宋体" w:eastAsia="宋体" w:cs="宋体"/>
          <w:b/>
          <w:color w:val="auto"/>
          <w:sz w:val="21"/>
          <w:highlight w:val="none"/>
        </w:rPr>
      </w:pPr>
      <w:r>
        <w:rPr>
          <w:rFonts w:hint="eastAsia" w:hAnsi="宋体" w:eastAsia="宋体" w:cs="宋体"/>
          <w:b/>
          <w:color w:val="auto"/>
          <w:sz w:val="21"/>
          <w:highlight w:val="none"/>
        </w:rPr>
        <w:t>1、定义与解释</w:t>
      </w:r>
    </w:p>
    <w:p w14:paraId="3630B10B">
      <w:pPr>
        <w:ind w:firstLine="420" w:firstLineChars="200"/>
        <w:rPr>
          <w:rFonts w:hAnsi="宋体" w:eastAsia="宋体" w:cs="宋体"/>
          <w:color w:val="auto"/>
          <w:sz w:val="21"/>
          <w:highlight w:val="none"/>
        </w:rPr>
      </w:pPr>
      <w:r>
        <w:rPr>
          <w:rFonts w:hint="eastAsia" w:hAnsi="宋体" w:eastAsia="宋体" w:cs="宋体"/>
          <w:color w:val="auto"/>
          <w:sz w:val="21"/>
          <w:highlight w:val="none"/>
        </w:rPr>
        <w:t>1.1定义</w:t>
      </w:r>
    </w:p>
    <w:p w14:paraId="0BA479FD">
      <w:pPr>
        <w:ind w:firstLine="420" w:firstLineChars="200"/>
        <w:rPr>
          <w:rFonts w:hAnsi="宋体" w:eastAsia="宋体" w:cs="宋体"/>
          <w:color w:val="auto"/>
          <w:sz w:val="21"/>
          <w:highlight w:val="none"/>
        </w:rPr>
      </w:pPr>
      <w:r>
        <w:rPr>
          <w:rFonts w:hint="eastAsia" w:hAnsi="宋体" w:eastAsia="宋体" w:cs="宋体"/>
          <w:color w:val="auto"/>
          <w:sz w:val="21"/>
          <w:highlight w:val="none"/>
        </w:rPr>
        <w:t>除根据上下文另有其意义外，组成本合同的全部文件中的下列名词和用语应具有本款所赋予的含义：</w:t>
      </w:r>
    </w:p>
    <w:p w14:paraId="045ADA27">
      <w:pPr>
        <w:ind w:firstLine="420" w:firstLineChars="200"/>
        <w:rPr>
          <w:rFonts w:hAnsi="宋体" w:eastAsia="宋体" w:cs="宋体"/>
          <w:color w:val="auto"/>
          <w:sz w:val="21"/>
          <w:highlight w:val="none"/>
        </w:rPr>
      </w:pPr>
      <w:r>
        <w:rPr>
          <w:rFonts w:hint="eastAsia" w:hAnsi="宋体" w:eastAsia="宋体" w:cs="宋体"/>
          <w:color w:val="auto"/>
          <w:sz w:val="21"/>
          <w:highlight w:val="none"/>
        </w:rPr>
        <w:t>1.1.1“工程”是指按照本合同约定实施监理与相关服务的建设工程。</w:t>
      </w:r>
    </w:p>
    <w:p w14:paraId="47114E6A">
      <w:pPr>
        <w:ind w:firstLine="420" w:firstLineChars="200"/>
        <w:rPr>
          <w:rFonts w:hAnsi="宋体" w:eastAsia="宋体" w:cs="宋体"/>
          <w:color w:val="auto"/>
          <w:sz w:val="21"/>
          <w:highlight w:val="none"/>
        </w:rPr>
      </w:pPr>
      <w:r>
        <w:rPr>
          <w:rFonts w:hint="eastAsia" w:hAnsi="宋体" w:eastAsia="宋体" w:cs="宋体"/>
          <w:color w:val="auto"/>
          <w:sz w:val="21"/>
          <w:highlight w:val="none"/>
        </w:rPr>
        <w:t>1.1.2“委托人”是指本合同中委托监理与相关服务的一方，及其合法的继承人或受让人。</w:t>
      </w:r>
    </w:p>
    <w:p w14:paraId="1BF11653">
      <w:pPr>
        <w:ind w:firstLine="420" w:firstLineChars="200"/>
        <w:rPr>
          <w:rFonts w:hAnsi="宋体" w:eastAsia="宋体" w:cs="宋体"/>
          <w:color w:val="auto"/>
          <w:sz w:val="21"/>
          <w:highlight w:val="none"/>
        </w:rPr>
      </w:pPr>
      <w:r>
        <w:rPr>
          <w:rFonts w:hint="eastAsia" w:hAnsi="宋体" w:eastAsia="宋体" w:cs="宋体"/>
          <w:color w:val="auto"/>
          <w:sz w:val="21"/>
          <w:highlight w:val="none"/>
        </w:rPr>
        <w:t>1.1.3“监理人”是指本合同中提供监理与相关服务的一方，及其合法的继承人。</w:t>
      </w:r>
    </w:p>
    <w:p w14:paraId="6863A628">
      <w:pPr>
        <w:ind w:firstLine="420" w:firstLineChars="200"/>
        <w:rPr>
          <w:rFonts w:hAnsi="宋体" w:eastAsia="宋体" w:cs="宋体"/>
          <w:color w:val="auto"/>
          <w:sz w:val="21"/>
          <w:highlight w:val="none"/>
        </w:rPr>
      </w:pPr>
      <w:r>
        <w:rPr>
          <w:rFonts w:hint="eastAsia" w:hAnsi="宋体" w:eastAsia="宋体" w:cs="宋体"/>
          <w:color w:val="auto"/>
          <w:sz w:val="21"/>
          <w:highlight w:val="none"/>
        </w:rPr>
        <w:t>1.1.4“承包人”是指工程范围内与委托人签订勘察、设计、施工等有关合同的当事人，及其合法的继承人。</w:t>
      </w:r>
    </w:p>
    <w:p w14:paraId="53C08535">
      <w:pPr>
        <w:ind w:firstLine="420" w:firstLineChars="200"/>
        <w:rPr>
          <w:rFonts w:hAnsi="宋体" w:eastAsia="宋体" w:cs="宋体"/>
          <w:color w:val="auto"/>
          <w:sz w:val="21"/>
          <w:highlight w:val="none"/>
        </w:rPr>
      </w:pPr>
      <w:r>
        <w:rPr>
          <w:rFonts w:hint="eastAsia" w:hAnsi="宋体" w:eastAsia="宋体" w:cs="宋体"/>
          <w:color w:val="auto"/>
          <w:sz w:val="21"/>
          <w:highlight w:val="none"/>
        </w:rPr>
        <w:t>1.1.5“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3EECE34F">
      <w:pPr>
        <w:ind w:firstLine="420" w:firstLineChars="200"/>
        <w:rPr>
          <w:rFonts w:hAnsi="宋体" w:eastAsia="宋体" w:cs="宋体"/>
          <w:color w:val="auto"/>
          <w:sz w:val="21"/>
          <w:highlight w:val="none"/>
        </w:rPr>
      </w:pPr>
      <w:r>
        <w:rPr>
          <w:rFonts w:hint="eastAsia" w:hAnsi="宋体" w:eastAsia="宋体" w:cs="宋体"/>
          <w:color w:val="auto"/>
          <w:sz w:val="21"/>
          <w:highlight w:val="none"/>
        </w:rPr>
        <w:t>1.1.6“相关服务”是指监理人受委托人的委托，按照本合同约定，在勘察、设计、保修等阶段提供的服务活动。</w:t>
      </w:r>
    </w:p>
    <w:p w14:paraId="39CE47C3">
      <w:pPr>
        <w:ind w:firstLine="420" w:firstLineChars="200"/>
        <w:rPr>
          <w:rFonts w:hAnsi="宋体" w:eastAsia="宋体" w:cs="宋体"/>
          <w:color w:val="auto"/>
          <w:sz w:val="21"/>
          <w:highlight w:val="none"/>
        </w:rPr>
      </w:pPr>
      <w:r>
        <w:rPr>
          <w:rFonts w:hint="eastAsia" w:hAnsi="宋体" w:eastAsia="宋体" w:cs="宋体"/>
          <w:color w:val="auto"/>
          <w:sz w:val="21"/>
          <w:highlight w:val="none"/>
        </w:rPr>
        <w:t>1.1.7“正常工作”指本合同订立时通用条件和专用条件中约定的监理人的工作。</w:t>
      </w:r>
    </w:p>
    <w:p w14:paraId="6559E7C3">
      <w:pPr>
        <w:ind w:firstLine="420" w:firstLineChars="200"/>
        <w:rPr>
          <w:rFonts w:hAnsi="宋体" w:eastAsia="宋体" w:cs="宋体"/>
          <w:color w:val="auto"/>
          <w:sz w:val="21"/>
          <w:highlight w:val="none"/>
        </w:rPr>
      </w:pPr>
      <w:r>
        <w:rPr>
          <w:rFonts w:hint="eastAsia" w:hAnsi="宋体" w:eastAsia="宋体" w:cs="宋体"/>
          <w:color w:val="auto"/>
          <w:sz w:val="21"/>
          <w:highlight w:val="none"/>
        </w:rPr>
        <w:t>1.1.8“附加工作”指本合同约定的正常工作以外监理人的工作。</w:t>
      </w:r>
    </w:p>
    <w:p w14:paraId="50BE2154">
      <w:pPr>
        <w:ind w:firstLine="420" w:firstLineChars="200"/>
        <w:rPr>
          <w:rFonts w:hAnsi="宋体" w:eastAsia="宋体" w:cs="宋体"/>
          <w:color w:val="auto"/>
          <w:sz w:val="21"/>
          <w:highlight w:val="none"/>
        </w:rPr>
      </w:pPr>
      <w:r>
        <w:rPr>
          <w:rFonts w:hint="eastAsia" w:hAnsi="宋体" w:eastAsia="宋体" w:cs="宋体"/>
          <w:color w:val="auto"/>
          <w:sz w:val="21"/>
          <w:highlight w:val="none"/>
        </w:rPr>
        <w:t>1.1.9“项目监理机构”是指监理人派驻工程负责履行本合同的组织机构。</w:t>
      </w:r>
    </w:p>
    <w:p w14:paraId="73B98FE0">
      <w:pPr>
        <w:ind w:firstLine="420" w:firstLineChars="200"/>
        <w:rPr>
          <w:rFonts w:hAnsi="宋体" w:eastAsia="宋体" w:cs="宋体"/>
          <w:color w:val="auto"/>
          <w:sz w:val="21"/>
          <w:highlight w:val="none"/>
        </w:rPr>
      </w:pPr>
      <w:r>
        <w:rPr>
          <w:rFonts w:hint="eastAsia" w:hAnsi="宋体" w:eastAsia="宋体" w:cs="宋体"/>
          <w:color w:val="auto"/>
          <w:sz w:val="21"/>
          <w:highlight w:val="none"/>
        </w:rPr>
        <w:t>1.1.10“总监理工程师”是指监理人的法定代表人书面授权，全面负责履行本合同、主持项目监理机构工作的注册监理工程师。</w:t>
      </w:r>
    </w:p>
    <w:p w14:paraId="6DA25B75">
      <w:pPr>
        <w:ind w:firstLine="420" w:firstLineChars="200"/>
        <w:rPr>
          <w:rFonts w:hAnsi="宋体" w:eastAsia="宋体" w:cs="宋体"/>
          <w:color w:val="auto"/>
          <w:sz w:val="21"/>
          <w:highlight w:val="none"/>
        </w:rPr>
      </w:pPr>
      <w:r>
        <w:rPr>
          <w:rFonts w:hint="eastAsia" w:hAnsi="宋体" w:eastAsia="宋体" w:cs="宋体"/>
          <w:color w:val="auto"/>
          <w:sz w:val="21"/>
          <w:highlight w:val="none"/>
        </w:rPr>
        <w:t>1.1.11“酬金”是指监理人履行本合同义务，委托人按照本合同约定给付监理人的金额。</w:t>
      </w:r>
    </w:p>
    <w:p w14:paraId="2D376B9F">
      <w:pPr>
        <w:ind w:firstLine="420" w:firstLineChars="200"/>
        <w:rPr>
          <w:rFonts w:hAnsi="宋体" w:eastAsia="宋体" w:cs="宋体"/>
          <w:color w:val="auto"/>
          <w:sz w:val="21"/>
          <w:highlight w:val="none"/>
        </w:rPr>
      </w:pPr>
      <w:r>
        <w:rPr>
          <w:rFonts w:hint="eastAsia" w:hAnsi="宋体" w:eastAsia="宋体" w:cs="宋体"/>
          <w:color w:val="auto"/>
          <w:sz w:val="21"/>
          <w:highlight w:val="none"/>
        </w:rPr>
        <w:t>1.1.12“正常工作酬金”是指监理人完成正常工作，委托人应给付监理人并在协议书中载明的签订酬金额。</w:t>
      </w:r>
    </w:p>
    <w:p w14:paraId="266EE8C7">
      <w:pPr>
        <w:ind w:firstLine="420" w:firstLineChars="200"/>
        <w:rPr>
          <w:rFonts w:hAnsi="宋体" w:eastAsia="宋体" w:cs="宋体"/>
          <w:color w:val="auto"/>
          <w:sz w:val="21"/>
          <w:highlight w:val="none"/>
        </w:rPr>
      </w:pPr>
      <w:r>
        <w:rPr>
          <w:rFonts w:hint="eastAsia" w:hAnsi="宋体" w:eastAsia="宋体" w:cs="宋体"/>
          <w:color w:val="auto"/>
          <w:sz w:val="21"/>
          <w:highlight w:val="none"/>
        </w:rPr>
        <w:t>1.1.13“附加工作酬金”是指监理人完成附加工作，委托人应给付监理人金额。</w:t>
      </w:r>
    </w:p>
    <w:p w14:paraId="747A84C0">
      <w:pPr>
        <w:ind w:firstLine="420" w:firstLineChars="200"/>
        <w:rPr>
          <w:rFonts w:hAnsi="宋体" w:eastAsia="宋体" w:cs="宋体"/>
          <w:color w:val="auto"/>
          <w:sz w:val="21"/>
          <w:highlight w:val="none"/>
        </w:rPr>
      </w:pPr>
      <w:r>
        <w:rPr>
          <w:rFonts w:hint="eastAsia" w:hAnsi="宋体" w:eastAsia="宋体" w:cs="宋体"/>
          <w:color w:val="auto"/>
          <w:sz w:val="21"/>
          <w:highlight w:val="none"/>
        </w:rPr>
        <w:t>1.1.14“一方”是指委托人或监理人；“双方”是指委托人和监理人；“第三方”是指除委托人和监理人以外的有关方。</w:t>
      </w:r>
    </w:p>
    <w:p w14:paraId="31E84798">
      <w:pPr>
        <w:ind w:firstLine="420" w:firstLineChars="200"/>
        <w:rPr>
          <w:rFonts w:hAnsi="宋体" w:eastAsia="宋体" w:cs="宋体"/>
          <w:color w:val="auto"/>
          <w:sz w:val="21"/>
          <w:highlight w:val="none"/>
        </w:rPr>
      </w:pPr>
      <w:r>
        <w:rPr>
          <w:rFonts w:hint="eastAsia" w:hAnsi="宋体" w:eastAsia="宋体" w:cs="宋体"/>
          <w:color w:val="auto"/>
          <w:sz w:val="21"/>
          <w:highlight w:val="none"/>
        </w:rPr>
        <w:t>1.1.15“书面形式”是指合同书、信件和数据电文（包括电报、电传、传真、电子数据交换和电子邮件）等可以有形地表现所载内容的形式。</w:t>
      </w:r>
    </w:p>
    <w:p w14:paraId="24585C9A">
      <w:pPr>
        <w:ind w:firstLine="420" w:firstLineChars="200"/>
        <w:rPr>
          <w:rFonts w:hAnsi="宋体" w:eastAsia="宋体" w:cs="宋体"/>
          <w:color w:val="auto"/>
          <w:sz w:val="21"/>
          <w:highlight w:val="none"/>
        </w:rPr>
      </w:pPr>
      <w:r>
        <w:rPr>
          <w:rFonts w:hint="eastAsia" w:hAnsi="宋体" w:eastAsia="宋体" w:cs="宋体"/>
          <w:color w:val="auto"/>
          <w:sz w:val="21"/>
          <w:highlight w:val="none"/>
        </w:rPr>
        <w:t>1.1.16“天”是指第一天零时至第二天零时的时间。</w:t>
      </w:r>
    </w:p>
    <w:p w14:paraId="6337F323">
      <w:pPr>
        <w:ind w:firstLine="420" w:firstLineChars="200"/>
        <w:rPr>
          <w:rFonts w:hAnsi="宋体" w:eastAsia="宋体" w:cs="宋体"/>
          <w:color w:val="auto"/>
          <w:sz w:val="21"/>
          <w:highlight w:val="none"/>
        </w:rPr>
      </w:pPr>
      <w:r>
        <w:rPr>
          <w:rFonts w:hint="eastAsia" w:hAnsi="宋体" w:eastAsia="宋体" w:cs="宋体"/>
          <w:color w:val="auto"/>
          <w:sz w:val="21"/>
          <w:highlight w:val="none"/>
        </w:rPr>
        <w:t>1.1.17“月”是指按公历从一个月中任何一天开始的一个公历月时间。</w:t>
      </w:r>
    </w:p>
    <w:p w14:paraId="240F1B69">
      <w:pPr>
        <w:ind w:firstLine="420" w:firstLineChars="200"/>
        <w:rPr>
          <w:rFonts w:hAnsi="宋体" w:eastAsia="宋体" w:cs="宋体"/>
          <w:color w:val="auto"/>
          <w:sz w:val="21"/>
          <w:highlight w:val="none"/>
        </w:rPr>
      </w:pPr>
      <w:r>
        <w:rPr>
          <w:rFonts w:hint="eastAsia" w:hAnsi="宋体" w:eastAsia="宋体" w:cs="宋体"/>
          <w:color w:val="auto"/>
          <w:sz w:val="21"/>
          <w:highlight w:val="none"/>
        </w:rPr>
        <w:t>1.1.18“不可抗力”是指委托人和监理人在订立本合同时不可预见，在工程施工过程中不可避免发生并不能克服的自然灾难和社会性突发事件，如地震、海啸、瘟疫、水灾、骚乱、暴动、战争和专用条件约定的其他情形。</w:t>
      </w:r>
    </w:p>
    <w:p w14:paraId="6F9AD358">
      <w:pPr>
        <w:ind w:firstLine="420" w:firstLineChars="200"/>
        <w:rPr>
          <w:rFonts w:hAnsi="宋体" w:eastAsia="宋体" w:cs="宋体"/>
          <w:color w:val="auto"/>
          <w:sz w:val="21"/>
          <w:highlight w:val="none"/>
        </w:rPr>
      </w:pPr>
      <w:r>
        <w:rPr>
          <w:rFonts w:hint="eastAsia" w:hAnsi="宋体" w:eastAsia="宋体" w:cs="宋体"/>
          <w:color w:val="auto"/>
          <w:sz w:val="21"/>
          <w:highlight w:val="none"/>
        </w:rPr>
        <w:t>1.2解释</w:t>
      </w:r>
    </w:p>
    <w:p w14:paraId="61EFF45E">
      <w:pPr>
        <w:ind w:firstLine="420" w:firstLineChars="200"/>
        <w:rPr>
          <w:rFonts w:hAnsi="宋体" w:eastAsia="宋体" w:cs="宋体"/>
          <w:color w:val="auto"/>
          <w:sz w:val="21"/>
          <w:highlight w:val="none"/>
        </w:rPr>
      </w:pPr>
      <w:r>
        <w:rPr>
          <w:rFonts w:hint="eastAsia" w:hAnsi="宋体" w:eastAsia="宋体" w:cs="宋体"/>
          <w:color w:val="auto"/>
          <w:sz w:val="21"/>
          <w:highlight w:val="none"/>
        </w:rPr>
        <w:t>1.2.1本合同使用中文书写、解释和说明。如专用条件约定使用两种及以上语言文字时，应以中文为准。</w:t>
      </w:r>
    </w:p>
    <w:p w14:paraId="678B4AFA">
      <w:pPr>
        <w:ind w:firstLine="420" w:firstLineChars="200"/>
        <w:rPr>
          <w:rFonts w:hAnsi="宋体" w:eastAsia="宋体" w:cs="宋体"/>
          <w:color w:val="auto"/>
          <w:sz w:val="21"/>
          <w:highlight w:val="none"/>
        </w:rPr>
      </w:pPr>
      <w:r>
        <w:rPr>
          <w:rFonts w:hint="eastAsia" w:hAnsi="宋体" w:eastAsia="宋体" w:cs="宋体"/>
          <w:color w:val="auto"/>
          <w:sz w:val="21"/>
          <w:highlight w:val="none"/>
        </w:rPr>
        <w:t>1.2.2组成本合同的下列文件彼此应能相互解释、互为说明。除专用条件另有约定外，本合同文件的解释顺序如下：</w:t>
      </w:r>
    </w:p>
    <w:p w14:paraId="2E68032C">
      <w:pPr>
        <w:ind w:firstLine="420" w:firstLineChars="200"/>
        <w:rPr>
          <w:rFonts w:hAnsi="宋体" w:eastAsia="宋体" w:cs="宋体"/>
          <w:color w:val="auto"/>
          <w:sz w:val="21"/>
          <w:highlight w:val="none"/>
        </w:rPr>
      </w:pPr>
      <w:r>
        <w:rPr>
          <w:rFonts w:hint="eastAsia" w:hAnsi="宋体" w:eastAsia="宋体" w:cs="宋体"/>
          <w:color w:val="auto"/>
          <w:sz w:val="21"/>
          <w:highlight w:val="none"/>
        </w:rPr>
        <w:t>（1）协议书；</w:t>
      </w:r>
    </w:p>
    <w:p w14:paraId="696A29EA">
      <w:pPr>
        <w:ind w:firstLine="420" w:firstLineChars="200"/>
        <w:rPr>
          <w:rFonts w:hAnsi="宋体" w:eastAsia="宋体" w:cs="宋体"/>
          <w:color w:val="auto"/>
          <w:sz w:val="21"/>
          <w:highlight w:val="none"/>
        </w:rPr>
      </w:pPr>
      <w:r>
        <w:rPr>
          <w:rFonts w:hint="eastAsia" w:hAnsi="宋体" w:eastAsia="宋体" w:cs="宋体"/>
          <w:color w:val="auto"/>
          <w:sz w:val="21"/>
          <w:highlight w:val="none"/>
        </w:rPr>
        <w:t>（2）中标（成交）通知书（适用于招标工程）或委托书（适用于非招标工程）；</w:t>
      </w:r>
    </w:p>
    <w:p w14:paraId="02D27448">
      <w:pPr>
        <w:ind w:firstLine="420" w:firstLineChars="200"/>
        <w:rPr>
          <w:rFonts w:hAnsi="宋体" w:eastAsia="宋体" w:cs="宋体"/>
          <w:color w:val="auto"/>
          <w:sz w:val="21"/>
          <w:highlight w:val="none"/>
        </w:rPr>
      </w:pPr>
      <w:r>
        <w:rPr>
          <w:rFonts w:hint="eastAsia" w:hAnsi="宋体" w:eastAsia="宋体" w:cs="宋体"/>
          <w:color w:val="auto"/>
          <w:sz w:val="21"/>
          <w:highlight w:val="none"/>
        </w:rPr>
        <w:t>（3）专用条件及附录A、附录B；</w:t>
      </w:r>
    </w:p>
    <w:p w14:paraId="5E6C6C5C">
      <w:pPr>
        <w:ind w:firstLine="420" w:firstLineChars="200"/>
        <w:rPr>
          <w:rFonts w:hAnsi="宋体" w:eastAsia="宋体" w:cs="宋体"/>
          <w:color w:val="auto"/>
          <w:sz w:val="21"/>
          <w:highlight w:val="none"/>
        </w:rPr>
      </w:pPr>
      <w:r>
        <w:rPr>
          <w:rFonts w:hint="eastAsia" w:hAnsi="宋体" w:eastAsia="宋体" w:cs="宋体"/>
          <w:color w:val="auto"/>
          <w:sz w:val="21"/>
          <w:highlight w:val="none"/>
        </w:rPr>
        <w:t>（4）通用条件；</w:t>
      </w:r>
    </w:p>
    <w:p w14:paraId="4D0DD73C">
      <w:pPr>
        <w:ind w:firstLine="420" w:firstLineChars="200"/>
        <w:rPr>
          <w:rFonts w:hAnsi="宋体" w:eastAsia="宋体" w:cs="宋体"/>
          <w:color w:val="auto"/>
          <w:sz w:val="21"/>
          <w:highlight w:val="none"/>
        </w:rPr>
      </w:pPr>
      <w:r>
        <w:rPr>
          <w:rFonts w:hint="eastAsia" w:hAnsi="宋体" w:eastAsia="宋体" w:cs="宋体"/>
          <w:color w:val="auto"/>
          <w:sz w:val="21"/>
          <w:highlight w:val="none"/>
        </w:rPr>
        <w:t>（5）投标文件（适用于招标工程）或监理与相关服务建议书（适用于非招标工程）。</w:t>
      </w:r>
    </w:p>
    <w:p w14:paraId="6D543829">
      <w:pPr>
        <w:ind w:firstLine="420" w:firstLineChars="200"/>
        <w:rPr>
          <w:rFonts w:hAnsi="宋体" w:eastAsia="宋体" w:cs="宋体"/>
          <w:color w:val="auto"/>
          <w:sz w:val="21"/>
          <w:highlight w:val="none"/>
        </w:rPr>
      </w:pPr>
      <w:r>
        <w:rPr>
          <w:rFonts w:hint="eastAsia" w:hAnsi="宋体" w:eastAsia="宋体" w:cs="宋体"/>
          <w:color w:val="auto"/>
          <w:sz w:val="21"/>
          <w:highlight w:val="none"/>
        </w:rPr>
        <w:t>双方签订的补充协议与其他文件发生矛盾或歧义时，属于同一类内容的文件，应以最新签署的为准。</w:t>
      </w:r>
    </w:p>
    <w:p w14:paraId="5C5AB91F">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2、监理人的义务</w:t>
      </w:r>
    </w:p>
    <w:p w14:paraId="7FC68ECC">
      <w:pPr>
        <w:ind w:firstLine="420" w:firstLineChars="200"/>
        <w:rPr>
          <w:rFonts w:hAnsi="宋体" w:eastAsia="宋体" w:cs="宋体"/>
          <w:color w:val="auto"/>
          <w:sz w:val="21"/>
          <w:highlight w:val="none"/>
        </w:rPr>
      </w:pPr>
      <w:r>
        <w:rPr>
          <w:rFonts w:hint="eastAsia" w:hAnsi="宋体" w:eastAsia="宋体" w:cs="宋体"/>
          <w:color w:val="auto"/>
          <w:sz w:val="21"/>
          <w:highlight w:val="none"/>
        </w:rPr>
        <w:t>2.1监理的范围和工作内容</w:t>
      </w:r>
    </w:p>
    <w:p w14:paraId="337AD016">
      <w:pPr>
        <w:ind w:firstLine="420" w:firstLineChars="200"/>
        <w:rPr>
          <w:rFonts w:hAnsi="宋体" w:eastAsia="宋体" w:cs="宋体"/>
          <w:color w:val="auto"/>
          <w:sz w:val="21"/>
          <w:highlight w:val="none"/>
        </w:rPr>
      </w:pPr>
      <w:r>
        <w:rPr>
          <w:rFonts w:hint="eastAsia" w:hAnsi="宋体" w:eastAsia="宋体" w:cs="宋体"/>
          <w:color w:val="auto"/>
          <w:sz w:val="21"/>
          <w:highlight w:val="none"/>
        </w:rPr>
        <w:t>2.1.1监理范围在专用条件中约定。</w:t>
      </w:r>
    </w:p>
    <w:p w14:paraId="06CFEE13">
      <w:pPr>
        <w:ind w:firstLine="420" w:firstLineChars="200"/>
        <w:rPr>
          <w:rFonts w:hAnsi="宋体" w:eastAsia="宋体" w:cs="宋体"/>
          <w:color w:val="auto"/>
          <w:sz w:val="21"/>
          <w:highlight w:val="none"/>
        </w:rPr>
      </w:pPr>
      <w:r>
        <w:rPr>
          <w:rFonts w:hint="eastAsia" w:hAnsi="宋体" w:eastAsia="宋体" w:cs="宋体"/>
          <w:color w:val="auto"/>
          <w:sz w:val="21"/>
          <w:highlight w:val="none"/>
        </w:rPr>
        <w:t>2.1.2除专用条件另有约定外，监理工作内容包括：</w:t>
      </w:r>
    </w:p>
    <w:p w14:paraId="4354971B">
      <w:pPr>
        <w:ind w:firstLine="420" w:firstLineChars="200"/>
        <w:rPr>
          <w:rFonts w:hAnsi="宋体" w:eastAsia="宋体" w:cs="宋体"/>
          <w:color w:val="auto"/>
          <w:sz w:val="21"/>
          <w:highlight w:val="none"/>
        </w:rPr>
      </w:pPr>
      <w:r>
        <w:rPr>
          <w:rFonts w:hint="eastAsia" w:hAnsi="宋体" w:eastAsia="宋体" w:cs="宋体"/>
          <w:color w:val="auto"/>
          <w:sz w:val="21"/>
          <w:highlight w:val="none"/>
        </w:rPr>
        <w:t>（1）收到工程设计文件后编制监理规划，并在第一次工地会议7天前报委托人。根据有关规定和监理工作需要，编制监理实施细则；</w:t>
      </w:r>
    </w:p>
    <w:p w14:paraId="481ACF85">
      <w:pPr>
        <w:ind w:firstLine="420" w:firstLineChars="200"/>
        <w:rPr>
          <w:rFonts w:hAnsi="宋体" w:eastAsia="宋体" w:cs="宋体"/>
          <w:color w:val="auto"/>
          <w:sz w:val="21"/>
          <w:highlight w:val="none"/>
        </w:rPr>
      </w:pPr>
      <w:r>
        <w:rPr>
          <w:rFonts w:hint="eastAsia" w:hAnsi="宋体" w:eastAsia="宋体" w:cs="宋体"/>
          <w:color w:val="auto"/>
          <w:sz w:val="21"/>
          <w:highlight w:val="none"/>
        </w:rPr>
        <w:t>（2）熟悉工程设计文件，并参加由委托人主持的图纸会审和设计交底会议；</w:t>
      </w:r>
    </w:p>
    <w:p w14:paraId="6B17875A">
      <w:pPr>
        <w:ind w:firstLine="420" w:firstLineChars="200"/>
        <w:rPr>
          <w:rFonts w:hAnsi="宋体" w:eastAsia="宋体" w:cs="宋体"/>
          <w:color w:val="auto"/>
          <w:sz w:val="21"/>
          <w:highlight w:val="none"/>
        </w:rPr>
      </w:pPr>
      <w:r>
        <w:rPr>
          <w:rFonts w:hint="eastAsia" w:hAnsi="宋体" w:eastAsia="宋体" w:cs="宋体"/>
          <w:color w:val="auto"/>
          <w:sz w:val="21"/>
          <w:highlight w:val="none"/>
        </w:rPr>
        <w:t>（3）参加由委托人主持的第一次工地会议，主持监理例会并根据工程需要主持或参加专题会议；</w:t>
      </w:r>
    </w:p>
    <w:p w14:paraId="615375A1">
      <w:pPr>
        <w:ind w:firstLine="420" w:firstLineChars="200"/>
        <w:rPr>
          <w:rFonts w:hAnsi="宋体" w:eastAsia="宋体" w:cs="宋体"/>
          <w:color w:val="auto"/>
          <w:sz w:val="21"/>
          <w:highlight w:val="none"/>
        </w:rPr>
      </w:pPr>
      <w:r>
        <w:rPr>
          <w:rFonts w:hint="eastAsia" w:hAnsi="宋体" w:eastAsia="宋体" w:cs="宋体"/>
          <w:color w:val="auto"/>
          <w:sz w:val="21"/>
          <w:highlight w:val="none"/>
        </w:rPr>
        <w:t>（4）审查施工承包人提交的施工组织设计，重点审查其中的质量安全技术措施、专项施工方案与工程建设强制性标准的符合性；</w:t>
      </w:r>
    </w:p>
    <w:p w14:paraId="2632B0C2">
      <w:pPr>
        <w:ind w:firstLine="420" w:firstLineChars="200"/>
        <w:rPr>
          <w:rFonts w:hAnsi="宋体" w:eastAsia="宋体" w:cs="宋体"/>
          <w:color w:val="auto"/>
          <w:sz w:val="21"/>
          <w:highlight w:val="none"/>
        </w:rPr>
      </w:pPr>
      <w:r>
        <w:rPr>
          <w:rFonts w:hint="eastAsia" w:hAnsi="宋体" w:eastAsia="宋体" w:cs="宋体"/>
          <w:color w:val="auto"/>
          <w:sz w:val="21"/>
          <w:highlight w:val="none"/>
        </w:rPr>
        <w:t>（5）检查施工承包人工程质量、安全生产管理制度及组织机构和人员资格；</w:t>
      </w:r>
    </w:p>
    <w:p w14:paraId="4977AD78">
      <w:pPr>
        <w:ind w:firstLine="420" w:firstLineChars="200"/>
        <w:rPr>
          <w:rFonts w:hAnsi="宋体" w:eastAsia="宋体" w:cs="宋体"/>
          <w:color w:val="auto"/>
          <w:sz w:val="21"/>
          <w:highlight w:val="none"/>
        </w:rPr>
      </w:pPr>
      <w:r>
        <w:rPr>
          <w:rFonts w:hint="eastAsia" w:hAnsi="宋体" w:eastAsia="宋体" w:cs="宋体"/>
          <w:color w:val="auto"/>
          <w:sz w:val="21"/>
          <w:highlight w:val="none"/>
        </w:rPr>
        <w:t>（6）检查施工承包人专职安全生产管理人员的配备情况；</w:t>
      </w:r>
    </w:p>
    <w:p w14:paraId="3B52983E">
      <w:pPr>
        <w:ind w:firstLine="420" w:firstLineChars="200"/>
        <w:rPr>
          <w:rFonts w:hAnsi="宋体" w:eastAsia="宋体" w:cs="宋体"/>
          <w:color w:val="auto"/>
          <w:sz w:val="21"/>
          <w:highlight w:val="none"/>
        </w:rPr>
      </w:pPr>
      <w:r>
        <w:rPr>
          <w:rFonts w:hint="eastAsia" w:hAnsi="宋体" w:eastAsia="宋体" w:cs="宋体"/>
          <w:color w:val="auto"/>
          <w:sz w:val="21"/>
          <w:highlight w:val="none"/>
        </w:rPr>
        <w:t>（7）审查施工承包人提交的施工进度计划，核查承包人对施工进度计划的调整；</w:t>
      </w:r>
    </w:p>
    <w:p w14:paraId="53395CDC">
      <w:pPr>
        <w:ind w:firstLine="420" w:firstLineChars="200"/>
        <w:rPr>
          <w:rFonts w:hAnsi="宋体" w:eastAsia="宋体" w:cs="宋体"/>
          <w:color w:val="auto"/>
          <w:sz w:val="21"/>
          <w:highlight w:val="none"/>
        </w:rPr>
      </w:pPr>
      <w:r>
        <w:rPr>
          <w:rFonts w:hint="eastAsia" w:hAnsi="宋体" w:eastAsia="宋体" w:cs="宋体"/>
          <w:color w:val="auto"/>
          <w:sz w:val="21"/>
          <w:highlight w:val="none"/>
        </w:rPr>
        <w:t>（8）检查施工承包人的试验室；</w:t>
      </w:r>
    </w:p>
    <w:p w14:paraId="099C9B9E">
      <w:pPr>
        <w:ind w:firstLine="420" w:firstLineChars="200"/>
        <w:rPr>
          <w:rFonts w:hAnsi="宋体" w:eastAsia="宋体" w:cs="宋体"/>
          <w:color w:val="auto"/>
          <w:sz w:val="21"/>
          <w:highlight w:val="none"/>
        </w:rPr>
      </w:pPr>
      <w:r>
        <w:rPr>
          <w:rFonts w:hint="eastAsia" w:hAnsi="宋体" w:eastAsia="宋体" w:cs="宋体"/>
          <w:color w:val="auto"/>
          <w:sz w:val="21"/>
          <w:highlight w:val="none"/>
        </w:rPr>
        <w:t>（9）审核施工分包人资质条件；</w:t>
      </w:r>
    </w:p>
    <w:p w14:paraId="4AA4B2FD">
      <w:pPr>
        <w:ind w:firstLine="420" w:firstLineChars="200"/>
        <w:rPr>
          <w:rFonts w:hAnsi="宋体" w:eastAsia="宋体" w:cs="宋体"/>
          <w:color w:val="auto"/>
          <w:sz w:val="21"/>
          <w:highlight w:val="none"/>
        </w:rPr>
      </w:pPr>
      <w:r>
        <w:rPr>
          <w:rFonts w:hint="eastAsia" w:hAnsi="宋体" w:eastAsia="宋体" w:cs="宋体"/>
          <w:color w:val="auto"/>
          <w:sz w:val="21"/>
          <w:highlight w:val="none"/>
        </w:rPr>
        <w:t>（10）查验施工承包人的施工测量放线成果；</w:t>
      </w:r>
    </w:p>
    <w:p w14:paraId="3F50EF8F">
      <w:pPr>
        <w:ind w:firstLine="420" w:firstLineChars="200"/>
        <w:rPr>
          <w:rFonts w:hAnsi="宋体" w:eastAsia="宋体" w:cs="宋体"/>
          <w:color w:val="auto"/>
          <w:sz w:val="21"/>
          <w:highlight w:val="none"/>
        </w:rPr>
      </w:pPr>
      <w:r>
        <w:rPr>
          <w:rFonts w:hint="eastAsia" w:hAnsi="宋体" w:eastAsia="宋体" w:cs="宋体"/>
          <w:color w:val="auto"/>
          <w:sz w:val="21"/>
          <w:highlight w:val="none"/>
        </w:rPr>
        <w:t>（11）审查工程开工条件，对条件具备的签发开工令；</w:t>
      </w:r>
    </w:p>
    <w:p w14:paraId="35003735">
      <w:pPr>
        <w:ind w:firstLine="420" w:firstLineChars="200"/>
        <w:rPr>
          <w:rFonts w:hAnsi="宋体" w:eastAsia="宋体" w:cs="宋体"/>
          <w:color w:val="auto"/>
          <w:sz w:val="21"/>
          <w:highlight w:val="none"/>
        </w:rPr>
      </w:pPr>
      <w:r>
        <w:rPr>
          <w:rFonts w:hint="eastAsia" w:hAnsi="宋体" w:eastAsia="宋体" w:cs="宋体"/>
          <w:color w:val="auto"/>
          <w:sz w:val="21"/>
          <w:highlight w:val="none"/>
        </w:rPr>
        <w:t>（12）审查施工承包人报送的工程材料、构配件、设备质量证明文件的有效性和符合性，并按规定对用于工程的材料采取平行检验或见证取样方式进行抽检；</w:t>
      </w:r>
    </w:p>
    <w:p w14:paraId="6765BF6A">
      <w:pPr>
        <w:ind w:firstLine="420" w:firstLineChars="200"/>
        <w:rPr>
          <w:rFonts w:hAnsi="宋体" w:eastAsia="宋体" w:cs="宋体"/>
          <w:color w:val="auto"/>
          <w:sz w:val="21"/>
          <w:highlight w:val="none"/>
        </w:rPr>
      </w:pPr>
      <w:r>
        <w:rPr>
          <w:rFonts w:hint="eastAsia" w:hAnsi="宋体" w:eastAsia="宋体" w:cs="宋体"/>
          <w:color w:val="auto"/>
          <w:sz w:val="21"/>
          <w:highlight w:val="none"/>
        </w:rPr>
        <w:t>（13）审核施工承包人提交的工程款支付申请，签发或出具工程款支付证书，并报委托人审核、批准；</w:t>
      </w:r>
    </w:p>
    <w:p w14:paraId="1787C4C7">
      <w:pPr>
        <w:ind w:firstLine="420" w:firstLineChars="200"/>
        <w:rPr>
          <w:rFonts w:hAnsi="宋体" w:eastAsia="宋体" w:cs="宋体"/>
          <w:color w:val="auto"/>
          <w:sz w:val="21"/>
          <w:highlight w:val="none"/>
        </w:rPr>
      </w:pPr>
      <w:r>
        <w:rPr>
          <w:rFonts w:hint="eastAsia" w:hAnsi="宋体" w:eastAsia="宋体" w:cs="宋体"/>
          <w:color w:val="auto"/>
          <w:sz w:val="21"/>
          <w:highlight w:val="none"/>
        </w:rPr>
        <w:t>（14）在巡视、旁站和检验过程中，发现工程质量、施工安全存在事故隐患的，要求施工承包人整改并报委托人；</w:t>
      </w:r>
    </w:p>
    <w:p w14:paraId="7CF8EB2E">
      <w:pPr>
        <w:ind w:firstLine="420" w:firstLineChars="200"/>
        <w:rPr>
          <w:rFonts w:hAnsi="宋体" w:eastAsia="宋体" w:cs="宋体"/>
          <w:color w:val="auto"/>
          <w:sz w:val="21"/>
          <w:highlight w:val="none"/>
        </w:rPr>
      </w:pPr>
      <w:r>
        <w:rPr>
          <w:rFonts w:hint="eastAsia" w:hAnsi="宋体" w:eastAsia="宋体" w:cs="宋体"/>
          <w:color w:val="auto"/>
          <w:sz w:val="21"/>
          <w:highlight w:val="none"/>
        </w:rPr>
        <w:t>（15）经委托人同意，签发工程暂停令和复工令；</w:t>
      </w:r>
    </w:p>
    <w:p w14:paraId="71C1BA39">
      <w:pPr>
        <w:ind w:firstLine="420" w:firstLineChars="200"/>
        <w:rPr>
          <w:rFonts w:hAnsi="宋体" w:eastAsia="宋体" w:cs="宋体"/>
          <w:color w:val="auto"/>
          <w:sz w:val="21"/>
          <w:highlight w:val="none"/>
        </w:rPr>
      </w:pPr>
      <w:r>
        <w:rPr>
          <w:rFonts w:hint="eastAsia" w:hAnsi="宋体" w:eastAsia="宋体" w:cs="宋体"/>
          <w:color w:val="auto"/>
          <w:sz w:val="21"/>
          <w:highlight w:val="none"/>
        </w:rPr>
        <w:t>（16）审查施工承包人提交的采用新材料、新工艺、新技术、新设备的认证材料及相关验收标准；</w:t>
      </w:r>
    </w:p>
    <w:p w14:paraId="7D73F664">
      <w:pPr>
        <w:ind w:firstLine="420" w:firstLineChars="200"/>
        <w:rPr>
          <w:rFonts w:hAnsi="宋体" w:eastAsia="宋体" w:cs="宋体"/>
          <w:color w:val="auto"/>
          <w:sz w:val="21"/>
          <w:highlight w:val="none"/>
        </w:rPr>
      </w:pPr>
      <w:r>
        <w:rPr>
          <w:rFonts w:hint="eastAsia" w:hAnsi="宋体" w:eastAsia="宋体" w:cs="宋体"/>
          <w:color w:val="auto"/>
          <w:sz w:val="21"/>
          <w:highlight w:val="none"/>
        </w:rPr>
        <w:t>（17）验收隐蔽工程、分部分项工程；</w:t>
      </w:r>
    </w:p>
    <w:p w14:paraId="28E7DCBE">
      <w:pPr>
        <w:ind w:firstLine="420" w:firstLineChars="200"/>
        <w:rPr>
          <w:rFonts w:hAnsi="宋体" w:eastAsia="宋体" w:cs="宋体"/>
          <w:color w:val="auto"/>
          <w:sz w:val="21"/>
          <w:highlight w:val="none"/>
        </w:rPr>
      </w:pPr>
      <w:r>
        <w:rPr>
          <w:rFonts w:hint="eastAsia" w:hAnsi="宋体" w:eastAsia="宋体" w:cs="宋体"/>
          <w:color w:val="auto"/>
          <w:sz w:val="21"/>
          <w:highlight w:val="none"/>
        </w:rPr>
        <w:t>（18）审查施工承包人提交的工程变更申请，协调处理施工进度调整、费用索赔、合同争议等事项；</w:t>
      </w:r>
    </w:p>
    <w:p w14:paraId="7C2769E4">
      <w:pPr>
        <w:ind w:firstLine="420" w:firstLineChars="200"/>
        <w:rPr>
          <w:rFonts w:hAnsi="宋体" w:eastAsia="宋体" w:cs="宋体"/>
          <w:color w:val="auto"/>
          <w:sz w:val="21"/>
          <w:highlight w:val="none"/>
        </w:rPr>
      </w:pPr>
      <w:r>
        <w:rPr>
          <w:rFonts w:hint="eastAsia" w:hAnsi="宋体" w:eastAsia="宋体" w:cs="宋体"/>
          <w:color w:val="auto"/>
          <w:sz w:val="21"/>
          <w:highlight w:val="none"/>
        </w:rPr>
        <w:t>（19）审查施工承包人提交的竣工验收申请，编写工程质量评估报告；</w:t>
      </w:r>
    </w:p>
    <w:p w14:paraId="76DFC236">
      <w:pPr>
        <w:ind w:firstLine="420" w:firstLineChars="200"/>
        <w:rPr>
          <w:rFonts w:hAnsi="宋体" w:eastAsia="宋体" w:cs="宋体"/>
          <w:color w:val="auto"/>
          <w:sz w:val="21"/>
          <w:highlight w:val="none"/>
        </w:rPr>
      </w:pPr>
      <w:r>
        <w:rPr>
          <w:rFonts w:hint="eastAsia" w:hAnsi="宋体" w:eastAsia="宋体" w:cs="宋体"/>
          <w:color w:val="auto"/>
          <w:sz w:val="21"/>
          <w:highlight w:val="none"/>
        </w:rPr>
        <w:t>（20）参加工程竣工验收，签署竣工验收意见；</w:t>
      </w:r>
    </w:p>
    <w:p w14:paraId="059B3654">
      <w:pPr>
        <w:ind w:firstLine="420" w:firstLineChars="200"/>
        <w:rPr>
          <w:rFonts w:hAnsi="宋体" w:eastAsia="宋体" w:cs="宋体"/>
          <w:color w:val="auto"/>
          <w:sz w:val="21"/>
          <w:highlight w:val="none"/>
        </w:rPr>
      </w:pPr>
      <w:r>
        <w:rPr>
          <w:rFonts w:hint="eastAsia" w:hAnsi="宋体" w:eastAsia="宋体" w:cs="宋体"/>
          <w:color w:val="auto"/>
          <w:sz w:val="21"/>
          <w:highlight w:val="none"/>
        </w:rPr>
        <w:t>（21）审查施工承包人提交的竣工结算申请并报委托人；</w:t>
      </w:r>
    </w:p>
    <w:p w14:paraId="22423F16">
      <w:pPr>
        <w:ind w:firstLine="420" w:firstLineChars="200"/>
        <w:rPr>
          <w:rFonts w:hAnsi="宋体" w:eastAsia="宋体" w:cs="宋体"/>
          <w:color w:val="auto"/>
          <w:sz w:val="21"/>
          <w:highlight w:val="none"/>
        </w:rPr>
      </w:pPr>
      <w:r>
        <w:rPr>
          <w:rFonts w:hint="eastAsia" w:hAnsi="宋体" w:eastAsia="宋体" w:cs="宋体"/>
          <w:color w:val="auto"/>
          <w:sz w:val="21"/>
          <w:highlight w:val="none"/>
        </w:rPr>
        <w:t>（22）编制、整理工程监理归档文件并报委托人。</w:t>
      </w:r>
    </w:p>
    <w:p w14:paraId="09DFEE87">
      <w:pPr>
        <w:ind w:firstLine="420" w:firstLineChars="200"/>
        <w:rPr>
          <w:rFonts w:hAnsi="宋体" w:eastAsia="宋体" w:cs="宋体"/>
          <w:color w:val="auto"/>
          <w:sz w:val="21"/>
          <w:highlight w:val="none"/>
        </w:rPr>
      </w:pPr>
      <w:r>
        <w:rPr>
          <w:rFonts w:hint="eastAsia" w:hAnsi="宋体" w:eastAsia="宋体" w:cs="宋体"/>
          <w:color w:val="auto"/>
          <w:sz w:val="21"/>
          <w:highlight w:val="none"/>
        </w:rPr>
        <w:t>2.1.3相关服务的范围和内容在附录A中约定。</w:t>
      </w:r>
    </w:p>
    <w:p w14:paraId="66A46197">
      <w:pPr>
        <w:ind w:firstLine="420" w:firstLineChars="200"/>
        <w:rPr>
          <w:rFonts w:hAnsi="宋体" w:eastAsia="宋体" w:cs="宋体"/>
          <w:color w:val="auto"/>
          <w:sz w:val="21"/>
          <w:highlight w:val="none"/>
        </w:rPr>
      </w:pPr>
      <w:r>
        <w:rPr>
          <w:rFonts w:hint="eastAsia" w:hAnsi="宋体" w:eastAsia="宋体" w:cs="宋体"/>
          <w:color w:val="auto"/>
          <w:sz w:val="21"/>
          <w:highlight w:val="none"/>
        </w:rPr>
        <w:t>2.2监理与相关服务依据</w:t>
      </w:r>
    </w:p>
    <w:p w14:paraId="35E399DB">
      <w:pPr>
        <w:ind w:firstLine="420" w:firstLineChars="200"/>
        <w:rPr>
          <w:rFonts w:hAnsi="宋体" w:eastAsia="宋体" w:cs="宋体"/>
          <w:color w:val="auto"/>
          <w:sz w:val="21"/>
          <w:highlight w:val="none"/>
        </w:rPr>
      </w:pPr>
      <w:r>
        <w:rPr>
          <w:rFonts w:hint="eastAsia" w:hAnsi="宋体" w:eastAsia="宋体" w:cs="宋体"/>
          <w:color w:val="auto"/>
          <w:sz w:val="21"/>
          <w:highlight w:val="none"/>
        </w:rPr>
        <w:t>2.2.1监理依据包括：</w:t>
      </w:r>
    </w:p>
    <w:p w14:paraId="3E783521">
      <w:pPr>
        <w:ind w:firstLine="420" w:firstLineChars="200"/>
        <w:rPr>
          <w:rFonts w:hAnsi="宋体" w:eastAsia="宋体" w:cs="宋体"/>
          <w:color w:val="auto"/>
          <w:sz w:val="21"/>
          <w:highlight w:val="none"/>
        </w:rPr>
      </w:pPr>
      <w:r>
        <w:rPr>
          <w:rFonts w:hint="eastAsia" w:hAnsi="宋体" w:eastAsia="宋体" w:cs="宋体"/>
          <w:color w:val="auto"/>
          <w:sz w:val="21"/>
          <w:highlight w:val="none"/>
        </w:rPr>
        <w:t>（1）适用的法律、行政法规及部门规章；</w:t>
      </w:r>
    </w:p>
    <w:p w14:paraId="0A7DB369">
      <w:pPr>
        <w:ind w:firstLine="420" w:firstLineChars="200"/>
        <w:rPr>
          <w:rFonts w:hAnsi="宋体" w:eastAsia="宋体" w:cs="宋体"/>
          <w:color w:val="auto"/>
          <w:sz w:val="21"/>
          <w:highlight w:val="none"/>
        </w:rPr>
      </w:pPr>
      <w:r>
        <w:rPr>
          <w:rFonts w:hint="eastAsia" w:hAnsi="宋体" w:eastAsia="宋体" w:cs="宋体"/>
          <w:color w:val="auto"/>
          <w:sz w:val="21"/>
          <w:highlight w:val="none"/>
        </w:rPr>
        <w:t>（2）与工程有关的标准；</w:t>
      </w:r>
    </w:p>
    <w:p w14:paraId="5426A7B0">
      <w:pPr>
        <w:ind w:firstLine="420" w:firstLineChars="200"/>
        <w:rPr>
          <w:rFonts w:hAnsi="宋体" w:eastAsia="宋体" w:cs="宋体"/>
          <w:color w:val="auto"/>
          <w:sz w:val="21"/>
          <w:highlight w:val="none"/>
        </w:rPr>
      </w:pPr>
      <w:r>
        <w:rPr>
          <w:rFonts w:hint="eastAsia" w:hAnsi="宋体" w:eastAsia="宋体" w:cs="宋体"/>
          <w:color w:val="auto"/>
          <w:sz w:val="21"/>
          <w:highlight w:val="none"/>
        </w:rPr>
        <w:t>（3）工程设计及有关文件；</w:t>
      </w:r>
    </w:p>
    <w:p w14:paraId="435A7C50">
      <w:pPr>
        <w:ind w:firstLine="420" w:firstLineChars="200"/>
        <w:rPr>
          <w:rFonts w:hAnsi="宋体" w:eastAsia="宋体" w:cs="宋体"/>
          <w:color w:val="auto"/>
          <w:sz w:val="21"/>
          <w:highlight w:val="none"/>
        </w:rPr>
      </w:pPr>
      <w:r>
        <w:rPr>
          <w:rFonts w:hint="eastAsia" w:hAnsi="宋体" w:eastAsia="宋体" w:cs="宋体"/>
          <w:color w:val="auto"/>
          <w:sz w:val="21"/>
          <w:highlight w:val="none"/>
        </w:rPr>
        <w:t>（4）本合同及委托人与第三方签订的与实施工程有关的其他合同。</w:t>
      </w:r>
    </w:p>
    <w:p w14:paraId="58DA9172">
      <w:pPr>
        <w:ind w:firstLine="420" w:firstLineChars="200"/>
        <w:rPr>
          <w:rFonts w:hAnsi="宋体" w:eastAsia="宋体" w:cs="宋体"/>
          <w:color w:val="auto"/>
          <w:sz w:val="21"/>
          <w:highlight w:val="none"/>
        </w:rPr>
      </w:pPr>
      <w:r>
        <w:rPr>
          <w:rFonts w:hint="eastAsia" w:hAnsi="宋体" w:eastAsia="宋体" w:cs="宋体"/>
          <w:color w:val="auto"/>
          <w:sz w:val="21"/>
          <w:highlight w:val="none"/>
        </w:rPr>
        <w:t>双方根据工程的行业和地域特点，在专用条件中具体约定监理依据。</w:t>
      </w:r>
    </w:p>
    <w:p w14:paraId="139BDB4A">
      <w:pPr>
        <w:ind w:firstLine="420" w:firstLineChars="200"/>
        <w:rPr>
          <w:rFonts w:hAnsi="宋体" w:eastAsia="宋体" w:cs="宋体"/>
          <w:color w:val="auto"/>
          <w:sz w:val="21"/>
          <w:highlight w:val="none"/>
        </w:rPr>
      </w:pPr>
      <w:r>
        <w:rPr>
          <w:rFonts w:hint="eastAsia" w:hAnsi="宋体" w:eastAsia="宋体" w:cs="宋体"/>
          <w:color w:val="auto"/>
          <w:sz w:val="21"/>
          <w:highlight w:val="none"/>
        </w:rPr>
        <w:t>2.2.2相关服务依据在专用条件中约定。</w:t>
      </w:r>
    </w:p>
    <w:p w14:paraId="1D20C123">
      <w:pPr>
        <w:ind w:firstLine="420" w:firstLineChars="200"/>
        <w:rPr>
          <w:rFonts w:hAnsi="宋体" w:eastAsia="宋体" w:cs="宋体"/>
          <w:color w:val="auto"/>
          <w:sz w:val="21"/>
          <w:highlight w:val="none"/>
        </w:rPr>
      </w:pPr>
      <w:r>
        <w:rPr>
          <w:rFonts w:hint="eastAsia" w:hAnsi="宋体" w:eastAsia="宋体" w:cs="宋体"/>
          <w:color w:val="auto"/>
          <w:sz w:val="21"/>
          <w:highlight w:val="none"/>
        </w:rPr>
        <w:t>2.3项目监理机构和人员</w:t>
      </w:r>
    </w:p>
    <w:p w14:paraId="48FECEFA">
      <w:pPr>
        <w:ind w:firstLine="420" w:firstLineChars="200"/>
        <w:rPr>
          <w:rFonts w:hAnsi="宋体" w:eastAsia="宋体" w:cs="宋体"/>
          <w:color w:val="auto"/>
          <w:sz w:val="21"/>
          <w:highlight w:val="none"/>
        </w:rPr>
      </w:pPr>
      <w:r>
        <w:rPr>
          <w:rFonts w:hint="eastAsia" w:hAnsi="宋体" w:eastAsia="宋体" w:cs="宋体"/>
          <w:color w:val="auto"/>
          <w:sz w:val="21"/>
          <w:highlight w:val="none"/>
        </w:rPr>
        <w:t>2.3.1监理人应组建满足工作需要的项目监理机构，配备必要的检测设备。项目监理机构的主要人员应具有相应的资格条件。</w:t>
      </w:r>
    </w:p>
    <w:p w14:paraId="5CBA0D9B">
      <w:pPr>
        <w:ind w:firstLine="420" w:firstLineChars="200"/>
        <w:rPr>
          <w:rFonts w:hAnsi="宋体" w:eastAsia="宋体" w:cs="宋体"/>
          <w:color w:val="auto"/>
          <w:sz w:val="21"/>
          <w:highlight w:val="none"/>
        </w:rPr>
      </w:pPr>
      <w:r>
        <w:rPr>
          <w:rFonts w:hint="eastAsia" w:hAnsi="宋体" w:eastAsia="宋体" w:cs="宋体"/>
          <w:color w:val="auto"/>
          <w:sz w:val="21"/>
          <w:highlight w:val="none"/>
        </w:rPr>
        <w:t>2.3.2本合同履行过程中，总监理工程师及重要岗位监理人员应保持相对稳定，以保证监理工作正常进行。</w:t>
      </w:r>
    </w:p>
    <w:p w14:paraId="3823A49A">
      <w:pPr>
        <w:ind w:firstLine="420" w:firstLineChars="200"/>
        <w:rPr>
          <w:rFonts w:hAnsi="宋体" w:eastAsia="宋体" w:cs="宋体"/>
          <w:color w:val="auto"/>
          <w:sz w:val="21"/>
          <w:highlight w:val="none"/>
        </w:rPr>
      </w:pPr>
      <w:r>
        <w:rPr>
          <w:rFonts w:hint="eastAsia" w:hAnsi="宋体" w:eastAsia="宋体" w:cs="宋体"/>
          <w:color w:val="auto"/>
          <w:sz w:val="21"/>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09CA0472">
      <w:pPr>
        <w:ind w:firstLine="420" w:firstLineChars="200"/>
        <w:rPr>
          <w:rFonts w:hAnsi="宋体" w:eastAsia="宋体" w:cs="宋体"/>
          <w:color w:val="auto"/>
          <w:sz w:val="21"/>
          <w:highlight w:val="none"/>
        </w:rPr>
      </w:pPr>
      <w:r>
        <w:rPr>
          <w:rFonts w:hint="eastAsia" w:hAnsi="宋体" w:eastAsia="宋体" w:cs="宋体"/>
          <w:color w:val="auto"/>
          <w:sz w:val="21"/>
          <w:highlight w:val="none"/>
        </w:rPr>
        <w:t>2.3.4监理人应及时更换有下列情形之一的监理人员：</w:t>
      </w:r>
    </w:p>
    <w:p w14:paraId="1171EB3F">
      <w:pPr>
        <w:ind w:firstLine="420" w:firstLineChars="200"/>
        <w:rPr>
          <w:rFonts w:hAnsi="宋体" w:eastAsia="宋体" w:cs="宋体"/>
          <w:color w:val="auto"/>
          <w:sz w:val="21"/>
          <w:highlight w:val="none"/>
        </w:rPr>
      </w:pPr>
      <w:r>
        <w:rPr>
          <w:rFonts w:hint="eastAsia" w:hAnsi="宋体" w:eastAsia="宋体" w:cs="宋体"/>
          <w:color w:val="auto"/>
          <w:sz w:val="21"/>
          <w:highlight w:val="none"/>
        </w:rPr>
        <w:t>（1）严重过失行为的；</w:t>
      </w:r>
    </w:p>
    <w:p w14:paraId="6866520A">
      <w:pPr>
        <w:ind w:firstLine="420" w:firstLineChars="200"/>
        <w:rPr>
          <w:rFonts w:hAnsi="宋体" w:eastAsia="宋体" w:cs="宋体"/>
          <w:color w:val="auto"/>
          <w:sz w:val="21"/>
          <w:highlight w:val="none"/>
        </w:rPr>
      </w:pPr>
      <w:r>
        <w:rPr>
          <w:rFonts w:hint="eastAsia" w:hAnsi="宋体" w:eastAsia="宋体" w:cs="宋体"/>
          <w:color w:val="auto"/>
          <w:sz w:val="21"/>
          <w:highlight w:val="none"/>
        </w:rPr>
        <w:t>（2）有违法行为不能履行职责的；</w:t>
      </w:r>
    </w:p>
    <w:p w14:paraId="47649CEF">
      <w:pPr>
        <w:ind w:firstLine="420" w:firstLineChars="200"/>
        <w:rPr>
          <w:rFonts w:hAnsi="宋体" w:eastAsia="宋体" w:cs="宋体"/>
          <w:color w:val="auto"/>
          <w:sz w:val="21"/>
          <w:highlight w:val="none"/>
        </w:rPr>
      </w:pPr>
      <w:r>
        <w:rPr>
          <w:rFonts w:hint="eastAsia" w:hAnsi="宋体" w:eastAsia="宋体" w:cs="宋体"/>
          <w:color w:val="auto"/>
          <w:sz w:val="21"/>
          <w:highlight w:val="none"/>
        </w:rPr>
        <w:t>（3）涉嫌犯罪的；</w:t>
      </w:r>
    </w:p>
    <w:p w14:paraId="121F67D6">
      <w:pPr>
        <w:ind w:firstLine="420" w:firstLineChars="200"/>
        <w:rPr>
          <w:rFonts w:hAnsi="宋体" w:eastAsia="宋体" w:cs="宋体"/>
          <w:color w:val="auto"/>
          <w:sz w:val="21"/>
          <w:highlight w:val="none"/>
        </w:rPr>
      </w:pPr>
      <w:r>
        <w:rPr>
          <w:rFonts w:hint="eastAsia" w:hAnsi="宋体" w:eastAsia="宋体" w:cs="宋体"/>
          <w:color w:val="auto"/>
          <w:sz w:val="21"/>
          <w:highlight w:val="none"/>
        </w:rPr>
        <w:t>（4）不能胜任岗位职责的；</w:t>
      </w:r>
    </w:p>
    <w:p w14:paraId="475D947F">
      <w:pPr>
        <w:ind w:firstLine="420" w:firstLineChars="200"/>
        <w:rPr>
          <w:rFonts w:hAnsi="宋体" w:eastAsia="宋体" w:cs="宋体"/>
          <w:color w:val="auto"/>
          <w:sz w:val="21"/>
          <w:highlight w:val="none"/>
        </w:rPr>
      </w:pPr>
      <w:r>
        <w:rPr>
          <w:rFonts w:hint="eastAsia" w:hAnsi="宋体" w:eastAsia="宋体" w:cs="宋体"/>
          <w:color w:val="auto"/>
          <w:sz w:val="21"/>
          <w:highlight w:val="none"/>
        </w:rPr>
        <w:t>（5）严重违反职业道德的；</w:t>
      </w:r>
    </w:p>
    <w:p w14:paraId="744B39D5">
      <w:pPr>
        <w:ind w:firstLine="420" w:firstLineChars="200"/>
        <w:rPr>
          <w:rFonts w:hAnsi="宋体" w:eastAsia="宋体" w:cs="宋体"/>
          <w:color w:val="auto"/>
          <w:sz w:val="21"/>
          <w:highlight w:val="none"/>
        </w:rPr>
      </w:pPr>
      <w:r>
        <w:rPr>
          <w:rFonts w:hint="eastAsia" w:hAnsi="宋体" w:eastAsia="宋体" w:cs="宋体"/>
          <w:color w:val="auto"/>
          <w:sz w:val="21"/>
          <w:highlight w:val="none"/>
        </w:rPr>
        <w:t>（6）专用条件约定的其他情形。</w:t>
      </w:r>
    </w:p>
    <w:p w14:paraId="4493AAD0">
      <w:pPr>
        <w:ind w:firstLine="420" w:firstLineChars="200"/>
        <w:rPr>
          <w:rFonts w:hAnsi="宋体" w:eastAsia="宋体" w:cs="宋体"/>
          <w:color w:val="auto"/>
          <w:sz w:val="21"/>
          <w:highlight w:val="none"/>
        </w:rPr>
      </w:pPr>
      <w:r>
        <w:rPr>
          <w:rFonts w:hint="eastAsia" w:hAnsi="宋体" w:eastAsia="宋体" w:cs="宋体"/>
          <w:color w:val="auto"/>
          <w:sz w:val="21"/>
          <w:highlight w:val="none"/>
        </w:rPr>
        <w:t>2.3.5委托人可要求监理人更换不能胜任本职工作的项目监理机构人员。</w:t>
      </w:r>
    </w:p>
    <w:p w14:paraId="61157419">
      <w:pPr>
        <w:ind w:firstLine="420" w:firstLineChars="200"/>
        <w:rPr>
          <w:rFonts w:hAnsi="宋体" w:eastAsia="宋体" w:cs="宋体"/>
          <w:color w:val="auto"/>
          <w:sz w:val="21"/>
          <w:highlight w:val="none"/>
        </w:rPr>
      </w:pPr>
      <w:r>
        <w:rPr>
          <w:rFonts w:hint="eastAsia" w:hAnsi="宋体" w:eastAsia="宋体" w:cs="宋体"/>
          <w:color w:val="auto"/>
          <w:sz w:val="21"/>
          <w:highlight w:val="none"/>
        </w:rPr>
        <w:t>2.4履行职责</w:t>
      </w:r>
    </w:p>
    <w:p w14:paraId="0CCFDA32">
      <w:pPr>
        <w:ind w:firstLine="420" w:firstLineChars="200"/>
        <w:rPr>
          <w:rFonts w:hAnsi="宋体" w:eastAsia="宋体" w:cs="宋体"/>
          <w:color w:val="auto"/>
          <w:sz w:val="21"/>
          <w:highlight w:val="none"/>
        </w:rPr>
      </w:pPr>
      <w:r>
        <w:rPr>
          <w:rFonts w:hint="eastAsia" w:hAnsi="宋体" w:eastAsia="宋体" w:cs="宋体"/>
          <w:color w:val="auto"/>
          <w:sz w:val="21"/>
          <w:highlight w:val="none"/>
        </w:rPr>
        <w:t>监理人应遵循职业道德准则和行为规范，严格按照法律法规、工程建设有关标准及本合同履行职责。</w:t>
      </w:r>
    </w:p>
    <w:p w14:paraId="2A36AE5F">
      <w:pPr>
        <w:ind w:firstLine="420" w:firstLineChars="200"/>
        <w:rPr>
          <w:rFonts w:hAnsi="宋体" w:eastAsia="宋体" w:cs="宋体"/>
          <w:color w:val="auto"/>
          <w:sz w:val="21"/>
          <w:highlight w:val="none"/>
        </w:rPr>
      </w:pPr>
      <w:r>
        <w:rPr>
          <w:rFonts w:hint="eastAsia" w:hAnsi="宋体" w:eastAsia="宋体" w:cs="宋体"/>
          <w:color w:val="auto"/>
          <w:sz w:val="21"/>
          <w:highlight w:val="none"/>
        </w:rPr>
        <w:t>2.4.1在监理与相关服务范围内，委托人和承包人提出的意见和要求，监理人应及时提出处置意见。当委托人与承包人之间发生合同争议时，监理人应协助委托人、承包人协商解决。</w:t>
      </w:r>
    </w:p>
    <w:p w14:paraId="69628F3B">
      <w:pPr>
        <w:ind w:firstLine="420" w:firstLineChars="200"/>
        <w:rPr>
          <w:rFonts w:hAnsi="宋体" w:eastAsia="宋体" w:cs="宋体"/>
          <w:color w:val="auto"/>
          <w:sz w:val="21"/>
          <w:highlight w:val="none"/>
        </w:rPr>
      </w:pPr>
      <w:r>
        <w:rPr>
          <w:rFonts w:hint="eastAsia" w:hAnsi="宋体" w:eastAsia="宋体" w:cs="宋体"/>
          <w:color w:val="auto"/>
          <w:sz w:val="21"/>
          <w:highlight w:val="none"/>
        </w:rPr>
        <w:t>2.4.2当委托人与承包人之间的合同争议提交仲裁机构仲裁或人民法院审理时，监理人应提供必要的证明资料。</w:t>
      </w:r>
    </w:p>
    <w:p w14:paraId="3FABBE0A">
      <w:pPr>
        <w:ind w:firstLine="420" w:firstLineChars="200"/>
        <w:rPr>
          <w:rFonts w:hAnsi="宋体" w:eastAsia="宋体" w:cs="宋体"/>
          <w:color w:val="auto"/>
          <w:sz w:val="21"/>
          <w:highlight w:val="none"/>
        </w:rPr>
      </w:pPr>
      <w:r>
        <w:rPr>
          <w:rFonts w:hint="eastAsia" w:hAnsi="宋体" w:eastAsia="宋体" w:cs="宋体"/>
          <w:color w:val="auto"/>
          <w:sz w:val="21"/>
          <w:highlight w:val="none"/>
        </w:rPr>
        <w:t>2.4.3监理人应在专用条件约定的授权范围内，处理委托人与承包人所签订合同的变更事宜。如果变更超过授权范围，应以书面形式报委托人批准。</w:t>
      </w:r>
    </w:p>
    <w:p w14:paraId="179D365D">
      <w:pPr>
        <w:ind w:firstLine="420" w:firstLineChars="200"/>
        <w:rPr>
          <w:rFonts w:hAnsi="宋体" w:eastAsia="宋体" w:cs="宋体"/>
          <w:color w:val="auto"/>
          <w:sz w:val="21"/>
          <w:highlight w:val="none"/>
        </w:rPr>
      </w:pPr>
      <w:r>
        <w:rPr>
          <w:rFonts w:hint="eastAsia" w:hAnsi="宋体" w:eastAsia="宋体" w:cs="宋体"/>
          <w:color w:val="auto"/>
          <w:sz w:val="21"/>
          <w:highlight w:val="none"/>
        </w:rPr>
        <w:t>在紧急情况下，为了保护财产和人身安全，监理人所发出的指令未能事先报委托人批准时，应在发出指令后的24小时内以书面形式报委托人。</w:t>
      </w:r>
    </w:p>
    <w:p w14:paraId="57E11AEC">
      <w:pPr>
        <w:ind w:firstLine="420" w:firstLineChars="200"/>
        <w:rPr>
          <w:rFonts w:hAnsi="宋体" w:eastAsia="宋体" w:cs="宋体"/>
          <w:color w:val="auto"/>
          <w:sz w:val="21"/>
          <w:highlight w:val="none"/>
        </w:rPr>
      </w:pPr>
      <w:r>
        <w:rPr>
          <w:rFonts w:hint="eastAsia" w:hAnsi="宋体" w:eastAsia="宋体" w:cs="宋体"/>
          <w:color w:val="auto"/>
          <w:sz w:val="21"/>
          <w:highlight w:val="none"/>
        </w:rPr>
        <w:t>2.4.4除专用条件另有约定外，监理人发现承包人的人员不能胜任本职工作的，有权要求承包人予以调换。</w:t>
      </w:r>
    </w:p>
    <w:p w14:paraId="5D3ABCE3">
      <w:pPr>
        <w:ind w:firstLine="420" w:firstLineChars="200"/>
        <w:rPr>
          <w:rFonts w:hAnsi="宋体" w:eastAsia="宋体" w:cs="宋体"/>
          <w:color w:val="auto"/>
          <w:sz w:val="21"/>
          <w:highlight w:val="none"/>
        </w:rPr>
      </w:pPr>
      <w:r>
        <w:rPr>
          <w:rFonts w:hint="eastAsia" w:hAnsi="宋体" w:eastAsia="宋体" w:cs="宋体"/>
          <w:color w:val="auto"/>
          <w:sz w:val="21"/>
          <w:highlight w:val="none"/>
        </w:rPr>
        <w:t>2.5提交报告</w:t>
      </w:r>
    </w:p>
    <w:p w14:paraId="7AE3BBD4">
      <w:pPr>
        <w:ind w:firstLine="420" w:firstLineChars="200"/>
        <w:rPr>
          <w:rFonts w:hAnsi="宋体" w:eastAsia="宋体" w:cs="宋体"/>
          <w:color w:val="auto"/>
          <w:sz w:val="21"/>
          <w:highlight w:val="none"/>
        </w:rPr>
      </w:pPr>
      <w:r>
        <w:rPr>
          <w:rFonts w:hint="eastAsia" w:hAnsi="宋体" w:eastAsia="宋体" w:cs="宋体"/>
          <w:color w:val="auto"/>
          <w:sz w:val="21"/>
          <w:highlight w:val="none"/>
        </w:rPr>
        <w:t>监理人应按专用条件约定的种类、时间和份数向委托人提交监理与相关服务的报告。</w:t>
      </w:r>
    </w:p>
    <w:p w14:paraId="7AA21982">
      <w:pPr>
        <w:ind w:firstLine="420" w:firstLineChars="200"/>
        <w:rPr>
          <w:rFonts w:hAnsi="宋体" w:eastAsia="宋体" w:cs="宋体"/>
          <w:color w:val="auto"/>
          <w:sz w:val="21"/>
          <w:highlight w:val="none"/>
        </w:rPr>
      </w:pPr>
      <w:r>
        <w:rPr>
          <w:rFonts w:hint="eastAsia" w:hAnsi="宋体" w:eastAsia="宋体" w:cs="宋体"/>
          <w:color w:val="auto"/>
          <w:sz w:val="21"/>
          <w:highlight w:val="none"/>
        </w:rPr>
        <w:t>2.6文件资料</w:t>
      </w:r>
    </w:p>
    <w:p w14:paraId="483D432B">
      <w:pPr>
        <w:ind w:firstLine="420" w:firstLineChars="200"/>
        <w:rPr>
          <w:rFonts w:hAnsi="宋体" w:eastAsia="宋体" w:cs="宋体"/>
          <w:color w:val="auto"/>
          <w:sz w:val="21"/>
          <w:highlight w:val="none"/>
        </w:rPr>
      </w:pPr>
      <w:r>
        <w:rPr>
          <w:rFonts w:hint="eastAsia" w:hAnsi="宋体" w:eastAsia="宋体" w:cs="宋体"/>
          <w:color w:val="auto"/>
          <w:sz w:val="21"/>
          <w:highlight w:val="none"/>
        </w:rPr>
        <w:t>在本合同履行期内，监理人应在现场保留工作所用的图纸、报告及记录监理工作的相关文件。工程竣工后，应当按照档案管理规定将监理有关文件归档。</w:t>
      </w:r>
    </w:p>
    <w:p w14:paraId="30D0FC63">
      <w:pPr>
        <w:ind w:firstLine="420" w:firstLineChars="200"/>
        <w:rPr>
          <w:rFonts w:hAnsi="宋体" w:eastAsia="宋体" w:cs="宋体"/>
          <w:color w:val="auto"/>
          <w:sz w:val="21"/>
          <w:highlight w:val="none"/>
        </w:rPr>
      </w:pPr>
      <w:r>
        <w:rPr>
          <w:rFonts w:hint="eastAsia" w:hAnsi="宋体" w:eastAsia="宋体" w:cs="宋体"/>
          <w:color w:val="auto"/>
          <w:sz w:val="21"/>
          <w:highlight w:val="none"/>
        </w:rPr>
        <w:t>2.7使用委托人的财产</w:t>
      </w:r>
    </w:p>
    <w:p w14:paraId="18070F2A">
      <w:pPr>
        <w:ind w:firstLine="420" w:firstLineChars="200"/>
        <w:rPr>
          <w:rFonts w:hAnsi="宋体" w:eastAsia="宋体" w:cs="宋体"/>
          <w:color w:val="auto"/>
          <w:sz w:val="21"/>
          <w:highlight w:val="none"/>
        </w:rPr>
      </w:pPr>
      <w:r>
        <w:rPr>
          <w:rFonts w:hint="eastAsia" w:hAnsi="宋体" w:eastAsia="宋体" w:cs="宋体"/>
          <w:color w:val="auto"/>
          <w:sz w:val="21"/>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25EB0C14">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3、委托人的义务</w:t>
      </w:r>
    </w:p>
    <w:p w14:paraId="7645755D">
      <w:pPr>
        <w:ind w:firstLine="420" w:firstLineChars="200"/>
        <w:rPr>
          <w:rFonts w:hAnsi="宋体" w:eastAsia="宋体" w:cs="宋体"/>
          <w:color w:val="auto"/>
          <w:sz w:val="21"/>
          <w:highlight w:val="none"/>
        </w:rPr>
      </w:pPr>
      <w:r>
        <w:rPr>
          <w:rFonts w:hint="eastAsia" w:hAnsi="宋体" w:eastAsia="宋体" w:cs="宋体"/>
          <w:color w:val="auto"/>
          <w:sz w:val="21"/>
          <w:highlight w:val="none"/>
        </w:rPr>
        <w:t>3.1告知</w:t>
      </w:r>
    </w:p>
    <w:p w14:paraId="7853B3DD">
      <w:pPr>
        <w:ind w:firstLine="420" w:firstLineChars="200"/>
        <w:rPr>
          <w:rFonts w:hAnsi="宋体" w:eastAsia="宋体" w:cs="宋体"/>
          <w:color w:val="auto"/>
          <w:sz w:val="21"/>
          <w:highlight w:val="none"/>
        </w:rPr>
      </w:pPr>
      <w:r>
        <w:rPr>
          <w:rFonts w:hint="eastAsia" w:hAnsi="宋体" w:eastAsia="宋体" w:cs="宋体"/>
          <w:color w:val="auto"/>
          <w:sz w:val="21"/>
          <w:highlight w:val="none"/>
        </w:rPr>
        <w:t>委托人应在委托人与承包人签订的合同中明确监理人、总监理工程师和授予项目监理机构的权限。如有变更，应及时通知承包人。</w:t>
      </w:r>
    </w:p>
    <w:p w14:paraId="5DD48C9E">
      <w:pPr>
        <w:ind w:firstLine="420" w:firstLineChars="200"/>
        <w:rPr>
          <w:rFonts w:hAnsi="宋体" w:eastAsia="宋体" w:cs="宋体"/>
          <w:color w:val="auto"/>
          <w:sz w:val="21"/>
          <w:highlight w:val="none"/>
        </w:rPr>
      </w:pPr>
      <w:r>
        <w:rPr>
          <w:rFonts w:hint="eastAsia" w:hAnsi="宋体" w:eastAsia="宋体" w:cs="宋体"/>
          <w:color w:val="auto"/>
          <w:sz w:val="21"/>
          <w:highlight w:val="none"/>
        </w:rPr>
        <w:t>3.2提供资料</w:t>
      </w:r>
    </w:p>
    <w:p w14:paraId="493CB913">
      <w:pPr>
        <w:ind w:firstLine="420" w:firstLineChars="200"/>
        <w:rPr>
          <w:rFonts w:hAnsi="宋体" w:eastAsia="宋体" w:cs="宋体"/>
          <w:color w:val="auto"/>
          <w:sz w:val="21"/>
          <w:highlight w:val="none"/>
        </w:rPr>
      </w:pPr>
      <w:r>
        <w:rPr>
          <w:rFonts w:hint="eastAsia" w:hAnsi="宋体" w:eastAsia="宋体" w:cs="宋体"/>
          <w:color w:val="auto"/>
          <w:sz w:val="21"/>
          <w:highlight w:val="none"/>
        </w:rPr>
        <w:t>委托人应按照附录B约定，无偿向监理人提供工程有关的资料。在本合同履行过程中，委托人应及时向监理人提供最新的与工程有关的资料。</w:t>
      </w:r>
    </w:p>
    <w:p w14:paraId="20E56EDF">
      <w:pPr>
        <w:ind w:firstLine="420" w:firstLineChars="200"/>
        <w:rPr>
          <w:rFonts w:hAnsi="宋体" w:eastAsia="宋体" w:cs="宋体"/>
          <w:color w:val="auto"/>
          <w:sz w:val="21"/>
          <w:highlight w:val="none"/>
        </w:rPr>
      </w:pPr>
      <w:r>
        <w:rPr>
          <w:rFonts w:hint="eastAsia" w:hAnsi="宋体" w:eastAsia="宋体" w:cs="宋体"/>
          <w:color w:val="auto"/>
          <w:sz w:val="21"/>
          <w:highlight w:val="none"/>
        </w:rPr>
        <w:t>3.3提供工作条件</w:t>
      </w:r>
    </w:p>
    <w:p w14:paraId="22ECF02D">
      <w:pPr>
        <w:ind w:firstLine="420" w:firstLineChars="200"/>
        <w:rPr>
          <w:rFonts w:hAnsi="宋体" w:eastAsia="宋体" w:cs="宋体"/>
          <w:color w:val="auto"/>
          <w:sz w:val="21"/>
          <w:highlight w:val="none"/>
        </w:rPr>
      </w:pPr>
      <w:r>
        <w:rPr>
          <w:rFonts w:hint="eastAsia" w:hAnsi="宋体" w:eastAsia="宋体" w:cs="宋体"/>
          <w:color w:val="auto"/>
          <w:sz w:val="21"/>
          <w:highlight w:val="none"/>
        </w:rPr>
        <w:t>委托人应为监理人完成监理与相关服务提供必要的条件。</w:t>
      </w:r>
    </w:p>
    <w:p w14:paraId="02C920FB">
      <w:pPr>
        <w:ind w:firstLine="420" w:firstLineChars="200"/>
        <w:rPr>
          <w:rFonts w:hAnsi="宋体" w:eastAsia="宋体" w:cs="宋体"/>
          <w:color w:val="auto"/>
          <w:sz w:val="21"/>
          <w:highlight w:val="none"/>
        </w:rPr>
      </w:pPr>
      <w:r>
        <w:rPr>
          <w:rFonts w:hint="eastAsia" w:hAnsi="宋体" w:eastAsia="宋体" w:cs="宋体"/>
          <w:color w:val="auto"/>
          <w:sz w:val="21"/>
          <w:highlight w:val="none"/>
        </w:rPr>
        <w:t>3.3.1委托人应按照附录B约定，派遣相应的人员，提供房屋、设备，供监理人无偿使用。</w:t>
      </w:r>
    </w:p>
    <w:p w14:paraId="71810345">
      <w:pPr>
        <w:ind w:firstLine="420" w:firstLineChars="200"/>
        <w:rPr>
          <w:rFonts w:hAnsi="宋体" w:eastAsia="宋体" w:cs="宋体"/>
          <w:color w:val="auto"/>
          <w:sz w:val="21"/>
          <w:highlight w:val="none"/>
        </w:rPr>
      </w:pPr>
      <w:r>
        <w:rPr>
          <w:rFonts w:hint="eastAsia" w:hAnsi="宋体" w:eastAsia="宋体" w:cs="宋体"/>
          <w:color w:val="auto"/>
          <w:sz w:val="21"/>
          <w:highlight w:val="none"/>
        </w:rPr>
        <w:t>3.3.2委托人应负责协调工程建设中所有外部关系，为监理人履行本合同提供必要的外部条件。</w:t>
      </w:r>
    </w:p>
    <w:p w14:paraId="17A1D9C7">
      <w:pPr>
        <w:ind w:firstLine="420" w:firstLineChars="200"/>
        <w:rPr>
          <w:rFonts w:hAnsi="宋体" w:eastAsia="宋体" w:cs="宋体"/>
          <w:color w:val="auto"/>
          <w:sz w:val="21"/>
          <w:highlight w:val="none"/>
        </w:rPr>
      </w:pPr>
      <w:r>
        <w:rPr>
          <w:rFonts w:hint="eastAsia" w:hAnsi="宋体" w:eastAsia="宋体" w:cs="宋体"/>
          <w:color w:val="auto"/>
          <w:sz w:val="21"/>
          <w:highlight w:val="none"/>
        </w:rPr>
        <w:t>3.4委托人代表</w:t>
      </w:r>
    </w:p>
    <w:p w14:paraId="4D39C922">
      <w:pPr>
        <w:ind w:firstLine="420" w:firstLineChars="200"/>
        <w:rPr>
          <w:rFonts w:hAnsi="宋体" w:eastAsia="宋体" w:cs="宋体"/>
          <w:color w:val="auto"/>
          <w:sz w:val="21"/>
          <w:highlight w:val="none"/>
        </w:rPr>
      </w:pPr>
      <w:r>
        <w:rPr>
          <w:rFonts w:hint="eastAsia" w:hAnsi="宋体" w:eastAsia="宋体" w:cs="宋体"/>
          <w:color w:val="auto"/>
          <w:sz w:val="21"/>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2D4EF0CA">
      <w:pPr>
        <w:ind w:firstLine="420" w:firstLineChars="200"/>
        <w:rPr>
          <w:rFonts w:hAnsi="宋体" w:eastAsia="宋体" w:cs="宋体"/>
          <w:color w:val="auto"/>
          <w:sz w:val="21"/>
          <w:highlight w:val="none"/>
        </w:rPr>
      </w:pPr>
      <w:r>
        <w:rPr>
          <w:rFonts w:hint="eastAsia" w:hAnsi="宋体" w:eastAsia="宋体" w:cs="宋体"/>
          <w:color w:val="auto"/>
          <w:sz w:val="21"/>
          <w:highlight w:val="none"/>
        </w:rPr>
        <w:t>3.5委托人意见或要求</w:t>
      </w:r>
    </w:p>
    <w:p w14:paraId="62F1042E">
      <w:pPr>
        <w:ind w:firstLine="420" w:firstLineChars="200"/>
        <w:rPr>
          <w:rFonts w:hAnsi="宋体" w:eastAsia="宋体" w:cs="宋体"/>
          <w:color w:val="auto"/>
          <w:sz w:val="21"/>
          <w:highlight w:val="none"/>
        </w:rPr>
      </w:pPr>
      <w:r>
        <w:rPr>
          <w:rFonts w:hint="eastAsia" w:hAnsi="宋体" w:eastAsia="宋体" w:cs="宋体"/>
          <w:color w:val="auto"/>
          <w:sz w:val="21"/>
          <w:highlight w:val="none"/>
        </w:rPr>
        <w:t>在本合同约定的监理与相关服务工作范围内，委托人对承包人的任何意见或要求应通知监理人，由监理人向承包人发出相应指令。</w:t>
      </w:r>
    </w:p>
    <w:p w14:paraId="12EBC506">
      <w:pPr>
        <w:ind w:firstLine="420" w:firstLineChars="200"/>
        <w:rPr>
          <w:rFonts w:hAnsi="宋体" w:eastAsia="宋体" w:cs="宋体"/>
          <w:color w:val="auto"/>
          <w:sz w:val="21"/>
          <w:highlight w:val="none"/>
        </w:rPr>
      </w:pPr>
      <w:r>
        <w:rPr>
          <w:rFonts w:hint="eastAsia" w:hAnsi="宋体" w:eastAsia="宋体" w:cs="宋体"/>
          <w:color w:val="auto"/>
          <w:sz w:val="21"/>
          <w:highlight w:val="none"/>
        </w:rPr>
        <w:t>3.6答复</w:t>
      </w:r>
    </w:p>
    <w:p w14:paraId="7414DC65">
      <w:pPr>
        <w:ind w:firstLine="420" w:firstLineChars="200"/>
        <w:rPr>
          <w:rFonts w:hAnsi="宋体" w:eastAsia="宋体" w:cs="宋体"/>
          <w:color w:val="auto"/>
          <w:sz w:val="21"/>
          <w:highlight w:val="none"/>
        </w:rPr>
      </w:pPr>
      <w:r>
        <w:rPr>
          <w:rFonts w:hint="eastAsia" w:hAnsi="宋体" w:eastAsia="宋体" w:cs="宋体"/>
          <w:color w:val="auto"/>
          <w:sz w:val="21"/>
          <w:highlight w:val="none"/>
        </w:rPr>
        <w:t>委托人应在专用条件约定的时间内，对监理人以书面形式提交并要求作出决定的事宜，给予书面答复。逾期未答复的，视为委托人认可。</w:t>
      </w:r>
    </w:p>
    <w:p w14:paraId="1ACC0067">
      <w:pPr>
        <w:ind w:firstLine="420" w:firstLineChars="200"/>
        <w:rPr>
          <w:rFonts w:hAnsi="宋体" w:eastAsia="宋体" w:cs="宋体"/>
          <w:color w:val="auto"/>
          <w:sz w:val="21"/>
          <w:highlight w:val="none"/>
        </w:rPr>
      </w:pPr>
      <w:r>
        <w:rPr>
          <w:rFonts w:hint="eastAsia" w:hAnsi="宋体" w:eastAsia="宋体" w:cs="宋体"/>
          <w:color w:val="auto"/>
          <w:sz w:val="21"/>
          <w:highlight w:val="none"/>
        </w:rPr>
        <w:t>3.7支付</w:t>
      </w:r>
    </w:p>
    <w:p w14:paraId="1AEE0A62">
      <w:pPr>
        <w:ind w:firstLine="420" w:firstLineChars="200"/>
        <w:rPr>
          <w:rFonts w:hAnsi="宋体" w:eastAsia="宋体" w:cs="宋体"/>
          <w:color w:val="auto"/>
          <w:sz w:val="21"/>
          <w:highlight w:val="none"/>
        </w:rPr>
      </w:pPr>
      <w:r>
        <w:rPr>
          <w:rFonts w:hint="eastAsia" w:hAnsi="宋体" w:eastAsia="宋体" w:cs="宋体"/>
          <w:color w:val="auto"/>
          <w:sz w:val="21"/>
          <w:highlight w:val="none"/>
        </w:rPr>
        <w:t>委托人应按本合同约定，向监理人支付酬金。</w:t>
      </w:r>
    </w:p>
    <w:p w14:paraId="226146E2">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4、违约责任</w:t>
      </w:r>
    </w:p>
    <w:p w14:paraId="0AA55911">
      <w:pPr>
        <w:ind w:firstLine="420" w:firstLineChars="200"/>
        <w:rPr>
          <w:rFonts w:hAnsi="宋体" w:eastAsia="宋体" w:cs="宋体"/>
          <w:color w:val="auto"/>
          <w:sz w:val="21"/>
          <w:highlight w:val="none"/>
        </w:rPr>
      </w:pPr>
      <w:r>
        <w:rPr>
          <w:rFonts w:hint="eastAsia" w:hAnsi="宋体" w:eastAsia="宋体" w:cs="宋体"/>
          <w:color w:val="auto"/>
          <w:sz w:val="21"/>
          <w:highlight w:val="none"/>
        </w:rPr>
        <w:t>4.1监理人的违约责任</w:t>
      </w:r>
    </w:p>
    <w:p w14:paraId="3C798FDC">
      <w:pPr>
        <w:ind w:firstLine="420" w:firstLineChars="200"/>
        <w:rPr>
          <w:rFonts w:hAnsi="宋体" w:eastAsia="宋体" w:cs="宋体"/>
          <w:color w:val="auto"/>
          <w:sz w:val="21"/>
          <w:highlight w:val="none"/>
        </w:rPr>
      </w:pPr>
      <w:r>
        <w:rPr>
          <w:rFonts w:hint="eastAsia" w:hAnsi="宋体" w:eastAsia="宋体" w:cs="宋体"/>
          <w:color w:val="auto"/>
          <w:sz w:val="21"/>
          <w:highlight w:val="none"/>
        </w:rPr>
        <w:t>监理人未履行本合同义务的，应承担相应的责任。</w:t>
      </w:r>
    </w:p>
    <w:p w14:paraId="5DB62DF4">
      <w:pPr>
        <w:ind w:firstLine="420" w:firstLineChars="200"/>
        <w:rPr>
          <w:rFonts w:hAnsi="宋体" w:eastAsia="宋体" w:cs="宋体"/>
          <w:color w:val="auto"/>
          <w:sz w:val="21"/>
          <w:highlight w:val="none"/>
        </w:rPr>
      </w:pPr>
      <w:r>
        <w:rPr>
          <w:rFonts w:hint="eastAsia" w:hAnsi="宋体" w:eastAsia="宋体" w:cs="宋体"/>
          <w:color w:val="auto"/>
          <w:sz w:val="21"/>
          <w:highlight w:val="none"/>
        </w:rPr>
        <w:t>4.1.1因监理人违反本合同约定给委托人造成损失的，监理人应当赔偿委托人损失。赔偿金额的确定方法在专用条件中约定。监理人承担部分赔偿责任的，其承担赔偿金额由双方协商确定。</w:t>
      </w:r>
    </w:p>
    <w:p w14:paraId="06721784">
      <w:pPr>
        <w:ind w:firstLine="420" w:firstLineChars="200"/>
        <w:rPr>
          <w:rFonts w:hAnsi="宋体" w:eastAsia="宋体" w:cs="宋体"/>
          <w:color w:val="auto"/>
          <w:sz w:val="21"/>
          <w:highlight w:val="none"/>
        </w:rPr>
      </w:pPr>
      <w:r>
        <w:rPr>
          <w:rFonts w:hint="eastAsia" w:hAnsi="宋体" w:eastAsia="宋体" w:cs="宋体"/>
          <w:color w:val="auto"/>
          <w:sz w:val="21"/>
          <w:highlight w:val="none"/>
        </w:rPr>
        <w:t>4.1.2监理人向委托人的索赔不成立时，监理人应赔偿委托人由此发生的费用。</w:t>
      </w:r>
    </w:p>
    <w:p w14:paraId="53815B4B">
      <w:pPr>
        <w:ind w:firstLine="420" w:firstLineChars="200"/>
        <w:rPr>
          <w:rFonts w:hAnsi="宋体" w:eastAsia="宋体" w:cs="宋体"/>
          <w:color w:val="auto"/>
          <w:sz w:val="21"/>
          <w:highlight w:val="none"/>
        </w:rPr>
      </w:pPr>
      <w:r>
        <w:rPr>
          <w:rFonts w:hint="eastAsia" w:hAnsi="宋体" w:eastAsia="宋体" w:cs="宋体"/>
          <w:color w:val="auto"/>
          <w:sz w:val="21"/>
          <w:highlight w:val="none"/>
        </w:rPr>
        <w:t>4.2委托人的违约责任</w:t>
      </w:r>
    </w:p>
    <w:p w14:paraId="6FDBD5F6">
      <w:pPr>
        <w:ind w:firstLine="420" w:firstLineChars="200"/>
        <w:rPr>
          <w:rFonts w:hAnsi="宋体" w:eastAsia="宋体" w:cs="宋体"/>
          <w:color w:val="auto"/>
          <w:sz w:val="21"/>
          <w:highlight w:val="none"/>
        </w:rPr>
      </w:pPr>
      <w:r>
        <w:rPr>
          <w:rFonts w:hint="eastAsia" w:hAnsi="宋体" w:eastAsia="宋体" w:cs="宋体"/>
          <w:color w:val="auto"/>
          <w:sz w:val="21"/>
          <w:highlight w:val="none"/>
        </w:rPr>
        <w:t>委托人未履行本合同义务的，应承担相应的责任。</w:t>
      </w:r>
    </w:p>
    <w:p w14:paraId="628E6583">
      <w:pPr>
        <w:ind w:firstLine="420" w:firstLineChars="200"/>
        <w:rPr>
          <w:rFonts w:hAnsi="宋体" w:eastAsia="宋体" w:cs="宋体"/>
          <w:color w:val="auto"/>
          <w:sz w:val="21"/>
          <w:highlight w:val="none"/>
        </w:rPr>
      </w:pPr>
      <w:r>
        <w:rPr>
          <w:rFonts w:hint="eastAsia" w:hAnsi="宋体" w:eastAsia="宋体" w:cs="宋体"/>
          <w:color w:val="auto"/>
          <w:sz w:val="21"/>
          <w:highlight w:val="none"/>
        </w:rPr>
        <w:t>4.2.1委托人违反本合同约定造成监理人损失的，委托人应予以赔偿。</w:t>
      </w:r>
    </w:p>
    <w:p w14:paraId="03CE1AD8">
      <w:pPr>
        <w:ind w:firstLine="420" w:firstLineChars="200"/>
        <w:rPr>
          <w:rFonts w:hAnsi="宋体" w:eastAsia="宋体" w:cs="宋体"/>
          <w:color w:val="auto"/>
          <w:sz w:val="21"/>
          <w:highlight w:val="none"/>
        </w:rPr>
      </w:pPr>
      <w:r>
        <w:rPr>
          <w:rFonts w:hint="eastAsia" w:hAnsi="宋体" w:eastAsia="宋体" w:cs="宋体"/>
          <w:color w:val="auto"/>
          <w:sz w:val="21"/>
          <w:highlight w:val="none"/>
        </w:rPr>
        <w:t>4.2.2委托人向监理人的索赔不成立时，应赔偿监理由此引起的费用。</w:t>
      </w:r>
    </w:p>
    <w:p w14:paraId="553257FB">
      <w:pPr>
        <w:ind w:firstLine="420" w:firstLineChars="200"/>
        <w:rPr>
          <w:rFonts w:hAnsi="宋体" w:eastAsia="宋体" w:cs="宋体"/>
          <w:color w:val="auto"/>
          <w:sz w:val="21"/>
          <w:highlight w:val="none"/>
        </w:rPr>
      </w:pPr>
      <w:r>
        <w:rPr>
          <w:rFonts w:hint="eastAsia" w:hAnsi="宋体" w:eastAsia="宋体" w:cs="宋体"/>
          <w:color w:val="auto"/>
          <w:sz w:val="21"/>
          <w:highlight w:val="none"/>
        </w:rPr>
        <w:t>4.2.3委托人未能按期支付酬金超过28天，应按专用条件约定支付逾期付款利息。</w:t>
      </w:r>
    </w:p>
    <w:p w14:paraId="32691AB5">
      <w:pPr>
        <w:ind w:firstLine="420" w:firstLineChars="200"/>
        <w:rPr>
          <w:rFonts w:hAnsi="宋体" w:eastAsia="宋体" w:cs="宋体"/>
          <w:color w:val="auto"/>
          <w:sz w:val="21"/>
          <w:highlight w:val="none"/>
        </w:rPr>
      </w:pPr>
      <w:r>
        <w:rPr>
          <w:rFonts w:hint="eastAsia" w:hAnsi="宋体" w:eastAsia="宋体" w:cs="宋体"/>
          <w:color w:val="auto"/>
          <w:sz w:val="21"/>
          <w:highlight w:val="none"/>
        </w:rPr>
        <w:t>4.3除外责任</w:t>
      </w:r>
    </w:p>
    <w:p w14:paraId="63A7130D">
      <w:pPr>
        <w:ind w:firstLine="420" w:firstLineChars="200"/>
        <w:rPr>
          <w:rFonts w:hAnsi="宋体" w:eastAsia="宋体" w:cs="宋体"/>
          <w:color w:val="auto"/>
          <w:sz w:val="21"/>
          <w:highlight w:val="none"/>
        </w:rPr>
      </w:pPr>
      <w:r>
        <w:rPr>
          <w:rFonts w:hint="eastAsia" w:hAnsi="宋体" w:eastAsia="宋体" w:cs="宋体"/>
          <w:color w:val="auto"/>
          <w:sz w:val="21"/>
          <w:highlight w:val="none"/>
        </w:rPr>
        <w:t>因非监理人的原因，且监理人无过错，发生工程质量事故、安全事故、工期延误等造成的损失，监理人不承担赔偿责任。</w:t>
      </w:r>
    </w:p>
    <w:p w14:paraId="5EE4E64B">
      <w:pPr>
        <w:ind w:firstLine="420" w:firstLineChars="200"/>
        <w:rPr>
          <w:rFonts w:hAnsi="宋体" w:eastAsia="宋体" w:cs="宋体"/>
          <w:color w:val="auto"/>
          <w:sz w:val="21"/>
          <w:highlight w:val="none"/>
        </w:rPr>
      </w:pPr>
      <w:r>
        <w:rPr>
          <w:rFonts w:hint="eastAsia" w:hAnsi="宋体" w:eastAsia="宋体" w:cs="宋体"/>
          <w:color w:val="auto"/>
          <w:sz w:val="21"/>
          <w:highlight w:val="none"/>
        </w:rPr>
        <w:t>因不可抗力导致本合同全部或部分不能履行时，双方各自承担其因此而造成的损失、损害。</w:t>
      </w:r>
    </w:p>
    <w:p w14:paraId="216F3EAB">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5、支付</w:t>
      </w:r>
    </w:p>
    <w:p w14:paraId="3AB7CC89">
      <w:pPr>
        <w:ind w:firstLine="420" w:firstLineChars="200"/>
        <w:rPr>
          <w:rFonts w:hAnsi="宋体" w:eastAsia="宋体" w:cs="宋体"/>
          <w:color w:val="auto"/>
          <w:sz w:val="21"/>
          <w:highlight w:val="none"/>
        </w:rPr>
      </w:pPr>
      <w:r>
        <w:rPr>
          <w:rFonts w:hint="eastAsia" w:hAnsi="宋体" w:eastAsia="宋体" w:cs="宋体"/>
          <w:color w:val="auto"/>
          <w:sz w:val="21"/>
          <w:highlight w:val="none"/>
        </w:rPr>
        <w:t>5.1支付货币</w:t>
      </w:r>
    </w:p>
    <w:p w14:paraId="794F8A5F">
      <w:pPr>
        <w:ind w:firstLine="420" w:firstLineChars="200"/>
        <w:rPr>
          <w:rFonts w:hAnsi="宋体" w:eastAsia="宋体" w:cs="宋体"/>
          <w:color w:val="auto"/>
          <w:sz w:val="21"/>
          <w:highlight w:val="none"/>
        </w:rPr>
      </w:pPr>
      <w:r>
        <w:rPr>
          <w:rFonts w:hint="eastAsia" w:hAnsi="宋体" w:eastAsia="宋体" w:cs="宋体"/>
          <w:color w:val="auto"/>
          <w:sz w:val="21"/>
          <w:highlight w:val="none"/>
        </w:rPr>
        <w:t>除专用条件另有约定外，酬金均以人民币支付。涉及外币支付的，所采用的货币种类、比例和汇率在专用条件中约定。</w:t>
      </w:r>
    </w:p>
    <w:p w14:paraId="60699487">
      <w:pPr>
        <w:ind w:firstLine="420" w:firstLineChars="200"/>
        <w:rPr>
          <w:rFonts w:hAnsi="宋体" w:eastAsia="宋体" w:cs="宋体"/>
          <w:color w:val="auto"/>
          <w:sz w:val="21"/>
          <w:highlight w:val="none"/>
        </w:rPr>
      </w:pPr>
      <w:r>
        <w:rPr>
          <w:rFonts w:hint="eastAsia" w:hAnsi="宋体" w:eastAsia="宋体" w:cs="宋体"/>
          <w:color w:val="auto"/>
          <w:sz w:val="21"/>
          <w:highlight w:val="none"/>
        </w:rPr>
        <w:t>5.2支付申请</w:t>
      </w:r>
    </w:p>
    <w:p w14:paraId="52692255">
      <w:pPr>
        <w:ind w:firstLine="420" w:firstLineChars="200"/>
        <w:rPr>
          <w:rFonts w:hAnsi="宋体" w:eastAsia="宋体" w:cs="宋体"/>
          <w:color w:val="auto"/>
          <w:sz w:val="21"/>
          <w:highlight w:val="none"/>
        </w:rPr>
      </w:pPr>
      <w:r>
        <w:rPr>
          <w:rFonts w:hint="eastAsia" w:hAnsi="宋体" w:eastAsia="宋体" w:cs="宋体"/>
          <w:color w:val="auto"/>
          <w:sz w:val="21"/>
          <w:highlight w:val="none"/>
        </w:rPr>
        <w:t>监理人应在本合同约定的每次应付款时间的7天前，向委托人提交支付申请书。支付申请书应当说明当期应付款总额，并列出当期应支付的款项及其金额。</w:t>
      </w:r>
    </w:p>
    <w:p w14:paraId="4756804A">
      <w:pPr>
        <w:ind w:firstLine="420" w:firstLineChars="200"/>
        <w:rPr>
          <w:rFonts w:hAnsi="宋体" w:eastAsia="宋体" w:cs="宋体"/>
          <w:color w:val="auto"/>
          <w:sz w:val="21"/>
          <w:highlight w:val="none"/>
        </w:rPr>
      </w:pPr>
      <w:r>
        <w:rPr>
          <w:rFonts w:hint="eastAsia" w:hAnsi="宋体" w:eastAsia="宋体" w:cs="宋体"/>
          <w:color w:val="auto"/>
          <w:sz w:val="21"/>
          <w:highlight w:val="none"/>
        </w:rPr>
        <w:t>5.3支付酬金</w:t>
      </w:r>
    </w:p>
    <w:p w14:paraId="652DE816">
      <w:pPr>
        <w:ind w:firstLine="420" w:firstLineChars="200"/>
        <w:rPr>
          <w:rFonts w:hAnsi="宋体" w:eastAsia="宋体" w:cs="宋体"/>
          <w:color w:val="auto"/>
          <w:sz w:val="21"/>
          <w:highlight w:val="none"/>
        </w:rPr>
      </w:pPr>
      <w:r>
        <w:rPr>
          <w:rFonts w:hint="eastAsia" w:hAnsi="宋体" w:eastAsia="宋体" w:cs="宋体"/>
          <w:color w:val="auto"/>
          <w:sz w:val="21"/>
          <w:highlight w:val="none"/>
        </w:rPr>
        <w:t>支付的酬金包括正常工作酬金、附加工作酬金、合理化建议奖励金额及费用。</w:t>
      </w:r>
    </w:p>
    <w:p w14:paraId="2666C417">
      <w:pPr>
        <w:ind w:firstLine="420" w:firstLineChars="200"/>
        <w:rPr>
          <w:rFonts w:hAnsi="宋体" w:eastAsia="宋体" w:cs="宋体"/>
          <w:color w:val="auto"/>
          <w:sz w:val="21"/>
          <w:highlight w:val="none"/>
        </w:rPr>
      </w:pPr>
      <w:r>
        <w:rPr>
          <w:rFonts w:hint="eastAsia" w:hAnsi="宋体" w:eastAsia="宋体" w:cs="宋体"/>
          <w:color w:val="auto"/>
          <w:sz w:val="21"/>
          <w:highlight w:val="none"/>
        </w:rPr>
        <w:t>5.4有争议部分的付款</w:t>
      </w:r>
    </w:p>
    <w:p w14:paraId="258D85D7">
      <w:pPr>
        <w:ind w:firstLine="420" w:firstLineChars="200"/>
        <w:rPr>
          <w:rFonts w:hAnsi="宋体" w:eastAsia="宋体" w:cs="宋体"/>
          <w:color w:val="auto"/>
          <w:sz w:val="21"/>
          <w:highlight w:val="none"/>
        </w:rPr>
      </w:pPr>
      <w:r>
        <w:rPr>
          <w:rFonts w:hint="eastAsia" w:hAnsi="宋体" w:eastAsia="宋体" w:cs="宋体"/>
          <w:color w:val="auto"/>
          <w:sz w:val="21"/>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6200F9A7">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6、合同生效、变更、暂停、解除与终止</w:t>
      </w:r>
    </w:p>
    <w:p w14:paraId="62DB2DE5">
      <w:pPr>
        <w:ind w:firstLine="420" w:firstLineChars="200"/>
        <w:rPr>
          <w:rFonts w:hAnsi="宋体" w:eastAsia="宋体" w:cs="宋体"/>
          <w:color w:val="auto"/>
          <w:sz w:val="21"/>
          <w:highlight w:val="none"/>
        </w:rPr>
      </w:pPr>
      <w:r>
        <w:rPr>
          <w:rFonts w:hint="eastAsia" w:hAnsi="宋体" w:eastAsia="宋体" w:cs="宋体"/>
          <w:color w:val="auto"/>
          <w:sz w:val="21"/>
          <w:highlight w:val="none"/>
        </w:rPr>
        <w:t>6.1生效</w:t>
      </w:r>
    </w:p>
    <w:p w14:paraId="15AE24AA">
      <w:pPr>
        <w:ind w:firstLine="420" w:firstLineChars="200"/>
        <w:rPr>
          <w:rFonts w:hAnsi="宋体" w:eastAsia="宋体" w:cs="宋体"/>
          <w:color w:val="auto"/>
          <w:sz w:val="21"/>
          <w:highlight w:val="none"/>
        </w:rPr>
      </w:pPr>
      <w:r>
        <w:rPr>
          <w:rFonts w:hint="eastAsia" w:hAnsi="宋体" w:eastAsia="宋体" w:cs="宋体"/>
          <w:color w:val="auto"/>
          <w:sz w:val="21"/>
          <w:highlight w:val="none"/>
        </w:rPr>
        <w:t>除法律另有规定或者专用条件另有约定外，委托人和监理人的法定代表人或其授权代理人在协议书上签字并盖单位章后本合同生效。</w:t>
      </w:r>
    </w:p>
    <w:p w14:paraId="1B4B4E52">
      <w:pPr>
        <w:ind w:firstLine="420" w:firstLineChars="200"/>
        <w:rPr>
          <w:rFonts w:hAnsi="宋体" w:eastAsia="宋体" w:cs="宋体"/>
          <w:color w:val="auto"/>
          <w:sz w:val="21"/>
          <w:highlight w:val="none"/>
        </w:rPr>
      </w:pPr>
      <w:r>
        <w:rPr>
          <w:rFonts w:hint="eastAsia" w:hAnsi="宋体" w:eastAsia="宋体" w:cs="宋体"/>
          <w:color w:val="auto"/>
          <w:sz w:val="21"/>
          <w:highlight w:val="none"/>
        </w:rPr>
        <w:t>6.2变更</w:t>
      </w:r>
    </w:p>
    <w:p w14:paraId="4E2325FF">
      <w:pPr>
        <w:ind w:firstLine="420" w:firstLineChars="200"/>
        <w:rPr>
          <w:rFonts w:hAnsi="宋体" w:eastAsia="宋体" w:cs="宋体"/>
          <w:color w:val="auto"/>
          <w:sz w:val="21"/>
          <w:highlight w:val="none"/>
        </w:rPr>
      </w:pPr>
      <w:r>
        <w:rPr>
          <w:rFonts w:hint="eastAsia" w:hAnsi="宋体" w:eastAsia="宋体" w:cs="宋体"/>
          <w:color w:val="auto"/>
          <w:sz w:val="21"/>
          <w:highlight w:val="none"/>
        </w:rPr>
        <w:t>6.2.1任何一方提出变更请求时，双方经协商一致后可进行变更。</w:t>
      </w:r>
    </w:p>
    <w:p w14:paraId="1E835147">
      <w:pPr>
        <w:ind w:firstLine="420" w:firstLineChars="200"/>
        <w:rPr>
          <w:rFonts w:hAnsi="宋体" w:eastAsia="宋体" w:cs="宋体"/>
          <w:color w:val="auto"/>
          <w:sz w:val="21"/>
          <w:highlight w:val="none"/>
        </w:rPr>
      </w:pPr>
      <w:r>
        <w:rPr>
          <w:rFonts w:hint="eastAsia" w:hAnsi="宋体" w:eastAsia="宋体" w:cs="宋体"/>
          <w:color w:val="auto"/>
          <w:sz w:val="21"/>
          <w:highlight w:val="none"/>
        </w:rPr>
        <w:t>6.2.2除不可抗力外，因非监理人原因导致监理人履行合同期限延长、内容增加时，监理人应当将些情况与可能产生的影响及时通知委托人。增加的监理工作时间、工作内容应视为附加工作。附加工作酬金的确定方法在专用条件中约定。</w:t>
      </w:r>
    </w:p>
    <w:p w14:paraId="4117FD10">
      <w:pPr>
        <w:ind w:firstLine="420" w:firstLineChars="200"/>
        <w:rPr>
          <w:rFonts w:hAnsi="宋体" w:eastAsia="宋体" w:cs="宋体"/>
          <w:color w:val="auto"/>
          <w:sz w:val="21"/>
          <w:highlight w:val="none"/>
        </w:rPr>
      </w:pPr>
      <w:r>
        <w:rPr>
          <w:rFonts w:hint="eastAsia" w:hAnsi="宋体" w:eastAsia="宋体" w:cs="宋体"/>
          <w:color w:val="auto"/>
          <w:sz w:val="21"/>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67A4E205">
      <w:pPr>
        <w:ind w:firstLine="420" w:firstLineChars="200"/>
        <w:rPr>
          <w:rFonts w:hAnsi="宋体" w:eastAsia="宋体" w:cs="宋体"/>
          <w:color w:val="auto"/>
          <w:sz w:val="21"/>
          <w:highlight w:val="none"/>
        </w:rPr>
      </w:pPr>
      <w:r>
        <w:rPr>
          <w:rFonts w:hint="eastAsia" w:hAnsi="宋体" w:eastAsia="宋体" w:cs="宋体"/>
          <w:color w:val="auto"/>
          <w:sz w:val="21"/>
          <w:highlight w:val="none"/>
        </w:rPr>
        <w:t>6.2.4合同签订后，遇有与工程相关的法律法规、标准颁布或修订的，双方应遵照执行。由此引起监理与相关服务的范围、时间、酬金变化的，双方应通过协商进行相应调整。</w:t>
      </w:r>
    </w:p>
    <w:p w14:paraId="0774D92C">
      <w:pPr>
        <w:ind w:firstLine="420" w:firstLineChars="200"/>
        <w:rPr>
          <w:rFonts w:hAnsi="宋体" w:eastAsia="宋体" w:cs="宋体"/>
          <w:color w:val="auto"/>
          <w:sz w:val="21"/>
          <w:highlight w:val="none"/>
        </w:rPr>
      </w:pPr>
      <w:r>
        <w:rPr>
          <w:rFonts w:hint="eastAsia" w:hAnsi="宋体" w:eastAsia="宋体" w:cs="宋体"/>
          <w:color w:val="auto"/>
          <w:sz w:val="21"/>
          <w:highlight w:val="none"/>
        </w:rPr>
        <w:t>6.2.5因非监理人原因造成工程概算投资额或建筑安装工程费增加时，正常工作酬金应作相应调整。调整方法在专用条件中约定。</w:t>
      </w:r>
    </w:p>
    <w:p w14:paraId="309C7D22">
      <w:pPr>
        <w:ind w:firstLine="420" w:firstLineChars="200"/>
        <w:rPr>
          <w:rFonts w:hAnsi="宋体" w:eastAsia="宋体" w:cs="宋体"/>
          <w:color w:val="auto"/>
          <w:sz w:val="21"/>
          <w:highlight w:val="none"/>
        </w:rPr>
      </w:pPr>
      <w:r>
        <w:rPr>
          <w:rFonts w:hint="eastAsia" w:hAnsi="宋体" w:eastAsia="宋体" w:cs="宋体"/>
          <w:color w:val="auto"/>
          <w:sz w:val="21"/>
          <w:highlight w:val="none"/>
        </w:rPr>
        <w:t>6.2.6因工程规模、监理范围的变化导致监理人的正常工作量减少时，正常工作酬金应作相应调整。调整方法在专用条件中约定。</w:t>
      </w:r>
    </w:p>
    <w:p w14:paraId="4D625543">
      <w:pPr>
        <w:ind w:firstLine="420" w:firstLineChars="200"/>
        <w:rPr>
          <w:rFonts w:hAnsi="宋体" w:eastAsia="宋体" w:cs="宋体"/>
          <w:color w:val="auto"/>
          <w:sz w:val="21"/>
          <w:highlight w:val="none"/>
        </w:rPr>
      </w:pPr>
      <w:r>
        <w:rPr>
          <w:rFonts w:hint="eastAsia" w:hAnsi="宋体" w:eastAsia="宋体" w:cs="宋体"/>
          <w:color w:val="auto"/>
          <w:sz w:val="21"/>
          <w:highlight w:val="none"/>
        </w:rPr>
        <w:t>6.3暂停与解除</w:t>
      </w:r>
    </w:p>
    <w:p w14:paraId="273222BE">
      <w:pPr>
        <w:ind w:firstLine="420" w:firstLineChars="200"/>
        <w:rPr>
          <w:rFonts w:hAnsi="宋体" w:eastAsia="宋体" w:cs="宋体"/>
          <w:color w:val="auto"/>
          <w:sz w:val="21"/>
          <w:highlight w:val="none"/>
        </w:rPr>
      </w:pPr>
      <w:r>
        <w:rPr>
          <w:rFonts w:hint="eastAsia" w:hAnsi="宋体" w:eastAsia="宋体" w:cs="宋体"/>
          <w:color w:val="auto"/>
          <w:sz w:val="21"/>
          <w:highlight w:val="none"/>
        </w:rPr>
        <w:t>除双方协商一致可以解除本合同外，当一方无正当理由未履行本合同约定的义务时，另一方可以根据本合同约定暂停履行本合同直至解除本合同。</w:t>
      </w:r>
    </w:p>
    <w:p w14:paraId="572BA135">
      <w:pPr>
        <w:ind w:firstLine="420" w:firstLineChars="200"/>
        <w:rPr>
          <w:rFonts w:hAnsi="宋体" w:eastAsia="宋体" w:cs="宋体"/>
          <w:color w:val="auto"/>
          <w:sz w:val="21"/>
          <w:highlight w:val="none"/>
        </w:rPr>
      </w:pPr>
      <w:r>
        <w:rPr>
          <w:rFonts w:hint="eastAsia" w:hAnsi="宋体" w:eastAsia="宋体" w:cs="宋体"/>
          <w:color w:val="auto"/>
          <w:sz w:val="21"/>
          <w:highlight w:val="none"/>
        </w:rPr>
        <w:t>6.3.1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21646ECE">
      <w:pPr>
        <w:ind w:firstLine="420" w:firstLineChars="200"/>
        <w:rPr>
          <w:rFonts w:hAnsi="宋体" w:eastAsia="宋体" w:cs="宋体"/>
          <w:color w:val="auto"/>
          <w:sz w:val="21"/>
          <w:highlight w:val="none"/>
        </w:rPr>
      </w:pPr>
      <w:r>
        <w:rPr>
          <w:rFonts w:hint="eastAsia" w:hAnsi="宋体" w:eastAsia="宋体" w:cs="宋体"/>
          <w:color w:val="auto"/>
          <w:sz w:val="21"/>
          <w:highlight w:val="none"/>
        </w:rPr>
        <w:t>因解除本合同或解除监理人的部分义务导致监理人遭受的损失，除依法可以免除责任的情况外，应由委托人予以补偿，补偿金额由双方协商确定。</w:t>
      </w:r>
    </w:p>
    <w:p w14:paraId="77F3075A">
      <w:pPr>
        <w:ind w:firstLine="420" w:firstLineChars="200"/>
        <w:rPr>
          <w:rFonts w:hAnsi="宋体" w:eastAsia="宋体" w:cs="宋体"/>
          <w:color w:val="auto"/>
          <w:sz w:val="21"/>
          <w:highlight w:val="none"/>
        </w:rPr>
      </w:pPr>
      <w:r>
        <w:rPr>
          <w:rFonts w:hint="eastAsia" w:hAnsi="宋体" w:eastAsia="宋体" w:cs="宋体"/>
          <w:color w:val="auto"/>
          <w:sz w:val="21"/>
          <w:highlight w:val="none"/>
        </w:rPr>
        <w:t>解除本合同的协议必须采取书面形式，协议未达成之前，本合同仍然有效。</w:t>
      </w:r>
    </w:p>
    <w:p w14:paraId="22932A66">
      <w:pPr>
        <w:ind w:firstLine="420" w:firstLineChars="200"/>
        <w:rPr>
          <w:rFonts w:hAnsi="宋体" w:eastAsia="宋体" w:cs="宋体"/>
          <w:color w:val="auto"/>
          <w:sz w:val="21"/>
          <w:highlight w:val="none"/>
        </w:rPr>
      </w:pPr>
      <w:r>
        <w:rPr>
          <w:rFonts w:hint="eastAsia" w:hAnsi="宋体" w:eastAsia="宋体" w:cs="宋体"/>
          <w:color w:val="auto"/>
          <w:sz w:val="21"/>
          <w:highlight w:val="none"/>
        </w:rPr>
        <w:t>6.3.2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29673847">
      <w:pPr>
        <w:ind w:firstLine="420" w:firstLineChars="200"/>
        <w:rPr>
          <w:rFonts w:hAnsi="宋体" w:eastAsia="宋体" w:cs="宋体"/>
          <w:color w:val="auto"/>
          <w:sz w:val="21"/>
          <w:highlight w:val="none"/>
        </w:rPr>
      </w:pPr>
      <w:r>
        <w:rPr>
          <w:rFonts w:hint="eastAsia" w:hAnsi="宋体" w:eastAsia="宋体" w:cs="宋体"/>
          <w:color w:val="auto"/>
          <w:sz w:val="21"/>
          <w:highlight w:val="none"/>
        </w:rPr>
        <w:t>暂停部分监理与相关服务时间超过182天，监理人可发出解除本合同约定的该部分义务的通知；暂停全部工作时间超过182天，监理人可发出解除本合同的通知，本合同通知到达委托人时解除。委托人应将监理与相关服务的酬金支付至本合同解除日，且应承担第4.2款约定的责任。</w:t>
      </w:r>
    </w:p>
    <w:p w14:paraId="6DCE07D9">
      <w:pPr>
        <w:ind w:firstLine="420" w:firstLineChars="200"/>
        <w:rPr>
          <w:rFonts w:hAnsi="宋体" w:eastAsia="宋体" w:cs="宋体"/>
          <w:color w:val="auto"/>
          <w:sz w:val="21"/>
          <w:highlight w:val="none"/>
        </w:rPr>
      </w:pPr>
      <w:r>
        <w:rPr>
          <w:rFonts w:hint="eastAsia" w:hAnsi="宋体" w:eastAsia="宋体" w:cs="宋体"/>
          <w:color w:val="auto"/>
          <w:sz w:val="21"/>
          <w:highlight w:val="none"/>
        </w:rPr>
        <w:t>6.3.3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0CD4C4F8">
      <w:pPr>
        <w:ind w:firstLine="420" w:firstLineChars="200"/>
        <w:rPr>
          <w:rFonts w:hAnsi="宋体" w:eastAsia="宋体" w:cs="宋体"/>
          <w:color w:val="auto"/>
          <w:sz w:val="21"/>
          <w:highlight w:val="none"/>
        </w:rPr>
      </w:pPr>
      <w:r>
        <w:rPr>
          <w:rFonts w:hint="eastAsia" w:hAnsi="宋体" w:eastAsia="宋体" w:cs="宋体"/>
          <w:color w:val="auto"/>
          <w:sz w:val="21"/>
          <w:highlight w:val="none"/>
        </w:rPr>
        <w:t>6.3.4监理人在专用条件5.3中约定的支付之日起28天后仍未收到委托人按本合同约定应付的款项，可向委托人发出催付通知。委托人接到通知14天后仍未支付或示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1961305B">
      <w:pPr>
        <w:ind w:firstLine="420" w:firstLineChars="200"/>
        <w:rPr>
          <w:rFonts w:hAnsi="宋体" w:eastAsia="宋体" w:cs="宋体"/>
          <w:color w:val="auto"/>
          <w:sz w:val="21"/>
          <w:highlight w:val="none"/>
        </w:rPr>
      </w:pPr>
      <w:r>
        <w:rPr>
          <w:rFonts w:hint="eastAsia" w:hAnsi="宋体" w:eastAsia="宋体" w:cs="宋体"/>
          <w:color w:val="auto"/>
          <w:sz w:val="21"/>
          <w:highlight w:val="none"/>
        </w:rPr>
        <w:t>6.3.5因不可抗力致使本合同部分或全部不能履行时，一方应立即通知另一方，可暂停或解除本合同。</w:t>
      </w:r>
    </w:p>
    <w:p w14:paraId="33CBAAB7">
      <w:pPr>
        <w:ind w:firstLine="420" w:firstLineChars="200"/>
        <w:rPr>
          <w:rFonts w:hAnsi="宋体" w:eastAsia="宋体" w:cs="宋体"/>
          <w:color w:val="auto"/>
          <w:sz w:val="21"/>
          <w:highlight w:val="none"/>
        </w:rPr>
      </w:pPr>
      <w:r>
        <w:rPr>
          <w:rFonts w:hint="eastAsia" w:hAnsi="宋体" w:eastAsia="宋体" w:cs="宋体"/>
          <w:color w:val="auto"/>
          <w:sz w:val="21"/>
          <w:highlight w:val="none"/>
        </w:rPr>
        <w:t>6.3.6本合同解除后，本合同约定的有关结算、清理、争议解决方式的条件仍然有效。</w:t>
      </w:r>
    </w:p>
    <w:p w14:paraId="7881A800">
      <w:pPr>
        <w:ind w:firstLine="420" w:firstLineChars="200"/>
        <w:rPr>
          <w:rFonts w:hAnsi="宋体" w:eastAsia="宋体" w:cs="宋体"/>
          <w:color w:val="auto"/>
          <w:sz w:val="21"/>
          <w:highlight w:val="none"/>
        </w:rPr>
      </w:pPr>
      <w:r>
        <w:rPr>
          <w:rFonts w:hint="eastAsia" w:hAnsi="宋体" w:eastAsia="宋体" w:cs="宋体"/>
          <w:color w:val="auto"/>
          <w:sz w:val="21"/>
          <w:highlight w:val="none"/>
        </w:rPr>
        <w:t>6.4终止</w:t>
      </w:r>
    </w:p>
    <w:p w14:paraId="7E1EEB7F">
      <w:pPr>
        <w:ind w:firstLine="420" w:firstLineChars="200"/>
        <w:rPr>
          <w:rFonts w:hAnsi="宋体" w:eastAsia="宋体" w:cs="宋体"/>
          <w:color w:val="auto"/>
          <w:sz w:val="21"/>
          <w:highlight w:val="none"/>
        </w:rPr>
      </w:pPr>
      <w:r>
        <w:rPr>
          <w:rFonts w:hint="eastAsia" w:hAnsi="宋体" w:eastAsia="宋体" w:cs="宋体"/>
          <w:color w:val="auto"/>
          <w:sz w:val="21"/>
          <w:highlight w:val="none"/>
        </w:rPr>
        <w:t>以下条件全部满足时，本合同即告终止：</w:t>
      </w:r>
    </w:p>
    <w:p w14:paraId="3FF667B9">
      <w:pPr>
        <w:ind w:firstLine="420" w:firstLineChars="200"/>
        <w:rPr>
          <w:rFonts w:hAnsi="宋体" w:eastAsia="宋体" w:cs="宋体"/>
          <w:color w:val="auto"/>
          <w:sz w:val="21"/>
          <w:highlight w:val="none"/>
        </w:rPr>
      </w:pPr>
      <w:r>
        <w:rPr>
          <w:rFonts w:hint="eastAsia" w:hAnsi="宋体" w:eastAsia="宋体" w:cs="宋体"/>
          <w:color w:val="auto"/>
          <w:sz w:val="21"/>
          <w:highlight w:val="none"/>
        </w:rPr>
        <w:t>（1）监理人完成本合同约定的全部工作；</w:t>
      </w:r>
    </w:p>
    <w:p w14:paraId="65A63742">
      <w:pPr>
        <w:ind w:firstLine="420" w:firstLineChars="200"/>
        <w:rPr>
          <w:rFonts w:hAnsi="宋体" w:eastAsia="宋体" w:cs="宋体"/>
          <w:color w:val="auto"/>
          <w:sz w:val="21"/>
          <w:highlight w:val="none"/>
        </w:rPr>
      </w:pPr>
      <w:r>
        <w:rPr>
          <w:rFonts w:hint="eastAsia" w:hAnsi="宋体" w:eastAsia="宋体" w:cs="宋体"/>
          <w:color w:val="auto"/>
          <w:sz w:val="21"/>
          <w:highlight w:val="none"/>
        </w:rPr>
        <w:t>（2）委托人与监理人结清并支付全部酬金。</w:t>
      </w:r>
    </w:p>
    <w:p w14:paraId="2FC33CD5">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7、争议解决</w:t>
      </w:r>
    </w:p>
    <w:p w14:paraId="006886C2">
      <w:pPr>
        <w:ind w:firstLine="420" w:firstLineChars="200"/>
        <w:rPr>
          <w:rFonts w:hAnsi="宋体" w:eastAsia="宋体" w:cs="宋体"/>
          <w:color w:val="auto"/>
          <w:sz w:val="21"/>
          <w:highlight w:val="none"/>
        </w:rPr>
      </w:pPr>
      <w:r>
        <w:rPr>
          <w:rFonts w:hint="eastAsia" w:hAnsi="宋体" w:eastAsia="宋体" w:cs="宋体"/>
          <w:color w:val="auto"/>
          <w:sz w:val="21"/>
          <w:highlight w:val="none"/>
        </w:rPr>
        <w:t>7.1协商</w:t>
      </w:r>
    </w:p>
    <w:p w14:paraId="7D5F7B36">
      <w:pPr>
        <w:ind w:firstLine="420" w:firstLineChars="200"/>
        <w:rPr>
          <w:rFonts w:hAnsi="宋体" w:eastAsia="宋体" w:cs="宋体"/>
          <w:color w:val="auto"/>
          <w:sz w:val="21"/>
          <w:highlight w:val="none"/>
        </w:rPr>
      </w:pPr>
      <w:r>
        <w:rPr>
          <w:rFonts w:hint="eastAsia" w:hAnsi="宋体" w:eastAsia="宋体" w:cs="宋体"/>
          <w:color w:val="auto"/>
          <w:sz w:val="21"/>
          <w:highlight w:val="none"/>
        </w:rPr>
        <w:t>双方应本着诚信原则协商解决彼此间的争议。</w:t>
      </w:r>
    </w:p>
    <w:p w14:paraId="3FB2408A">
      <w:pPr>
        <w:ind w:firstLine="420" w:firstLineChars="200"/>
        <w:rPr>
          <w:rFonts w:hAnsi="宋体" w:eastAsia="宋体" w:cs="宋体"/>
          <w:color w:val="auto"/>
          <w:sz w:val="21"/>
          <w:highlight w:val="none"/>
        </w:rPr>
      </w:pPr>
      <w:r>
        <w:rPr>
          <w:rFonts w:hint="eastAsia" w:hAnsi="宋体" w:eastAsia="宋体" w:cs="宋体"/>
          <w:color w:val="auto"/>
          <w:sz w:val="21"/>
          <w:highlight w:val="none"/>
        </w:rPr>
        <w:t>7.2调解</w:t>
      </w:r>
    </w:p>
    <w:p w14:paraId="64B10F3E">
      <w:pPr>
        <w:ind w:firstLine="420" w:firstLineChars="200"/>
        <w:rPr>
          <w:rFonts w:hAnsi="宋体" w:eastAsia="宋体" w:cs="宋体"/>
          <w:color w:val="auto"/>
          <w:sz w:val="21"/>
          <w:highlight w:val="none"/>
        </w:rPr>
      </w:pPr>
      <w:r>
        <w:rPr>
          <w:rFonts w:hint="eastAsia" w:hAnsi="宋体" w:eastAsia="宋体" w:cs="宋体"/>
          <w:color w:val="auto"/>
          <w:sz w:val="21"/>
          <w:highlight w:val="none"/>
        </w:rPr>
        <w:t>如果双方不能在14天内或双方商定的其他时间内解决本合同争议，可以将其提交给专用条件约定的或事后达成协议的调解人进行调解。</w:t>
      </w:r>
    </w:p>
    <w:p w14:paraId="3EBF5723">
      <w:pPr>
        <w:ind w:firstLine="420" w:firstLineChars="200"/>
        <w:rPr>
          <w:rFonts w:hAnsi="宋体" w:eastAsia="宋体" w:cs="宋体"/>
          <w:color w:val="auto"/>
          <w:sz w:val="21"/>
          <w:highlight w:val="none"/>
        </w:rPr>
      </w:pPr>
      <w:r>
        <w:rPr>
          <w:rFonts w:hint="eastAsia" w:hAnsi="宋体" w:eastAsia="宋体" w:cs="宋体"/>
          <w:color w:val="auto"/>
          <w:sz w:val="21"/>
          <w:highlight w:val="none"/>
        </w:rPr>
        <w:t>7.3仲裁或诉讼</w:t>
      </w:r>
    </w:p>
    <w:p w14:paraId="6541559D">
      <w:pPr>
        <w:ind w:firstLine="420" w:firstLineChars="200"/>
        <w:rPr>
          <w:rFonts w:hAnsi="宋体" w:eastAsia="宋体" w:cs="宋体"/>
          <w:color w:val="auto"/>
          <w:sz w:val="21"/>
          <w:highlight w:val="none"/>
        </w:rPr>
      </w:pPr>
      <w:r>
        <w:rPr>
          <w:rFonts w:hint="eastAsia" w:hAnsi="宋体" w:eastAsia="宋体" w:cs="宋体"/>
          <w:color w:val="auto"/>
          <w:sz w:val="21"/>
          <w:highlight w:val="none"/>
        </w:rPr>
        <w:t>双方均有权不经调解直接向专用条件约定的仲裁机构申请仲裁或向有管辖权的人民法院提起诉讼。</w:t>
      </w:r>
    </w:p>
    <w:p w14:paraId="31A6ED80">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8、其他</w:t>
      </w:r>
    </w:p>
    <w:p w14:paraId="2EF1F78C">
      <w:pPr>
        <w:ind w:firstLine="420" w:firstLineChars="200"/>
        <w:rPr>
          <w:rFonts w:hAnsi="宋体" w:eastAsia="宋体" w:cs="宋体"/>
          <w:color w:val="auto"/>
          <w:sz w:val="21"/>
          <w:highlight w:val="none"/>
        </w:rPr>
      </w:pPr>
      <w:r>
        <w:rPr>
          <w:rFonts w:hint="eastAsia" w:hAnsi="宋体" w:eastAsia="宋体" w:cs="宋体"/>
          <w:color w:val="auto"/>
          <w:sz w:val="21"/>
          <w:highlight w:val="none"/>
        </w:rPr>
        <w:t>8.1外出考察费用</w:t>
      </w:r>
    </w:p>
    <w:p w14:paraId="737D1175">
      <w:pPr>
        <w:ind w:firstLine="420" w:firstLineChars="200"/>
        <w:rPr>
          <w:rFonts w:hAnsi="宋体" w:eastAsia="宋体" w:cs="宋体"/>
          <w:color w:val="auto"/>
          <w:sz w:val="21"/>
          <w:highlight w:val="none"/>
        </w:rPr>
      </w:pPr>
      <w:r>
        <w:rPr>
          <w:rFonts w:hint="eastAsia" w:hAnsi="宋体" w:eastAsia="宋体" w:cs="宋体"/>
          <w:color w:val="auto"/>
          <w:sz w:val="21"/>
          <w:highlight w:val="none"/>
        </w:rPr>
        <w:t>经委托人同意，监理人员外出考察发生的费用由委托人审核后支付。</w:t>
      </w:r>
    </w:p>
    <w:p w14:paraId="282677D0">
      <w:pPr>
        <w:ind w:firstLine="420" w:firstLineChars="200"/>
        <w:rPr>
          <w:rFonts w:hAnsi="宋体" w:eastAsia="宋体" w:cs="宋体"/>
          <w:color w:val="auto"/>
          <w:sz w:val="21"/>
          <w:highlight w:val="none"/>
        </w:rPr>
      </w:pPr>
      <w:r>
        <w:rPr>
          <w:rFonts w:hint="eastAsia" w:hAnsi="宋体" w:eastAsia="宋体" w:cs="宋体"/>
          <w:color w:val="auto"/>
          <w:sz w:val="21"/>
          <w:highlight w:val="none"/>
        </w:rPr>
        <w:t>8.2检测费用</w:t>
      </w:r>
    </w:p>
    <w:p w14:paraId="3FE3E9D3">
      <w:pPr>
        <w:ind w:firstLine="420" w:firstLineChars="200"/>
        <w:rPr>
          <w:rFonts w:hAnsi="宋体" w:eastAsia="宋体" w:cs="宋体"/>
          <w:color w:val="auto"/>
          <w:sz w:val="21"/>
          <w:highlight w:val="none"/>
        </w:rPr>
      </w:pPr>
      <w:r>
        <w:rPr>
          <w:rFonts w:hint="eastAsia" w:hAnsi="宋体" w:eastAsia="宋体" w:cs="宋体"/>
          <w:color w:val="auto"/>
          <w:sz w:val="21"/>
          <w:highlight w:val="none"/>
        </w:rPr>
        <w:t>委托人要求监理人进行的材料和设备检测所发生的费用，由委托人支付，支付时间在专用条件中约定。</w:t>
      </w:r>
    </w:p>
    <w:p w14:paraId="64CCD661">
      <w:pPr>
        <w:ind w:firstLine="420" w:firstLineChars="200"/>
        <w:rPr>
          <w:rFonts w:hAnsi="宋体" w:eastAsia="宋体" w:cs="宋体"/>
          <w:color w:val="auto"/>
          <w:sz w:val="21"/>
          <w:highlight w:val="none"/>
        </w:rPr>
      </w:pPr>
      <w:r>
        <w:rPr>
          <w:rFonts w:hint="eastAsia" w:hAnsi="宋体" w:eastAsia="宋体" w:cs="宋体"/>
          <w:color w:val="auto"/>
          <w:sz w:val="21"/>
          <w:highlight w:val="none"/>
        </w:rPr>
        <w:t>8.3咨询费用</w:t>
      </w:r>
    </w:p>
    <w:p w14:paraId="5807CC8F">
      <w:pPr>
        <w:ind w:firstLine="420" w:firstLineChars="200"/>
        <w:rPr>
          <w:rFonts w:hAnsi="宋体" w:eastAsia="宋体" w:cs="宋体"/>
          <w:color w:val="auto"/>
          <w:sz w:val="21"/>
          <w:highlight w:val="none"/>
        </w:rPr>
      </w:pPr>
      <w:r>
        <w:rPr>
          <w:rFonts w:hint="eastAsia" w:hAnsi="宋体" w:eastAsia="宋体" w:cs="宋体"/>
          <w:color w:val="auto"/>
          <w:sz w:val="21"/>
          <w:highlight w:val="none"/>
        </w:rPr>
        <w:t>经委托人同意，根据工程需要由监理人组织的相关咨询论证会以及聘请相关专家等发生的费用由委托人支付，支付时间在专用条件中约定。</w:t>
      </w:r>
    </w:p>
    <w:p w14:paraId="5B2DA65C">
      <w:pPr>
        <w:ind w:firstLine="420" w:firstLineChars="200"/>
        <w:rPr>
          <w:rFonts w:hAnsi="宋体" w:eastAsia="宋体" w:cs="宋体"/>
          <w:color w:val="auto"/>
          <w:sz w:val="21"/>
          <w:highlight w:val="none"/>
        </w:rPr>
      </w:pPr>
      <w:r>
        <w:rPr>
          <w:rFonts w:hint="eastAsia" w:hAnsi="宋体" w:eastAsia="宋体" w:cs="宋体"/>
          <w:color w:val="auto"/>
          <w:sz w:val="21"/>
          <w:highlight w:val="none"/>
        </w:rPr>
        <w:t>8.4奖励</w:t>
      </w:r>
    </w:p>
    <w:p w14:paraId="3E67809A">
      <w:pPr>
        <w:ind w:firstLine="420" w:firstLineChars="200"/>
        <w:rPr>
          <w:rFonts w:hAnsi="宋体" w:eastAsia="宋体" w:cs="宋体"/>
          <w:color w:val="auto"/>
          <w:sz w:val="21"/>
          <w:highlight w:val="none"/>
        </w:rPr>
      </w:pPr>
      <w:r>
        <w:rPr>
          <w:rFonts w:hint="eastAsia" w:hAnsi="宋体" w:eastAsia="宋体" w:cs="宋体"/>
          <w:color w:val="auto"/>
          <w:sz w:val="21"/>
          <w:highlight w:val="none"/>
        </w:rPr>
        <w:t>监理人在服务过程中提出的合理化建议，使委托人获得经济效益的，双方在专用条件中约定奖励金额的确定方法。奖励金额在合理化建议采纳后，与最近一期的正常工作酬金同期支付。</w:t>
      </w:r>
    </w:p>
    <w:p w14:paraId="39169415">
      <w:pPr>
        <w:ind w:firstLine="420" w:firstLineChars="200"/>
        <w:rPr>
          <w:rFonts w:hAnsi="宋体" w:eastAsia="宋体" w:cs="宋体"/>
          <w:color w:val="auto"/>
          <w:sz w:val="21"/>
          <w:highlight w:val="none"/>
        </w:rPr>
      </w:pPr>
      <w:r>
        <w:rPr>
          <w:rFonts w:hint="eastAsia" w:hAnsi="宋体" w:eastAsia="宋体" w:cs="宋体"/>
          <w:color w:val="auto"/>
          <w:sz w:val="21"/>
          <w:highlight w:val="none"/>
        </w:rPr>
        <w:t>8.5守法诚信</w:t>
      </w:r>
    </w:p>
    <w:p w14:paraId="1C2AE4DA">
      <w:pPr>
        <w:ind w:firstLine="420" w:firstLineChars="200"/>
        <w:rPr>
          <w:rFonts w:hAnsi="宋体" w:eastAsia="宋体" w:cs="宋体"/>
          <w:color w:val="auto"/>
          <w:sz w:val="21"/>
          <w:highlight w:val="none"/>
        </w:rPr>
      </w:pPr>
      <w:r>
        <w:rPr>
          <w:rFonts w:hint="eastAsia" w:hAnsi="宋体" w:eastAsia="宋体" w:cs="宋体"/>
          <w:color w:val="auto"/>
          <w:sz w:val="21"/>
          <w:highlight w:val="none"/>
        </w:rPr>
        <w:t>监理人及其工作人员不得从与实施工程有关的第三方处获得任何经济利益。</w:t>
      </w:r>
    </w:p>
    <w:p w14:paraId="625A74AA">
      <w:pPr>
        <w:ind w:firstLine="420" w:firstLineChars="200"/>
        <w:rPr>
          <w:rFonts w:hAnsi="宋体" w:eastAsia="宋体" w:cs="宋体"/>
          <w:color w:val="auto"/>
          <w:sz w:val="21"/>
          <w:highlight w:val="none"/>
        </w:rPr>
      </w:pPr>
      <w:r>
        <w:rPr>
          <w:rFonts w:hint="eastAsia" w:hAnsi="宋体" w:eastAsia="宋体" w:cs="宋体"/>
          <w:color w:val="auto"/>
          <w:sz w:val="21"/>
          <w:highlight w:val="none"/>
        </w:rPr>
        <w:t>8.6保密</w:t>
      </w:r>
    </w:p>
    <w:p w14:paraId="67992FD8">
      <w:pPr>
        <w:ind w:firstLine="420" w:firstLineChars="200"/>
        <w:rPr>
          <w:rFonts w:hAnsi="宋体" w:eastAsia="宋体" w:cs="宋体"/>
          <w:color w:val="auto"/>
          <w:sz w:val="21"/>
          <w:highlight w:val="none"/>
        </w:rPr>
      </w:pPr>
      <w:r>
        <w:rPr>
          <w:rFonts w:hint="eastAsia" w:hAnsi="宋体" w:eastAsia="宋体" w:cs="宋体"/>
          <w:color w:val="auto"/>
          <w:sz w:val="21"/>
          <w:highlight w:val="none"/>
        </w:rPr>
        <w:t>双方不得泄露对方申明的保密资料，亦不得泄露与实施工程有关的第三方所提供的保密资料，保密事项在专用条件中约定。</w:t>
      </w:r>
    </w:p>
    <w:p w14:paraId="5C3E2297">
      <w:pPr>
        <w:ind w:firstLine="420" w:firstLineChars="200"/>
        <w:rPr>
          <w:rFonts w:hAnsi="宋体" w:eastAsia="宋体" w:cs="宋体"/>
          <w:color w:val="auto"/>
          <w:sz w:val="21"/>
          <w:highlight w:val="none"/>
        </w:rPr>
      </w:pPr>
      <w:r>
        <w:rPr>
          <w:rFonts w:hint="eastAsia" w:hAnsi="宋体" w:eastAsia="宋体" w:cs="宋体"/>
          <w:color w:val="auto"/>
          <w:sz w:val="21"/>
          <w:highlight w:val="none"/>
        </w:rPr>
        <w:t>8.7通知</w:t>
      </w:r>
    </w:p>
    <w:p w14:paraId="471D83D8">
      <w:pPr>
        <w:ind w:firstLine="420" w:firstLineChars="200"/>
        <w:rPr>
          <w:rFonts w:hAnsi="宋体" w:eastAsia="宋体" w:cs="宋体"/>
          <w:color w:val="auto"/>
          <w:sz w:val="21"/>
          <w:highlight w:val="none"/>
        </w:rPr>
      </w:pPr>
      <w:r>
        <w:rPr>
          <w:rFonts w:hint="eastAsia" w:hAnsi="宋体" w:eastAsia="宋体" w:cs="宋体"/>
          <w:color w:val="auto"/>
          <w:sz w:val="21"/>
          <w:highlight w:val="none"/>
        </w:rPr>
        <w:t>本合同涉及的通知均应当采用书面形式，并在送达对方时生效，收件人应书面签收。</w:t>
      </w:r>
    </w:p>
    <w:p w14:paraId="099D83AE">
      <w:pPr>
        <w:ind w:firstLine="420" w:firstLineChars="200"/>
        <w:rPr>
          <w:rFonts w:hAnsi="宋体" w:eastAsia="宋体" w:cs="宋体"/>
          <w:color w:val="auto"/>
          <w:sz w:val="21"/>
          <w:highlight w:val="none"/>
        </w:rPr>
      </w:pPr>
      <w:r>
        <w:rPr>
          <w:rFonts w:hint="eastAsia" w:hAnsi="宋体" w:eastAsia="宋体" w:cs="宋体"/>
          <w:color w:val="auto"/>
          <w:sz w:val="21"/>
          <w:highlight w:val="none"/>
        </w:rPr>
        <w:t>8.8著作权</w:t>
      </w:r>
    </w:p>
    <w:p w14:paraId="12CE29D8">
      <w:pPr>
        <w:ind w:firstLine="420" w:firstLineChars="200"/>
        <w:rPr>
          <w:rFonts w:hAnsi="宋体" w:eastAsia="宋体" w:cs="宋体"/>
          <w:color w:val="auto"/>
          <w:sz w:val="21"/>
          <w:highlight w:val="none"/>
        </w:rPr>
      </w:pPr>
      <w:r>
        <w:rPr>
          <w:rFonts w:hint="eastAsia" w:hAnsi="宋体" w:eastAsia="宋体" w:cs="宋体"/>
          <w:color w:val="auto"/>
          <w:sz w:val="21"/>
          <w:highlight w:val="none"/>
        </w:rPr>
        <w:t>监理人对其编制的文件拥有著作权。</w:t>
      </w:r>
    </w:p>
    <w:p w14:paraId="6804C984">
      <w:pPr>
        <w:widowControl/>
        <w:autoSpaceDE w:val="0"/>
        <w:autoSpaceDN w:val="0"/>
        <w:snapToGrid w:val="0"/>
        <w:ind w:firstLine="420" w:firstLineChars="200"/>
        <w:rPr>
          <w:rFonts w:hAnsi="宋体" w:eastAsia="宋体" w:cs="宋体"/>
          <w:color w:val="auto"/>
          <w:spacing w:val="-2"/>
          <w:sz w:val="21"/>
          <w:highlight w:val="none"/>
        </w:rPr>
      </w:pPr>
      <w:r>
        <w:rPr>
          <w:rFonts w:hint="eastAsia" w:hAnsi="宋体" w:eastAsia="宋体" w:cs="宋体"/>
          <w:color w:val="auto"/>
          <w:sz w:val="21"/>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4B3EE0FC">
      <w:pPr>
        <w:widowControl/>
        <w:autoSpaceDE w:val="0"/>
        <w:autoSpaceDN w:val="0"/>
        <w:snapToGrid w:val="0"/>
        <w:rPr>
          <w:rFonts w:hAnsi="宋体" w:eastAsia="宋体" w:cs="宋体"/>
          <w:color w:val="auto"/>
          <w:sz w:val="21"/>
          <w:highlight w:val="none"/>
        </w:rPr>
        <w:sectPr>
          <w:pgSz w:w="11910" w:h="16845"/>
          <w:pgMar w:top="1440" w:right="1080" w:bottom="1440" w:left="1080" w:header="0" w:footer="1035" w:gutter="0"/>
          <w:cols w:space="720" w:num="1"/>
        </w:sectPr>
      </w:pPr>
    </w:p>
    <w:p w14:paraId="1CA7FBD4">
      <w:pPr>
        <w:widowControl/>
        <w:autoSpaceDE w:val="0"/>
        <w:autoSpaceDN w:val="0"/>
        <w:snapToGrid w:val="0"/>
        <w:jc w:val="center"/>
        <w:outlineLvl w:val="1"/>
        <w:rPr>
          <w:rFonts w:hAnsi="宋体" w:eastAsia="宋体" w:cs="宋体"/>
          <w:color w:val="auto"/>
          <w:sz w:val="21"/>
          <w:highlight w:val="none"/>
        </w:rPr>
      </w:pPr>
      <w:r>
        <w:rPr>
          <w:rFonts w:hint="eastAsia" w:hAnsi="宋体" w:eastAsia="宋体" w:cs="宋体"/>
          <w:color w:val="auto"/>
          <w:spacing w:val="4"/>
          <w:sz w:val="30"/>
          <w:szCs w:val="30"/>
          <w:highlight w:val="none"/>
        </w:rPr>
        <w:t>第三部分</w:t>
      </w:r>
      <w:r>
        <w:rPr>
          <w:rFonts w:hint="eastAsia" w:hAnsi="宋体" w:eastAsia="宋体" w:cs="宋体"/>
          <w:color w:val="auto"/>
          <w:spacing w:val="4"/>
          <w:sz w:val="30"/>
          <w:szCs w:val="30"/>
          <w:highlight w:val="none"/>
          <w:lang w:val="en-US" w:eastAsia="zh-CN"/>
        </w:rPr>
        <w:t xml:space="preserve"> </w:t>
      </w:r>
      <w:r>
        <w:rPr>
          <w:rFonts w:hint="eastAsia" w:hAnsi="宋体" w:eastAsia="宋体" w:cs="宋体"/>
          <w:color w:val="auto"/>
          <w:spacing w:val="4"/>
          <w:sz w:val="30"/>
          <w:szCs w:val="30"/>
          <w:highlight w:val="none"/>
        </w:rPr>
        <w:t>专用条件</w:t>
      </w:r>
    </w:p>
    <w:p w14:paraId="772D9F60">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1、定义与解释</w:t>
      </w:r>
    </w:p>
    <w:p w14:paraId="037ACDB7">
      <w:pPr>
        <w:ind w:firstLine="420" w:firstLineChars="200"/>
        <w:rPr>
          <w:rFonts w:hAnsi="宋体" w:eastAsia="宋体" w:cs="宋体"/>
          <w:color w:val="auto"/>
          <w:sz w:val="21"/>
          <w:highlight w:val="none"/>
        </w:rPr>
      </w:pPr>
      <w:r>
        <w:rPr>
          <w:rFonts w:hint="eastAsia" w:hAnsi="宋体" w:eastAsia="宋体" w:cs="宋体"/>
          <w:color w:val="auto"/>
          <w:sz w:val="21"/>
          <w:highlight w:val="none"/>
        </w:rPr>
        <w:t>1.2解释</w:t>
      </w:r>
    </w:p>
    <w:p w14:paraId="2D034FD3">
      <w:pPr>
        <w:ind w:firstLine="420" w:firstLineChars="200"/>
        <w:rPr>
          <w:rFonts w:hAnsi="宋体" w:eastAsia="宋体" w:cs="宋体"/>
          <w:color w:val="auto"/>
          <w:sz w:val="21"/>
          <w:highlight w:val="none"/>
        </w:rPr>
      </w:pPr>
      <w:r>
        <w:rPr>
          <w:rFonts w:hint="eastAsia" w:hAnsi="宋体" w:eastAsia="宋体" w:cs="宋体"/>
          <w:color w:val="auto"/>
          <w:sz w:val="21"/>
          <w:highlight w:val="none"/>
        </w:rPr>
        <w:t>1.2.1本合同文件除使用中文外，还可用</w:t>
      </w:r>
      <w:r>
        <w:rPr>
          <w:rFonts w:hint="eastAsia" w:hAnsi="宋体" w:eastAsia="宋体" w:cs="宋体"/>
          <w:color w:val="auto"/>
          <w:sz w:val="21"/>
          <w:highlight w:val="none"/>
          <w:u w:val="single"/>
        </w:rPr>
        <w:t xml:space="preserve">   ——   </w:t>
      </w:r>
      <w:r>
        <w:rPr>
          <w:rFonts w:hint="eastAsia" w:hAnsi="宋体" w:eastAsia="宋体" w:cs="宋体"/>
          <w:color w:val="auto"/>
          <w:sz w:val="21"/>
          <w:highlight w:val="none"/>
        </w:rPr>
        <w:t>。</w:t>
      </w:r>
    </w:p>
    <w:p w14:paraId="0DDDA2DE">
      <w:pPr>
        <w:ind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1.2.2约定本合同文件的解释顺序为：</w:t>
      </w:r>
      <w:r>
        <w:rPr>
          <w:rFonts w:hint="eastAsia" w:hAnsi="宋体" w:eastAsia="宋体" w:cs="宋体"/>
          <w:color w:val="auto"/>
          <w:sz w:val="21"/>
          <w:highlight w:val="none"/>
          <w:u w:val="single"/>
        </w:rPr>
        <w:t>合同协议书、中标（成交）通知书、合同专用条件、合同通用条件、标准规范及有关技术文件。</w:t>
      </w:r>
    </w:p>
    <w:p w14:paraId="6B6F46FD">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2、监理人义务</w:t>
      </w:r>
    </w:p>
    <w:p w14:paraId="4C7EB66F">
      <w:pPr>
        <w:ind w:firstLine="420" w:firstLineChars="200"/>
        <w:rPr>
          <w:rFonts w:hAnsi="宋体" w:eastAsia="宋体" w:cs="宋体"/>
          <w:color w:val="auto"/>
          <w:sz w:val="21"/>
          <w:highlight w:val="none"/>
        </w:rPr>
      </w:pPr>
      <w:r>
        <w:rPr>
          <w:rFonts w:hint="eastAsia" w:hAnsi="宋体" w:eastAsia="宋体" w:cs="宋体"/>
          <w:color w:val="auto"/>
          <w:sz w:val="21"/>
          <w:highlight w:val="none"/>
        </w:rPr>
        <w:t>2.1监理的范围和内容</w:t>
      </w:r>
    </w:p>
    <w:p w14:paraId="148D99E4">
      <w:pPr>
        <w:ind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2.1.1监理范围包括：</w:t>
      </w:r>
      <w:r>
        <w:rPr>
          <w:rFonts w:hint="eastAsia" w:hAnsi="宋体" w:eastAsia="宋体" w:cs="宋体"/>
          <w:color w:val="auto"/>
          <w:sz w:val="21"/>
          <w:highlight w:val="none"/>
          <w:u w:val="single"/>
        </w:rPr>
        <w:t>施工图范围内的景观工程、绿化工程、景观排水工程、景观电气工程、</w:t>
      </w:r>
      <w:r>
        <w:rPr>
          <w:rFonts w:hAnsi="宋体" w:eastAsia="宋体" w:cs="宋体"/>
          <w:color w:val="auto"/>
          <w:sz w:val="21"/>
          <w:highlight w:val="none"/>
          <w:u w:val="single"/>
        </w:rPr>
        <w:t>景观给水</w:t>
      </w:r>
      <w:r>
        <w:rPr>
          <w:rFonts w:hint="eastAsia" w:hAnsi="宋体" w:eastAsia="宋体" w:cs="宋体"/>
          <w:color w:val="auto"/>
          <w:sz w:val="21"/>
          <w:highlight w:val="none"/>
          <w:u w:val="single"/>
        </w:rPr>
        <w:t>工程</w:t>
      </w:r>
      <w:r>
        <w:rPr>
          <w:rFonts w:hAnsi="宋体" w:eastAsia="宋体" w:cs="宋体"/>
          <w:color w:val="auto"/>
          <w:sz w:val="21"/>
          <w:highlight w:val="none"/>
          <w:u w:val="single"/>
        </w:rPr>
        <w:t>、房屋建筑与装饰工程、亮化工程、光伏发电、充电桩电气及智能化工程</w:t>
      </w:r>
      <w:r>
        <w:rPr>
          <w:rFonts w:hint="eastAsia" w:hAnsi="宋体" w:eastAsia="宋体" w:cs="宋体"/>
          <w:color w:val="auto"/>
          <w:sz w:val="21"/>
          <w:highlight w:val="none"/>
          <w:u w:val="single"/>
        </w:rPr>
        <w:t>、道路工程、桥梁工程、排水工程、路灯工程、交通设施工程、科技设施工程等施工全过程监理及缺陷责任期监理服务（具体详见施工图及工程量清单）。</w:t>
      </w:r>
    </w:p>
    <w:p w14:paraId="22830096">
      <w:pPr>
        <w:ind w:firstLine="420" w:firstLineChars="200"/>
        <w:rPr>
          <w:rFonts w:hAnsi="宋体" w:eastAsia="宋体" w:cs="宋体"/>
          <w:color w:val="auto"/>
          <w:sz w:val="21"/>
          <w:highlight w:val="none"/>
        </w:rPr>
      </w:pPr>
      <w:r>
        <w:rPr>
          <w:rFonts w:hint="eastAsia" w:hAnsi="宋体" w:eastAsia="宋体" w:cs="宋体"/>
          <w:color w:val="auto"/>
          <w:sz w:val="21"/>
          <w:highlight w:val="none"/>
          <w:u w:val="single"/>
        </w:rPr>
        <w:t>监理工作内容主要是施工全过程监理，包括施工阶段的质量、进度、投资、安全控制，合同管理，信息管理，组织协调和文明施工监控</w:t>
      </w:r>
      <w:r>
        <w:rPr>
          <w:rFonts w:hint="eastAsia" w:hAnsi="宋体" w:eastAsia="宋体" w:cs="宋体"/>
          <w:color w:val="auto"/>
          <w:sz w:val="21"/>
          <w:highlight w:val="none"/>
        </w:rPr>
        <w:t>。</w:t>
      </w:r>
    </w:p>
    <w:p w14:paraId="48D7412B">
      <w:pPr>
        <w:ind w:firstLine="420" w:firstLineChars="200"/>
        <w:rPr>
          <w:rFonts w:hAnsi="宋体" w:eastAsia="宋体" w:cs="宋体"/>
          <w:color w:val="auto"/>
          <w:sz w:val="21"/>
          <w:highlight w:val="none"/>
        </w:rPr>
      </w:pPr>
      <w:r>
        <w:rPr>
          <w:rFonts w:hint="eastAsia" w:hAnsi="宋体" w:eastAsia="宋体" w:cs="宋体"/>
          <w:color w:val="auto"/>
          <w:sz w:val="21"/>
          <w:highlight w:val="none"/>
        </w:rPr>
        <w:t>2.1.2监理工作内容还包括：</w:t>
      </w:r>
    </w:p>
    <w:p w14:paraId="126579DF">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（1）</w:t>
      </w:r>
      <w:r>
        <w:rPr>
          <w:rFonts w:hint="eastAsia" w:hAnsi="宋体" w:eastAsia="宋体" w:cs="宋体"/>
          <w:color w:val="auto"/>
          <w:sz w:val="21"/>
          <w:highlight w:val="none"/>
          <w:u w:val="single"/>
        </w:rPr>
        <w:t>熟悉合同文件，了解施工现场</w:t>
      </w:r>
      <w:r>
        <w:rPr>
          <w:rFonts w:hint="eastAsia" w:hAnsi="宋体" w:eastAsia="宋体" w:cs="宋体"/>
          <w:color w:val="auto"/>
          <w:sz w:val="21"/>
          <w:highlight w:val="none"/>
        </w:rPr>
        <w:t>；</w:t>
      </w:r>
    </w:p>
    <w:p w14:paraId="22872A94">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（2）</w:t>
      </w:r>
      <w:r>
        <w:rPr>
          <w:rFonts w:hint="eastAsia" w:hAnsi="宋体" w:eastAsia="宋体" w:cs="宋体"/>
          <w:color w:val="auto"/>
          <w:sz w:val="21"/>
          <w:highlight w:val="none"/>
          <w:u w:val="single"/>
        </w:rPr>
        <w:t>编制监理规划、监理实施细则</w:t>
      </w:r>
      <w:r>
        <w:rPr>
          <w:rFonts w:hint="eastAsia" w:hAnsi="宋体" w:eastAsia="宋体" w:cs="宋体"/>
          <w:color w:val="auto"/>
          <w:sz w:val="21"/>
          <w:highlight w:val="none"/>
        </w:rPr>
        <w:t>；</w:t>
      </w:r>
    </w:p>
    <w:p w14:paraId="1108AD11">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（3）</w:t>
      </w:r>
      <w:r>
        <w:rPr>
          <w:rFonts w:hint="eastAsia" w:hAnsi="宋体" w:eastAsia="宋体" w:cs="宋体"/>
          <w:color w:val="auto"/>
          <w:sz w:val="21"/>
          <w:highlight w:val="none"/>
          <w:u w:val="single"/>
        </w:rPr>
        <w:t>参与交桩和设计交底工作，审查承包人提交的复测结果</w:t>
      </w:r>
      <w:r>
        <w:rPr>
          <w:rFonts w:hint="eastAsia" w:hAnsi="宋体" w:eastAsia="宋体" w:cs="宋体"/>
          <w:color w:val="auto"/>
          <w:sz w:val="21"/>
          <w:highlight w:val="none"/>
        </w:rPr>
        <w:t>；</w:t>
      </w:r>
    </w:p>
    <w:p w14:paraId="5950B279">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（4）</w:t>
      </w:r>
      <w:r>
        <w:rPr>
          <w:rFonts w:hint="eastAsia" w:hAnsi="宋体" w:eastAsia="宋体" w:cs="宋体"/>
          <w:color w:val="auto"/>
          <w:sz w:val="21"/>
          <w:highlight w:val="none"/>
          <w:u w:val="single"/>
        </w:rPr>
        <w:t>督促和检查承包人建立质量保证体系、安全保证体系</w:t>
      </w:r>
      <w:r>
        <w:rPr>
          <w:rFonts w:hint="eastAsia" w:hAnsi="宋体" w:eastAsia="宋体" w:cs="宋体"/>
          <w:color w:val="auto"/>
          <w:sz w:val="21"/>
          <w:highlight w:val="none"/>
        </w:rPr>
        <w:t>；</w:t>
      </w:r>
    </w:p>
    <w:p w14:paraId="62AC821C">
      <w:pPr>
        <w:ind w:firstLine="420" w:firstLineChars="200"/>
        <w:jc w:val="left"/>
        <w:rPr>
          <w:rFonts w:hAnsi="宋体" w:eastAsia="宋体" w:cs="宋体"/>
          <w:color w:val="auto"/>
          <w:sz w:val="21"/>
          <w:highlight w:val="none"/>
        </w:rPr>
      </w:pPr>
      <w:r>
        <w:rPr>
          <w:rFonts w:hint="eastAsia" w:hAnsi="宋体" w:eastAsia="宋体" w:cs="宋体"/>
          <w:color w:val="auto"/>
          <w:sz w:val="21"/>
          <w:highlight w:val="none"/>
        </w:rPr>
        <w:t>（5）</w:t>
      </w:r>
      <w:r>
        <w:rPr>
          <w:rFonts w:hint="eastAsia" w:hAnsi="宋体" w:eastAsia="宋体" w:cs="宋体"/>
          <w:color w:val="auto"/>
          <w:sz w:val="21"/>
          <w:highlight w:val="none"/>
          <w:u w:val="single"/>
        </w:rPr>
        <w:t>按时参加第一次工地监理会议和主持召开常规工地监理会议</w:t>
      </w:r>
      <w:r>
        <w:rPr>
          <w:rFonts w:hint="eastAsia" w:hAnsi="宋体" w:eastAsia="宋体" w:cs="宋体"/>
          <w:color w:val="auto"/>
          <w:sz w:val="21"/>
          <w:highlight w:val="none"/>
        </w:rPr>
        <w:t>；</w:t>
      </w:r>
    </w:p>
    <w:p w14:paraId="7F27B482">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（6）</w:t>
      </w:r>
      <w:r>
        <w:rPr>
          <w:rFonts w:hint="eastAsia" w:hAnsi="宋体" w:eastAsia="宋体" w:cs="宋体"/>
          <w:color w:val="auto"/>
          <w:sz w:val="21"/>
          <w:highlight w:val="none"/>
          <w:u w:val="single"/>
        </w:rPr>
        <w:t>检查承包人的开工准备工作，审批施工组织设计，签认开工报告，批准单项工程开工报告</w:t>
      </w:r>
      <w:r>
        <w:rPr>
          <w:rFonts w:hint="eastAsia" w:hAnsi="宋体" w:eastAsia="宋体" w:cs="宋体"/>
          <w:color w:val="auto"/>
          <w:sz w:val="21"/>
          <w:highlight w:val="none"/>
        </w:rPr>
        <w:t>；</w:t>
      </w:r>
    </w:p>
    <w:p w14:paraId="5AC484C2">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（7）</w:t>
      </w:r>
      <w:r>
        <w:rPr>
          <w:rFonts w:hint="eastAsia" w:hAnsi="宋体" w:eastAsia="宋体" w:cs="宋体"/>
          <w:color w:val="auto"/>
          <w:sz w:val="21"/>
          <w:highlight w:val="none"/>
          <w:u w:val="single"/>
        </w:rPr>
        <w:t>审核承包人授权的常驻现场代表的资质，以及其他派驻到现场的主要技术、管理人员的资质；审查特种作业人员的上岗证书</w:t>
      </w:r>
      <w:r>
        <w:rPr>
          <w:rFonts w:hint="eastAsia" w:hAnsi="宋体" w:eastAsia="宋体" w:cs="宋体"/>
          <w:color w:val="auto"/>
          <w:sz w:val="21"/>
          <w:highlight w:val="none"/>
        </w:rPr>
        <w:t>；</w:t>
      </w:r>
    </w:p>
    <w:p w14:paraId="04F31F10">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（8）</w:t>
      </w:r>
      <w:r>
        <w:rPr>
          <w:rFonts w:hint="eastAsia" w:hAnsi="宋体" w:eastAsia="宋体" w:cs="宋体"/>
          <w:color w:val="auto"/>
          <w:sz w:val="21"/>
          <w:highlight w:val="none"/>
          <w:u w:val="single"/>
        </w:rPr>
        <w:t>验收承包人的工地试验室，审核其人员资质</w:t>
      </w:r>
      <w:r>
        <w:rPr>
          <w:rFonts w:hint="eastAsia" w:hAnsi="宋体" w:eastAsia="宋体" w:cs="宋体"/>
          <w:color w:val="auto"/>
          <w:sz w:val="21"/>
          <w:highlight w:val="none"/>
        </w:rPr>
        <w:t>；</w:t>
      </w:r>
    </w:p>
    <w:p w14:paraId="6CAAFD7F">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（9）</w:t>
      </w:r>
      <w:r>
        <w:rPr>
          <w:rFonts w:hint="eastAsia" w:hAnsi="宋体" w:eastAsia="宋体" w:cs="宋体"/>
          <w:color w:val="auto"/>
          <w:sz w:val="21"/>
          <w:highlight w:val="none"/>
          <w:u w:val="single"/>
        </w:rPr>
        <w:t>建立监理的试验、检测工作体系，按照规定的频率独立开展监理的试验、检测工作</w:t>
      </w:r>
      <w:r>
        <w:rPr>
          <w:rFonts w:hint="eastAsia" w:hAnsi="宋体" w:eastAsia="宋体" w:cs="宋体"/>
          <w:color w:val="auto"/>
          <w:sz w:val="21"/>
          <w:highlight w:val="none"/>
        </w:rPr>
        <w:t>；</w:t>
      </w:r>
    </w:p>
    <w:p w14:paraId="0B92F0BC">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（10）</w:t>
      </w:r>
      <w:r>
        <w:rPr>
          <w:rFonts w:hint="eastAsia" w:hAnsi="宋体" w:eastAsia="宋体" w:cs="宋体"/>
          <w:color w:val="auto"/>
          <w:sz w:val="21"/>
          <w:highlight w:val="none"/>
          <w:u w:val="single"/>
        </w:rPr>
        <w:t>审批承包人拟用于本工程的原始材料、成套设备的品质以及工艺试验和标准试验</w:t>
      </w:r>
      <w:r>
        <w:rPr>
          <w:rFonts w:hint="eastAsia" w:hAnsi="宋体" w:eastAsia="宋体" w:cs="宋体"/>
          <w:color w:val="auto"/>
          <w:sz w:val="21"/>
          <w:highlight w:val="none"/>
        </w:rPr>
        <w:t>；</w:t>
      </w:r>
    </w:p>
    <w:p w14:paraId="54A9EA37">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（11）</w:t>
      </w:r>
      <w:r>
        <w:rPr>
          <w:rFonts w:hint="eastAsia" w:hAnsi="宋体" w:eastAsia="宋体" w:cs="宋体"/>
          <w:color w:val="auto"/>
          <w:sz w:val="21"/>
          <w:highlight w:val="none"/>
          <w:u w:val="single"/>
        </w:rPr>
        <w:t>审查承包人拟用于本工程的机械装备的性能与数量</w:t>
      </w:r>
      <w:r>
        <w:rPr>
          <w:rFonts w:hint="eastAsia" w:hAnsi="宋体" w:eastAsia="宋体" w:cs="宋体"/>
          <w:color w:val="auto"/>
          <w:sz w:val="21"/>
          <w:highlight w:val="none"/>
        </w:rPr>
        <w:t>；</w:t>
      </w:r>
    </w:p>
    <w:p w14:paraId="15D93F0B">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（12）</w:t>
      </w:r>
      <w:r>
        <w:rPr>
          <w:rFonts w:hint="eastAsia" w:hAnsi="宋体" w:eastAsia="宋体" w:cs="宋体"/>
          <w:color w:val="auto"/>
          <w:sz w:val="21"/>
          <w:highlight w:val="none"/>
          <w:u w:val="single"/>
        </w:rPr>
        <w:t>审批承包人实施工程的专项施工方案及主要方法或工艺，审批承包人提交的各项安全专项方案；加强监督和管理承包人在施工过程中采取的环境保护措施和安全文明施工措施</w:t>
      </w:r>
      <w:r>
        <w:rPr>
          <w:rFonts w:hint="eastAsia" w:hAnsi="宋体" w:eastAsia="宋体" w:cs="宋体"/>
          <w:color w:val="auto"/>
          <w:sz w:val="21"/>
          <w:highlight w:val="none"/>
        </w:rPr>
        <w:t>；</w:t>
      </w:r>
    </w:p>
    <w:p w14:paraId="06F87A69">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（13）</w:t>
      </w:r>
      <w:r>
        <w:rPr>
          <w:rFonts w:hint="eastAsia" w:hAnsi="宋体" w:eastAsia="宋体" w:cs="宋体"/>
          <w:color w:val="auto"/>
          <w:sz w:val="21"/>
          <w:highlight w:val="none"/>
          <w:u w:val="single"/>
        </w:rPr>
        <w:t>审查分包合同和分包人的资质，控制重要外购成品件或半成品件的质量</w:t>
      </w:r>
      <w:r>
        <w:rPr>
          <w:rFonts w:hint="eastAsia" w:hAnsi="宋体" w:eastAsia="宋体" w:cs="宋体"/>
          <w:color w:val="auto"/>
          <w:sz w:val="21"/>
          <w:highlight w:val="none"/>
        </w:rPr>
        <w:t>；</w:t>
      </w:r>
    </w:p>
    <w:p w14:paraId="449A91B7">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（14）</w:t>
      </w:r>
      <w:r>
        <w:rPr>
          <w:rFonts w:hint="eastAsia" w:hAnsi="宋体" w:eastAsia="宋体" w:cs="宋体"/>
          <w:color w:val="auto"/>
          <w:sz w:val="21"/>
          <w:highlight w:val="none"/>
          <w:u w:val="single"/>
        </w:rPr>
        <w:t>审查承包人提交的总体进度计划，检查和督促承包人实施进度计划、核批承包人的修正计划</w:t>
      </w:r>
      <w:r>
        <w:rPr>
          <w:rFonts w:hint="eastAsia" w:hAnsi="宋体" w:eastAsia="宋体" w:cs="宋体"/>
          <w:color w:val="auto"/>
          <w:sz w:val="21"/>
          <w:highlight w:val="none"/>
        </w:rPr>
        <w:t>；</w:t>
      </w:r>
    </w:p>
    <w:p w14:paraId="6AAAB0CA">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（15）</w:t>
      </w:r>
      <w:r>
        <w:rPr>
          <w:rFonts w:hint="eastAsia" w:hAnsi="宋体" w:eastAsia="宋体" w:cs="宋体"/>
          <w:color w:val="auto"/>
          <w:sz w:val="21"/>
          <w:highlight w:val="none"/>
          <w:u w:val="single"/>
        </w:rPr>
        <w:t>要求承包人按照合同条件、技术规范和监理程序进行施工，通过旁站、巡视、检测、试验和整体验收等手段全面监督、检查和控制工程质量</w:t>
      </w:r>
      <w:r>
        <w:rPr>
          <w:rFonts w:hint="eastAsia" w:hAnsi="宋体" w:eastAsia="宋体" w:cs="宋体"/>
          <w:color w:val="auto"/>
          <w:sz w:val="21"/>
          <w:highlight w:val="none"/>
        </w:rPr>
        <w:t>；</w:t>
      </w:r>
    </w:p>
    <w:p w14:paraId="44BC61D4">
      <w:pPr>
        <w:ind w:firstLine="420" w:firstLineChars="200"/>
        <w:jc w:val="left"/>
        <w:rPr>
          <w:rFonts w:hAnsi="宋体" w:eastAsia="宋体" w:cs="宋体"/>
          <w:color w:val="auto"/>
          <w:sz w:val="21"/>
          <w:highlight w:val="none"/>
        </w:rPr>
      </w:pPr>
      <w:r>
        <w:rPr>
          <w:rFonts w:hint="eastAsia" w:hAnsi="宋体" w:eastAsia="宋体" w:cs="宋体"/>
          <w:color w:val="auto"/>
          <w:sz w:val="21"/>
          <w:highlight w:val="none"/>
        </w:rPr>
        <w:t>（16）</w:t>
      </w:r>
      <w:r>
        <w:rPr>
          <w:rFonts w:hint="eastAsia" w:hAnsi="宋体" w:eastAsia="宋体" w:cs="宋体"/>
          <w:color w:val="auto"/>
          <w:sz w:val="21"/>
          <w:highlight w:val="none"/>
          <w:u w:val="single"/>
        </w:rPr>
        <w:t>签发中间交工证书</w:t>
      </w:r>
      <w:r>
        <w:rPr>
          <w:rFonts w:hint="eastAsia" w:hAnsi="宋体" w:eastAsia="宋体" w:cs="宋体"/>
          <w:color w:val="auto"/>
          <w:sz w:val="21"/>
          <w:highlight w:val="none"/>
        </w:rPr>
        <w:t>；</w:t>
      </w:r>
    </w:p>
    <w:p w14:paraId="58EC5181">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（17）</w:t>
      </w:r>
      <w:r>
        <w:rPr>
          <w:rFonts w:hint="eastAsia" w:hAnsi="宋体" w:eastAsia="宋体" w:cs="宋体"/>
          <w:color w:val="auto"/>
          <w:sz w:val="21"/>
          <w:highlight w:val="none"/>
          <w:u w:val="single"/>
        </w:rPr>
        <w:t>调查、处理工程质量缺陷和事故，与设计、承包单位一起提出改进措施和方法，出现重大质量和安全事故时，督促承包人按规定上报有关部门</w:t>
      </w:r>
      <w:r>
        <w:rPr>
          <w:rFonts w:hint="eastAsia" w:hAnsi="宋体" w:eastAsia="宋体" w:cs="宋体"/>
          <w:color w:val="auto"/>
          <w:sz w:val="21"/>
          <w:highlight w:val="none"/>
        </w:rPr>
        <w:t>；</w:t>
      </w:r>
    </w:p>
    <w:p w14:paraId="27126A12">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（18）</w:t>
      </w:r>
      <w:r>
        <w:rPr>
          <w:rFonts w:hint="eastAsia" w:hAnsi="宋体" w:eastAsia="宋体" w:cs="宋体"/>
          <w:color w:val="auto"/>
          <w:sz w:val="21"/>
          <w:highlight w:val="none"/>
          <w:u w:val="single"/>
        </w:rPr>
        <w:t>发布停（复）工令</w:t>
      </w:r>
      <w:r>
        <w:rPr>
          <w:rFonts w:hint="eastAsia" w:hAnsi="宋体" w:eastAsia="宋体" w:cs="宋体"/>
          <w:color w:val="auto"/>
          <w:sz w:val="21"/>
          <w:highlight w:val="none"/>
        </w:rPr>
        <w:t>；</w:t>
      </w:r>
    </w:p>
    <w:p w14:paraId="1E20FE59">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（19）</w:t>
      </w:r>
      <w:r>
        <w:rPr>
          <w:rFonts w:hint="eastAsia" w:hAnsi="宋体" w:eastAsia="宋体" w:cs="宋体"/>
          <w:color w:val="auto"/>
          <w:sz w:val="21"/>
          <w:highlight w:val="none"/>
          <w:u w:val="single"/>
        </w:rPr>
        <w:t>准确计量已完工程，对工程量的增减做好实测实量，保存好原始凭证，并接受委托人代表检核，审核变更的工程量并签署意见，审核承包人的进度款支付申请报告</w:t>
      </w:r>
      <w:r>
        <w:rPr>
          <w:rFonts w:hint="eastAsia" w:hAnsi="宋体" w:eastAsia="宋体" w:cs="宋体"/>
          <w:color w:val="auto"/>
          <w:sz w:val="21"/>
          <w:highlight w:val="none"/>
        </w:rPr>
        <w:t>；</w:t>
      </w:r>
    </w:p>
    <w:p w14:paraId="793C7FD2">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（20）</w:t>
      </w:r>
      <w:r>
        <w:rPr>
          <w:rFonts w:hint="eastAsia" w:hAnsi="宋体" w:eastAsia="宋体" w:cs="宋体"/>
          <w:color w:val="auto"/>
          <w:sz w:val="21"/>
          <w:highlight w:val="none"/>
          <w:u w:val="single"/>
        </w:rPr>
        <w:t>签认中期支付凭证</w:t>
      </w:r>
      <w:r>
        <w:rPr>
          <w:rFonts w:hint="eastAsia" w:hAnsi="宋体" w:eastAsia="宋体" w:cs="宋体"/>
          <w:color w:val="auto"/>
          <w:sz w:val="21"/>
          <w:highlight w:val="none"/>
        </w:rPr>
        <w:t>；</w:t>
      </w:r>
    </w:p>
    <w:p w14:paraId="42C4ADFE">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（21）</w:t>
      </w:r>
      <w:r>
        <w:rPr>
          <w:rFonts w:hint="eastAsia" w:hAnsi="宋体" w:eastAsia="宋体" w:cs="宋体"/>
          <w:color w:val="auto"/>
          <w:sz w:val="21"/>
          <w:highlight w:val="none"/>
          <w:u w:val="single"/>
        </w:rPr>
        <w:t>发布变更令（重大、重要变更报业主核准）</w:t>
      </w:r>
      <w:r>
        <w:rPr>
          <w:rFonts w:hint="eastAsia" w:hAnsi="宋体" w:eastAsia="宋体" w:cs="宋体"/>
          <w:color w:val="auto"/>
          <w:sz w:val="21"/>
          <w:highlight w:val="none"/>
        </w:rPr>
        <w:t>；</w:t>
      </w:r>
    </w:p>
    <w:p w14:paraId="30EFD5EF">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（22）</w:t>
      </w:r>
      <w:r>
        <w:rPr>
          <w:rFonts w:hint="eastAsia" w:hAnsi="宋体" w:eastAsia="宋体" w:cs="宋体"/>
          <w:color w:val="auto"/>
          <w:sz w:val="21"/>
          <w:highlight w:val="none"/>
          <w:u w:val="single"/>
        </w:rPr>
        <w:t>受理合同事宜，根据合同规定进行评估和处理</w:t>
      </w:r>
      <w:r>
        <w:rPr>
          <w:rFonts w:hint="eastAsia" w:hAnsi="宋体" w:eastAsia="宋体" w:cs="宋体"/>
          <w:color w:val="auto"/>
          <w:sz w:val="21"/>
          <w:highlight w:val="none"/>
        </w:rPr>
        <w:t>；</w:t>
      </w:r>
    </w:p>
    <w:p w14:paraId="036A9F1D">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（23）</w:t>
      </w:r>
      <w:r>
        <w:rPr>
          <w:rFonts w:hint="eastAsia" w:hAnsi="宋体" w:eastAsia="宋体" w:cs="宋体"/>
          <w:color w:val="auto"/>
          <w:sz w:val="21"/>
          <w:highlight w:val="none"/>
          <w:u w:val="single"/>
        </w:rPr>
        <w:t>根据合同规定处理违约事件，协调争端，在仲裁过程中作证</w:t>
      </w:r>
      <w:r>
        <w:rPr>
          <w:rFonts w:hint="eastAsia" w:hAnsi="宋体" w:eastAsia="宋体" w:cs="宋体"/>
          <w:color w:val="auto"/>
          <w:sz w:val="21"/>
          <w:highlight w:val="none"/>
        </w:rPr>
        <w:t>；</w:t>
      </w:r>
    </w:p>
    <w:p w14:paraId="33398619">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（24）</w:t>
      </w:r>
      <w:r>
        <w:rPr>
          <w:rFonts w:hint="eastAsia" w:hAnsi="宋体" w:eastAsia="宋体" w:cs="宋体"/>
          <w:color w:val="auto"/>
          <w:sz w:val="21"/>
          <w:highlight w:val="none"/>
          <w:u w:val="single"/>
        </w:rPr>
        <w:t>编制监理工作月报</w:t>
      </w:r>
      <w:r>
        <w:rPr>
          <w:rFonts w:hint="eastAsia" w:hAnsi="宋体" w:eastAsia="宋体" w:cs="宋体"/>
          <w:color w:val="auto"/>
          <w:sz w:val="21"/>
          <w:highlight w:val="none"/>
        </w:rPr>
        <w:t>；</w:t>
      </w:r>
    </w:p>
    <w:p w14:paraId="3DB16937">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（25）</w:t>
      </w:r>
      <w:r>
        <w:rPr>
          <w:rFonts w:hint="eastAsia" w:hAnsi="宋体" w:eastAsia="宋体" w:cs="宋体"/>
          <w:color w:val="auto"/>
          <w:sz w:val="21"/>
          <w:highlight w:val="none"/>
          <w:u w:val="single"/>
        </w:rPr>
        <w:t>评估承包人的交工申请，主持对拟交工工程的检查和验收；</w:t>
      </w:r>
    </w:p>
    <w:p w14:paraId="38DBA744">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（26）</w:t>
      </w:r>
      <w:r>
        <w:rPr>
          <w:rFonts w:hint="eastAsia" w:hAnsi="宋体" w:eastAsia="宋体" w:cs="宋体"/>
          <w:color w:val="auto"/>
          <w:sz w:val="21"/>
          <w:highlight w:val="none"/>
          <w:u w:val="single"/>
        </w:rPr>
        <w:t>签认交工证书，签署监理意见</w:t>
      </w:r>
      <w:r>
        <w:rPr>
          <w:rFonts w:hint="eastAsia" w:hAnsi="宋体" w:eastAsia="宋体" w:cs="宋体"/>
          <w:color w:val="auto"/>
          <w:sz w:val="21"/>
          <w:highlight w:val="none"/>
        </w:rPr>
        <w:t>；</w:t>
      </w:r>
    </w:p>
    <w:p w14:paraId="665F2C4A">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（27）</w:t>
      </w:r>
      <w:r>
        <w:rPr>
          <w:rFonts w:hint="eastAsia" w:hAnsi="宋体" w:eastAsia="宋体" w:cs="宋体"/>
          <w:color w:val="auto"/>
          <w:sz w:val="21"/>
          <w:highlight w:val="none"/>
          <w:u w:val="single"/>
        </w:rPr>
        <w:t>督促、检查承包人按工程管理部门和业主的要求编制竣工文件，审核竣工文件及竣工图并签署意见，配合结算审计工作</w:t>
      </w:r>
      <w:r>
        <w:rPr>
          <w:rFonts w:hint="eastAsia" w:hAnsi="宋体" w:eastAsia="宋体" w:cs="宋体"/>
          <w:color w:val="auto"/>
          <w:sz w:val="21"/>
          <w:highlight w:val="none"/>
        </w:rPr>
        <w:t>；</w:t>
      </w:r>
    </w:p>
    <w:p w14:paraId="26EC71F9">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（28）</w:t>
      </w:r>
      <w:r>
        <w:rPr>
          <w:rFonts w:hint="eastAsia" w:hAnsi="宋体" w:eastAsia="宋体" w:cs="宋体"/>
          <w:color w:val="auto"/>
          <w:sz w:val="21"/>
          <w:highlight w:val="none"/>
          <w:u w:val="single"/>
        </w:rPr>
        <w:t>编制监理方面的竣工文件</w:t>
      </w:r>
      <w:r>
        <w:rPr>
          <w:rFonts w:hint="eastAsia" w:hAnsi="宋体" w:eastAsia="宋体" w:cs="宋体"/>
          <w:color w:val="auto"/>
          <w:sz w:val="21"/>
          <w:highlight w:val="none"/>
        </w:rPr>
        <w:t>；</w:t>
      </w:r>
    </w:p>
    <w:p w14:paraId="0FB1754D">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（29）</w:t>
      </w:r>
      <w:r>
        <w:rPr>
          <w:rFonts w:hint="eastAsia" w:hAnsi="宋体" w:eastAsia="宋体" w:cs="宋体"/>
          <w:color w:val="auto"/>
          <w:sz w:val="21"/>
          <w:highlight w:val="none"/>
          <w:u w:val="single"/>
        </w:rPr>
        <w:t>配合委托人的竣工验收、工程移交及各种预验工作</w:t>
      </w:r>
      <w:r>
        <w:rPr>
          <w:rFonts w:hint="eastAsia" w:hAnsi="宋体" w:eastAsia="宋体" w:cs="宋体"/>
          <w:color w:val="auto"/>
          <w:sz w:val="21"/>
          <w:highlight w:val="none"/>
        </w:rPr>
        <w:t>；</w:t>
      </w:r>
    </w:p>
    <w:p w14:paraId="59BF6780">
      <w:pPr>
        <w:ind w:firstLine="420" w:firstLineChars="200"/>
        <w:rPr>
          <w:rFonts w:hAnsi="宋体" w:eastAsia="宋体" w:cs="宋体"/>
          <w:color w:val="auto"/>
          <w:sz w:val="21"/>
          <w:highlight w:val="none"/>
        </w:rPr>
      </w:pPr>
      <w:r>
        <w:rPr>
          <w:rFonts w:hint="eastAsia" w:hAnsi="宋体" w:eastAsia="宋体" w:cs="宋体"/>
          <w:color w:val="auto"/>
          <w:sz w:val="21"/>
          <w:highlight w:val="none"/>
        </w:rPr>
        <w:t>（30）</w:t>
      </w:r>
      <w:r>
        <w:rPr>
          <w:rFonts w:hint="eastAsia" w:hAnsi="宋体" w:eastAsia="宋体" w:cs="宋体"/>
          <w:color w:val="auto"/>
          <w:sz w:val="21"/>
          <w:highlight w:val="none"/>
          <w:u w:val="single"/>
        </w:rPr>
        <w:t>对承包人的项目负责人及现场管理人员进行考勤</w:t>
      </w:r>
      <w:r>
        <w:rPr>
          <w:rFonts w:hint="eastAsia" w:hAnsi="宋体" w:eastAsia="宋体" w:cs="宋体"/>
          <w:color w:val="auto"/>
          <w:sz w:val="21"/>
          <w:highlight w:val="none"/>
        </w:rPr>
        <w:t>。</w:t>
      </w:r>
    </w:p>
    <w:p w14:paraId="5D1A6F21">
      <w:pPr>
        <w:ind w:firstLine="420" w:firstLineChars="200"/>
        <w:rPr>
          <w:rFonts w:hAnsi="宋体" w:eastAsia="宋体" w:cs="宋体"/>
          <w:color w:val="auto"/>
          <w:sz w:val="21"/>
          <w:highlight w:val="none"/>
        </w:rPr>
      </w:pPr>
      <w:r>
        <w:rPr>
          <w:rFonts w:hint="eastAsia" w:hAnsi="宋体" w:eastAsia="宋体" w:cs="宋体"/>
          <w:color w:val="auto"/>
          <w:sz w:val="21"/>
          <w:highlight w:val="none"/>
        </w:rPr>
        <w:t>2.2监理与相关服务依据</w:t>
      </w:r>
    </w:p>
    <w:p w14:paraId="4205E84D">
      <w:pPr>
        <w:ind w:firstLine="420" w:firstLineChars="200"/>
        <w:rPr>
          <w:rFonts w:hAnsi="宋体" w:eastAsia="宋体" w:cs="宋体"/>
          <w:color w:val="auto"/>
          <w:sz w:val="21"/>
          <w:highlight w:val="none"/>
        </w:rPr>
      </w:pPr>
      <w:r>
        <w:rPr>
          <w:rFonts w:hint="eastAsia" w:hAnsi="宋体" w:eastAsia="宋体" w:cs="宋体"/>
          <w:color w:val="auto"/>
          <w:sz w:val="21"/>
          <w:highlight w:val="none"/>
        </w:rPr>
        <w:t>2.2.1监理依据包括：</w:t>
      </w:r>
    </w:p>
    <w:p w14:paraId="125DD34C">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（1）</w:t>
      </w:r>
      <w:r>
        <w:rPr>
          <w:rFonts w:hint="eastAsia" w:hAnsi="宋体" w:eastAsia="宋体" w:cs="宋体"/>
          <w:color w:val="auto"/>
          <w:sz w:val="21"/>
          <w:highlight w:val="none"/>
          <w:u w:val="single"/>
        </w:rPr>
        <w:t>委托人与第三方签订的正式合同、协议及附件</w:t>
      </w:r>
      <w:r>
        <w:rPr>
          <w:rFonts w:hint="eastAsia" w:hAnsi="宋体" w:eastAsia="宋体" w:cs="宋体"/>
          <w:color w:val="auto"/>
          <w:sz w:val="21"/>
          <w:highlight w:val="none"/>
        </w:rPr>
        <w:t>；</w:t>
      </w:r>
    </w:p>
    <w:p w14:paraId="476B19F5">
      <w:pPr>
        <w:ind w:firstLine="420" w:firstLineChars="200"/>
        <w:jc w:val="left"/>
        <w:rPr>
          <w:rFonts w:hAnsi="宋体" w:eastAsia="宋体" w:cs="宋体"/>
          <w:color w:val="auto"/>
          <w:sz w:val="21"/>
          <w:highlight w:val="none"/>
        </w:rPr>
      </w:pPr>
      <w:r>
        <w:rPr>
          <w:rFonts w:hint="eastAsia" w:hAnsi="宋体" w:eastAsia="宋体" w:cs="宋体"/>
          <w:color w:val="auto"/>
          <w:sz w:val="21"/>
          <w:highlight w:val="none"/>
        </w:rPr>
        <w:t>（2）</w:t>
      </w:r>
      <w:r>
        <w:rPr>
          <w:rFonts w:hint="eastAsia" w:hAnsi="宋体" w:eastAsia="宋体" w:cs="宋体"/>
          <w:color w:val="auto"/>
          <w:sz w:val="21"/>
          <w:highlight w:val="none"/>
          <w:u w:val="single"/>
        </w:rPr>
        <w:t>建设批文及相关资料</w:t>
      </w:r>
      <w:r>
        <w:rPr>
          <w:rFonts w:hint="eastAsia" w:hAnsi="宋体" w:eastAsia="宋体" w:cs="宋体"/>
          <w:color w:val="auto"/>
          <w:sz w:val="21"/>
          <w:highlight w:val="none"/>
        </w:rPr>
        <w:t>；</w:t>
      </w:r>
    </w:p>
    <w:p w14:paraId="40452DF1">
      <w:pPr>
        <w:ind w:firstLine="420" w:firstLineChars="200"/>
        <w:jc w:val="left"/>
        <w:rPr>
          <w:rFonts w:hAnsi="宋体" w:eastAsia="宋体" w:cs="宋体"/>
          <w:color w:val="auto"/>
          <w:sz w:val="21"/>
          <w:highlight w:val="none"/>
          <w:u w:val="single"/>
        </w:rPr>
      </w:pPr>
      <w:r>
        <w:rPr>
          <w:rFonts w:hint="eastAsia" w:hAnsi="宋体" w:eastAsia="宋体" w:cs="宋体"/>
          <w:color w:val="auto"/>
          <w:sz w:val="21"/>
          <w:highlight w:val="none"/>
        </w:rPr>
        <w:t>（3）</w:t>
      </w:r>
      <w:r>
        <w:rPr>
          <w:rFonts w:hint="eastAsia" w:hAnsi="宋体" w:eastAsia="宋体" w:cs="宋体"/>
          <w:color w:val="auto"/>
          <w:sz w:val="21"/>
          <w:highlight w:val="none"/>
          <w:u w:val="single"/>
        </w:rPr>
        <w:t>本工程的设计文件及说明、相关标准图纸、技术规范、质量检验评定标准、试验规程等</w:t>
      </w:r>
      <w:r>
        <w:rPr>
          <w:rFonts w:hint="eastAsia" w:hAnsi="宋体" w:eastAsia="宋体" w:cs="宋体"/>
          <w:color w:val="auto"/>
          <w:sz w:val="21"/>
          <w:highlight w:val="none"/>
        </w:rPr>
        <w:t>；</w:t>
      </w:r>
    </w:p>
    <w:p w14:paraId="12298125">
      <w:pPr>
        <w:ind w:firstLine="420" w:firstLineChars="200"/>
        <w:rPr>
          <w:rFonts w:hAnsi="宋体" w:eastAsia="宋体" w:cs="宋体"/>
          <w:color w:val="auto"/>
          <w:sz w:val="21"/>
          <w:highlight w:val="none"/>
        </w:rPr>
      </w:pPr>
      <w:r>
        <w:rPr>
          <w:rFonts w:hint="eastAsia" w:hAnsi="宋体" w:eastAsia="宋体" w:cs="宋体"/>
          <w:color w:val="auto"/>
          <w:sz w:val="21"/>
          <w:highlight w:val="none"/>
        </w:rPr>
        <w:t>（4）</w:t>
      </w:r>
      <w:r>
        <w:rPr>
          <w:rFonts w:hint="eastAsia" w:hAnsi="宋体" w:eastAsia="宋体" w:cs="宋体"/>
          <w:color w:val="auto"/>
          <w:sz w:val="21"/>
          <w:highlight w:val="none"/>
          <w:u w:val="single"/>
        </w:rPr>
        <w:t>国务院、住房和城乡建设部、浙江省及宁波市有关工程建设的法规、规章及规范性文件</w:t>
      </w:r>
      <w:r>
        <w:rPr>
          <w:rFonts w:hint="eastAsia" w:hAnsi="宋体" w:eastAsia="宋体" w:cs="宋体"/>
          <w:color w:val="auto"/>
          <w:sz w:val="21"/>
          <w:highlight w:val="none"/>
        </w:rPr>
        <w:t>。</w:t>
      </w:r>
    </w:p>
    <w:p w14:paraId="70F5F691">
      <w:pPr>
        <w:ind w:firstLine="420" w:firstLineChars="200"/>
        <w:rPr>
          <w:rFonts w:hAnsi="宋体" w:eastAsia="宋体" w:cs="宋体"/>
          <w:color w:val="auto"/>
          <w:sz w:val="21"/>
          <w:highlight w:val="none"/>
        </w:rPr>
      </w:pPr>
      <w:r>
        <w:rPr>
          <w:rFonts w:hint="eastAsia" w:hAnsi="宋体" w:eastAsia="宋体" w:cs="宋体"/>
          <w:color w:val="auto"/>
          <w:sz w:val="21"/>
          <w:highlight w:val="none"/>
        </w:rPr>
        <w:t>2.3项目监理机构和人员</w:t>
      </w:r>
    </w:p>
    <w:p w14:paraId="710C9146">
      <w:pPr>
        <w:ind w:firstLine="420" w:firstLineChars="200"/>
        <w:rPr>
          <w:rFonts w:hAnsi="宋体" w:eastAsia="宋体" w:cs="宋体"/>
          <w:color w:val="auto"/>
          <w:sz w:val="21"/>
          <w:highlight w:val="none"/>
        </w:rPr>
      </w:pPr>
      <w:r>
        <w:rPr>
          <w:rFonts w:hint="eastAsia" w:hAnsi="宋体" w:eastAsia="宋体" w:cs="宋体"/>
          <w:color w:val="auto"/>
          <w:sz w:val="21"/>
          <w:highlight w:val="none"/>
        </w:rPr>
        <w:t>2.3.4更换监理人员的其他情形：</w:t>
      </w:r>
      <w:r>
        <w:rPr>
          <w:rFonts w:hint="eastAsia" w:hAnsi="宋体" w:eastAsia="宋体" w:cs="宋体"/>
          <w:color w:val="auto"/>
          <w:sz w:val="21"/>
          <w:highlight w:val="none"/>
          <w:u w:val="single"/>
        </w:rPr>
        <w:t xml:space="preserve">   ——   </w:t>
      </w:r>
      <w:r>
        <w:rPr>
          <w:rFonts w:hint="eastAsia" w:hAnsi="宋体" w:eastAsia="宋体" w:cs="宋体"/>
          <w:color w:val="auto"/>
          <w:sz w:val="21"/>
          <w:highlight w:val="none"/>
        </w:rPr>
        <w:t>。</w:t>
      </w:r>
    </w:p>
    <w:p w14:paraId="4DDA6CF9">
      <w:pPr>
        <w:ind w:firstLine="420" w:firstLineChars="200"/>
        <w:rPr>
          <w:rFonts w:hAnsi="宋体" w:eastAsia="宋体" w:cs="宋体"/>
          <w:color w:val="auto"/>
          <w:sz w:val="21"/>
          <w:highlight w:val="none"/>
        </w:rPr>
      </w:pPr>
      <w:r>
        <w:rPr>
          <w:rFonts w:hint="eastAsia" w:hAnsi="宋体" w:eastAsia="宋体" w:cs="宋体"/>
          <w:color w:val="auto"/>
          <w:sz w:val="21"/>
          <w:highlight w:val="none"/>
        </w:rPr>
        <w:t>2.3.6变更监理人员的违约处罚标准：</w:t>
      </w:r>
      <w:r>
        <w:rPr>
          <w:rFonts w:hint="eastAsia" w:hAnsi="宋体" w:eastAsia="宋体" w:cs="宋体"/>
          <w:color w:val="auto"/>
          <w:sz w:val="21"/>
          <w:highlight w:val="none"/>
          <w:u w:val="single"/>
        </w:rPr>
        <w:t>未经委托人书面同意，监理人不得擅自更换项目总监、监理工程师及其它监理人员，否则监理人需支付最高限额为履约担保金额（履约保证金）的30%作为违约金，由委托人从履约担保（履约保证金）中扣除。如果委托人同意监理人更换项目总监、监理工程师及其它监理人员，则监理人不用支付违约金，变更的项目总监、监理工程师及其它监理人员应按甬建发【2016】200号文件执行。</w:t>
      </w:r>
    </w:p>
    <w:p w14:paraId="0F9AF94F">
      <w:pPr>
        <w:ind w:firstLine="420" w:firstLineChars="200"/>
        <w:rPr>
          <w:rFonts w:hAnsi="宋体" w:eastAsia="宋体" w:cs="宋体"/>
          <w:color w:val="auto"/>
          <w:sz w:val="21"/>
          <w:highlight w:val="none"/>
        </w:rPr>
      </w:pPr>
      <w:r>
        <w:rPr>
          <w:rFonts w:hint="eastAsia" w:hAnsi="宋体" w:eastAsia="宋体" w:cs="宋体"/>
          <w:color w:val="auto"/>
          <w:sz w:val="21"/>
          <w:highlight w:val="none"/>
        </w:rPr>
        <w:t>2.4履行职责</w:t>
      </w:r>
    </w:p>
    <w:p w14:paraId="4D57B14B">
      <w:pPr>
        <w:ind w:firstLine="420" w:firstLineChars="200"/>
        <w:rPr>
          <w:rFonts w:hAnsi="宋体" w:eastAsia="宋体" w:cs="宋体"/>
          <w:color w:val="auto"/>
          <w:sz w:val="21"/>
          <w:highlight w:val="none"/>
        </w:rPr>
      </w:pPr>
      <w:r>
        <w:rPr>
          <w:rFonts w:hint="eastAsia" w:hAnsi="宋体" w:eastAsia="宋体" w:cs="宋体"/>
          <w:color w:val="auto"/>
          <w:sz w:val="21"/>
          <w:highlight w:val="none"/>
        </w:rPr>
        <w:t>2.4.3对监理人的授权范围：</w:t>
      </w:r>
      <w:r>
        <w:rPr>
          <w:rFonts w:hint="eastAsia" w:hAnsi="宋体" w:eastAsia="宋体" w:cs="宋体"/>
          <w:color w:val="auto"/>
          <w:sz w:val="21"/>
          <w:highlight w:val="none"/>
          <w:u w:val="single"/>
        </w:rPr>
        <w:t>施工全过程监理，施工阶段质量、进度、投资控制，合同管理和组织协调，安全、文明施工监控。</w:t>
      </w:r>
    </w:p>
    <w:p w14:paraId="25FBB446">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任何涉及工程延期和工程造价的变更，监理人都需请示委托人。</w:t>
      </w:r>
    </w:p>
    <w:p w14:paraId="0F57B230">
      <w:pPr>
        <w:ind w:firstLine="420" w:firstLineChars="200"/>
        <w:rPr>
          <w:rFonts w:hAnsi="宋体" w:eastAsia="宋体" w:cs="宋体"/>
          <w:color w:val="auto"/>
          <w:sz w:val="21"/>
          <w:highlight w:val="none"/>
        </w:rPr>
      </w:pPr>
      <w:r>
        <w:rPr>
          <w:rFonts w:hint="eastAsia" w:hAnsi="宋体" w:eastAsia="宋体" w:cs="宋体"/>
          <w:color w:val="auto"/>
          <w:sz w:val="21"/>
          <w:highlight w:val="none"/>
        </w:rPr>
        <w:t>2.4.4监理人有权要求承包人调换其人员的限制条件：</w:t>
      </w:r>
      <w:r>
        <w:rPr>
          <w:rFonts w:hint="eastAsia" w:hAnsi="宋体" w:eastAsia="宋体" w:cs="宋体"/>
          <w:color w:val="auto"/>
          <w:sz w:val="21"/>
          <w:highlight w:val="none"/>
          <w:u w:val="single"/>
        </w:rPr>
        <w:t xml:space="preserve">   ——   </w:t>
      </w:r>
      <w:r>
        <w:rPr>
          <w:rFonts w:hint="eastAsia" w:hAnsi="宋体" w:eastAsia="宋体" w:cs="宋体"/>
          <w:color w:val="auto"/>
          <w:sz w:val="21"/>
          <w:highlight w:val="none"/>
        </w:rPr>
        <w:t>。</w:t>
      </w:r>
    </w:p>
    <w:p w14:paraId="743381F4">
      <w:pPr>
        <w:ind w:firstLine="420" w:firstLineChars="200"/>
        <w:rPr>
          <w:rFonts w:hAnsi="宋体" w:eastAsia="宋体" w:cs="宋体"/>
          <w:color w:val="auto"/>
          <w:sz w:val="21"/>
          <w:highlight w:val="none"/>
        </w:rPr>
      </w:pPr>
      <w:r>
        <w:rPr>
          <w:rFonts w:hint="eastAsia" w:hAnsi="宋体" w:eastAsia="宋体" w:cs="宋体"/>
          <w:color w:val="auto"/>
          <w:sz w:val="21"/>
          <w:highlight w:val="none"/>
        </w:rPr>
        <w:t>2.5提交报告</w:t>
      </w:r>
    </w:p>
    <w:p w14:paraId="554B8D53">
      <w:pPr>
        <w:ind w:firstLine="420" w:firstLineChars="200"/>
        <w:rPr>
          <w:rFonts w:hAnsi="宋体" w:eastAsia="宋体" w:cs="宋体"/>
          <w:color w:val="auto"/>
          <w:sz w:val="21"/>
          <w:highlight w:val="none"/>
        </w:rPr>
      </w:pPr>
      <w:r>
        <w:rPr>
          <w:rFonts w:hint="eastAsia" w:hAnsi="宋体" w:eastAsia="宋体" w:cs="宋体"/>
          <w:color w:val="auto"/>
          <w:sz w:val="21"/>
          <w:highlight w:val="none"/>
        </w:rPr>
        <w:t>监理人应提交报告的种类（包括监理计划、监理月报及约定的专项报告）、时间和份数：</w:t>
      </w:r>
      <w:r>
        <w:rPr>
          <w:rFonts w:hint="eastAsia" w:hAnsi="宋体" w:eastAsia="宋体" w:cs="宋体"/>
          <w:color w:val="auto"/>
          <w:sz w:val="21"/>
          <w:highlight w:val="none"/>
          <w:u w:val="single"/>
        </w:rPr>
        <w:t>每个月25日之前递交3份当月的监理月报及下月的监理计划和专项报告。</w:t>
      </w:r>
    </w:p>
    <w:p w14:paraId="455EB54C">
      <w:pPr>
        <w:ind w:firstLine="420" w:firstLineChars="200"/>
        <w:rPr>
          <w:rFonts w:hAnsi="宋体" w:eastAsia="宋体" w:cs="宋体"/>
          <w:color w:val="auto"/>
          <w:sz w:val="21"/>
          <w:highlight w:val="none"/>
        </w:rPr>
      </w:pPr>
      <w:r>
        <w:rPr>
          <w:rFonts w:hint="eastAsia" w:hAnsi="宋体" w:eastAsia="宋体" w:cs="宋体"/>
          <w:color w:val="auto"/>
          <w:sz w:val="21"/>
          <w:highlight w:val="none"/>
        </w:rPr>
        <w:t>2.7使用委托人的财产</w:t>
      </w:r>
    </w:p>
    <w:p w14:paraId="0BB9DA05">
      <w:pPr>
        <w:ind w:firstLine="420" w:firstLineChars="200"/>
        <w:rPr>
          <w:rFonts w:hAnsi="宋体" w:eastAsia="宋体" w:cs="宋体"/>
          <w:color w:val="auto"/>
          <w:sz w:val="21"/>
          <w:highlight w:val="none"/>
        </w:rPr>
      </w:pPr>
      <w:r>
        <w:rPr>
          <w:rFonts w:hint="eastAsia" w:hAnsi="宋体" w:eastAsia="宋体" w:cs="宋体"/>
          <w:color w:val="auto"/>
          <w:sz w:val="21"/>
          <w:highlight w:val="none"/>
        </w:rPr>
        <w:t>附录中由委托人无偿提供的房屋、设备的所有权属于：</w:t>
      </w:r>
      <w:r>
        <w:rPr>
          <w:rFonts w:hint="eastAsia" w:hAnsi="宋体" w:eastAsia="宋体" w:cs="宋体"/>
          <w:color w:val="auto"/>
          <w:sz w:val="21"/>
          <w:highlight w:val="none"/>
          <w:u w:val="single"/>
        </w:rPr>
        <w:t xml:space="preserve">   ——   </w:t>
      </w:r>
      <w:r>
        <w:rPr>
          <w:rFonts w:hint="eastAsia" w:hAnsi="宋体" w:eastAsia="宋体" w:cs="宋体"/>
          <w:color w:val="auto"/>
          <w:sz w:val="21"/>
          <w:highlight w:val="none"/>
        </w:rPr>
        <w:t>。</w:t>
      </w:r>
    </w:p>
    <w:p w14:paraId="0DFDBF85">
      <w:pPr>
        <w:ind w:firstLine="420" w:firstLineChars="200"/>
        <w:rPr>
          <w:rFonts w:hAnsi="宋体" w:eastAsia="宋体" w:cs="宋体"/>
          <w:color w:val="auto"/>
          <w:sz w:val="21"/>
          <w:highlight w:val="none"/>
        </w:rPr>
      </w:pPr>
      <w:r>
        <w:rPr>
          <w:rFonts w:hint="eastAsia" w:hAnsi="宋体" w:eastAsia="宋体" w:cs="宋体"/>
          <w:color w:val="auto"/>
          <w:sz w:val="21"/>
          <w:highlight w:val="none"/>
        </w:rPr>
        <w:t>监理人应在本合同终止后</w:t>
      </w:r>
      <w:r>
        <w:rPr>
          <w:rFonts w:hint="eastAsia" w:hAnsi="宋体" w:eastAsia="宋体" w:cs="宋体"/>
          <w:color w:val="auto"/>
          <w:sz w:val="21"/>
          <w:highlight w:val="none"/>
          <w:u w:val="single"/>
        </w:rPr>
        <w:t xml:space="preserve">   ——   </w:t>
      </w:r>
      <w:r>
        <w:rPr>
          <w:rFonts w:hint="eastAsia" w:hAnsi="宋体" w:eastAsia="宋体" w:cs="宋体"/>
          <w:color w:val="auto"/>
          <w:sz w:val="21"/>
          <w:highlight w:val="none"/>
        </w:rPr>
        <w:t>天内移交委托人无偿提供的房屋、设备，移交的时间和方式为：</w:t>
      </w:r>
      <w:r>
        <w:rPr>
          <w:rFonts w:hint="eastAsia" w:hAnsi="宋体" w:eastAsia="宋体" w:cs="宋体"/>
          <w:color w:val="auto"/>
          <w:sz w:val="21"/>
          <w:highlight w:val="none"/>
          <w:u w:val="single"/>
        </w:rPr>
        <w:t xml:space="preserve">   ——   </w:t>
      </w:r>
      <w:r>
        <w:rPr>
          <w:rFonts w:hint="eastAsia" w:hAnsi="宋体" w:eastAsia="宋体" w:cs="宋体"/>
          <w:color w:val="auto"/>
          <w:sz w:val="21"/>
          <w:highlight w:val="none"/>
        </w:rPr>
        <w:t>。</w:t>
      </w:r>
    </w:p>
    <w:p w14:paraId="33C1BD82">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3、委托人义务</w:t>
      </w:r>
    </w:p>
    <w:p w14:paraId="00004430">
      <w:pPr>
        <w:ind w:firstLine="420" w:firstLineChars="200"/>
        <w:rPr>
          <w:rFonts w:hAnsi="宋体" w:eastAsia="宋体" w:cs="宋体"/>
          <w:color w:val="auto"/>
          <w:sz w:val="21"/>
          <w:highlight w:val="none"/>
        </w:rPr>
      </w:pPr>
      <w:r>
        <w:rPr>
          <w:rFonts w:hint="eastAsia" w:hAnsi="宋体" w:eastAsia="宋体" w:cs="宋体"/>
          <w:color w:val="auto"/>
          <w:sz w:val="21"/>
          <w:highlight w:val="none"/>
        </w:rPr>
        <w:t>3.4委托人代表</w:t>
      </w:r>
    </w:p>
    <w:p w14:paraId="4479CE5C">
      <w:pPr>
        <w:ind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委托人代表：</w:t>
      </w:r>
      <w:r>
        <w:rPr>
          <w:rFonts w:hint="eastAsia" w:hAnsi="宋体" w:eastAsia="宋体" w:cs="宋体"/>
          <w:color w:val="auto"/>
          <w:sz w:val="21"/>
          <w:highlight w:val="none"/>
          <w:u w:val="single"/>
        </w:rPr>
        <w:t xml:space="preserve">      </w:t>
      </w:r>
    </w:p>
    <w:p w14:paraId="07357B89">
      <w:pPr>
        <w:ind w:firstLine="420" w:firstLineChars="200"/>
        <w:rPr>
          <w:rFonts w:hAnsi="宋体" w:eastAsia="宋体" w:cs="宋体"/>
          <w:color w:val="auto"/>
          <w:sz w:val="21"/>
          <w:highlight w:val="none"/>
        </w:rPr>
      </w:pPr>
      <w:r>
        <w:rPr>
          <w:rFonts w:hint="eastAsia" w:hAnsi="宋体" w:eastAsia="宋体" w:cs="宋体"/>
          <w:color w:val="auto"/>
          <w:sz w:val="21"/>
          <w:highlight w:val="none"/>
        </w:rPr>
        <w:t>3.6答复</w:t>
      </w:r>
    </w:p>
    <w:p w14:paraId="0BE0027F">
      <w:pPr>
        <w:ind w:firstLine="420" w:firstLineChars="200"/>
        <w:rPr>
          <w:rFonts w:hAnsi="宋体" w:eastAsia="宋体" w:cs="宋体"/>
          <w:color w:val="auto"/>
          <w:sz w:val="21"/>
          <w:highlight w:val="none"/>
        </w:rPr>
      </w:pPr>
      <w:r>
        <w:rPr>
          <w:rFonts w:hint="eastAsia" w:hAnsi="宋体" w:eastAsia="宋体" w:cs="宋体"/>
          <w:color w:val="auto"/>
          <w:sz w:val="21"/>
          <w:highlight w:val="none"/>
        </w:rPr>
        <w:t>委托人同意在</w:t>
      </w:r>
      <w:r>
        <w:rPr>
          <w:rFonts w:hint="eastAsia" w:hAnsi="宋体" w:eastAsia="宋体" w:cs="宋体"/>
          <w:color w:val="auto"/>
          <w:sz w:val="21"/>
          <w:highlight w:val="none"/>
          <w:u w:val="single"/>
        </w:rPr>
        <w:t xml:space="preserve"> 5 </w:t>
      </w:r>
      <w:r>
        <w:rPr>
          <w:rFonts w:hint="eastAsia" w:hAnsi="宋体" w:eastAsia="宋体" w:cs="宋体"/>
          <w:color w:val="auto"/>
          <w:sz w:val="21"/>
          <w:highlight w:val="none"/>
        </w:rPr>
        <w:t>天内，对监理人书面提交并要求做出决定的事宜给予书面答复。</w:t>
      </w:r>
    </w:p>
    <w:p w14:paraId="5CFBBF02">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4、违约责任</w:t>
      </w:r>
    </w:p>
    <w:p w14:paraId="1CFAC43E">
      <w:pPr>
        <w:ind w:firstLine="420" w:firstLineChars="200"/>
        <w:rPr>
          <w:rFonts w:hAnsi="宋体" w:eastAsia="宋体" w:cs="宋体"/>
          <w:color w:val="auto"/>
          <w:sz w:val="21"/>
          <w:highlight w:val="none"/>
        </w:rPr>
      </w:pPr>
      <w:r>
        <w:rPr>
          <w:rFonts w:hint="eastAsia" w:hAnsi="宋体" w:eastAsia="宋体" w:cs="宋体"/>
          <w:color w:val="auto"/>
          <w:sz w:val="21"/>
          <w:highlight w:val="none"/>
        </w:rPr>
        <w:t>4.1监理人的违约责任</w:t>
      </w:r>
    </w:p>
    <w:p w14:paraId="0B859FE3">
      <w:pPr>
        <w:ind w:firstLine="420" w:firstLineChars="200"/>
        <w:rPr>
          <w:rFonts w:hAnsi="宋体" w:eastAsia="宋体" w:cs="宋体"/>
          <w:color w:val="auto"/>
          <w:sz w:val="21"/>
          <w:highlight w:val="none"/>
        </w:rPr>
      </w:pPr>
      <w:r>
        <w:rPr>
          <w:rFonts w:hint="eastAsia" w:hAnsi="宋体" w:eastAsia="宋体" w:cs="宋体"/>
          <w:color w:val="auto"/>
          <w:sz w:val="21"/>
          <w:highlight w:val="none"/>
        </w:rPr>
        <w:t>4.1.1监理人赔偿金额按下列方法确定：</w:t>
      </w:r>
    </w:p>
    <w:p w14:paraId="09DF8113">
      <w:pPr>
        <w:ind w:firstLine="420" w:firstLineChars="200"/>
        <w:rPr>
          <w:rFonts w:hAnsi="宋体" w:eastAsia="宋体" w:cs="宋体"/>
          <w:color w:val="auto"/>
          <w:sz w:val="21"/>
          <w:highlight w:val="none"/>
        </w:rPr>
      </w:pPr>
      <w:r>
        <w:rPr>
          <w:rFonts w:hint="eastAsia" w:hAnsi="宋体" w:eastAsia="宋体" w:cs="宋体"/>
          <w:color w:val="auto"/>
          <w:sz w:val="21"/>
          <w:highlight w:val="none"/>
        </w:rPr>
        <w:t>赔偿金＝直接经济损失×正常工作酬金÷建筑安装工程费</w:t>
      </w:r>
    </w:p>
    <w:p w14:paraId="15088535">
      <w:pPr>
        <w:ind w:firstLine="420" w:firstLineChars="200"/>
        <w:rPr>
          <w:rFonts w:hAnsi="宋体" w:eastAsia="宋体" w:cs="宋体"/>
          <w:color w:val="auto"/>
          <w:sz w:val="21"/>
          <w:highlight w:val="none"/>
        </w:rPr>
      </w:pPr>
      <w:r>
        <w:rPr>
          <w:rFonts w:hint="eastAsia" w:hAnsi="宋体" w:eastAsia="宋体" w:cs="宋体"/>
          <w:color w:val="auto"/>
          <w:sz w:val="21"/>
          <w:highlight w:val="none"/>
        </w:rPr>
        <w:t>4.2委托人的违约责任</w:t>
      </w:r>
    </w:p>
    <w:p w14:paraId="71C11206">
      <w:pPr>
        <w:ind w:firstLine="420" w:firstLineChars="200"/>
        <w:rPr>
          <w:rFonts w:hAnsi="宋体" w:eastAsia="宋体" w:cs="宋体"/>
          <w:color w:val="auto"/>
          <w:sz w:val="21"/>
          <w:highlight w:val="none"/>
        </w:rPr>
      </w:pPr>
      <w:r>
        <w:rPr>
          <w:rFonts w:hint="eastAsia" w:hAnsi="宋体" w:eastAsia="宋体" w:cs="宋体"/>
          <w:color w:val="auto"/>
          <w:sz w:val="21"/>
          <w:highlight w:val="none"/>
        </w:rPr>
        <w:t>4.2.3委托人逾期付款利息按下列方法确定：</w:t>
      </w:r>
    </w:p>
    <w:p w14:paraId="48F5E56F">
      <w:pPr>
        <w:ind w:firstLine="420" w:firstLineChars="200"/>
        <w:rPr>
          <w:rFonts w:hAnsi="宋体" w:eastAsia="宋体" w:cs="宋体"/>
          <w:color w:val="auto"/>
          <w:sz w:val="21"/>
          <w:highlight w:val="none"/>
        </w:rPr>
      </w:pPr>
      <w:r>
        <w:rPr>
          <w:rFonts w:hint="eastAsia" w:hAnsi="宋体" w:eastAsia="宋体" w:cs="宋体"/>
          <w:color w:val="auto"/>
          <w:sz w:val="21"/>
          <w:highlight w:val="none"/>
        </w:rPr>
        <w:t>逾期付款利息＝当期应付款总额×银行同期货款利率×拖延支付天数</w:t>
      </w:r>
    </w:p>
    <w:p w14:paraId="444B526A">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5、支付</w:t>
      </w:r>
    </w:p>
    <w:p w14:paraId="00CEA13C">
      <w:pPr>
        <w:ind w:firstLine="420" w:firstLineChars="200"/>
        <w:rPr>
          <w:rFonts w:hAnsi="宋体" w:eastAsia="宋体" w:cs="宋体"/>
          <w:color w:val="auto"/>
          <w:sz w:val="21"/>
          <w:highlight w:val="none"/>
        </w:rPr>
      </w:pPr>
      <w:r>
        <w:rPr>
          <w:rFonts w:hint="eastAsia" w:hAnsi="宋体" w:eastAsia="宋体" w:cs="宋体"/>
          <w:color w:val="auto"/>
          <w:sz w:val="21"/>
          <w:highlight w:val="none"/>
        </w:rPr>
        <w:t>5.1支付货币</w:t>
      </w:r>
    </w:p>
    <w:p w14:paraId="3400A093">
      <w:pPr>
        <w:ind w:firstLine="420" w:firstLineChars="200"/>
        <w:rPr>
          <w:rFonts w:hAnsi="宋体" w:eastAsia="宋体" w:cs="宋体"/>
          <w:color w:val="auto"/>
          <w:sz w:val="21"/>
          <w:highlight w:val="none"/>
        </w:rPr>
      </w:pPr>
      <w:r>
        <w:rPr>
          <w:rFonts w:hint="eastAsia" w:hAnsi="宋体" w:eastAsia="宋体" w:cs="宋体"/>
          <w:color w:val="auto"/>
          <w:sz w:val="21"/>
          <w:highlight w:val="none"/>
        </w:rPr>
        <w:t>币种为：</w:t>
      </w:r>
      <w:r>
        <w:rPr>
          <w:rFonts w:hint="eastAsia" w:hAnsi="宋体" w:eastAsia="宋体" w:cs="宋体"/>
          <w:color w:val="auto"/>
          <w:sz w:val="21"/>
          <w:highlight w:val="none"/>
          <w:u w:val="single"/>
        </w:rPr>
        <w:t>人民币</w:t>
      </w:r>
      <w:r>
        <w:rPr>
          <w:rFonts w:hint="eastAsia" w:hAnsi="宋体" w:eastAsia="宋体" w:cs="宋体"/>
          <w:color w:val="auto"/>
          <w:sz w:val="21"/>
          <w:highlight w:val="none"/>
        </w:rPr>
        <w:t>，比例为：</w:t>
      </w:r>
      <w:r>
        <w:rPr>
          <w:rFonts w:hint="eastAsia" w:hAnsi="宋体" w:eastAsia="宋体" w:cs="宋体"/>
          <w:color w:val="auto"/>
          <w:sz w:val="21"/>
          <w:highlight w:val="none"/>
          <w:u w:val="single"/>
        </w:rPr>
        <w:t>100%</w:t>
      </w:r>
      <w:r>
        <w:rPr>
          <w:rFonts w:hint="eastAsia" w:hAnsi="宋体" w:eastAsia="宋体" w:cs="宋体"/>
          <w:color w:val="auto"/>
          <w:sz w:val="21"/>
          <w:highlight w:val="none"/>
        </w:rPr>
        <w:t>，汇率为：</w:t>
      </w:r>
      <w:r>
        <w:rPr>
          <w:rFonts w:hint="eastAsia" w:hAnsi="宋体" w:eastAsia="宋体" w:cs="宋体"/>
          <w:color w:val="auto"/>
          <w:sz w:val="21"/>
          <w:highlight w:val="none"/>
          <w:u w:val="single"/>
        </w:rPr>
        <w:t xml:space="preserve">   ——   </w:t>
      </w:r>
      <w:r>
        <w:rPr>
          <w:rFonts w:hint="eastAsia" w:hAnsi="宋体" w:eastAsia="宋体" w:cs="宋体"/>
          <w:color w:val="auto"/>
          <w:sz w:val="21"/>
          <w:highlight w:val="none"/>
        </w:rPr>
        <w:t>。</w:t>
      </w:r>
    </w:p>
    <w:p w14:paraId="46FA9AF3">
      <w:pPr>
        <w:ind w:firstLine="420" w:firstLineChars="200"/>
        <w:rPr>
          <w:rFonts w:hAnsi="宋体" w:eastAsia="宋体" w:cs="宋体"/>
          <w:color w:val="auto"/>
          <w:sz w:val="21"/>
          <w:highlight w:val="none"/>
        </w:rPr>
      </w:pPr>
      <w:r>
        <w:rPr>
          <w:rFonts w:hint="eastAsia" w:hAnsi="宋体" w:eastAsia="宋体" w:cs="宋体"/>
          <w:color w:val="auto"/>
          <w:sz w:val="21"/>
          <w:highlight w:val="none"/>
        </w:rPr>
        <w:t>5.3支付酬金</w:t>
      </w:r>
    </w:p>
    <w:p w14:paraId="65CC48D1">
      <w:pPr>
        <w:ind w:firstLine="420" w:firstLineChars="200"/>
        <w:rPr>
          <w:rFonts w:hAnsi="宋体" w:eastAsia="宋体" w:cs="宋体"/>
          <w:color w:val="auto"/>
          <w:sz w:val="21"/>
          <w:highlight w:val="none"/>
        </w:rPr>
      </w:pPr>
      <w:r>
        <w:rPr>
          <w:rFonts w:hint="eastAsia" w:hAnsi="宋体" w:eastAsia="宋体" w:cs="宋体"/>
          <w:color w:val="auto"/>
          <w:sz w:val="21"/>
          <w:highlight w:val="none"/>
        </w:rPr>
        <w:t>正常工作酬金的支付：</w:t>
      </w:r>
    </w:p>
    <w:p w14:paraId="328042C5">
      <w:pPr>
        <w:ind w:firstLine="420" w:firstLineChars="200"/>
        <w:rPr>
          <w:rFonts w:hAnsi="宋体" w:eastAsia="宋体" w:cs="宋体"/>
          <w:color w:val="auto"/>
          <w:sz w:val="21"/>
          <w:highlight w:val="none"/>
          <w:u w:val="single"/>
        </w:rPr>
      </w:pPr>
      <w:r>
        <w:rPr>
          <w:rFonts w:hint="eastAsia" w:hAnsi="宋体" w:eastAsia="宋体" w:cs="宋体"/>
          <w:color w:val="auto"/>
          <w:sz w:val="21"/>
          <w:highlight w:val="none"/>
          <w:u w:val="single"/>
        </w:rPr>
        <w:t>进度款支付期间暂以</w:t>
      </w:r>
      <w:r>
        <w:rPr>
          <w:rFonts w:hint="eastAsia" w:hAnsi="宋体" w:eastAsia="宋体" w:cs="宋体"/>
          <w:b/>
          <w:color w:val="auto"/>
          <w:sz w:val="21"/>
          <w:highlight w:val="none"/>
          <w:u w:val="single"/>
        </w:rPr>
        <w:t>施工中标价</w:t>
      </w:r>
      <w:r>
        <w:rPr>
          <w:rFonts w:hint="eastAsia" w:hAnsi="宋体" w:eastAsia="宋体" w:cs="宋体"/>
          <w:color w:val="auto"/>
          <w:sz w:val="21"/>
          <w:highlight w:val="none"/>
          <w:u w:val="single"/>
        </w:rPr>
        <w:t>作为计算基数，工程复杂程度系数为1.0，最终以工程结算审定金额作为计算基数，按《浙江省建设工程其他费用定额（2018版）》中的工程监理费收费标准乘以系数0.92结合成交下浮率计算监理费。合同金额暂为人民币（大写）      元整（￥      元）。</w:t>
      </w:r>
    </w:p>
    <w:p w14:paraId="7DF21459">
      <w:pPr>
        <w:ind w:firstLine="420" w:firstLineChars="200"/>
        <w:rPr>
          <w:rFonts w:hAnsi="宋体" w:eastAsia="宋体" w:cs="宋体"/>
          <w:color w:val="auto"/>
          <w:sz w:val="21"/>
          <w:highlight w:val="none"/>
          <w:u w:val="single"/>
        </w:rPr>
      </w:pPr>
      <w:r>
        <w:rPr>
          <w:rFonts w:hint="eastAsia" w:hAnsi="宋体" w:eastAsia="宋体" w:cs="宋体"/>
          <w:color w:val="auto"/>
          <w:sz w:val="21"/>
          <w:highlight w:val="none"/>
          <w:u w:val="single"/>
        </w:rPr>
        <w:t>本合同所涉及的费用，开具发票抬头为：宁波高新区公共项目建设中心。</w:t>
      </w:r>
    </w:p>
    <w:tbl>
      <w:tblPr>
        <w:tblStyle w:val="77"/>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3560"/>
        <w:gridCol w:w="2388"/>
        <w:gridCol w:w="2023"/>
      </w:tblGrid>
      <w:tr w14:paraId="2A66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22" w:type="dxa"/>
            <w:noWrap/>
            <w:vAlign w:val="center"/>
          </w:tcPr>
          <w:p w14:paraId="785B359E">
            <w:pPr>
              <w:jc w:val="center"/>
              <w:rPr>
                <w:rFonts w:hAnsi="宋体" w:eastAsia="宋体" w:cs="宋体"/>
                <w:b/>
                <w:color w:val="auto"/>
                <w:sz w:val="21"/>
                <w:highlight w:val="none"/>
              </w:rPr>
            </w:pPr>
            <w:r>
              <w:rPr>
                <w:rFonts w:hint="eastAsia" w:hAnsi="宋体" w:eastAsia="宋体" w:cs="宋体"/>
                <w:b/>
                <w:color w:val="auto"/>
                <w:sz w:val="21"/>
                <w:highlight w:val="none"/>
              </w:rPr>
              <w:t>支付次数</w:t>
            </w:r>
          </w:p>
        </w:tc>
        <w:tc>
          <w:tcPr>
            <w:tcW w:w="3560" w:type="dxa"/>
            <w:noWrap/>
            <w:vAlign w:val="center"/>
          </w:tcPr>
          <w:p w14:paraId="31672448">
            <w:pPr>
              <w:jc w:val="center"/>
              <w:rPr>
                <w:rFonts w:hAnsi="宋体" w:eastAsia="宋体" w:cs="宋体"/>
                <w:b/>
                <w:color w:val="auto"/>
                <w:sz w:val="21"/>
                <w:highlight w:val="none"/>
              </w:rPr>
            </w:pPr>
            <w:r>
              <w:rPr>
                <w:rFonts w:hint="eastAsia" w:hAnsi="宋体" w:eastAsia="宋体" w:cs="宋体"/>
                <w:b/>
                <w:color w:val="auto"/>
                <w:sz w:val="21"/>
                <w:highlight w:val="none"/>
              </w:rPr>
              <w:t>支付时间</w:t>
            </w:r>
          </w:p>
        </w:tc>
        <w:tc>
          <w:tcPr>
            <w:tcW w:w="2388" w:type="dxa"/>
            <w:noWrap/>
            <w:vAlign w:val="center"/>
          </w:tcPr>
          <w:p w14:paraId="1D3FC3AC">
            <w:pPr>
              <w:jc w:val="center"/>
              <w:rPr>
                <w:rFonts w:hAnsi="宋体" w:eastAsia="宋体" w:cs="宋体"/>
                <w:b/>
                <w:color w:val="auto"/>
                <w:sz w:val="21"/>
                <w:highlight w:val="none"/>
              </w:rPr>
            </w:pPr>
            <w:r>
              <w:rPr>
                <w:rFonts w:hint="eastAsia" w:hAnsi="宋体" w:eastAsia="宋体" w:cs="宋体"/>
                <w:b/>
                <w:color w:val="auto"/>
                <w:sz w:val="21"/>
                <w:highlight w:val="none"/>
              </w:rPr>
              <w:t>支付比例</w:t>
            </w:r>
          </w:p>
        </w:tc>
        <w:tc>
          <w:tcPr>
            <w:tcW w:w="2023" w:type="dxa"/>
            <w:noWrap/>
            <w:vAlign w:val="center"/>
          </w:tcPr>
          <w:p w14:paraId="17C1A7EA">
            <w:pPr>
              <w:jc w:val="center"/>
              <w:rPr>
                <w:rFonts w:hAnsi="宋体" w:eastAsia="宋体" w:cs="宋体"/>
                <w:b/>
                <w:color w:val="auto"/>
                <w:sz w:val="21"/>
                <w:highlight w:val="none"/>
              </w:rPr>
            </w:pPr>
            <w:r>
              <w:rPr>
                <w:rFonts w:hint="eastAsia" w:hAnsi="宋体" w:eastAsia="宋体" w:cs="宋体"/>
                <w:b/>
                <w:color w:val="auto"/>
                <w:sz w:val="21"/>
                <w:highlight w:val="none"/>
              </w:rPr>
              <w:t>支付金额（万元）</w:t>
            </w:r>
          </w:p>
        </w:tc>
      </w:tr>
      <w:tr w14:paraId="24A1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422" w:type="dxa"/>
            <w:noWrap/>
            <w:vAlign w:val="center"/>
          </w:tcPr>
          <w:p w14:paraId="437E1ABC">
            <w:pPr>
              <w:widowControl/>
              <w:autoSpaceDE w:val="0"/>
              <w:autoSpaceDN w:val="0"/>
              <w:snapToGrid w:val="0"/>
              <w:spacing w:line="240" w:lineRule="auto"/>
              <w:jc w:val="center"/>
              <w:rPr>
                <w:rFonts w:hAnsi="宋体" w:eastAsia="宋体" w:cs="宋体"/>
                <w:color w:val="auto"/>
                <w:sz w:val="21"/>
                <w:highlight w:val="none"/>
              </w:rPr>
            </w:pPr>
            <w:r>
              <w:rPr>
                <w:rFonts w:hint="eastAsia" w:hAnsi="宋体" w:eastAsia="宋体" w:cs="宋体"/>
                <w:color w:val="auto"/>
                <w:spacing w:val="-3"/>
                <w:sz w:val="21"/>
                <w:highlight w:val="none"/>
              </w:rPr>
              <w:t>首付款</w:t>
            </w:r>
          </w:p>
        </w:tc>
        <w:tc>
          <w:tcPr>
            <w:tcW w:w="3560" w:type="dxa"/>
            <w:noWrap/>
            <w:vAlign w:val="center"/>
          </w:tcPr>
          <w:p w14:paraId="3944C621">
            <w:pPr>
              <w:autoSpaceDE w:val="0"/>
              <w:autoSpaceDN w:val="0"/>
              <w:spacing w:line="240" w:lineRule="auto"/>
              <w:rPr>
                <w:rFonts w:hAnsi="宋体" w:eastAsia="宋体" w:cs="宋体"/>
                <w:color w:val="auto"/>
                <w:sz w:val="21"/>
                <w:highlight w:val="none"/>
              </w:rPr>
            </w:pPr>
            <w:r>
              <w:rPr>
                <w:rFonts w:hint="eastAsia" w:hAnsi="宋体" w:eastAsia="宋体" w:cs="宋体"/>
                <w:color w:val="auto"/>
                <w:spacing w:val="10"/>
                <w:sz w:val="21"/>
                <w:highlight w:val="none"/>
              </w:rPr>
              <w:t>合同生效并具备实施条件（接到委托人正式开工通知）后7个工作日内，监理人同时向委托人递交预付款等额的预付款保函，监理人开具符合要求的发票后，支付合同金额的20%作为预付款。</w:t>
            </w:r>
          </w:p>
        </w:tc>
        <w:tc>
          <w:tcPr>
            <w:tcW w:w="2388" w:type="dxa"/>
            <w:noWrap/>
            <w:vAlign w:val="center"/>
          </w:tcPr>
          <w:p w14:paraId="7C653B8D">
            <w:pPr>
              <w:autoSpaceDE w:val="0"/>
              <w:autoSpaceDN w:val="0"/>
              <w:spacing w:line="240" w:lineRule="auto"/>
              <w:jc w:val="center"/>
              <w:rPr>
                <w:rFonts w:hAnsi="宋体" w:eastAsia="宋体" w:cs="宋体"/>
                <w:color w:val="auto"/>
                <w:sz w:val="21"/>
                <w:highlight w:val="none"/>
              </w:rPr>
            </w:pPr>
            <w:r>
              <w:rPr>
                <w:rFonts w:hint="eastAsia" w:hAnsi="宋体" w:eastAsia="宋体" w:cs="宋体"/>
                <w:color w:val="auto"/>
                <w:spacing w:val="-3"/>
                <w:sz w:val="21"/>
                <w:highlight w:val="none"/>
              </w:rPr>
              <w:t>支付至签约合同价款的</w:t>
            </w:r>
            <w:r>
              <w:rPr>
                <w:rFonts w:hint="eastAsia" w:hAnsi="宋体" w:eastAsia="宋体" w:cs="宋体"/>
                <w:color w:val="auto"/>
                <w:spacing w:val="-17"/>
                <w:sz w:val="21"/>
                <w:highlight w:val="none"/>
              </w:rPr>
              <w:t>20</w:t>
            </w:r>
            <w:r>
              <w:rPr>
                <w:rFonts w:hint="eastAsia" w:hAnsi="宋体" w:eastAsia="宋体" w:cs="宋体"/>
                <w:color w:val="auto"/>
                <w:spacing w:val="-3"/>
                <w:sz w:val="21"/>
                <w:highlight w:val="none"/>
              </w:rPr>
              <w:t>%</w:t>
            </w:r>
          </w:p>
        </w:tc>
        <w:tc>
          <w:tcPr>
            <w:tcW w:w="2023" w:type="dxa"/>
            <w:noWrap/>
            <w:vAlign w:val="center"/>
          </w:tcPr>
          <w:p w14:paraId="024C20E9">
            <w:pPr>
              <w:jc w:val="center"/>
              <w:rPr>
                <w:rFonts w:hAnsi="宋体" w:eastAsia="宋体" w:cs="宋体"/>
                <w:color w:val="auto"/>
                <w:sz w:val="21"/>
                <w:highlight w:val="none"/>
              </w:rPr>
            </w:pPr>
          </w:p>
        </w:tc>
      </w:tr>
      <w:tr w14:paraId="405C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422" w:type="dxa"/>
            <w:noWrap/>
            <w:vAlign w:val="center"/>
          </w:tcPr>
          <w:p w14:paraId="79F9E7F4">
            <w:pPr>
              <w:widowControl/>
              <w:autoSpaceDE w:val="0"/>
              <w:autoSpaceDN w:val="0"/>
              <w:snapToGrid w:val="0"/>
              <w:spacing w:line="240" w:lineRule="auto"/>
              <w:jc w:val="center"/>
              <w:rPr>
                <w:rFonts w:hAnsi="宋体" w:eastAsia="宋体" w:cs="宋体"/>
                <w:color w:val="auto"/>
                <w:sz w:val="21"/>
                <w:highlight w:val="none"/>
              </w:rPr>
            </w:pPr>
            <w:r>
              <w:rPr>
                <w:rFonts w:hint="eastAsia" w:hAnsi="宋体" w:eastAsia="宋体" w:cs="宋体"/>
                <w:color w:val="auto"/>
                <w:spacing w:val="-1"/>
                <w:sz w:val="21"/>
                <w:highlight w:val="none"/>
              </w:rPr>
              <w:t>第二次付款</w:t>
            </w:r>
          </w:p>
        </w:tc>
        <w:tc>
          <w:tcPr>
            <w:tcW w:w="3560" w:type="dxa"/>
            <w:noWrap/>
            <w:vAlign w:val="center"/>
          </w:tcPr>
          <w:p w14:paraId="58E3DA38">
            <w:pPr>
              <w:autoSpaceDE w:val="0"/>
              <w:autoSpaceDN w:val="0"/>
              <w:spacing w:line="240" w:lineRule="auto"/>
              <w:jc w:val="center"/>
              <w:rPr>
                <w:rFonts w:hAnsi="宋体" w:eastAsia="宋体" w:cs="宋体"/>
                <w:color w:val="auto"/>
                <w:spacing w:val="10"/>
                <w:sz w:val="21"/>
                <w:highlight w:val="none"/>
              </w:rPr>
            </w:pPr>
            <w:r>
              <w:rPr>
                <w:rFonts w:hint="eastAsia" w:hAnsi="宋体" w:eastAsia="宋体" w:cs="宋体"/>
                <w:color w:val="auto"/>
                <w:spacing w:val="10"/>
                <w:sz w:val="21"/>
                <w:highlight w:val="none"/>
              </w:rPr>
              <w:t>工程竣工验收合格并整改完成后一个月内支付</w:t>
            </w:r>
          </w:p>
        </w:tc>
        <w:tc>
          <w:tcPr>
            <w:tcW w:w="2388" w:type="dxa"/>
            <w:noWrap/>
            <w:vAlign w:val="center"/>
          </w:tcPr>
          <w:p w14:paraId="5A5E2B03">
            <w:pPr>
              <w:autoSpaceDE w:val="0"/>
              <w:autoSpaceDN w:val="0"/>
              <w:spacing w:line="240" w:lineRule="auto"/>
              <w:jc w:val="center"/>
              <w:rPr>
                <w:rFonts w:hAnsi="宋体" w:eastAsia="宋体" w:cs="宋体"/>
                <w:color w:val="auto"/>
                <w:spacing w:val="10"/>
                <w:sz w:val="21"/>
                <w:highlight w:val="none"/>
              </w:rPr>
            </w:pPr>
            <w:r>
              <w:rPr>
                <w:rFonts w:hint="eastAsia" w:hAnsi="宋体" w:eastAsia="宋体" w:cs="宋体"/>
                <w:color w:val="auto"/>
                <w:spacing w:val="10"/>
                <w:sz w:val="21"/>
                <w:highlight w:val="none"/>
              </w:rPr>
              <w:t>支付至签约合同价款的80%</w:t>
            </w:r>
          </w:p>
        </w:tc>
        <w:tc>
          <w:tcPr>
            <w:tcW w:w="2023" w:type="dxa"/>
            <w:noWrap/>
            <w:vAlign w:val="center"/>
          </w:tcPr>
          <w:p w14:paraId="6194F133">
            <w:pPr>
              <w:jc w:val="center"/>
              <w:rPr>
                <w:rFonts w:hAnsi="宋体" w:eastAsia="宋体" w:cs="宋体"/>
                <w:color w:val="auto"/>
                <w:sz w:val="21"/>
                <w:highlight w:val="none"/>
              </w:rPr>
            </w:pPr>
          </w:p>
        </w:tc>
      </w:tr>
      <w:tr w14:paraId="23D3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422" w:type="dxa"/>
            <w:noWrap/>
            <w:vAlign w:val="center"/>
          </w:tcPr>
          <w:p w14:paraId="47DF7E23">
            <w:pPr>
              <w:widowControl/>
              <w:autoSpaceDE w:val="0"/>
              <w:autoSpaceDN w:val="0"/>
              <w:snapToGrid w:val="0"/>
              <w:spacing w:line="240" w:lineRule="auto"/>
              <w:jc w:val="center"/>
              <w:rPr>
                <w:rFonts w:hAnsi="宋体" w:eastAsia="宋体" w:cs="宋体"/>
                <w:color w:val="auto"/>
                <w:sz w:val="21"/>
                <w:highlight w:val="none"/>
              </w:rPr>
            </w:pPr>
            <w:r>
              <w:rPr>
                <w:rFonts w:hint="eastAsia" w:hAnsi="宋体" w:eastAsia="宋体" w:cs="宋体"/>
                <w:color w:val="auto"/>
                <w:sz w:val="21"/>
                <w:highlight w:val="none"/>
              </w:rPr>
              <w:t>最后付款</w:t>
            </w:r>
          </w:p>
        </w:tc>
        <w:tc>
          <w:tcPr>
            <w:tcW w:w="3560" w:type="dxa"/>
            <w:noWrap/>
            <w:vAlign w:val="center"/>
          </w:tcPr>
          <w:p w14:paraId="5268452A">
            <w:pPr>
              <w:autoSpaceDE w:val="0"/>
              <w:autoSpaceDN w:val="0"/>
              <w:spacing w:line="240" w:lineRule="auto"/>
              <w:jc w:val="center"/>
              <w:rPr>
                <w:rFonts w:hAnsi="宋体" w:eastAsia="宋体" w:cs="宋体"/>
                <w:color w:val="auto"/>
                <w:sz w:val="21"/>
                <w:highlight w:val="none"/>
              </w:rPr>
            </w:pPr>
            <w:r>
              <w:rPr>
                <w:rFonts w:hint="eastAsia" w:hAnsi="宋体" w:eastAsia="宋体" w:cs="宋体"/>
                <w:color w:val="auto"/>
                <w:spacing w:val="10"/>
                <w:sz w:val="21"/>
                <w:highlight w:val="none"/>
              </w:rPr>
              <w:t>工程结算审定结束及资料归档后</w:t>
            </w:r>
          </w:p>
        </w:tc>
        <w:tc>
          <w:tcPr>
            <w:tcW w:w="2388" w:type="dxa"/>
            <w:noWrap/>
            <w:vAlign w:val="center"/>
          </w:tcPr>
          <w:p w14:paraId="2A86B8C2">
            <w:pPr>
              <w:autoSpaceDE w:val="0"/>
              <w:autoSpaceDN w:val="0"/>
              <w:spacing w:line="240" w:lineRule="auto"/>
              <w:jc w:val="center"/>
              <w:rPr>
                <w:rFonts w:hAnsi="宋体" w:eastAsia="宋体" w:cs="宋体"/>
                <w:color w:val="auto"/>
                <w:spacing w:val="10"/>
                <w:sz w:val="21"/>
                <w:highlight w:val="none"/>
              </w:rPr>
            </w:pPr>
            <w:r>
              <w:rPr>
                <w:rFonts w:hint="eastAsia" w:hAnsi="宋体" w:eastAsia="宋体" w:cs="宋体"/>
                <w:color w:val="auto"/>
                <w:spacing w:val="10"/>
                <w:sz w:val="21"/>
                <w:highlight w:val="none"/>
              </w:rPr>
              <w:t>按监理费审定金额结清余款（不计息）</w:t>
            </w:r>
          </w:p>
        </w:tc>
        <w:tc>
          <w:tcPr>
            <w:tcW w:w="2023" w:type="dxa"/>
            <w:noWrap/>
            <w:vAlign w:val="center"/>
          </w:tcPr>
          <w:p w14:paraId="7083BBE9">
            <w:pPr>
              <w:jc w:val="center"/>
              <w:rPr>
                <w:rFonts w:hAnsi="宋体" w:eastAsia="宋体" w:cs="宋体"/>
                <w:color w:val="auto"/>
                <w:sz w:val="21"/>
                <w:highlight w:val="none"/>
              </w:rPr>
            </w:pPr>
          </w:p>
        </w:tc>
      </w:tr>
    </w:tbl>
    <w:p w14:paraId="57A139E0">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6、合同生效、变更、暂停、解除与终止</w:t>
      </w:r>
    </w:p>
    <w:p w14:paraId="2296C369">
      <w:pPr>
        <w:ind w:firstLine="420" w:firstLineChars="200"/>
        <w:rPr>
          <w:rFonts w:hAnsi="宋体" w:eastAsia="宋体" w:cs="宋体"/>
          <w:color w:val="auto"/>
          <w:sz w:val="21"/>
          <w:highlight w:val="none"/>
        </w:rPr>
      </w:pPr>
      <w:r>
        <w:rPr>
          <w:rFonts w:hint="eastAsia" w:hAnsi="宋体" w:eastAsia="宋体" w:cs="宋体"/>
          <w:color w:val="auto"/>
          <w:sz w:val="21"/>
          <w:highlight w:val="none"/>
        </w:rPr>
        <w:t>6.1生效</w:t>
      </w:r>
    </w:p>
    <w:p w14:paraId="6535AC4B">
      <w:pPr>
        <w:ind w:firstLine="420" w:firstLineChars="200"/>
        <w:rPr>
          <w:rFonts w:hAnsi="宋体" w:eastAsia="宋体" w:cs="宋体"/>
          <w:color w:val="auto"/>
          <w:sz w:val="21"/>
          <w:highlight w:val="none"/>
        </w:rPr>
      </w:pPr>
      <w:r>
        <w:rPr>
          <w:rFonts w:hint="eastAsia" w:hAnsi="宋体" w:eastAsia="宋体" w:cs="宋体"/>
          <w:color w:val="auto"/>
          <w:sz w:val="21"/>
          <w:highlight w:val="none"/>
        </w:rPr>
        <w:t>本合同生效条件：</w:t>
      </w:r>
      <w:r>
        <w:rPr>
          <w:rFonts w:hint="eastAsia" w:hAnsi="宋体" w:eastAsia="宋体" w:cs="宋体"/>
          <w:color w:val="auto"/>
          <w:sz w:val="21"/>
          <w:highlight w:val="none"/>
          <w:u w:val="single"/>
        </w:rPr>
        <w:t>经双方签字盖章后生效。</w:t>
      </w:r>
    </w:p>
    <w:p w14:paraId="37460E2E">
      <w:pPr>
        <w:ind w:firstLine="420" w:firstLineChars="200"/>
        <w:rPr>
          <w:rFonts w:hAnsi="宋体" w:eastAsia="宋体" w:cs="宋体"/>
          <w:color w:val="auto"/>
          <w:sz w:val="21"/>
          <w:highlight w:val="none"/>
        </w:rPr>
      </w:pPr>
      <w:r>
        <w:rPr>
          <w:rFonts w:hint="eastAsia" w:hAnsi="宋体" w:eastAsia="宋体" w:cs="宋体"/>
          <w:color w:val="auto"/>
          <w:sz w:val="21"/>
          <w:highlight w:val="none"/>
        </w:rPr>
        <w:t>6.2变更</w:t>
      </w:r>
    </w:p>
    <w:p w14:paraId="23EBB74D">
      <w:pPr>
        <w:ind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6.2.2除不可抗力外，因非监理人原因导致本合同期限延长时，附加工作酬金按下列方法确定：</w:t>
      </w:r>
      <w:r>
        <w:rPr>
          <w:rFonts w:hint="eastAsia" w:hAnsi="宋体" w:eastAsia="宋体" w:cs="宋体"/>
          <w:color w:val="auto"/>
          <w:sz w:val="21"/>
          <w:highlight w:val="none"/>
          <w:u w:val="single"/>
        </w:rPr>
        <w:t>无。</w:t>
      </w:r>
    </w:p>
    <w:p w14:paraId="5B4EB0B6">
      <w:pPr>
        <w:ind w:firstLine="420" w:firstLineChars="200"/>
        <w:rPr>
          <w:rFonts w:hAnsi="宋体" w:eastAsia="宋体" w:cs="宋体"/>
          <w:color w:val="auto"/>
          <w:sz w:val="21"/>
          <w:highlight w:val="none"/>
        </w:rPr>
      </w:pPr>
      <w:r>
        <w:rPr>
          <w:rFonts w:hint="eastAsia" w:hAnsi="宋体" w:eastAsia="宋体" w:cs="宋体"/>
          <w:color w:val="auto"/>
          <w:sz w:val="21"/>
          <w:highlight w:val="none"/>
        </w:rPr>
        <w:t>6.2.3附加工作酬金按下列方法确定：</w:t>
      </w:r>
      <w:r>
        <w:rPr>
          <w:rFonts w:hint="eastAsia" w:hAnsi="宋体" w:eastAsia="宋体" w:cs="宋体"/>
          <w:color w:val="auto"/>
          <w:sz w:val="21"/>
          <w:highlight w:val="none"/>
          <w:u w:val="single"/>
        </w:rPr>
        <w:t>无。</w:t>
      </w:r>
    </w:p>
    <w:p w14:paraId="139B6017">
      <w:pPr>
        <w:ind w:firstLine="420" w:firstLineChars="200"/>
        <w:rPr>
          <w:rFonts w:hAnsi="宋体" w:eastAsia="宋体" w:cs="宋体"/>
          <w:color w:val="auto"/>
          <w:sz w:val="21"/>
          <w:highlight w:val="none"/>
        </w:rPr>
      </w:pPr>
      <w:r>
        <w:rPr>
          <w:rFonts w:hint="eastAsia" w:hAnsi="宋体" w:eastAsia="宋体" w:cs="宋体"/>
          <w:color w:val="auto"/>
          <w:sz w:val="21"/>
          <w:highlight w:val="none"/>
        </w:rPr>
        <w:t>6.2.5正常工作酬金增加额按下列方法确定：</w:t>
      </w:r>
    </w:p>
    <w:p w14:paraId="0EE9461A">
      <w:pPr>
        <w:ind w:firstLine="420" w:firstLineChars="200"/>
        <w:rPr>
          <w:rFonts w:hAnsi="宋体" w:eastAsia="宋体" w:cs="宋体"/>
          <w:color w:val="auto"/>
          <w:sz w:val="21"/>
          <w:highlight w:val="none"/>
        </w:rPr>
      </w:pPr>
      <w:r>
        <w:rPr>
          <w:rFonts w:hint="eastAsia" w:hAnsi="宋体" w:eastAsia="宋体" w:cs="宋体"/>
          <w:color w:val="auto"/>
          <w:sz w:val="21"/>
          <w:highlight w:val="none"/>
        </w:rPr>
        <w:t>正常工作酬金增加额＝建筑安装工程费增加额×正常工作酬金÷建筑安装工程费</w:t>
      </w:r>
    </w:p>
    <w:p w14:paraId="684525AB">
      <w:pPr>
        <w:ind w:firstLine="420" w:firstLineChars="200"/>
        <w:rPr>
          <w:rFonts w:hAnsi="宋体" w:eastAsia="宋体" w:cs="宋体"/>
          <w:color w:val="auto"/>
          <w:sz w:val="21"/>
          <w:highlight w:val="none"/>
        </w:rPr>
      </w:pPr>
      <w:r>
        <w:rPr>
          <w:rFonts w:hint="eastAsia" w:hAnsi="宋体" w:eastAsia="宋体" w:cs="宋体"/>
          <w:color w:val="auto"/>
          <w:sz w:val="21"/>
          <w:highlight w:val="none"/>
        </w:rPr>
        <w:t>6.2.6因工程规模、监理范围的变化导致监理人的正常工作量减少时，按减少工作量的比例从协议书约定的正常工作酬金中扣减相同比例的酬金。</w:t>
      </w:r>
    </w:p>
    <w:p w14:paraId="675F64F2">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7、争议解决</w:t>
      </w:r>
    </w:p>
    <w:p w14:paraId="7748E71E">
      <w:pPr>
        <w:ind w:firstLine="420" w:firstLineChars="200"/>
        <w:rPr>
          <w:rFonts w:hAnsi="宋体" w:eastAsia="宋体" w:cs="宋体"/>
          <w:color w:val="auto"/>
          <w:sz w:val="21"/>
          <w:highlight w:val="none"/>
        </w:rPr>
      </w:pPr>
      <w:r>
        <w:rPr>
          <w:rFonts w:hint="eastAsia" w:hAnsi="宋体" w:eastAsia="宋体" w:cs="宋体"/>
          <w:color w:val="auto"/>
          <w:sz w:val="21"/>
          <w:highlight w:val="none"/>
        </w:rPr>
        <w:t>7.2调解</w:t>
      </w:r>
    </w:p>
    <w:p w14:paraId="7A01EFE8">
      <w:pPr>
        <w:ind w:firstLine="420" w:firstLineChars="200"/>
        <w:rPr>
          <w:rFonts w:hAnsi="宋体" w:eastAsia="宋体" w:cs="宋体"/>
          <w:color w:val="auto"/>
          <w:sz w:val="21"/>
          <w:highlight w:val="none"/>
        </w:rPr>
      </w:pPr>
      <w:r>
        <w:rPr>
          <w:rFonts w:hint="eastAsia" w:hAnsi="宋体" w:eastAsia="宋体" w:cs="宋体"/>
          <w:color w:val="auto"/>
          <w:sz w:val="21"/>
          <w:highlight w:val="none"/>
        </w:rPr>
        <w:t>本合同争议进行调解时，可提交</w:t>
      </w:r>
      <w:r>
        <w:rPr>
          <w:rFonts w:hint="eastAsia" w:hAnsi="宋体" w:eastAsia="宋体" w:cs="宋体"/>
          <w:bCs/>
          <w:color w:val="auto"/>
          <w:sz w:val="21"/>
          <w:highlight w:val="none"/>
          <w:u w:val="single"/>
        </w:rPr>
        <w:t>宁波市住房和城乡建设局</w:t>
      </w:r>
      <w:r>
        <w:rPr>
          <w:rFonts w:hint="eastAsia" w:hAnsi="宋体" w:eastAsia="宋体" w:cs="宋体"/>
          <w:color w:val="auto"/>
          <w:sz w:val="21"/>
          <w:highlight w:val="none"/>
        </w:rPr>
        <w:t>进行调解。</w:t>
      </w:r>
    </w:p>
    <w:p w14:paraId="49225D97">
      <w:pPr>
        <w:ind w:firstLine="420" w:firstLineChars="200"/>
        <w:rPr>
          <w:rFonts w:hAnsi="宋体" w:eastAsia="宋体" w:cs="宋体"/>
          <w:color w:val="auto"/>
          <w:sz w:val="21"/>
          <w:highlight w:val="none"/>
        </w:rPr>
      </w:pPr>
      <w:r>
        <w:rPr>
          <w:rFonts w:hint="eastAsia" w:hAnsi="宋体" w:eastAsia="宋体" w:cs="宋体"/>
          <w:color w:val="auto"/>
          <w:sz w:val="21"/>
          <w:highlight w:val="none"/>
        </w:rPr>
        <w:t>7.3仲裁或诉讼</w:t>
      </w:r>
    </w:p>
    <w:p w14:paraId="0AF48E84">
      <w:pPr>
        <w:ind w:firstLine="420" w:firstLineChars="200"/>
        <w:rPr>
          <w:rFonts w:hAnsi="宋体" w:eastAsia="宋体" w:cs="宋体"/>
          <w:color w:val="auto"/>
          <w:sz w:val="21"/>
          <w:highlight w:val="none"/>
        </w:rPr>
      </w:pPr>
      <w:r>
        <w:rPr>
          <w:rFonts w:hint="eastAsia" w:hAnsi="宋体" w:eastAsia="宋体" w:cs="宋体"/>
          <w:color w:val="auto"/>
          <w:sz w:val="21"/>
          <w:highlight w:val="none"/>
        </w:rPr>
        <w:t>合同争议的最终解决方式：提请</w:t>
      </w:r>
      <w:r>
        <w:rPr>
          <w:rFonts w:hint="eastAsia" w:hAnsi="宋体" w:eastAsia="宋体" w:cs="宋体"/>
          <w:bCs/>
          <w:color w:val="auto"/>
          <w:sz w:val="21"/>
          <w:highlight w:val="none"/>
          <w:u w:val="single"/>
        </w:rPr>
        <w:t>宁波仲裁委员会</w:t>
      </w:r>
      <w:r>
        <w:rPr>
          <w:rFonts w:hint="eastAsia" w:hAnsi="宋体" w:eastAsia="宋体" w:cs="宋体"/>
          <w:color w:val="auto"/>
          <w:sz w:val="21"/>
          <w:highlight w:val="none"/>
        </w:rPr>
        <w:t>进行仲裁。</w:t>
      </w:r>
    </w:p>
    <w:p w14:paraId="66A69487">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8、其他</w:t>
      </w:r>
    </w:p>
    <w:p w14:paraId="6830D371">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8.4奖励</w:t>
      </w:r>
    </w:p>
    <w:p w14:paraId="520BC8D3">
      <w:pPr>
        <w:ind w:firstLine="420" w:firstLineChars="200"/>
        <w:rPr>
          <w:rFonts w:hAnsi="宋体" w:eastAsia="宋体" w:cs="宋体"/>
          <w:color w:val="auto"/>
          <w:sz w:val="21"/>
          <w:highlight w:val="none"/>
        </w:rPr>
      </w:pPr>
      <w:r>
        <w:rPr>
          <w:rFonts w:hint="eastAsia" w:hAnsi="宋体" w:eastAsia="宋体" w:cs="宋体"/>
          <w:color w:val="auto"/>
          <w:sz w:val="21"/>
          <w:highlight w:val="none"/>
        </w:rPr>
        <w:t>合理化建议的奖励金额按下列方法确定为：</w:t>
      </w:r>
    </w:p>
    <w:p w14:paraId="42F53CDB">
      <w:pPr>
        <w:ind w:firstLine="420" w:firstLineChars="200"/>
        <w:rPr>
          <w:rFonts w:hAnsi="宋体" w:eastAsia="宋体" w:cs="宋体"/>
          <w:color w:val="auto"/>
          <w:sz w:val="21"/>
          <w:highlight w:val="none"/>
        </w:rPr>
      </w:pPr>
      <w:r>
        <w:rPr>
          <w:rFonts w:hint="eastAsia" w:hAnsi="宋体" w:eastAsia="宋体" w:cs="宋体"/>
          <w:color w:val="auto"/>
          <w:sz w:val="21"/>
          <w:highlight w:val="none"/>
        </w:rPr>
        <w:t>奖励金额＝工程投资节省额×奖励金额的比率；</w:t>
      </w:r>
    </w:p>
    <w:p w14:paraId="0BB07233">
      <w:pPr>
        <w:ind w:firstLine="420" w:firstLineChars="200"/>
        <w:rPr>
          <w:rFonts w:hAnsi="宋体" w:eastAsia="宋体" w:cs="宋体"/>
          <w:color w:val="auto"/>
          <w:sz w:val="21"/>
          <w:highlight w:val="none"/>
        </w:rPr>
      </w:pPr>
      <w:r>
        <w:rPr>
          <w:rFonts w:hint="eastAsia" w:hAnsi="宋体" w:eastAsia="宋体" w:cs="宋体"/>
          <w:color w:val="auto"/>
          <w:sz w:val="21"/>
          <w:highlight w:val="none"/>
        </w:rPr>
        <w:t>奖励金额的比率为</w:t>
      </w:r>
      <w:r>
        <w:rPr>
          <w:rFonts w:hint="eastAsia" w:hAnsi="宋体" w:eastAsia="宋体" w:cs="宋体"/>
          <w:color w:val="auto"/>
          <w:sz w:val="21"/>
          <w:highlight w:val="none"/>
          <w:u w:val="single"/>
        </w:rPr>
        <w:t xml:space="preserve">   ——   </w:t>
      </w:r>
      <w:r>
        <w:rPr>
          <w:rFonts w:hint="eastAsia" w:hAnsi="宋体" w:eastAsia="宋体" w:cs="宋体"/>
          <w:color w:val="auto"/>
          <w:sz w:val="21"/>
          <w:highlight w:val="none"/>
        </w:rPr>
        <w:t>%。</w:t>
      </w:r>
    </w:p>
    <w:p w14:paraId="63AC7828">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8.6保密</w:t>
      </w:r>
    </w:p>
    <w:p w14:paraId="67CE14E5">
      <w:pPr>
        <w:ind w:firstLine="420" w:firstLineChars="200"/>
        <w:rPr>
          <w:rFonts w:hAnsi="宋体" w:eastAsia="宋体" w:cs="宋体"/>
          <w:color w:val="auto"/>
          <w:sz w:val="21"/>
          <w:highlight w:val="none"/>
        </w:rPr>
      </w:pPr>
      <w:r>
        <w:rPr>
          <w:rFonts w:hint="eastAsia" w:hAnsi="宋体" w:eastAsia="宋体" w:cs="宋体"/>
          <w:color w:val="auto"/>
          <w:sz w:val="21"/>
          <w:highlight w:val="none"/>
        </w:rPr>
        <w:t>委托人申明的保密事项和限期：</w:t>
      </w:r>
      <w:r>
        <w:rPr>
          <w:rFonts w:hint="eastAsia" w:hAnsi="宋体" w:eastAsia="宋体" w:cs="宋体"/>
          <w:color w:val="auto"/>
          <w:sz w:val="21"/>
          <w:highlight w:val="none"/>
          <w:u w:val="single"/>
        </w:rPr>
        <w:t xml:space="preserve">   ——   </w:t>
      </w:r>
      <w:r>
        <w:rPr>
          <w:rFonts w:hint="eastAsia" w:hAnsi="宋体" w:eastAsia="宋体" w:cs="宋体"/>
          <w:color w:val="auto"/>
          <w:sz w:val="21"/>
          <w:highlight w:val="none"/>
        </w:rPr>
        <w:t>。</w:t>
      </w:r>
    </w:p>
    <w:p w14:paraId="59FD749A">
      <w:pPr>
        <w:ind w:firstLine="420" w:firstLineChars="200"/>
        <w:rPr>
          <w:rFonts w:hAnsi="宋体" w:eastAsia="宋体" w:cs="宋体"/>
          <w:color w:val="auto"/>
          <w:sz w:val="21"/>
          <w:highlight w:val="none"/>
        </w:rPr>
      </w:pPr>
      <w:r>
        <w:rPr>
          <w:rFonts w:hint="eastAsia" w:hAnsi="宋体" w:eastAsia="宋体" w:cs="宋体"/>
          <w:color w:val="auto"/>
          <w:sz w:val="21"/>
          <w:highlight w:val="none"/>
        </w:rPr>
        <w:t>监理人申明的保密事项和限期：</w:t>
      </w:r>
      <w:r>
        <w:rPr>
          <w:rFonts w:hint="eastAsia" w:hAnsi="宋体" w:eastAsia="宋体" w:cs="宋体"/>
          <w:color w:val="auto"/>
          <w:sz w:val="21"/>
          <w:highlight w:val="none"/>
          <w:u w:val="single"/>
        </w:rPr>
        <w:t xml:space="preserve">   ——   </w:t>
      </w:r>
      <w:r>
        <w:rPr>
          <w:rFonts w:hint="eastAsia" w:hAnsi="宋体" w:eastAsia="宋体" w:cs="宋体"/>
          <w:color w:val="auto"/>
          <w:sz w:val="21"/>
          <w:highlight w:val="none"/>
        </w:rPr>
        <w:t>。</w:t>
      </w:r>
    </w:p>
    <w:p w14:paraId="5D92C341">
      <w:pPr>
        <w:ind w:firstLine="420" w:firstLineChars="200"/>
        <w:rPr>
          <w:rFonts w:hAnsi="宋体" w:eastAsia="宋体" w:cs="宋体"/>
          <w:color w:val="auto"/>
          <w:sz w:val="21"/>
          <w:highlight w:val="none"/>
        </w:rPr>
      </w:pPr>
      <w:r>
        <w:rPr>
          <w:rFonts w:hint="eastAsia" w:hAnsi="宋体" w:eastAsia="宋体" w:cs="宋体"/>
          <w:color w:val="auto"/>
          <w:sz w:val="21"/>
          <w:highlight w:val="none"/>
        </w:rPr>
        <w:t>第三方申明的保密事项和限期：</w:t>
      </w:r>
      <w:r>
        <w:rPr>
          <w:rFonts w:hint="eastAsia" w:hAnsi="宋体" w:eastAsia="宋体" w:cs="宋体"/>
          <w:color w:val="auto"/>
          <w:sz w:val="21"/>
          <w:highlight w:val="none"/>
          <w:u w:val="single"/>
        </w:rPr>
        <w:t xml:space="preserve">   ——   </w:t>
      </w:r>
      <w:r>
        <w:rPr>
          <w:rFonts w:hint="eastAsia" w:hAnsi="宋体" w:eastAsia="宋体" w:cs="宋体"/>
          <w:color w:val="auto"/>
          <w:sz w:val="21"/>
          <w:highlight w:val="none"/>
        </w:rPr>
        <w:t>。</w:t>
      </w:r>
    </w:p>
    <w:p w14:paraId="0CAA08F6">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8.8著作权</w:t>
      </w:r>
    </w:p>
    <w:p w14:paraId="147788C9">
      <w:pPr>
        <w:ind w:firstLine="420" w:firstLineChars="200"/>
        <w:rPr>
          <w:rFonts w:hAnsi="宋体" w:eastAsia="宋体" w:cs="宋体"/>
          <w:color w:val="auto"/>
          <w:sz w:val="21"/>
          <w:highlight w:val="none"/>
        </w:rPr>
      </w:pPr>
      <w:r>
        <w:rPr>
          <w:rFonts w:hint="eastAsia" w:hAnsi="宋体" w:eastAsia="宋体" w:cs="宋体"/>
          <w:color w:val="auto"/>
          <w:sz w:val="21"/>
          <w:highlight w:val="none"/>
        </w:rPr>
        <w:t>监理人在本合同履行期间及本合同终止后两年内出版涉及本工程的有关监理与相关服务的资料的限制条件：</w:t>
      </w:r>
      <w:r>
        <w:rPr>
          <w:rFonts w:hint="eastAsia" w:hAnsi="宋体" w:eastAsia="宋体" w:cs="宋体"/>
          <w:color w:val="auto"/>
          <w:sz w:val="21"/>
          <w:highlight w:val="none"/>
          <w:u w:val="single"/>
        </w:rPr>
        <w:t>不允许</w:t>
      </w:r>
      <w:r>
        <w:rPr>
          <w:rFonts w:hint="eastAsia" w:hAnsi="宋体" w:eastAsia="宋体" w:cs="宋体"/>
          <w:color w:val="auto"/>
          <w:sz w:val="21"/>
          <w:highlight w:val="none"/>
        </w:rPr>
        <w:t>。</w:t>
      </w:r>
    </w:p>
    <w:p w14:paraId="7D295ECE">
      <w:pPr>
        <w:ind w:firstLine="422" w:firstLineChars="200"/>
        <w:rPr>
          <w:rFonts w:hAnsi="宋体" w:eastAsia="宋体" w:cs="宋体"/>
          <w:b/>
          <w:color w:val="auto"/>
          <w:sz w:val="21"/>
          <w:highlight w:val="none"/>
        </w:rPr>
      </w:pPr>
      <w:r>
        <w:rPr>
          <w:rFonts w:hint="eastAsia" w:hAnsi="宋体" w:eastAsia="宋体" w:cs="宋体"/>
          <w:b/>
          <w:color w:val="auto"/>
          <w:sz w:val="21"/>
          <w:highlight w:val="none"/>
        </w:rPr>
        <w:t>9、补充条款</w:t>
      </w:r>
    </w:p>
    <w:p w14:paraId="3CD91BA9">
      <w:pPr>
        <w:tabs>
          <w:tab w:val="left" w:pos="540"/>
        </w:tabs>
        <w:ind w:right="-153" w:firstLine="420" w:firstLineChars="200"/>
        <w:rPr>
          <w:rFonts w:hAnsi="宋体" w:eastAsia="宋体" w:cs="宋体"/>
          <w:color w:val="auto"/>
          <w:sz w:val="21"/>
          <w:highlight w:val="none"/>
        </w:rPr>
      </w:pPr>
      <w:r>
        <w:rPr>
          <w:rFonts w:hint="eastAsia" w:hAnsi="宋体" w:eastAsia="宋体" w:cs="宋体"/>
          <w:color w:val="auto"/>
          <w:sz w:val="21"/>
          <w:highlight w:val="none"/>
        </w:rPr>
        <w:t>9.1监理人应按其响应文件中“监理人员组成表”、“办公及检测设备投入表”配备现场监理人员及办公、监理设备。</w:t>
      </w:r>
    </w:p>
    <w:p w14:paraId="5EC978EF">
      <w:pPr>
        <w:tabs>
          <w:tab w:val="left" w:pos="540"/>
        </w:tabs>
        <w:ind w:right="-153" w:firstLine="420" w:firstLineChars="200"/>
        <w:rPr>
          <w:rFonts w:hAnsi="宋体" w:eastAsia="宋体" w:cs="宋体"/>
          <w:color w:val="auto"/>
          <w:sz w:val="21"/>
          <w:highlight w:val="none"/>
        </w:rPr>
      </w:pPr>
      <w:r>
        <w:rPr>
          <w:rFonts w:hint="eastAsia" w:hAnsi="宋体" w:eastAsia="宋体" w:cs="宋体"/>
          <w:color w:val="auto"/>
          <w:sz w:val="21"/>
          <w:highlight w:val="none"/>
        </w:rPr>
        <w:t>9.2监理人响应文件中的“投标（报价）函”、“投标（报价）函附录”作为本合同的附件，与本合同具有同等法律效力。</w:t>
      </w:r>
    </w:p>
    <w:p w14:paraId="6702F3D9">
      <w:pPr>
        <w:tabs>
          <w:tab w:val="left" w:pos="540"/>
        </w:tabs>
        <w:ind w:right="-153" w:firstLine="420" w:firstLineChars="200"/>
        <w:rPr>
          <w:rFonts w:hAnsi="宋体" w:eastAsia="宋体" w:cs="宋体"/>
          <w:color w:val="auto"/>
          <w:sz w:val="21"/>
          <w:highlight w:val="none"/>
        </w:rPr>
      </w:pPr>
      <w:r>
        <w:rPr>
          <w:rFonts w:hint="eastAsia" w:hAnsi="宋体" w:eastAsia="宋体" w:cs="宋体"/>
          <w:color w:val="auto"/>
          <w:sz w:val="21"/>
          <w:highlight w:val="none"/>
        </w:rPr>
        <w:t>具体为：</w:t>
      </w:r>
    </w:p>
    <w:p w14:paraId="59AE1916">
      <w:pPr>
        <w:tabs>
          <w:tab w:val="left" w:pos="540"/>
        </w:tabs>
        <w:ind w:right="-153"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（1）</w:t>
      </w:r>
      <w:r>
        <w:rPr>
          <w:rFonts w:hint="eastAsia" w:hAnsi="宋体" w:eastAsia="宋体" w:cs="宋体"/>
          <w:color w:val="auto"/>
          <w:sz w:val="21"/>
          <w:highlight w:val="none"/>
          <w:u w:val="single"/>
        </w:rPr>
        <w:t>监理人员未到位违约金限额：履约担保（履约保证金）金额的30%；总监理工程师到位率达到每月25天以上，缺勤（一天8小时工作制，不在现场3小时以上为缺勤）扣罚500元/天，其它监理人员到位率达到每月25天以上，缺勤扣罚200元/天，总监及监理人员出勤以委托人考勤及业主和建设行政主管部门检查情况为准。</w:t>
      </w:r>
    </w:p>
    <w:p w14:paraId="6C97E608">
      <w:pPr>
        <w:tabs>
          <w:tab w:val="left" w:pos="540"/>
        </w:tabs>
        <w:ind w:right="-153" w:firstLine="420" w:firstLineChars="200"/>
        <w:rPr>
          <w:rFonts w:hAnsi="宋体" w:eastAsia="宋体" w:cs="宋体"/>
          <w:color w:val="auto"/>
          <w:sz w:val="21"/>
          <w:highlight w:val="none"/>
        </w:rPr>
      </w:pPr>
      <w:r>
        <w:rPr>
          <w:rFonts w:hint="eastAsia" w:hAnsi="宋体" w:eastAsia="宋体" w:cs="宋体"/>
          <w:color w:val="auto"/>
          <w:sz w:val="21"/>
          <w:highlight w:val="none"/>
        </w:rPr>
        <w:t>（2）</w:t>
      </w:r>
      <w:r>
        <w:rPr>
          <w:rFonts w:hint="eastAsia" w:hAnsi="宋体" w:eastAsia="宋体" w:cs="宋体"/>
          <w:color w:val="auto"/>
          <w:sz w:val="21"/>
          <w:highlight w:val="none"/>
          <w:u w:val="single"/>
        </w:rPr>
        <w:t>未达到质量控制目标或监理造成财政资金严重损失浪费现象的违约金限额：履约担保（履约保证金）金额的30%</w:t>
      </w:r>
      <w:r>
        <w:rPr>
          <w:rFonts w:hint="eastAsia" w:hAnsi="宋体" w:eastAsia="宋体" w:cs="宋体"/>
          <w:color w:val="auto"/>
          <w:sz w:val="21"/>
          <w:highlight w:val="none"/>
        </w:rPr>
        <w:t>；</w:t>
      </w:r>
    </w:p>
    <w:p w14:paraId="7B6DDEB9">
      <w:pPr>
        <w:tabs>
          <w:tab w:val="left" w:pos="540"/>
        </w:tabs>
        <w:ind w:right="-153"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（3）</w:t>
      </w:r>
      <w:r>
        <w:rPr>
          <w:rFonts w:hint="eastAsia" w:hAnsi="宋体" w:eastAsia="宋体" w:cs="宋体"/>
          <w:color w:val="auto"/>
          <w:sz w:val="21"/>
          <w:highlight w:val="none"/>
          <w:u w:val="single"/>
        </w:rPr>
        <w:t>未达到安全施工控制目标违约金限额：履约担保（履约保证金）金额的20%</w:t>
      </w:r>
      <w:r>
        <w:rPr>
          <w:rFonts w:hint="eastAsia" w:hAnsi="宋体" w:eastAsia="宋体" w:cs="宋体"/>
          <w:color w:val="auto"/>
          <w:sz w:val="21"/>
          <w:highlight w:val="none"/>
        </w:rPr>
        <w:t>；</w:t>
      </w:r>
    </w:p>
    <w:p w14:paraId="4C5FEEAF">
      <w:pPr>
        <w:tabs>
          <w:tab w:val="left" w:pos="540"/>
        </w:tabs>
        <w:ind w:right="-153" w:firstLine="420" w:firstLineChars="200"/>
        <w:rPr>
          <w:rFonts w:hAnsi="宋体" w:eastAsia="宋体" w:cs="宋体"/>
          <w:color w:val="auto"/>
          <w:sz w:val="21"/>
          <w:highlight w:val="none"/>
        </w:rPr>
      </w:pPr>
      <w:r>
        <w:rPr>
          <w:rFonts w:hint="eastAsia" w:hAnsi="宋体" w:eastAsia="宋体" w:cs="宋体"/>
          <w:color w:val="auto"/>
          <w:sz w:val="21"/>
          <w:highlight w:val="none"/>
        </w:rPr>
        <w:t>（4）</w:t>
      </w:r>
      <w:r>
        <w:rPr>
          <w:rFonts w:hint="eastAsia" w:hAnsi="宋体" w:eastAsia="宋体" w:cs="宋体"/>
          <w:color w:val="auto"/>
          <w:sz w:val="21"/>
          <w:highlight w:val="none"/>
          <w:u w:val="single"/>
        </w:rPr>
        <w:t>进度控制落后于施工工期赔偿标准：500元/天；未达到进度控制目标或造成委托人工作严重被动的违约金限额：履约担保（履约保证金）金额的20%</w:t>
      </w:r>
      <w:r>
        <w:rPr>
          <w:rFonts w:hint="eastAsia" w:hAnsi="宋体" w:eastAsia="宋体" w:cs="宋体"/>
          <w:color w:val="auto"/>
          <w:sz w:val="21"/>
          <w:highlight w:val="none"/>
        </w:rPr>
        <w:t>；</w:t>
      </w:r>
    </w:p>
    <w:p w14:paraId="13755CFD">
      <w:pPr>
        <w:tabs>
          <w:tab w:val="left" w:pos="540"/>
        </w:tabs>
        <w:ind w:right="-153" w:firstLine="420" w:firstLineChars="200"/>
        <w:rPr>
          <w:rFonts w:hAnsi="宋体" w:eastAsia="宋体" w:cs="宋体"/>
          <w:color w:val="auto"/>
          <w:sz w:val="21"/>
          <w:highlight w:val="none"/>
        </w:rPr>
      </w:pPr>
      <w:r>
        <w:rPr>
          <w:rFonts w:hint="eastAsia" w:hAnsi="宋体" w:eastAsia="宋体" w:cs="宋体"/>
          <w:color w:val="auto"/>
          <w:sz w:val="21"/>
          <w:highlight w:val="none"/>
        </w:rPr>
        <w:t>以上违约金均从履约担保（履约保证金）中扣除，履约担保（履约保证金）退还时间为工程终验合格后。</w:t>
      </w:r>
    </w:p>
    <w:p w14:paraId="6A025D7D">
      <w:pPr>
        <w:tabs>
          <w:tab w:val="left" w:pos="540"/>
        </w:tabs>
        <w:ind w:right="-153" w:firstLine="420" w:firstLineChars="200"/>
        <w:rPr>
          <w:rFonts w:hAnsi="宋体" w:eastAsia="宋体" w:cs="宋体"/>
          <w:color w:val="auto"/>
          <w:sz w:val="21"/>
          <w:highlight w:val="none"/>
        </w:rPr>
      </w:pPr>
      <w:r>
        <w:rPr>
          <w:rFonts w:hint="eastAsia" w:hAnsi="宋体" w:eastAsia="宋体" w:cs="宋体"/>
          <w:color w:val="auto"/>
          <w:sz w:val="21"/>
          <w:highlight w:val="none"/>
        </w:rPr>
        <w:t>9.3监理人须自行负责向政府主管部门申领办事一切手续，并获得所有为承担本工程项目监理之证明等全部文件，费用自理。</w:t>
      </w:r>
    </w:p>
    <w:p w14:paraId="5C29422F">
      <w:pPr>
        <w:tabs>
          <w:tab w:val="left" w:pos="540"/>
        </w:tabs>
        <w:ind w:right="-153" w:firstLine="420" w:firstLineChars="200"/>
        <w:rPr>
          <w:rFonts w:hAnsi="宋体" w:eastAsia="宋体" w:cs="宋体"/>
          <w:color w:val="auto"/>
          <w:sz w:val="21"/>
          <w:highlight w:val="none"/>
        </w:rPr>
      </w:pPr>
      <w:r>
        <w:rPr>
          <w:rFonts w:hint="eastAsia" w:hAnsi="宋体" w:eastAsia="宋体" w:cs="宋体"/>
          <w:color w:val="auto"/>
          <w:sz w:val="21"/>
          <w:highlight w:val="none"/>
        </w:rPr>
        <w:t>9.4本招标范围内的所有监理事项由监理人全面负责，若监理人不具备某一个专项监理资质的，必须委托具有相应资质的监理公司进行监理，但须报委托人并经认可，其发生的监理费用由监理人自行承担，与委托人无关。</w:t>
      </w:r>
    </w:p>
    <w:p w14:paraId="24A24013">
      <w:pPr>
        <w:tabs>
          <w:tab w:val="left" w:pos="540"/>
        </w:tabs>
        <w:ind w:right="-153" w:firstLine="420" w:firstLineChars="200"/>
        <w:rPr>
          <w:rFonts w:hAnsi="宋体" w:eastAsia="宋体" w:cs="宋体"/>
          <w:color w:val="auto"/>
          <w:sz w:val="21"/>
          <w:highlight w:val="none"/>
        </w:rPr>
      </w:pPr>
      <w:r>
        <w:rPr>
          <w:rFonts w:hint="eastAsia" w:hAnsi="宋体" w:eastAsia="宋体" w:cs="宋体"/>
          <w:color w:val="auto"/>
          <w:sz w:val="21"/>
          <w:highlight w:val="none"/>
        </w:rPr>
        <w:t>9.5监理人不得对不符合国家标准、行业标准和《宁波市建设用砂管理办法》（市政府令第212号）第十二条规定技术指标的建筑用砂在有关监理文书中予以签字认可。</w:t>
      </w:r>
    </w:p>
    <w:p w14:paraId="167F835A">
      <w:pPr>
        <w:tabs>
          <w:tab w:val="left" w:pos="540"/>
        </w:tabs>
        <w:ind w:right="-153" w:firstLine="420" w:firstLineChars="200"/>
        <w:rPr>
          <w:rFonts w:hAnsi="宋体" w:eastAsia="宋体" w:cs="宋体"/>
          <w:color w:val="auto"/>
          <w:sz w:val="21"/>
          <w:highlight w:val="none"/>
        </w:rPr>
      </w:pPr>
      <w:r>
        <w:rPr>
          <w:rFonts w:hint="eastAsia" w:hAnsi="宋体" w:eastAsia="宋体" w:cs="宋体"/>
          <w:color w:val="auto"/>
          <w:sz w:val="21"/>
          <w:highlight w:val="none"/>
        </w:rPr>
        <w:t>9.6按照《关于印发宁波市促进预拌砂浆发展和应用管理实施细则的通知》（甬建发【2014】113号）要求，监理人应当按照有关技术标准、设计文件和施工验收规范对预拌砂浆的使用进行日常监理，对必须使用而不使用预拌砂浆的应当予以制止并要求改正；拒不改正的，应当向所在地散装水泥管理机构报告。</w:t>
      </w:r>
    </w:p>
    <w:p w14:paraId="4892CBD5">
      <w:pPr>
        <w:tabs>
          <w:tab w:val="left" w:pos="540"/>
        </w:tabs>
        <w:ind w:right="-153" w:firstLine="420" w:firstLineChars="200"/>
        <w:rPr>
          <w:rFonts w:hAnsi="宋体" w:eastAsia="宋体" w:cs="宋体"/>
          <w:color w:val="auto"/>
          <w:sz w:val="21"/>
          <w:highlight w:val="none"/>
        </w:rPr>
      </w:pPr>
      <w:r>
        <w:rPr>
          <w:rFonts w:hint="eastAsia" w:hAnsi="宋体" w:eastAsia="宋体" w:cs="宋体"/>
          <w:color w:val="auto"/>
          <w:sz w:val="21"/>
          <w:highlight w:val="none"/>
        </w:rPr>
        <w:t>9.7根据宁波市住房和城乡建设局文件甬建函【2023】35号文《宁波市住房和城乡建设局关于进一步加强房屋市政工程建筑工地渣土规范治理工作的通知》，监理人应按相关要求编制细则，具体要求如下：</w:t>
      </w:r>
    </w:p>
    <w:p w14:paraId="1B0F1929">
      <w:pPr>
        <w:widowControl/>
        <w:spacing w:line="4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（1）根据设计方案中关于泥浆、渣土的处置方式及相关政府文件要求，督促承包人严格按照相关规定执行。</w:t>
      </w:r>
    </w:p>
    <w:p w14:paraId="74E177F0">
      <w:pPr>
        <w:widowControl/>
        <w:spacing w:line="4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2）承包人土方、泥浆外运前必须签订道路保洁协议，满足相关运输管理规定，使用符合要求的工程车，并办理相关手续，处置地点符合市职能部门相关规定，提供相关证明资料。建筑渣土运输必须经有关部门许可、取得《建筑垃圾经营服务企业资格证书》，若总承包人将建筑渣土运输分包给其他单位的也须符合上述要求。项目的土方外运和回购应优先考虑高新区政府投资项目之间相互利用和调剂。监理人有责任及义务检查承包人外运前是否已办理相关手续，如未按规定办理手续，则应要求承包人暂定外运处置工作，及时办理相关手续。</w:t>
      </w:r>
    </w:p>
    <w:p w14:paraId="6324BDE3">
      <w:pPr>
        <w:widowControl/>
        <w:spacing w:line="400" w:lineRule="exact"/>
        <w:ind w:firstLine="420" w:firstLineChars="200"/>
        <w:rPr>
          <w:rFonts w:hAnsi="宋体" w:eastAsia="宋体" w:cs="宋体"/>
          <w:color w:val="auto"/>
          <w:sz w:val="21"/>
          <w:highlight w:val="none"/>
        </w:rPr>
        <w:sectPr>
          <w:headerReference r:id="rId11" w:type="default"/>
          <w:footerReference r:id="rId12" w:type="default"/>
          <w:footnotePr>
            <w:numFmt w:val="decimalEnclosedCircleChinese"/>
          </w:footnotePr>
          <w:pgSz w:w="11906" w:h="16838"/>
          <w:pgMar w:top="1701" w:right="1134" w:bottom="1304" w:left="1134" w:header="964" w:footer="567" w:gutter="567"/>
          <w:cols w:space="720" w:num="1"/>
          <w:docGrid w:type="lines" w:linePitch="312" w:charSpace="0"/>
        </w:sectPr>
      </w:pPr>
    </w:p>
    <w:p w14:paraId="1A5C4AAE">
      <w:pPr>
        <w:jc w:val="center"/>
        <w:rPr>
          <w:rFonts w:hAnsi="宋体" w:eastAsia="宋体" w:cs="宋体"/>
          <w:color w:val="auto"/>
          <w:sz w:val="21"/>
          <w:highlight w:val="none"/>
        </w:rPr>
      </w:pPr>
      <w:r>
        <w:rPr>
          <w:rFonts w:hint="eastAsia" w:hAnsi="宋体" w:eastAsia="宋体" w:cs="宋体"/>
          <w:b/>
          <w:color w:val="auto"/>
          <w:sz w:val="21"/>
          <w:highlight w:val="none"/>
        </w:rPr>
        <w:t>附录  委托人派遣的人员和提供的房屋、资料、设备</w:t>
      </w:r>
    </w:p>
    <w:p w14:paraId="21E5B79F">
      <w:pPr>
        <w:tabs>
          <w:tab w:val="left" w:pos="540"/>
        </w:tabs>
        <w:ind w:right="-153" w:firstLine="420" w:firstLineChars="200"/>
        <w:rPr>
          <w:rFonts w:hAnsi="宋体" w:eastAsia="宋体" w:cs="宋体"/>
          <w:color w:val="auto"/>
          <w:sz w:val="21"/>
          <w:highlight w:val="none"/>
        </w:rPr>
      </w:pPr>
      <w:r>
        <w:rPr>
          <w:rFonts w:hint="eastAsia" w:hAnsi="宋体" w:eastAsia="宋体" w:cs="宋体"/>
          <w:color w:val="auto"/>
          <w:sz w:val="21"/>
          <w:highlight w:val="none"/>
        </w:rPr>
        <w:t>B－1委托人派遣的人员：</w:t>
      </w:r>
      <w:r>
        <w:rPr>
          <w:rFonts w:hint="eastAsia" w:hAnsi="宋体" w:eastAsia="宋体" w:cs="宋体"/>
          <w:color w:val="auto"/>
          <w:sz w:val="21"/>
          <w:highlight w:val="none"/>
          <w:u w:val="single"/>
        </w:rPr>
        <w:t xml:space="preserve">   ——   </w:t>
      </w:r>
      <w:r>
        <w:rPr>
          <w:rFonts w:hint="eastAsia" w:hAnsi="宋体" w:eastAsia="宋体" w:cs="宋体"/>
          <w:color w:val="auto"/>
          <w:sz w:val="21"/>
          <w:highlight w:val="none"/>
        </w:rPr>
        <w:t>。</w:t>
      </w:r>
    </w:p>
    <w:p w14:paraId="2D5E0CBC">
      <w:pPr>
        <w:tabs>
          <w:tab w:val="left" w:pos="540"/>
        </w:tabs>
        <w:ind w:right="-153" w:firstLine="420" w:firstLineChars="200"/>
        <w:rPr>
          <w:rFonts w:hAnsi="宋体" w:eastAsia="宋体" w:cs="宋体"/>
          <w:color w:val="auto"/>
          <w:sz w:val="21"/>
          <w:highlight w:val="none"/>
        </w:rPr>
      </w:pPr>
      <w:r>
        <w:rPr>
          <w:rFonts w:hint="eastAsia" w:hAnsi="宋体" w:eastAsia="宋体" w:cs="宋体"/>
          <w:color w:val="auto"/>
          <w:sz w:val="21"/>
          <w:highlight w:val="none"/>
        </w:rPr>
        <w:t>B－2委托人提供的房屋：</w:t>
      </w:r>
      <w:r>
        <w:rPr>
          <w:rFonts w:hint="eastAsia" w:hAnsi="宋体" w:eastAsia="宋体" w:cs="宋体"/>
          <w:color w:val="auto"/>
          <w:sz w:val="21"/>
          <w:highlight w:val="none"/>
          <w:u w:val="single"/>
        </w:rPr>
        <w:t xml:space="preserve">   ——   </w:t>
      </w:r>
      <w:r>
        <w:rPr>
          <w:rFonts w:hint="eastAsia" w:hAnsi="宋体" w:eastAsia="宋体" w:cs="宋体"/>
          <w:color w:val="auto"/>
          <w:sz w:val="21"/>
          <w:highlight w:val="none"/>
        </w:rPr>
        <w:t>。</w:t>
      </w:r>
    </w:p>
    <w:p w14:paraId="273793ED">
      <w:pPr>
        <w:tabs>
          <w:tab w:val="left" w:pos="540"/>
        </w:tabs>
        <w:ind w:right="-153" w:firstLine="420" w:firstLineChars="200"/>
        <w:rPr>
          <w:rFonts w:hAnsi="宋体" w:eastAsia="宋体" w:cs="宋体"/>
          <w:color w:val="auto"/>
          <w:sz w:val="21"/>
          <w:highlight w:val="none"/>
        </w:rPr>
      </w:pPr>
      <w:r>
        <w:rPr>
          <w:rFonts w:hint="eastAsia" w:hAnsi="宋体" w:eastAsia="宋体" w:cs="宋体"/>
          <w:color w:val="auto"/>
          <w:sz w:val="21"/>
          <w:highlight w:val="none"/>
        </w:rPr>
        <w:t>B－3委托人提供的资料：</w:t>
      </w:r>
      <w:r>
        <w:rPr>
          <w:rFonts w:hint="eastAsia" w:hAnsi="宋体" w:eastAsia="宋体" w:cs="宋体"/>
          <w:color w:val="auto"/>
          <w:sz w:val="21"/>
          <w:highlight w:val="none"/>
          <w:u w:val="single"/>
        </w:rPr>
        <w:t>工程立项文件、工程勘察文件、工程设计及施工图纸、工程承包合同及其相关合同、施工许可文件等其他施工技术资料于正式开工前七个工作日提供</w:t>
      </w:r>
      <w:r>
        <w:rPr>
          <w:rFonts w:hint="eastAsia" w:hAnsi="宋体" w:eastAsia="宋体" w:cs="宋体"/>
          <w:color w:val="auto"/>
          <w:sz w:val="21"/>
          <w:highlight w:val="none"/>
        </w:rPr>
        <w:t>。</w:t>
      </w:r>
    </w:p>
    <w:p w14:paraId="5EBB044C">
      <w:pPr>
        <w:tabs>
          <w:tab w:val="left" w:pos="540"/>
        </w:tabs>
        <w:ind w:right="-153" w:firstLine="420" w:firstLineChars="200"/>
        <w:rPr>
          <w:rFonts w:hAnsi="宋体" w:eastAsia="宋体" w:cs="宋体"/>
          <w:color w:val="auto"/>
          <w:sz w:val="21"/>
          <w:highlight w:val="none"/>
        </w:rPr>
      </w:pPr>
      <w:r>
        <w:rPr>
          <w:rFonts w:hint="eastAsia" w:hAnsi="宋体" w:eastAsia="宋体" w:cs="宋体"/>
          <w:color w:val="auto"/>
          <w:sz w:val="21"/>
          <w:highlight w:val="none"/>
        </w:rPr>
        <w:t>B－4委托人提供的设备：</w:t>
      </w:r>
      <w:r>
        <w:rPr>
          <w:rFonts w:hint="eastAsia" w:hAnsi="宋体" w:eastAsia="宋体" w:cs="宋体"/>
          <w:color w:val="auto"/>
          <w:sz w:val="21"/>
          <w:highlight w:val="none"/>
          <w:u w:val="single"/>
        </w:rPr>
        <w:t xml:space="preserve">   ——   </w:t>
      </w:r>
      <w:r>
        <w:rPr>
          <w:rFonts w:hint="eastAsia" w:hAnsi="宋体" w:eastAsia="宋体" w:cs="宋体"/>
          <w:color w:val="auto"/>
          <w:sz w:val="21"/>
          <w:highlight w:val="none"/>
        </w:rPr>
        <w:t>。</w:t>
      </w:r>
    </w:p>
    <w:p w14:paraId="180D9F16">
      <w:pPr>
        <w:tabs>
          <w:tab w:val="left" w:pos="540"/>
        </w:tabs>
        <w:ind w:right="-153" w:firstLine="420" w:firstLineChars="200"/>
        <w:rPr>
          <w:rFonts w:hAnsi="宋体" w:eastAsia="宋体" w:cs="宋体"/>
          <w:color w:val="auto"/>
          <w:sz w:val="21"/>
          <w:highlight w:val="none"/>
        </w:rPr>
      </w:pPr>
    </w:p>
    <w:p w14:paraId="4837C742">
      <w:pPr>
        <w:jc w:val="center"/>
        <w:rPr>
          <w:rFonts w:hAnsi="宋体" w:eastAsia="宋体" w:cs="宋体"/>
          <w:b/>
          <w:color w:val="auto"/>
          <w:sz w:val="21"/>
          <w:highlight w:val="none"/>
        </w:rPr>
      </w:pPr>
      <w:r>
        <w:rPr>
          <w:rFonts w:hint="eastAsia" w:hAnsi="宋体" w:eastAsia="宋体" w:cs="宋体"/>
          <w:b/>
          <w:color w:val="auto"/>
          <w:sz w:val="21"/>
          <w:highlight w:val="none"/>
        </w:rPr>
        <w:t>派往本项目的监理机构人员组成表</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126"/>
        <w:gridCol w:w="1418"/>
        <w:gridCol w:w="2126"/>
        <w:gridCol w:w="2657"/>
      </w:tblGrid>
      <w:tr w14:paraId="0ED4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59" w:type="dxa"/>
            <w:noWrap/>
            <w:vAlign w:val="center"/>
          </w:tcPr>
          <w:p w14:paraId="4ABB9C61">
            <w:pPr>
              <w:snapToGrid w:val="0"/>
              <w:spacing w:line="240" w:lineRule="auto"/>
              <w:jc w:val="center"/>
              <w:rPr>
                <w:rFonts w:hAnsi="宋体" w:eastAsia="宋体" w:cs="宋体"/>
                <w:color w:val="auto"/>
                <w:sz w:val="21"/>
                <w:highlight w:val="none"/>
              </w:rPr>
            </w:pPr>
            <w:r>
              <w:rPr>
                <w:rFonts w:hint="eastAsia" w:hAnsi="宋体" w:eastAsia="宋体" w:cs="宋体"/>
                <w:color w:val="auto"/>
                <w:sz w:val="21"/>
                <w:highlight w:val="none"/>
              </w:rPr>
              <w:t>序号</w:t>
            </w:r>
          </w:p>
        </w:tc>
        <w:tc>
          <w:tcPr>
            <w:tcW w:w="2126" w:type="dxa"/>
            <w:noWrap/>
            <w:vAlign w:val="center"/>
          </w:tcPr>
          <w:p w14:paraId="1AE54BFC">
            <w:pPr>
              <w:snapToGrid w:val="0"/>
              <w:spacing w:line="240" w:lineRule="auto"/>
              <w:jc w:val="center"/>
              <w:rPr>
                <w:rFonts w:hAnsi="宋体" w:eastAsia="宋体" w:cs="宋体"/>
                <w:color w:val="auto"/>
                <w:sz w:val="21"/>
                <w:highlight w:val="none"/>
              </w:rPr>
            </w:pPr>
            <w:r>
              <w:rPr>
                <w:rFonts w:hint="eastAsia" w:hAnsi="宋体" w:eastAsia="宋体" w:cs="宋体"/>
                <w:color w:val="auto"/>
                <w:sz w:val="21"/>
                <w:highlight w:val="none"/>
              </w:rPr>
              <w:t>工作岗位</w:t>
            </w:r>
          </w:p>
        </w:tc>
        <w:tc>
          <w:tcPr>
            <w:tcW w:w="1418" w:type="dxa"/>
            <w:noWrap/>
            <w:vAlign w:val="center"/>
          </w:tcPr>
          <w:p w14:paraId="1BE41285">
            <w:pPr>
              <w:snapToGrid w:val="0"/>
              <w:spacing w:line="240" w:lineRule="auto"/>
              <w:jc w:val="center"/>
              <w:rPr>
                <w:rFonts w:hAnsi="宋体" w:eastAsia="宋体" w:cs="宋体"/>
                <w:color w:val="auto"/>
                <w:sz w:val="21"/>
                <w:highlight w:val="none"/>
              </w:rPr>
            </w:pPr>
            <w:r>
              <w:rPr>
                <w:rFonts w:hint="eastAsia" w:hAnsi="宋体" w:eastAsia="宋体" w:cs="宋体"/>
                <w:color w:val="auto"/>
                <w:sz w:val="21"/>
                <w:highlight w:val="none"/>
              </w:rPr>
              <w:t>姓  名</w:t>
            </w:r>
          </w:p>
        </w:tc>
        <w:tc>
          <w:tcPr>
            <w:tcW w:w="2126" w:type="dxa"/>
            <w:noWrap/>
            <w:vAlign w:val="center"/>
          </w:tcPr>
          <w:p w14:paraId="07A2BAB7">
            <w:pPr>
              <w:snapToGrid w:val="0"/>
              <w:spacing w:line="240" w:lineRule="auto"/>
              <w:jc w:val="center"/>
              <w:rPr>
                <w:rFonts w:hAnsi="宋体" w:eastAsia="宋体" w:cs="宋体"/>
                <w:color w:val="auto"/>
                <w:sz w:val="21"/>
                <w:highlight w:val="none"/>
              </w:rPr>
            </w:pPr>
            <w:r>
              <w:rPr>
                <w:rFonts w:hint="eastAsia" w:hAnsi="宋体" w:eastAsia="宋体" w:cs="宋体"/>
                <w:color w:val="auto"/>
                <w:sz w:val="21"/>
                <w:highlight w:val="none"/>
              </w:rPr>
              <w:t>专  业</w:t>
            </w:r>
          </w:p>
        </w:tc>
        <w:tc>
          <w:tcPr>
            <w:tcW w:w="2657" w:type="dxa"/>
            <w:noWrap/>
            <w:vAlign w:val="center"/>
          </w:tcPr>
          <w:p w14:paraId="0AFD88EF">
            <w:pPr>
              <w:snapToGrid w:val="0"/>
              <w:spacing w:line="240" w:lineRule="auto"/>
              <w:jc w:val="center"/>
              <w:rPr>
                <w:rFonts w:hAnsi="宋体" w:eastAsia="宋体" w:cs="宋体"/>
                <w:color w:val="auto"/>
                <w:sz w:val="21"/>
                <w:highlight w:val="none"/>
              </w:rPr>
            </w:pPr>
            <w:r>
              <w:rPr>
                <w:rFonts w:hint="eastAsia" w:hAnsi="宋体" w:eastAsia="宋体" w:cs="宋体"/>
                <w:color w:val="auto"/>
                <w:sz w:val="21"/>
                <w:highlight w:val="none"/>
              </w:rPr>
              <w:t>注册执业证书号</w:t>
            </w:r>
          </w:p>
        </w:tc>
      </w:tr>
      <w:tr w14:paraId="1D3D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59" w:type="dxa"/>
            <w:shd w:val="clear" w:color="auto" w:fill="auto"/>
            <w:noWrap/>
            <w:vAlign w:val="center"/>
          </w:tcPr>
          <w:p w14:paraId="28CAEA20">
            <w:pPr>
              <w:snapToGrid w:val="0"/>
              <w:spacing w:line="240" w:lineRule="auto"/>
              <w:jc w:val="center"/>
              <w:rPr>
                <w:rFonts w:hAnsi="宋体" w:eastAsia="宋体" w:cs="宋体"/>
                <w:color w:val="auto"/>
                <w:sz w:val="21"/>
                <w:highlight w:val="none"/>
              </w:rPr>
            </w:pPr>
            <w:r>
              <w:rPr>
                <w:rFonts w:hint="eastAsia" w:hAnsi="宋体" w:eastAsia="宋体" w:cs="宋体"/>
                <w:color w:val="auto"/>
                <w:sz w:val="21"/>
                <w:highlight w:val="none"/>
              </w:rPr>
              <w:t>1</w:t>
            </w:r>
          </w:p>
        </w:tc>
        <w:tc>
          <w:tcPr>
            <w:tcW w:w="2126" w:type="dxa"/>
            <w:shd w:val="clear" w:color="auto" w:fill="auto"/>
            <w:noWrap/>
            <w:vAlign w:val="center"/>
          </w:tcPr>
          <w:p w14:paraId="2014E694">
            <w:pPr>
              <w:snapToGrid w:val="0"/>
              <w:spacing w:line="240" w:lineRule="auto"/>
              <w:jc w:val="center"/>
              <w:rPr>
                <w:rFonts w:hAnsi="宋体" w:eastAsia="宋体" w:cs="宋体"/>
                <w:color w:val="auto"/>
                <w:sz w:val="21"/>
                <w:highlight w:val="none"/>
              </w:rPr>
            </w:pPr>
            <w:r>
              <w:rPr>
                <w:rFonts w:hint="eastAsia" w:hAnsi="宋体" w:eastAsia="宋体" w:cs="宋体"/>
                <w:color w:val="auto"/>
                <w:sz w:val="21"/>
                <w:highlight w:val="none"/>
              </w:rPr>
              <w:t>总监理工程师</w:t>
            </w:r>
          </w:p>
        </w:tc>
        <w:tc>
          <w:tcPr>
            <w:tcW w:w="1418" w:type="dxa"/>
            <w:shd w:val="clear" w:color="auto" w:fill="auto"/>
            <w:noWrap/>
            <w:vAlign w:val="center"/>
          </w:tcPr>
          <w:p w14:paraId="0148FBA1">
            <w:pPr>
              <w:spacing w:line="240" w:lineRule="auto"/>
              <w:jc w:val="center"/>
              <w:rPr>
                <w:rFonts w:hAnsi="宋体" w:eastAsia="宋体" w:cs="宋体"/>
                <w:color w:val="auto"/>
                <w:sz w:val="21"/>
                <w:highlight w:val="none"/>
              </w:rPr>
            </w:pPr>
          </w:p>
        </w:tc>
        <w:tc>
          <w:tcPr>
            <w:tcW w:w="2126" w:type="dxa"/>
            <w:shd w:val="clear" w:color="auto" w:fill="auto"/>
            <w:noWrap/>
            <w:vAlign w:val="center"/>
          </w:tcPr>
          <w:p w14:paraId="30DF5635">
            <w:pPr>
              <w:snapToGrid w:val="0"/>
              <w:spacing w:line="240" w:lineRule="auto"/>
              <w:jc w:val="center"/>
              <w:rPr>
                <w:rFonts w:hAnsi="宋体" w:eastAsia="宋体" w:cs="宋体"/>
                <w:color w:val="auto"/>
                <w:sz w:val="21"/>
                <w:highlight w:val="none"/>
              </w:rPr>
            </w:pPr>
          </w:p>
        </w:tc>
        <w:tc>
          <w:tcPr>
            <w:tcW w:w="2657" w:type="dxa"/>
            <w:shd w:val="clear" w:color="auto" w:fill="auto"/>
            <w:noWrap/>
            <w:vAlign w:val="center"/>
          </w:tcPr>
          <w:p w14:paraId="238FA178">
            <w:pPr>
              <w:snapToGrid w:val="0"/>
              <w:spacing w:line="240" w:lineRule="auto"/>
              <w:jc w:val="center"/>
              <w:rPr>
                <w:rFonts w:hAnsi="宋体" w:eastAsia="宋体" w:cs="宋体"/>
                <w:color w:val="auto"/>
                <w:sz w:val="21"/>
                <w:highlight w:val="none"/>
              </w:rPr>
            </w:pPr>
          </w:p>
        </w:tc>
      </w:tr>
      <w:tr w14:paraId="652E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9" w:type="dxa"/>
            <w:noWrap/>
            <w:vAlign w:val="center"/>
          </w:tcPr>
          <w:p w14:paraId="3BDA8F33">
            <w:pPr>
              <w:snapToGrid w:val="0"/>
              <w:spacing w:line="240" w:lineRule="auto"/>
              <w:jc w:val="center"/>
              <w:rPr>
                <w:rFonts w:hAnsi="宋体" w:eastAsia="宋体" w:cs="宋体"/>
                <w:color w:val="auto"/>
                <w:sz w:val="21"/>
                <w:highlight w:val="none"/>
              </w:rPr>
            </w:pPr>
            <w:r>
              <w:rPr>
                <w:rFonts w:hint="eastAsia" w:hAnsi="宋体" w:eastAsia="宋体" w:cs="宋体"/>
                <w:color w:val="auto"/>
                <w:sz w:val="21"/>
                <w:highlight w:val="none"/>
              </w:rPr>
              <w:t>2</w:t>
            </w:r>
          </w:p>
        </w:tc>
        <w:tc>
          <w:tcPr>
            <w:tcW w:w="2126" w:type="dxa"/>
            <w:noWrap/>
            <w:vAlign w:val="center"/>
          </w:tcPr>
          <w:p w14:paraId="585BB7B2">
            <w:pPr>
              <w:snapToGrid w:val="0"/>
              <w:spacing w:line="240" w:lineRule="auto"/>
              <w:jc w:val="center"/>
              <w:rPr>
                <w:rFonts w:hAnsi="宋体" w:eastAsia="宋体" w:cs="宋体"/>
                <w:color w:val="auto"/>
                <w:sz w:val="21"/>
                <w:highlight w:val="none"/>
              </w:rPr>
            </w:pPr>
            <w:r>
              <w:rPr>
                <w:rFonts w:hint="eastAsia" w:hAnsi="宋体" w:eastAsia="宋体" w:cs="宋体"/>
                <w:color w:val="auto"/>
                <w:sz w:val="21"/>
                <w:highlight w:val="none"/>
              </w:rPr>
              <w:t>市政监理工程师</w:t>
            </w:r>
          </w:p>
        </w:tc>
        <w:tc>
          <w:tcPr>
            <w:tcW w:w="1418" w:type="dxa"/>
            <w:noWrap/>
            <w:vAlign w:val="center"/>
          </w:tcPr>
          <w:p w14:paraId="705D9B11">
            <w:pPr>
              <w:spacing w:line="240" w:lineRule="auto"/>
              <w:jc w:val="center"/>
              <w:rPr>
                <w:rFonts w:hAnsi="宋体" w:eastAsia="宋体" w:cs="宋体"/>
                <w:color w:val="auto"/>
                <w:sz w:val="21"/>
                <w:highlight w:val="none"/>
              </w:rPr>
            </w:pPr>
          </w:p>
        </w:tc>
        <w:tc>
          <w:tcPr>
            <w:tcW w:w="2126" w:type="dxa"/>
            <w:noWrap/>
            <w:vAlign w:val="center"/>
          </w:tcPr>
          <w:p w14:paraId="35CFEA54">
            <w:pPr>
              <w:snapToGrid w:val="0"/>
              <w:spacing w:line="240" w:lineRule="auto"/>
              <w:jc w:val="center"/>
              <w:rPr>
                <w:rFonts w:hAnsi="宋体" w:eastAsia="宋体" w:cs="宋体"/>
                <w:color w:val="auto"/>
                <w:sz w:val="21"/>
                <w:highlight w:val="none"/>
              </w:rPr>
            </w:pPr>
          </w:p>
        </w:tc>
        <w:tc>
          <w:tcPr>
            <w:tcW w:w="2657" w:type="dxa"/>
            <w:noWrap/>
            <w:vAlign w:val="center"/>
          </w:tcPr>
          <w:p w14:paraId="37762540">
            <w:pPr>
              <w:snapToGrid w:val="0"/>
              <w:spacing w:line="240" w:lineRule="auto"/>
              <w:jc w:val="center"/>
              <w:rPr>
                <w:rFonts w:hAnsi="宋体" w:eastAsia="宋体" w:cs="宋体"/>
                <w:color w:val="auto"/>
                <w:sz w:val="21"/>
                <w:highlight w:val="none"/>
              </w:rPr>
            </w:pPr>
          </w:p>
        </w:tc>
      </w:tr>
      <w:tr w14:paraId="5D94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59" w:type="dxa"/>
            <w:noWrap/>
            <w:vAlign w:val="center"/>
          </w:tcPr>
          <w:p w14:paraId="08A98077">
            <w:pPr>
              <w:snapToGrid w:val="0"/>
              <w:spacing w:line="240" w:lineRule="auto"/>
              <w:jc w:val="center"/>
              <w:rPr>
                <w:rFonts w:hAnsi="宋体" w:eastAsia="宋体" w:cs="宋体"/>
                <w:color w:val="auto"/>
                <w:sz w:val="21"/>
                <w:highlight w:val="none"/>
              </w:rPr>
            </w:pPr>
            <w:r>
              <w:rPr>
                <w:rFonts w:hint="eastAsia" w:hAnsi="宋体" w:eastAsia="宋体" w:cs="宋体"/>
                <w:color w:val="auto"/>
                <w:sz w:val="21"/>
                <w:highlight w:val="none"/>
              </w:rPr>
              <w:t>3</w:t>
            </w:r>
          </w:p>
        </w:tc>
        <w:tc>
          <w:tcPr>
            <w:tcW w:w="2126" w:type="dxa"/>
            <w:noWrap/>
            <w:vAlign w:val="center"/>
          </w:tcPr>
          <w:p w14:paraId="3EB5BE87">
            <w:pPr>
              <w:snapToGrid w:val="0"/>
              <w:spacing w:line="240" w:lineRule="auto"/>
              <w:jc w:val="center"/>
              <w:rPr>
                <w:rFonts w:hAnsi="宋体" w:eastAsia="宋体" w:cs="宋体"/>
                <w:color w:val="auto"/>
                <w:sz w:val="21"/>
                <w:highlight w:val="none"/>
              </w:rPr>
            </w:pPr>
            <w:r>
              <w:rPr>
                <w:rFonts w:hint="eastAsia" w:hAnsi="宋体" w:eastAsia="宋体" w:cs="宋体"/>
                <w:color w:val="auto"/>
                <w:sz w:val="21"/>
                <w:highlight w:val="none"/>
              </w:rPr>
              <w:t>市政监理员</w:t>
            </w:r>
          </w:p>
        </w:tc>
        <w:tc>
          <w:tcPr>
            <w:tcW w:w="1418" w:type="dxa"/>
            <w:noWrap/>
            <w:vAlign w:val="center"/>
          </w:tcPr>
          <w:p w14:paraId="62D30E9D">
            <w:pPr>
              <w:spacing w:line="240" w:lineRule="auto"/>
              <w:jc w:val="center"/>
              <w:rPr>
                <w:rFonts w:hAnsi="宋体" w:eastAsia="宋体" w:cs="宋体"/>
                <w:color w:val="auto"/>
                <w:sz w:val="21"/>
                <w:highlight w:val="none"/>
              </w:rPr>
            </w:pPr>
          </w:p>
        </w:tc>
        <w:tc>
          <w:tcPr>
            <w:tcW w:w="2126" w:type="dxa"/>
            <w:noWrap/>
            <w:vAlign w:val="center"/>
          </w:tcPr>
          <w:p w14:paraId="67D6BBA0">
            <w:pPr>
              <w:snapToGrid w:val="0"/>
              <w:spacing w:line="240" w:lineRule="auto"/>
              <w:jc w:val="center"/>
              <w:rPr>
                <w:rFonts w:hAnsi="宋体" w:eastAsia="宋体" w:cs="宋体"/>
                <w:color w:val="auto"/>
                <w:sz w:val="21"/>
                <w:highlight w:val="none"/>
              </w:rPr>
            </w:pPr>
          </w:p>
        </w:tc>
        <w:tc>
          <w:tcPr>
            <w:tcW w:w="2657" w:type="dxa"/>
            <w:noWrap/>
            <w:vAlign w:val="center"/>
          </w:tcPr>
          <w:p w14:paraId="6EB636E9">
            <w:pPr>
              <w:snapToGrid w:val="0"/>
              <w:spacing w:line="240" w:lineRule="auto"/>
              <w:jc w:val="center"/>
              <w:rPr>
                <w:rFonts w:hAnsi="宋体" w:eastAsia="宋体" w:cs="宋体"/>
                <w:color w:val="auto"/>
                <w:sz w:val="21"/>
                <w:highlight w:val="none"/>
              </w:rPr>
            </w:pPr>
          </w:p>
        </w:tc>
      </w:tr>
      <w:tr w14:paraId="7EEF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ign w:val="center"/>
          </w:tcPr>
          <w:p w14:paraId="3E627BDB">
            <w:pPr>
              <w:snapToGrid w:val="0"/>
              <w:jc w:val="center"/>
              <w:rPr>
                <w:rFonts w:hAnsi="宋体" w:eastAsia="宋体" w:cs="宋体"/>
                <w:color w:val="auto"/>
                <w:sz w:val="21"/>
                <w:highlight w:val="none"/>
              </w:rPr>
            </w:pPr>
          </w:p>
        </w:tc>
        <w:tc>
          <w:tcPr>
            <w:tcW w:w="2126" w:type="dxa"/>
            <w:noWrap/>
            <w:vAlign w:val="center"/>
          </w:tcPr>
          <w:p w14:paraId="7C74B80A">
            <w:pPr>
              <w:snapToGrid w:val="0"/>
              <w:jc w:val="center"/>
              <w:rPr>
                <w:rFonts w:hAnsi="宋体" w:eastAsia="宋体" w:cs="宋体"/>
                <w:color w:val="auto"/>
                <w:sz w:val="21"/>
                <w:highlight w:val="none"/>
              </w:rPr>
            </w:pPr>
          </w:p>
        </w:tc>
        <w:tc>
          <w:tcPr>
            <w:tcW w:w="1418" w:type="dxa"/>
            <w:noWrap/>
            <w:vAlign w:val="center"/>
          </w:tcPr>
          <w:p w14:paraId="0F00E7AF">
            <w:pPr>
              <w:snapToGrid w:val="0"/>
              <w:jc w:val="center"/>
              <w:rPr>
                <w:rFonts w:hAnsi="宋体" w:eastAsia="宋体" w:cs="宋体"/>
                <w:color w:val="auto"/>
                <w:sz w:val="21"/>
                <w:highlight w:val="none"/>
              </w:rPr>
            </w:pPr>
          </w:p>
        </w:tc>
        <w:tc>
          <w:tcPr>
            <w:tcW w:w="2126" w:type="dxa"/>
            <w:noWrap/>
            <w:vAlign w:val="center"/>
          </w:tcPr>
          <w:p w14:paraId="6D4A61DF">
            <w:pPr>
              <w:jc w:val="center"/>
              <w:rPr>
                <w:rFonts w:hAnsi="宋体" w:eastAsia="宋体" w:cs="宋体"/>
                <w:color w:val="auto"/>
                <w:sz w:val="21"/>
                <w:highlight w:val="none"/>
              </w:rPr>
            </w:pPr>
          </w:p>
        </w:tc>
        <w:tc>
          <w:tcPr>
            <w:tcW w:w="2657" w:type="dxa"/>
            <w:noWrap/>
            <w:vAlign w:val="center"/>
          </w:tcPr>
          <w:p w14:paraId="4835F829">
            <w:pPr>
              <w:snapToGrid w:val="0"/>
              <w:jc w:val="center"/>
              <w:rPr>
                <w:rFonts w:hAnsi="宋体" w:eastAsia="宋体" w:cs="宋体"/>
                <w:color w:val="auto"/>
                <w:sz w:val="21"/>
                <w:highlight w:val="none"/>
              </w:rPr>
            </w:pPr>
          </w:p>
        </w:tc>
      </w:tr>
    </w:tbl>
    <w:p w14:paraId="11EC14CA">
      <w:pPr>
        <w:snapToGrid w:val="0"/>
        <w:rPr>
          <w:rFonts w:hAnsi="宋体" w:eastAsia="宋体" w:cs="宋体"/>
          <w:b/>
          <w:color w:val="auto"/>
          <w:sz w:val="21"/>
          <w:highlight w:val="none"/>
        </w:rPr>
        <w:sectPr>
          <w:footnotePr>
            <w:numFmt w:val="decimalEnclosedCircleChinese"/>
          </w:footnotePr>
          <w:pgSz w:w="11906" w:h="16838"/>
          <w:pgMar w:top="1701" w:right="1134" w:bottom="1304" w:left="1134" w:header="964" w:footer="567" w:gutter="567"/>
          <w:cols w:space="720" w:num="1"/>
          <w:docGrid w:type="lines" w:linePitch="312" w:charSpace="0"/>
        </w:sectPr>
      </w:pPr>
    </w:p>
    <w:p w14:paraId="575E5AEC">
      <w:pPr>
        <w:snapToGrid w:val="0"/>
        <w:ind w:firstLine="420" w:firstLineChars="200"/>
        <w:rPr>
          <w:rFonts w:hAnsi="宋体" w:eastAsia="宋体" w:cs="宋体"/>
          <w:color w:val="auto"/>
          <w:sz w:val="21"/>
          <w:highlight w:val="none"/>
        </w:rPr>
      </w:pPr>
      <w:r>
        <w:rPr>
          <w:rFonts w:hint="eastAsia" w:hAnsi="宋体" w:eastAsia="宋体" w:cs="宋体"/>
          <w:color w:val="auto"/>
          <w:sz w:val="21"/>
          <w:highlight w:val="none"/>
        </w:rPr>
        <w:t>附件：工程监理廉政责任书</w:t>
      </w:r>
    </w:p>
    <w:p w14:paraId="06AB015A">
      <w:pPr>
        <w:snapToGrid w:val="0"/>
        <w:jc w:val="center"/>
        <w:rPr>
          <w:rFonts w:hAnsi="宋体" w:eastAsia="宋体" w:cs="宋体"/>
          <w:b/>
          <w:color w:val="auto"/>
          <w:sz w:val="21"/>
          <w:highlight w:val="none"/>
        </w:rPr>
      </w:pPr>
      <w:r>
        <w:rPr>
          <w:rFonts w:hint="eastAsia" w:hAnsi="宋体" w:eastAsia="宋体" w:cs="宋体"/>
          <w:b/>
          <w:color w:val="auto"/>
          <w:sz w:val="21"/>
          <w:highlight w:val="none"/>
        </w:rPr>
        <w:t>工程建设项目廉政责任书</w:t>
      </w:r>
    </w:p>
    <w:p w14:paraId="269FD679">
      <w:pPr>
        <w:spacing w:line="500" w:lineRule="exact"/>
        <w:ind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工程项目名称：</w:t>
      </w:r>
    </w:p>
    <w:p w14:paraId="0BD3C0FA">
      <w:pPr>
        <w:spacing w:line="500" w:lineRule="exact"/>
        <w:ind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工程项目地址：</w:t>
      </w:r>
    </w:p>
    <w:p w14:paraId="61BC7088">
      <w:pPr>
        <w:spacing w:line="500" w:lineRule="exact"/>
        <w:ind w:right="-143" w:rightChars="-51"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建设单位（甲方）：</w:t>
      </w:r>
      <w:r>
        <w:rPr>
          <w:rFonts w:hint="eastAsia" w:hAnsi="宋体" w:eastAsia="宋体" w:cs="宋体"/>
          <w:color w:val="auto"/>
          <w:sz w:val="21"/>
          <w:highlight w:val="none"/>
          <w:u w:val="single"/>
        </w:rPr>
        <w:t>宁波高新区公共项目建设中心</w:t>
      </w:r>
    </w:p>
    <w:p w14:paraId="7E860F09">
      <w:pPr>
        <w:spacing w:line="500" w:lineRule="exact"/>
        <w:ind w:firstLine="420" w:firstLineChars="200"/>
        <w:rPr>
          <w:rFonts w:hAnsi="宋体" w:eastAsia="宋体" w:cs="宋体"/>
          <w:color w:val="auto"/>
          <w:sz w:val="21"/>
          <w:highlight w:val="none"/>
          <w:u w:val="single"/>
        </w:rPr>
      </w:pPr>
      <w:r>
        <w:rPr>
          <w:rFonts w:hint="eastAsia" w:hAnsi="宋体" w:eastAsia="宋体" w:cs="宋体"/>
          <w:color w:val="auto"/>
          <w:sz w:val="21"/>
          <w:highlight w:val="none"/>
        </w:rPr>
        <w:t>承包单位（乙方）：</w:t>
      </w:r>
    </w:p>
    <w:p w14:paraId="7A1D4577">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为加强工程建设中的廉政建设，规范工程建设项目委托与被委托双方的各项活动，防止发生各种谋取不正当利益的违法违纪行为，保护国家、集体和当事人的合法权益，根据国家有关工程建设的法律法规和廉政建设责任制规定，特订立本廉政责任书。</w:t>
      </w:r>
    </w:p>
    <w:p w14:paraId="5DA73E3B">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第一条  甲乙双方的责任</w:t>
      </w:r>
    </w:p>
    <w:p w14:paraId="534FC147">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（一）应严格遵守国家关于市场准入、项目招标投标、工程建设、施工安装、建设监理、勘察设计和市场活动的有关法律、法规，相关政策，以及廉政建设的各项规定。</w:t>
      </w:r>
    </w:p>
    <w:p w14:paraId="458611D0">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（二）严格执行建设工程项目合同文件，自觉按合同办事。</w:t>
      </w:r>
    </w:p>
    <w:p w14:paraId="7B0E9FE4">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三）业务活动必须坚持公开、公平、公正、诚信、透明的原则（除法律法规另有规定者外），不得为获取不正当的利益，损害国家、集体和对方利益，不得违反工程建设管理、施工安装、建设监理和勘察设计的规章制度。</w:t>
      </w:r>
    </w:p>
    <w:p w14:paraId="4FC78E50">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（四）发现对方在业务活动中有违规、违纪、违法行为的，应及时提醒对方，情节严重的，应向其上级主管部门或纪检监察、司法等有关机关举报。</w:t>
      </w:r>
    </w:p>
    <w:p w14:paraId="2DFD81D0">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（五）严格遵守宁波市机关干部“正风肃纪”十项规定。</w:t>
      </w:r>
    </w:p>
    <w:p w14:paraId="26E4989C">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第二条  甲方的责任</w:t>
      </w:r>
    </w:p>
    <w:p w14:paraId="0AAB624A">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甲方的领导和从事该建设工程项目的工作人员在工程建设的事前、事中、事后应遵守以下规定：</w:t>
      </w:r>
    </w:p>
    <w:p w14:paraId="3A690760">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（一）不准向乙方和相关单位索要或接受回扣、礼金、有价证券、贵重物品和好处费、感谢费等。</w:t>
      </w:r>
    </w:p>
    <w:p w14:paraId="295810C3">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（二）不准在乙方和相关单位报销任何应由甲方或个人支付的费用。</w:t>
      </w:r>
    </w:p>
    <w:p w14:paraId="1D5F49B2">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（三）不准要求、暗示和接受乙方和相关单位为个人装修住房、婚丧嫁娶、配偶子女的工作安排以及出国（境）、旅游等提供方便。</w:t>
      </w:r>
    </w:p>
    <w:p w14:paraId="00869A54">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（四）不准参加有可能影响公正执行公务的乙方和相关单位的宴请、健身、娱乐等活动。</w:t>
      </w:r>
    </w:p>
    <w:p w14:paraId="3A25F5E1">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五）不准向乙方和相关单位介绍或为配偶、子女、亲属参与同甲方工程项目合同有关的分包项目等活动。不准向乙方和相关单位介绍或为配偶、子女、亲属参与同项目合同有关的设备、材料、工程分包、劳务、监理、勘察设计等经济活动。不得以任何理由向乙方和相关单位推荐分包单位和要求购买与项目工程合同规定以外的材料、设备等。</w:t>
      </w:r>
    </w:p>
    <w:p w14:paraId="1CB93794">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第三条  乙方的责任</w:t>
      </w:r>
    </w:p>
    <w:p w14:paraId="190ED877">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应与甲方和相关单位保持正常的业务交往，按照有关法律法规和程序开展业务工作，严格执行工程建设的有关方针、政策，尤其是有关勘察设计、监理、施工安装的强制性标准和规范，认真履行职责，并遵守以下规定：</w:t>
      </w:r>
    </w:p>
    <w:p w14:paraId="23945283">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（一）不准以任何理由向甲方和相关单位及其工作人员索要、接受或赠送礼金、有价证券、贵重物品及回扣、好处费、感谢费等。</w:t>
      </w:r>
    </w:p>
    <w:p w14:paraId="154A1039">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（二）不准以任何理由为甲方和相关单位报销应由对方或个人支付的费用。</w:t>
      </w:r>
    </w:p>
    <w:p w14:paraId="79ACDE5D">
      <w:pPr>
        <w:pStyle w:val="30"/>
        <w:spacing w:line="500" w:lineRule="exact"/>
        <w:ind w:left="0" w:leftChars="0" w:firstLine="420" w:firstLineChars="200"/>
        <w:rPr>
          <w:rFonts w:hAnsi="宋体" w:eastAsia="宋体" w:cs="宋体"/>
          <w:color w:val="auto"/>
          <w:sz w:val="21"/>
          <w:highlight w:val="none"/>
        </w:rPr>
      </w:pPr>
      <w:r>
        <w:rPr>
          <w:rFonts w:hint="eastAsia" w:hAnsi="宋体" w:eastAsia="宋体" w:cs="宋体"/>
          <w:color w:val="auto"/>
          <w:sz w:val="21"/>
          <w:highlight w:val="none"/>
        </w:rPr>
        <w:t>（三）不准接受或暗示为甲方、相关单位或个人装修住房、婚丧嫁娶、配偶子女的工作安排以及出国（境）、旅游等提供方便。</w:t>
      </w:r>
    </w:p>
    <w:p w14:paraId="132C2AAC">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（四）不准违反合同约定而使用甲方、相关单位提供的通信、交通工具和高档办公用品。</w:t>
      </w:r>
    </w:p>
    <w:p w14:paraId="077E37DF">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（五）不准以任何理由为甲方、相关单位或个人组织有可能影响公正执行公务的宴请、健身、娱乐等活动。</w:t>
      </w:r>
    </w:p>
    <w:p w14:paraId="0BCF2942">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第四条  违约责任</w:t>
      </w:r>
    </w:p>
    <w:p w14:paraId="76974513">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1DF619E8">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5734634C">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第五条  本责任书作为工程建设项目合同的附件，与工程建设项目合同具有同等法律效力。经双方签署后立即生效。</w:t>
      </w:r>
    </w:p>
    <w:p w14:paraId="04A23C9D">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第六条  本责任书的有效期为双方签署之日起至该工程项目竣工验收合格时止。</w:t>
      </w:r>
    </w:p>
    <w:p w14:paraId="1E4421CB">
      <w:pPr>
        <w:spacing w:line="500" w:lineRule="exact"/>
        <w:ind w:right="-143" w:rightChars="-51" w:firstLine="420" w:firstLineChars="200"/>
        <w:rPr>
          <w:rFonts w:hAnsi="宋体" w:eastAsia="宋体" w:cs="宋体"/>
          <w:color w:val="auto"/>
          <w:sz w:val="21"/>
          <w:highlight w:val="none"/>
        </w:rPr>
      </w:pPr>
      <w:r>
        <w:rPr>
          <w:rFonts w:hint="eastAsia" w:hAnsi="宋体" w:eastAsia="宋体" w:cs="宋体"/>
          <w:color w:val="auto"/>
          <w:sz w:val="21"/>
          <w:highlight w:val="none"/>
        </w:rPr>
        <w:t>第七条  本责任书一式壹拾份，甲方执陆份，乙方执贰份，送交甲乙双方的监督单位各一份。</w:t>
      </w:r>
    </w:p>
    <w:p w14:paraId="0C2C6E38">
      <w:pPr>
        <w:ind w:right="-143" w:rightChars="-51" w:firstLine="420" w:firstLineChars="200"/>
        <w:rPr>
          <w:rFonts w:hAnsi="宋体" w:eastAsia="宋体" w:cs="宋体"/>
          <w:color w:val="auto"/>
          <w:sz w:val="21"/>
          <w:highlight w:val="none"/>
        </w:rPr>
      </w:pPr>
      <w:r>
        <w:rPr>
          <w:rFonts w:hint="eastAsia" w:hAnsi="宋体" w:eastAsia="宋体" w:cs="宋体"/>
          <w:color w:val="auto"/>
          <w:sz w:val="21"/>
          <w:highlight w:val="none"/>
        </w:rPr>
        <w:t xml:space="preserve">甲方单位（盖章）：                   乙方单位（盖章）： </w:t>
      </w:r>
    </w:p>
    <w:p w14:paraId="5A572F09">
      <w:pPr>
        <w:ind w:right="-143" w:rightChars="-51" w:firstLine="420" w:firstLineChars="200"/>
        <w:rPr>
          <w:rFonts w:hAnsi="宋体" w:eastAsia="宋体" w:cs="宋体"/>
          <w:color w:val="auto"/>
          <w:sz w:val="21"/>
          <w:highlight w:val="none"/>
        </w:rPr>
      </w:pPr>
      <w:r>
        <w:rPr>
          <w:rFonts w:hint="eastAsia" w:hAnsi="宋体" w:eastAsia="宋体" w:cs="宋体"/>
          <w:color w:val="auto"/>
          <w:sz w:val="21"/>
          <w:highlight w:val="none"/>
        </w:rPr>
        <w:t>法定代表人：                        法定代表人：</w:t>
      </w:r>
    </w:p>
    <w:p w14:paraId="028CFF76">
      <w:pPr>
        <w:ind w:right="-143" w:rightChars="-51" w:firstLine="420" w:firstLineChars="200"/>
        <w:rPr>
          <w:rFonts w:hAnsi="宋体" w:eastAsia="宋体" w:cs="宋体"/>
          <w:color w:val="auto"/>
          <w:sz w:val="21"/>
          <w:highlight w:val="none"/>
        </w:rPr>
      </w:pPr>
      <w:r>
        <w:rPr>
          <w:rFonts w:hint="eastAsia" w:hAnsi="宋体" w:eastAsia="宋体" w:cs="宋体"/>
          <w:color w:val="auto"/>
          <w:sz w:val="21"/>
          <w:highlight w:val="none"/>
        </w:rPr>
        <w:t>地     址：                         地     址：</w:t>
      </w:r>
    </w:p>
    <w:p w14:paraId="42DADE53">
      <w:pPr>
        <w:ind w:right="-143" w:rightChars="-51" w:firstLine="420" w:firstLineChars="200"/>
        <w:rPr>
          <w:rFonts w:hAnsi="宋体" w:eastAsia="宋体" w:cs="宋体"/>
          <w:color w:val="auto"/>
          <w:sz w:val="21"/>
          <w:highlight w:val="none"/>
        </w:rPr>
      </w:pPr>
      <w:r>
        <w:rPr>
          <w:rFonts w:hint="eastAsia" w:hAnsi="宋体" w:eastAsia="宋体" w:cs="宋体"/>
          <w:color w:val="auto"/>
          <w:sz w:val="21"/>
          <w:highlight w:val="none"/>
        </w:rPr>
        <w:t>电     话：                         电     话：</w:t>
      </w:r>
    </w:p>
    <w:p w14:paraId="71B31215">
      <w:pPr>
        <w:ind w:firstLine="420" w:firstLineChars="200"/>
        <w:rPr>
          <w:rFonts w:hAnsi="宋体" w:eastAsia="宋体" w:cs="宋体"/>
          <w:color w:val="auto"/>
          <w:sz w:val="21"/>
          <w:highlight w:val="none"/>
        </w:rPr>
      </w:pPr>
      <w:r>
        <w:rPr>
          <w:rFonts w:hint="eastAsia" w:hAnsi="宋体" w:eastAsia="宋体" w:cs="宋体"/>
          <w:color w:val="auto"/>
          <w:sz w:val="21"/>
          <w:highlight w:val="none"/>
        </w:rPr>
        <w:t>2024年   月   日                    2024年   月   日</w:t>
      </w:r>
    </w:p>
    <w:p w14:paraId="76FCBC2D">
      <w:pPr>
        <w:ind w:firstLine="420" w:firstLineChars="200"/>
        <w:rPr>
          <w:rFonts w:hAnsi="宋体" w:eastAsia="宋体" w:cs="宋体"/>
          <w:color w:val="auto"/>
          <w:sz w:val="21"/>
          <w:highlight w:val="none"/>
        </w:rPr>
      </w:pPr>
    </w:p>
    <w:p w14:paraId="6E5B8051">
      <w:pPr>
        <w:ind w:firstLine="420" w:firstLineChars="200"/>
        <w:rPr>
          <w:rFonts w:hAnsi="宋体" w:eastAsia="宋体" w:cs="宋体"/>
          <w:color w:val="auto"/>
          <w:sz w:val="21"/>
          <w:highlight w:val="none"/>
        </w:rPr>
      </w:pPr>
    </w:p>
    <w:p w14:paraId="6C17AD9F">
      <w:pPr>
        <w:ind w:firstLine="420" w:firstLineChars="200"/>
        <w:rPr>
          <w:rFonts w:hAnsi="宋体" w:eastAsia="宋体" w:cs="宋体"/>
          <w:color w:val="auto"/>
          <w:sz w:val="21"/>
          <w:highlight w:val="none"/>
        </w:rPr>
      </w:pPr>
      <w:r>
        <w:rPr>
          <w:rFonts w:hint="eastAsia" w:hAnsi="宋体" w:eastAsia="宋体" w:cs="宋体"/>
          <w:color w:val="auto"/>
          <w:sz w:val="21"/>
          <w:highlight w:val="none"/>
        </w:rPr>
        <w:t>甲方监督单位（盖章）                乙方监督单位（盖章）</w:t>
      </w:r>
    </w:p>
    <w:p w14:paraId="593C0379">
      <w:pPr>
        <w:spacing w:line="50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2024年   月   日                    2024年   月   日</w:t>
      </w:r>
    </w:p>
    <w:p w14:paraId="7B867EB1">
      <w:pPr>
        <w:widowControl/>
        <w:autoSpaceDE w:val="0"/>
        <w:autoSpaceDN w:val="0"/>
        <w:adjustRightInd/>
        <w:ind w:firstLine="412" w:firstLineChars="200"/>
        <w:rPr>
          <w:rFonts w:hAnsi="宋体" w:eastAsia="宋体" w:cs="宋体"/>
          <w:color w:val="auto"/>
          <w:spacing w:val="-2"/>
          <w:sz w:val="21"/>
          <w:highlight w:val="none"/>
          <w:u w:val="single"/>
        </w:rPr>
      </w:pPr>
    </w:p>
    <w:p w14:paraId="5D6921F2">
      <w:pPr>
        <w:jc w:val="center"/>
        <w:rPr>
          <w:rFonts w:hAnsi="宋体"/>
          <w:b/>
          <w:color w:val="auto"/>
          <w:sz w:val="48"/>
          <w:szCs w:val="48"/>
          <w:highlight w:val="none"/>
        </w:rPr>
      </w:pPr>
    </w:p>
    <w:p w14:paraId="0CA47F8E">
      <w:pPr>
        <w:jc w:val="center"/>
        <w:rPr>
          <w:rFonts w:hAnsi="宋体"/>
          <w:b/>
          <w:color w:val="auto"/>
          <w:sz w:val="48"/>
          <w:szCs w:val="48"/>
          <w:highlight w:val="none"/>
        </w:rPr>
        <w:sectPr>
          <w:footnotePr>
            <w:numFmt w:val="decimalEnclosedCircleChinese"/>
          </w:footnotePr>
          <w:pgSz w:w="11906" w:h="16838"/>
          <w:pgMar w:top="1701" w:right="1134" w:bottom="1304" w:left="1134" w:header="964" w:footer="567" w:gutter="567"/>
          <w:cols w:space="720" w:num="1"/>
          <w:docGrid w:type="lines" w:linePitch="312" w:charSpace="0"/>
        </w:sectPr>
      </w:pPr>
    </w:p>
    <w:bookmarkEnd w:id="84"/>
    <w:bookmarkEnd w:id="85"/>
    <w:bookmarkEnd w:id="86"/>
    <w:bookmarkEnd w:id="87"/>
    <w:bookmarkEnd w:id="88"/>
    <w:bookmarkEnd w:id="89"/>
    <w:p w14:paraId="32C3A5A5">
      <w:pPr>
        <w:pStyle w:val="5"/>
        <w:adjustRightInd/>
        <w:spacing w:before="0" w:after="0" w:line="360" w:lineRule="auto"/>
        <w:jc w:val="center"/>
        <w:textAlignment w:val="auto"/>
        <w:rPr>
          <w:rFonts w:ascii="Times New Roman" w:hAnsi="Times New Roman" w:eastAsia="宋体"/>
          <w:color w:val="auto"/>
          <w:sz w:val="30"/>
          <w:szCs w:val="30"/>
          <w:highlight w:val="none"/>
        </w:rPr>
      </w:pPr>
      <w:bookmarkStart w:id="92" w:name="_Toc28900"/>
      <w:bookmarkStart w:id="93" w:name="_Toc13945"/>
      <w:bookmarkStart w:id="94" w:name="_Toc24506"/>
      <w:bookmarkStart w:id="95" w:name="_Toc24314"/>
      <w:bookmarkStart w:id="96" w:name="_Toc2085"/>
      <w:bookmarkStart w:id="97" w:name="_Toc18216"/>
      <w:bookmarkStart w:id="98" w:name="_Toc12142"/>
      <w:bookmarkStart w:id="99" w:name="_Toc29184"/>
      <w:bookmarkStart w:id="100" w:name="_Toc303512745"/>
      <w:bookmarkStart w:id="101" w:name="_Toc348790040"/>
      <w:bookmarkStart w:id="102" w:name="_Toc26554093"/>
      <w:bookmarkStart w:id="103" w:name="_Toc49090575"/>
      <w:r>
        <w:rPr>
          <w:rFonts w:ascii="Times New Roman" w:hAnsi="Times New Roman" w:eastAsia="宋体"/>
          <w:color w:val="auto"/>
          <w:sz w:val="30"/>
          <w:szCs w:val="30"/>
          <w:highlight w:val="none"/>
        </w:rPr>
        <w:t>第四章 项目需求</w:t>
      </w:r>
      <w:bookmarkEnd w:id="92"/>
      <w:bookmarkEnd w:id="93"/>
      <w:bookmarkEnd w:id="94"/>
      <w:bookmarkEnd w:id="95"/>
      <w:bookmarkEnd w:id="96"/>
      <w:bookmarkEnd w:id="97"/>
      <w:bookmarkEnd w:id="98"/>
      <w:bookmarkEnd w:id="99"/>
    </w:p>
    <w:p w14:paraId="747B576E">
      <w:pPr>
        <w:jc w:val="center"/>
        <w:rPr>
          <w:rFonts w:ascii="Times New Roman" w:hAnsi="Times New Roman" w:eastAsia="宋体"/>
          <w:color w:val="auto"/>
          <w:sz w:val="21"/>
          <w:highlight w:val="none"/>
        </w:rPr>
      </w:pPr>
      <w:bookmarkStart w:id="104" w:name="_Toc27752"/>
      <w:bookmarkStart w:id="105" w:name="_Toc18849"/>
      <w:r>
        <w:rPr>
          <w:rFonts w:ascii="Times New Roman" w:hAnsi="Times New Roman" w:eastAsia="宋体"/>
          <w:b/>
          <w:bCs/>
          <w:color w:val="auto"/>
          <w:sz w:val="21"/>
          <w:highlight w:val="none"/>
        </w:rPr>
        <w:t>前附表</w:t>
      </w:r>
      <w:bookmarkEnd w:id="104"/>
      <w:bookmarkEnd w:id="105"/>
    </w:p>
    <w:tbl>
      <w:tblPr>
        <w:tblStyle w:val="77"/>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759"/>
        <w:gridCol w:w="5384"/>
      </w:tblGrid>
      <w:tr w14:paraId="063A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92" w:type="dxa"/>
            <w:vAlign w:val="center"/>
          </w:tcPr>
          <w:p w14:paraId="2702AF4F">
            <w:pPr>
              <w:jc w:val="center"/>
              <w:rPr>
                <w:rFonts w:ascii="Times New Roman" w:hAnsi="Times New Roman" w:eastAsia="宋体"/>
                <w:b/>
                <w:color w:val="auto"/>
                <w:sz w:val="21"/>
                <w:highlight w:val="none"/>
              </w:rPr>
            </w:pPr>
            <w:r>
              <w:rPr>
                <w:rFonts w:ascii="Times New Roman" w:hAnsi="Times New Roman" w:eastAsia="宋体"/>
                <w:b/>
                <w:color w:val="auto"/>
                <w:sz w:val="21"/>
                <w:highlight w:val="none"/>
              </w:rPr>
              <w:t>序号</w:t>
            </w:r>
          </w:p>
        </w:tc>
        <w:tc>
          <w:tcPr>
            <w:tcW w:w="2759" w:type="dxa"/>
            <w:vAlign w:val="center"/>
          </w:tcPr>
          <w:p w14:paraId="69EF2865">
            <w:pPr>
              <w:jc w:val="center"/>
              <w:rPr>
                <w:rFonts w:ascii="Times New Roman" w:hAnsi="Times New Roman" w:eastAsia="宋体"/>
                <w:b/>
                <w:color w:val="auto"/>
                <w:sz w:val="21"/>
                <w:highlight w:val="none"/>
              </w:rPr>
            </w:pPr>
            <w:r>
              <w:rPr>
                <w:rFonts w:ascii="Times New Roman" w:hAnsi="Times New Roman" w:eastAsia="宋体"/>
                <w:b/>
                <w:color w:val="auto"/>
                <w:sz w:val="21"/>
                <w:highlight w:val="none"/>
              </w:rPr>
              <w:t>项目</w:t>
            </w:r>
          </w:p>
        </w:tc>
        <w:tc>
          <w:tcPr>
            <w:tcW w:w="5384" w:type="dxa"/>
            <w:vAlign w:val="center"/>
          </w:tcPr>
          <w:p w14:paraId="5BC969ED">
            <w:pPr>
              <w:jc w:val="center"/>
              <w:rPr>
                <w:rFonts w:ascii="Times New Roman" w:hAnsi="Times New Roman" w:eastAsia="宋体"/>
                <w:b/>
                <w:color w:val="auto"/>
                <w:sz w:val="21"/>
                <w:highlight w:val="none"/>
              </w:rPr>
            </w:pPr>
            <w:r>
              <w:rPr>
                <w:rFonts w:ascii="Times New Roman" w:hAnsi="Times New Roman" w:eastAsia="宋体"/>
                <w:b/>
                <w:color w:val="auto"/>
                <w:sz w:val="21"/>
                <w:highlight w:val="none"/>
              </w:rPr>
              <w:t>需求内容</w:t>
            </w:r>
          </w:p>
        </w:tc>
      </w:tr>
      <w:tr w14:paraId="049E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5245A4FC">
            <w:pPr>
              <w:spacing w:line="240" w:lineRule="auto"/>
              <w:jc w:val="center"/>
              <w:rPr>
                <w:rFonts w:ascii="Times New Roman" w:hAnsi="Times New Roman" w:eastAsia="宋体"/>
                <w:color w:val="auto"/>
                <w:sz w:val="21"/>
                <w:highlight w:val="none"/>
              </w:rPr>
            </w:pPr>
            <w:r>
              <w:rPr>
                <w:rFonts w:ascii="Times New Roman" w:hAnsi="Times New Roman" w:eastAsia="宋体"/>
                <w:color w:val="auto"/>
                <w:sz w:val="21"/>
                <w:highlight w:val="none"/>
              </w:rPr>
              <w:t>1</w:t>
            </w:r>
          </w:p>
        </w:tc>
        <w:tc>
          <w:tcPr>
            <w:tcW w:w="2759" w:type="dxa"/>
            <w:vAlign w:val="center"/>
          </w:tcPr>
          <w:p w14:paraId="2EC71410">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采购内容</w:t>
            </w:r>
          </w:p>
        </w:tc>
        <w:tc>
          <w:tcPr>
            <w:tcW w:w="5384" w:type="dxa"/>
            <w:vAlign w:val="center"/>
          </w:tcPr>
          <w:p w14:paraId="2A7F1A9A">
            <w:pPr>
              <w:spacing w:line="240" w:lineRule="auto"/>
              <w:rPr>
                <w:rFonts w:ascii="Times New Roman" w:hAnsi="Times New Roman" w:eastAsia="宋体"/>
                <w:color w:val="auto"/>
                <w:sz w:val="21"/>
                <w:highlight w:val="none"/>
              </w:rPr>
            </w:pPr>
            <w:r>
              <w:rPr>
                <w:rFonts w:hint="eastAsia" w:ascii="Times New Roman" w:hAnsi="Times New Roman" w:eastAsia="宋体"/>
                <w:color w:val="auto"/>
                <w:sz w:val="21"/>
                <w:highlight w:val="none"/>
              </w:rPr>
              <w:t>广贤路东段道路及周边公共区域改造项目（监理）</w:t>
            </w:r>
          </w:p>
        </w:tc>
      </w:tr>
      <w:tr w14:paraId="4E2D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1CA9B66B">
            <w:pPr>
              <w:spacing w:line="240" w:lineRule="auto"/>
              <w:jc w:val="center"/>
              <w:rPr>
                <w:rFonts w:ascii="Times New Roman" w:hAnsi="Times New Roman" w:eastAsia="宋体"/>
                <w:color w:val="auto"/>
                <w:sz w:val="21"/>
                <w:highlight w:val="none"/>
              </w:rPr>
            </w:pPr>
            <w:r>
              <w:rPr>
                <w:rFonts w:ascii="Times New Roman" w:hAnsi="Times New Roman" w:eastAsia="宋体"/>
                <w:color w:val="auto"/>
                <w:sz w:val="21"/>
                <w:highlight w:val="none"/>
              </w:rPr>
              <w:t>2</w:t>
            </w:r>
          </w:p>
        </w:tc>
        <w:tc>
          <w:tcPr>
            <w:tcW w:w="2759" w:type="dxa"/>
            <w:vAlign w:val="center"/>
          </w:tcPr>
          <w:p w14:paraId="15E27A27">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单位及数量</w:t>
            </w:r>
          </w:p>
        </w:tc>
        <w:tc>
          <w:tcPr>
            <w:tcW w:w="5384" w:type="dxa"/>
            <w:vAlign w:val="center"/>
          </w:tcPr>
          <w:p w14:paraId="1C7EE5E5">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1项。</w:t>
            </w:r>
          </w:p>
        </w:tc>
      </w:tr>
      <w:tr w14:paraId="3E2E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1D861FA9">
            <w:pPr>
              <w:spacing w:line="240" w:lineRule="auto"/>
              <w:jc w:val="center"/>
              <w:rPr>
                <w:rFonts w:ascii="Times New Roman" w:hAnsi="Times New Roman" w:eastAsia="宋体"/>
                <w:color w:val="auto"/>
                <w:sz w:val="21"/>
                <w:highlight w:val="none"/>
              </w:rPr>
            </w:pPr>
            <w:r>
              <w:rPr>
                <w:rFonts w:ascii="Times New Roman" w:hAnsi="Times New Roman" w:eastAsia="宋体"/>
                <w:color w:val="auto"/>
                <w:sz w:val="21"/>
                <w:highlight w:val="none"/>
              </w:rPr>
              <w:t>3</w:t>
            </w:r>
          </w:p>
        </w:tc>
        <w:tc>
          <w:tcPr>
            <w:tcW w:w="2759" w:type="dxa"/>
            <w:vAlign w:val="center"/>
          </w:tcPr>
          <w:p w14:paraId="7E66F944">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交付或者实施的时间和地点</w:t>
            </w:r>
          </w:p>
        </w:tc>
        <w:tc>
          <w:tcPr>
            <w:tcW w:w="5384" w:type="dxa"/>
            <w:vAlign w:val="center"/>
          </w:tcPr>
          <w:p w14:paraId="5264A4B8">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详见 本章内容。</w:t>
            </w:r>
          </w:p>
        </w:tc>
      </w:tr>
      <w:tr w14:paraId="4C96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544D360B">
            <w:pPr>
              <w:spacing w:line="240" w:lineRule="auto"/>
              <w:jc w:val="center"/>
              <w:rPr>
                <w:rFonts w:ascii="Times New Roman" w:hAnsi="Times New Roman" w:eastAsia="宋体"/>
                <w:color w:val="auto"/>
                <w:sz w:val="21"/>
                <w:highlight w:val="none"/>
              </w:rPr>
            </w:pPr>
            <w:r>
              <w:rPr>
                <w:rFonts w:ascii="Times New Roman" w:hAnsi="Times New Roman" w:eastAsia="宋体"/>
                <w:color w:val="auto"/>
                <w:sz w:val="21"/>
                <w:highlight w:val="none"/>
              </w:rPr>
              <w:t>4</w:t>
            </w:r>
          </w:p>
        </w:tc>
        <w:tc>
          <w:tcPr>
            <w:tcW w:w="2759" w:type="dxa"/>
            <w:vAlign w:val="center"/>
          </w:tcPr>
          <w:p w14:paraId="5E5D8823">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需实现的功能或者目标</w:t>
            </w:r>
          </w:p>
        </w:tc>
        <w:tc>
          <w:tcPr>
            <w:tcW w:w="5384" w:type="dxa"/>
            <w:vAlign w:val="center"/>
          </w:tcPr>
          <w:p w14:paraId="2131840D">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详见 本章内容。</w:t>
            </w:r>
          </w:p>
        </w:tc>
      </w:tr>
      <w:tr w14:paraId="3585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65E75DF5">
            <w:pPr>
              <w:jc w:val="center"/>
              <w:rPr>
                <w:rFonts w:ascii="Times New Roman" w:hAnsi="Times New Roman" w:eastAsia="宋体"/>
                <w:color w:val="auto"/>
                <w:sz w:val="21"/>
                <w:highlight w:val="none"/>
              </w:rPr>
            </w:pPr>
            <w:r>
              <w:rPr>
                <w:rFonts w:ascii="Times New Roman" w:hAnsi="Times New Roman" w:eastAsia="宋体"/>
                <w:color w:val="auto"/>
                <w:sz w:val="21"/>
                <w:highlight w:val="none"/>
              </w:rPr>
              <w:t>5</w:t>
            </w:r>
          </w:p>
        </w:tc>
        <w:tc>
          <w:tcPr>
            <w:tcW w:w="2759" w:type="dxa"/>
            <w:vAlign w:val="center"/>
          </w:tcPr>
          <w:p w14:paraId="311F0749">
            <w:pPr>
              <w:rPr>
                <w:rFonts w:ascii="Times New Roman" w:hAnsi="Times New Roman" w:eastAsia="宋体"/>
                <w:color w:val="auto"/>
                <w:sz w:val="21"/>
                <w:highlight w:val="none"/>
              </w:rPr>
            </w:pPr>
            <w:r>
              <w:rPr>
                <w:rFonts w:ascii="Times New Roman" w:hAnsi="Times New Roman" w:eastAsia="宋体"/>
                <w:color w:val="auto"/>
                <w:sz w:val="21"/>
                <w:highlight w:val="none"/>
              </w:rPr>
              <w:t>执行的国家相关标准、行业标准、地方标准或者其它标准、规范</w:t>
            </w:r>
          </w:p>
        </w:tc>
        <w:tc>
          <w:tcPr>
            <w:tcW w:w="5384" w:type="dxa"/>
            <w:vAlign w:val="center"/>
          </w:tcPr>
          <w:p w14:paraId="1F3773B5">
            <w:pPr>
              <w:rPr>
                <w:rFonts w:ascii="Times New Roman" w:hAnsi="Times New Roman" w:eastAsia="宋体"/>
                <w:color w:val="auto"/>
                <w:sz w:val="21"/>
                <w:highlight w:val="none"/>
              </w:rPr>
            </w:pPr>
            <w:r>
              <w:rPr>
                <w:rFonts w:ascii="Times New Roman" w:hAnsi="Times New Roman" w:eastAsia="宋体"/>
                <w:color w:val="auto"/>
                <w:sz w:val="21"/>
                <w:highlight w:val="none"/>
              </w:rPr>
              <w:t>国家相关标准、行业标准、地方标准或者其他标准规范。</w:t>
            </w:r>
          </w:p>
        </w:tc>
      </w:tr>
      <w:tr w14:paraId="275C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474C7B53">
            <w:pPr>
              <w:jc w:val="center"/>
              <w:rPr>
                <w:rFonts w:ascii="Times New Roman" w:hAnsi="Times New Roman" w:eastAsia="宋体"/>
                <w:color w:val="auto"/>
                <w:sz w:val="21"/>
                <w:highlight w:val="none"/>
              </w:rPr>
            </w:pPr>
            <w:r>
              <w:rPr>
                <w:rFonts w:ascii="Times New Roman" w:hAnsi="Times New Roman" w:eastAsia="宋体"/>
                <w:color w:val="auto"/>
                <w:sz w:val="21"/>
                <w:highlight w:val="none"/>
              </w:rPr>
              <w:t>6</w:t>
            </w:r>
          </w:p>
        </w:tc>
        <w:tc>
          <w:tcPr>
            <w:tcW w:w="2759" w:type="dxa"/>
            <w:vAlign w:val="center"/>
          </w:tcPr>
          <w:p w14:paraId="381F1EA3">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技术规格（服务）要求</w:t>
            </w:r>
          </w:p>
        </w:tc>
        <w:tc>
          <w:tcPr>
            <w:tcW w:w="5384" w:type="dxa"/>
            <w:vAlign w:val="center"/>
          </w:tcPr>
          <w:p w14:paraId="6DA0C26E">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详见 本章内容。</w:t>
            </w:r>
          </w:p>
        </w:tc>
      </w:tr>
      <w:tr w14:paraId="097F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7D374160">
            <w:pPr>
              <w:jc w:val="center"/>
              <w:rPr>
                <w:rFonts w:ascii="Times New Roman" w:hAnsi="Times New Roman" w:eastAsia="宋体"/>
                <w:color w:val="auto"/>
                <w:sz w:val="21"/>
                <w:highlight w:val="none"/>
              </w:rPr>
            </w:pPr>
            <w:r>
              <w:rPr>
                <w:rFonts w:ascii="Times New Roman" w:hAnsi="Times New Roman" w:eastAsia="宋体"/>
                <w:color w:val="auto"/>
                <w:sz w:val="21"/>
                <w:highlight w:val="none"/>
              </w:rPr>
              <w:t>7</w:t>
            </w:r>
          </w:p>
        </w:tc>
        <w:tc>
          <w:tcPr>
            <w:tcW w:w="2759" w:type="dxa"/>
            <w:vAlign w:val="center"/>
          </w:tcPr>
          <w:p w14:paraId="03570661">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物理特性要求</w:t>
            </w:r>
          </w:p>
        </w:tc>
        <w:tc>
          <w:tcPr>
            <w:tcW w:w="5384" w:type="dxa"/>
            <w:vAlign w:val="center"/>
          </w:tcPr>
          <w:p w14:paraId="325D4FE9">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w:t>
            </w:r>
          </w:p>
        </w:tc>
      </w:tr>
      <w:tr w14:paraId="4E3C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542DB9FF">
            <w:pPr>
              <w:jc w:val="center"/>
              <w:rPr>
                <w:rFonts w:ascii="Times New Roman" w:hAnsi="Times New Roman" w:eastAsia="宋体"/>
                <w:color w:val="auto"/>
                <w:sz w:val="21"/>
                <w:highlight w:val="none"/>
              </w:rPr>
            </w:pPr>
            <w:r>
              <w:rPr>
                <w:rFonts w:ascii="Times New Roman" w:hAnsi="Times New Roman" w:eastAsia="宋体"/>
                <w:color w:val="auto"/>
                <w:sz w:val="21"/>
                <w:highlight w:val="none"/>
              </w:rPr>
              <w:t>8</w:t>
            </w:r>
          </w:p>
        </w:tc>
        <w:tc>
          <w:tcPr>
            <w:tcW w:w="2759" w:type="dxa"/>
            <w:vAlign w:val="center"/>
          </w:tcPr>
          <w:p w14:paraId="3D068F8C">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质量、安全要求</w:t>
            </w:r>
          </w:p>
        </w:tc>
        <w:tc>
          <w:tcPr>
            <w:tcW w:w="5384" w:type="dxa"/>
            <w:vAlign w:val="center"/>
          </w:tcPr>
          <w:p w14:paraId="4511B34E">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w:t>
            </w:r>
          </w:p>
        </w:tc>
      </w:tr>
      <w:tr w14:paraId="5A9C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3C388754">
            <w:pPr>
              <w:jc w:val="center"/>
              <w:rPr>
                <w:rFonts w:ascii="Times New Roman" w:hAnsi="Times New Roman" w:eastAsia="宋体"/>
                <w:color w:val="auto"/>
                <w:sz w:val="21"/>
                <w:highlight w:val="none"/>
              </w:rPr>
            </w:pPr>
            <w:r>
              <w:rPr>
                <w:rFonts w:ascii="Times New Roman" w:hAnsi="Times New Roman" w:eastAsia="宋体"/>
                <w:color w:val="auto"/>
                <w:sz w:val="21"/>
                <w:highlight w:val="none"/>
              </w:rPr>
              <w:t>9</w:t>
            </w:r>
          </w:p>
        </w:tc>
        <w:tc>
          <w:tcPr>
            <w:tcW w:w="2759" w:type="dxa"/>
            <w:vAlign w:val="center"/>
          </w:tcPr>
          <w:p w14:paraId="1CD9516E">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服务标准、期限、效率</w:t>
            </w:r>
          </w:p>
        </w:tc>
        <w:tc>
          <w:tcPr>
            <w:tcW w:w="5384" w:type="dxa"/>
            <w:vAlign w:val="center"/>
          </w:tcPr>
          <w:p w14:paraId="5C5965EE">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详见 本章内容。</w:t>
            </w:r>
          </w:p>
        </w:tc>
      </w:tr>
      <w:tr w14:paraId="2EA5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1B3FFAD4">
            <w:pPr>
              <w:jc w:val="center"/>
              <w:rPr>
                <w:rFonts w:ascii="Times New Roman" w:hAnsi="Times New Roman" w:eastAsia="宋体"/>
                <w:color w:val="auto"/>
                <w:sz w:val="21"/>
                <w:highlight w:val="none"/>
              </w:rPr>
            </w:pPr>
            <w:r>
              <w:rPr>
                <w:rFonts w:ascii="Times New Roman" w:hAnsi="Times New Roman" w:eastAsia="宋体"/>
                <w:color w:val="auto"/>
                <w:sz w:val="21"/>
                <w:highlight w:val="none"/>
              </w:rPr>
              <w:t>10</w:t>
            </w:r>
          </w:p>
        </w:tc>
        <w:tc>
          <w:tcPr>
            <w:tcW w:w="2759" w:type="dxa"/>
            <w:vAlign w:val="center"/>
          </w:tcPr>
          <w:p w14:paraId="48D17351">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验收标准</w:t>
            </w:r>
          </w:p>
        </w:tc>
        <w:tc>
          <w:tcPr>
            <w:tcW w:w="5384" w:type="dxa"/>
            <w:vAlign w:val="center"/>
          </w:tcPr>
          <w:p w14:paraId="196E4B0B">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详见 本章内容。</w:t>
            </w:r>
          </w:p>
        </w:tc>
      </w:tr>
      <w:tr w14:paraId="33F9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shd w:val="clear" w:color="auto" w:fill="auto"/>
            <w:vAlign w:val="center"/>
          </w:tcPr>
          <w:p w14:paraId="38FF8CF4">
            <w:pPr>
              <w:jc w:val="center"/>
              <w:rPr>
                <w:rFonts w:ascii="Times New Roman" w:hAnsi="Times New Roman" w:eastAsia="宋体"/>
                <w:color w:val="auto"/>
                <w:sz w:val="21"/>
                <w:highlight w:val="none"/>
              </w:rPr>
            </w:pPr>
            <w:r>
              <w:rPr>
                <w:rFonts w:ascii="Times New Roman" w:hAnsi="Times New Roman" w:eastAsia="宋体"/>
                <w:color w:val="auto"/>
                <w:sz w:val="21"/>
                <w:highlight w:val="none"/>
              </w:rPr>
              <w:t>11</w:t>
            </w:r>
          </w:p>
        </w:tc>
        <w:tc>
          <w:tcPr>
            <w:tcW w:w="2759" w:type="dxa"/>
            <w:shd w:val="clear" w:color="auto" w:fill="auto"/>
            <w:vAlign w:val="center"/>
          </w:tcPr>
          <w:p w14:paraId="69B304DA">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现场踏勘</w:t>
            </w:r>
          </w:p>
        </w:tc>
        <w:tc>
          <w:tcPr>
            <w:tcW w:w="5384" w:type="dxa"/>
            <w:shd w:val="clear" w:color="auto" w:fill="auto"/>
            <w:vAlign w:val="center"/>
          </w:tcPr>
          <w:p w14:paraId="2570AE96">
            <w:pPr>
              <w:rPr>
                <w:rFonts w:ascii="Times New Roman" w:hAnsi="Times New Roman" w:eastAsia="宋体"/>
                <w:color w:val="auto"/>
                <w:sz w:val="21"/>
                <w:highlight w:val="none"/>
              </w:rPr>
            </w:pPr>
            <w:r>
              <w:rPr>
                <w:rFonts w:ascii="Times New Roman" w:hAnsi="Times New Roman" w:eastAsia="宋体"/>
                <w:color w:val="auto"/>
                <w:sz w:val="21"/>
                <w:highlight w:val="none"/>
              </w:rPr>
              <w:t>不组织。</w:t>
            </w:r>
          </w:p>
        </w:tc>
      </w:tr>
    </w:tbl>
    <w:p w14:paraId="3F8461E1">
      <w:pPr>
        <w:pStyle w:val="39"/>
        <w:snapToGrid w:val="0"/>
        <w:spacing w:before="120" w:after="120"/>
        <w:rPr>
          <w:rFonts w:ascii="Times New Roman" w:hAnsi="Times New Roman" w:eastAsia="宋体"/>
          <w:b/>
          <w:bCs/>
          <w:color w:val="auto"/>
          <w:highlight w:val="none"/>
        </w:rPr>
      </w:pPr>
      <w:r>
        <w:rPr>
          <w:rFonts w:ascii="Times New Roman" w:hAnsi="Times New Roman" w:eastAsia="宋体"/>
          <w:b/>
          <w:color w:val="auto"/>
          <w:highlight w:val="none"/>
        </w:rPr>
        <w:br w:type="page"/>
      </w:r>
      <w:bookmarkEnd w:id="100"/>
      <w:bookmarkEnd w:id="101"/>
      <w:bookmarkStart w:id="106" w:name="_Toc120614281"/>
    </w:p>
    <w:p w14:paraId="5B3D9B15">
      <w:pPr>
        <w:adjustRightInd/>
        <w:ind w:firstLine="422" w:firstLineChars="200"/>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一、项目需求</w:t>
      </w:r>
    </w:p>
    <w:p w14:paraId="530D1A17">
      <w:pPr>
        <w:widowControl/>
        <w:ind w:firstLine="422" w:firstLineChars="200"/>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rPr>
        <w:t>1、建设地点</w:t>
      </w:r>
    </w:p>
    <w:p w14:paraId="1AB9B045">
      <w:pPr>
        <w:widowControl/>
        <w:ind w:firstLine="420" w:firstLineChars="200"/>
        <w:rPr>
          <w:rFonts w:ascii="Times New Roman" w:hAnsi="Times New Roman" w:eastAsia="宋体"/>
          <w:color w:val="auto"/>
          <w:sz w:val="21"/>
          <w:highlight w:val="none"/>
        </w:rPr>
      </w:pPr>
      <w:r>
        <w:rPr>
          <w:rFonts w:hint="eastAsia" w:ascii="Times New Roman" w:hAnsi="Times New Roman" w:eastAsia="宋体"/>
          <w:color w:val="auto"/>
          <w:sz w:val="21"/>
          <w:highlight w:val="none"/>
        </w:rPr>
        <w:t>项目位于广贤路东段（东至聚贤路，西至创苑路）、宁波高新区管委会综合大楼、宁波高新区科技广场公园、宁波高新区政务服务中心大楼、宁波高新区文体中心、宁波市公安局高新区分局。</w:t>
      </w:r>
    </w:p>
    <w:p w14:paraId="10A835B6">
      <w:pPr>
        <w:autoSpaceDE w:val="0"/>
        <w:autoSpaceDN w:val="0"/>
        <w:ind w:firstLine="422" w:firstLineChars="200"/>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rPr>
        <w:t>2</w:t>
      </w:r>
      <w:r>
        <w:rPr>
          <w:rFonts w:ascii="Times New Roman" w:hAnsi="Times New Roman" w:eastAsia="宋体"/>
          <w:b/>
          <w:bCs/>
          <w:color w:val="auto"/>
          <w:sz w:val="21"/>
          <w:highlight w:val="none"/>
        </w:rPr>
        <w:t>、建设规模</w:t>
      </w:r>
    </w:p>
    <w:p w14:paraId="66791506">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该项目广贤路东段（聚贤路-创苑路）道路全长约 547 米，拟对现状道路进行提升改造；拟对宁波高新区管委会综合大楼南侧出入口和出入口周边公共区域进行提升改造；拟对宁波高新区科技广场公园地面停车场、景观绿化及其他附属设施提升改造；拟对宁波高新区政务服务中心大楼周围地面停车位、照明系统进行新增和改造；拟对宁波高新区文体中心广场平台铺装进行修复；拟对宁波市公安局高新区分局大楼出入口及部分空间改造。</w:t>
      </w:r>
    </w:p>
    <w:p w14:paraId="76D2032B">
      <w:pPr>
        <w:autoSpaceDE w:val="0"/>
        <w:autoSpaceDN w:val="0"/>
        <w:ind w:firstLine="422" w:firstLineChars="200"/>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rPr>
        <w:t>3、</w:t>
      </w:r>
      <w:r>
        <w:rPr>
          <w:rFonts w:ascii="Times New Roman" w:hAnsi="Times New Roman" w:eastAsia="宋体"/>
          <w:b/>
          <w:bCs/>
          <w:color w:val="auto"/>
          <w:sz w:val="21"/>
          <w:highlight w:val="none"/>
        </w:rPr>
        <w:t>采购范围</w:t>
      </w:r>
    </w:p>
    <w:p w14:paraId="2E25348C">
      <w:pPr>
        <w:pStyle w:val="3"/>
        <w:ind w:firstLine="420" w:firstLineChars="200"/>
        <w:rPr>
          <w:rFonts w:ascii="Times New Roman" w:hAnsi="Times New Roman" w:eastAsia="宋体"/>
          <w:color w:val="auto"/>
          <w:sz w:val="21"/>
          <w:highlight w:val="none"/>
        </w:rPr>
      </w:pPr>
      <w:r>
        <w:rPr>
          <w:rFonts w:hint="eastAsia" w:ascii="Times New Roman" w:hAnsi="Times New Roman" w:eastAsia="宋体"/>
          <w:color w:val="auto"/>
          <w:sz w:val="21"/>
          <w:highlight w:val="none"/>
        </w:rPr>
        <w:t>广贤路东段道路及周边公共区域改造项目</w:t>
      </w:r>
      <w:r>
        <w:rPr>
          <w:rFonts w:ascii="Times New Roman" w:hAnsi="Times New Roman" w:eastAsia="宋体"/>
          <w:color w:val="auto"/>
          <w:sz w:val="21"/>
          <w:highlight w:val="none"/>
        </w:rPr>
        <w:t>所有工程内容全过程和缺陷责任期的监理。</w:t>
      </w:r>
    </w:p>
    <w:p w14:paraId="0BC421DA">
      <w:pPr>
        <w:pStyle w:val="3"/>
        <w:ind w:firstLine="422" w:firstLineChars="200"/>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rPr>
        <w:t>4、</w:t>
      </w:r>
      <w:r>
        <w:rPr>
          <w:rFonts w:ascii="Times New Roman" w:hAnsi="Times New Roman" w:eastAsia="宋体"/>
          <w:b/>
          <w:bCs/>
          <w:color w:val="auto"/>
          <w:sz w:val="21"/>
          <w:highlight w:val="none"/>
        </w:rPr>
        <w:t>服务期限</w:t>
      </w:r>
    </w:p>
    <w:p w14:paraId="76BF988F">
      <w:pPr>
        <w:pStyle w:val="3"/>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自合同签订之日起至本项目质保期满止。项目施工预计开工日期和建设周期：同施工工期要求。</w:t>
      </w:r>
    </w:p>
    <w:p w14:paraId="7041480A">
      <w:pPr>
        <w:pStyle w:val="3"/>
        <w:ind w:firstLine="422" w:firstLineChars="200"/>
        <w:rPr>
          <w:rFonts w:ascii="Times New Roman" w:hAnsi="Times New Roman" w:eastAsia="宋体"/>
          <w:color w:val="auto"/>
          <w:sz w:val="21"/>
          <w:highlight w:val="none"/>
        </w:rPr>
      </w:pPr>
      <w:r>
        <w:rPr>
          <w:rFonts w:hint="eastAsia" w:ascii="Times New Roman" w:hAnsi="Times New Roman" w:eastAsia="宋体"/>
          <w:b/>
          <w:bCs/>
          <w:color w:val="auto"/>
          <w:sz w:val="21"/>
          <w:highlight w:val="none"/>
        </w:rPr>
        <w:t>5、</w:t>
      </w:r>
      <w:r>
        <w:rPr>
          <w:rFonts w:ascii="Times New Roman" w:hAnsi="Times New Roman" w:eastAsia="宋体"/>
          <w:b/>
          <w:bCs/>
          <w:color w:val="auto"/>
          <w:sz w:val="21"/>
          <w:highlight w:val="none"/>
        </w:rPr>
        <w:t>质量要求</w:t>
      </w:r>
      <w:r>
        <w:rPr>
          <w:rFonts w:ascii="Times New Roman" w:hAnsi="Times New Roman" w:eastAsia="宋体"/>
          <w:color w:val="auto"/>
          <w:sz w:val="21"/>
          <w:highlight w:val="none"/>
        </w:rPr>
        <w:t>：同施工质量要求。</w:t>
      </w:r>
    </w:p>
    <w:p w14:paraId="0AC09E45">
      <w:pPr>
        <w:pStyle w:val="3"/>
        <w:ind w:firstLine="422" w:firstLineChars="200"/>
        <w:rPr>
          <w:rFonts w:ascii="Times New Roman" w:hAnsi="Times New Roman" w:eastAsia="宋体"/>
          <w:color w:val="auto"/>
          <w:sz w:val="21"/>
          <w:highlight w:val="none"/>
        </w:rPr>
      </w:pPr>
      <w:r>
        <w:rPr>
          <w:rFonts w:hint="eastAsia" w:ascii="Times New Roman" w:hAnsi="Times New Roman" w:eastAsia="宋体"/>
          <w:b/>
          <w:bCs/>
          <w:color w:val="auto"/>
          <w:sz w:val="21"/>
          <w:highlight w:val="none"/>
        </w:rPr>
        <w:t>6、</w:t>
      </w:r>
      <w:r>
        <w:rPr>
          <w:rFonts w:ascii="Times New Roman" w:hAnsi="Times New Roman" w:eastAsia="宋体"/>
          <w:b/>
          <w:bCs/>
          <w:color w:val="auto"/>
          <w:sz w:val="21"/>
          <w:highlight w:val="none"/>
        </w:rPr>
        <w:t>安全控制目标</w:t>
      </w:r>
      <w:r>
        <w:rPr>
          <w:rFonts w:ascii="Times New Roman" w:hAnsi="Times New Roman" w:eastAsia="宋体"/>
          <w:color w:val="auto"/>
          <w:sz w:val="21"/>
          <w:highlight w:val="none"/>
        </w:rPr>
        <w:t>：同施工安全要求。</w:t>
      </w:r>
    </w:p>
    <w:p w14:paraId="0F8BBDFC">
      <w:pPr>
        <w:pStyle w:val="3"/>
        <w:ind w:firstLine="422" w:firstLineChars="200"/>
        <w:rPr>
          <w:rFonts w:ascii="Times New Roman" w:hAnsi="Times New Roman" w:eastAsia="宋体"/>
          <w:color w:val="auto"/>
          <w:sz w:val="21"/>
          <w:highlight w:val="none"/>
        </w:rPr>
      </w:pPr>
      <w:r>
        <w:rPr>
          <w:rFonts w:hint="eastAsia" w:ascii="Times New Roman" w:hAnsi="Times New Roman" w:eastAsia="宋体"/>
          <w:b/>
          <w:bCs/>
          <w:color w:val="auto"/>
          <w:sz w:val="21"/>
          <w:highlight w:val="none"/>
        </w:rPr>
        <w:t>7、</w:t>
      </w:r>
      <w:r>
        <w:rPr>
          <w:rFonts w:ascii="Times New Roman" w:hAnsi="Times New Roman" w:eastAsia="宋体"/>
          <w:b/>
          <w:bCs/>
          <w:color w:val="auto"/>
          <w:sz w:val="21"/>
          <w:highlight w:val="none"/>
        </w:rPr>
        <w:t>监理的范围和具体内容</w:t>
      </w:r>
    </w:p>
    <w:p w14:paraId="2D1C636F">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（1）监理范围包括：</w:t>
      </w:r>
      <w:r>
        <w:rPr>
          <w:rFonts w:hint="eastAsia" w:hAnsi="宋体" w:eastAsia="宋体" w:cs="宋体"/>
          <w:color w:val="auto"/>
          <w:sz w:val="21"/>
          <w:highlight w:val="none"/>
          <w:u w:val="single"/>
        </w:rPr>
        <w:t>施工图范围内的景观工程、绿化工程、景观排水工程、景观电气工程、</w:t>
      </w:r>
      <w:r>
        <w:rPr>
          <w:rFonts w:hAnsi="宋体" w:eastAsia="宋体" w:cs="宋体"/>
          <w:color w:val="auto"/>
          <w:sz w:val="21"/>
          <w:highlight w:val="none"/>
          <w:u w:val="single"/>
        </w:rPr>
        <w:t>景观给水</w:t>
      </w:r>
      <w:r>
        <w:rPr>
          <w:rFonts w:hint="eastAsia" w:hAnsi="宋体" w:eastAsia="宋体" w:cs="宋体"/>
          <w:color w:val="auto"/>
          <w:sz w:val="21"/>
          <w:highlight w:val="none"/>
          <w:u w:val="single"/>
        </w:rPr>
        <w:t>工程</w:t>
      </w:r>
      <w:r>
        <w:rPr>
          <w:rFonts w:hAnsi="宋体" w:eastAsia="宋体" w:cs="宋体"/>
          <w:color w:val="auto"/>
          <w:sz w:val="21"/>
          <w:highlight w:val="none"/>
          <w:u w:val="single"/>
        </w:rPr>
        <w:t>、房屋建筑与装饰工程、亮化工程、光伏发电、充电桩电气及智能化工程</w:t>
      </w:r>
      <w:r>
        <w:rPr>
          <w:rFonts w:hint="eastAsia" w:hAnsi="宋体" w:eastAsia="宋体" w:cs="宋体"/>
          <w:color w:val="auto"/>
          <w:sz w:val="21"/>
          <w:highlight w:val="none"/>
          <w:u w:val="single"/>
        </w:rPr>
        <w:t>、道路工程、桥梁工程、排水工程、路灯工程、交通设施工程、科技设施工程等施工全过程监理及缺陷责任期监理服务（具体详见施工图及工程量清单）。</w:t>
      </w:r>
    </w:p>
    <w:p w14:paraId="544B0716">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监理工作内容主要是施工全过程监理，包括施工阶段的质量、进度、投资、安全控制，合同管理，信息管理，组织协调和文明施工监控</w:t>
      </w:r>
      <w:r>
        <w:rPr>
          <w:rFonts w:hint="eastAsia" w:ascii="Times New Roman" w:hAnsi="Times New Roman" w:eastAsia="宋体"/>
          <w:color w:val="auto"/>
          <w:sz w:val="21"/>
          <w:highlight w:val="none"/>
        </w:rPr>
        <w:t>。</w:t>
      </w:r>
    </w:p>
    <w:p w14:paraId="50F5939D">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（2）监理工作具体内容包括：</w:t>
      </w:r>
    </w:p>
    <w:p w14:paraId="08711656">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1）熟悉合同文件，了解施工现场；</w:t>
      </w:r>
    </w:p>
    <w:p w14:paraId="74127C42">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2）编制监理规划、监理实施细则；</w:t>
      </w:r>
    </w:p>
    <w:p w14:paraId="661BA603">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3）参与交桩和设计交底工作，审查承包人提交的复测结果；</w:t>
      </w:r>
    </w:p>
    <w:p w14:paraId="46D2157B">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4）督促和检查承包人建立质量保证体系、安全保证体系；</w:t>
      </w:r>
    </w:p>
    <w:p w14:paraId="3E63FA53">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5）按时参加第一次工地监理会议和主持召开常规工地监理会议；</w:t>
      </w:r>
    </w:p>
    <w:p w14:paraId="4FF6C3BE">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6）检查承包人的开工准备工作，审批施工组织设计，签认开工报告，批准单项工程开工报告；</w:t>
      </w:r>
    </w:p>
    <w:p w14:paraId="41687FF7">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7）审核承包人授权的常驻现场代表的资质，以及其他派驻到现场的主要技术、管理人员的资质；审查特种作业人员的上岗证书；</w:t>
      </w:r>
    </w:p>
    <w:p w14:paraId="474056B7">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8）验收承包人的工地试验室，审核其人员资质；</w:t>
      </w:r>
    </w:p>
    <w:p w14:paraId="2829F061">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9）建立监理的试验、检测工作体系，按照规定的频率独立开展监理的试验、检测工作；</w:t>
      </w:r>
    </w:p>
    <w:p w14:paraId="0AE176A6">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10）审批承包人拟用于本工程的原始材料、成套设备的品质以及工艺试验和标准试验；</w:t>
      </w:r>
    </w:p>
    <w:p w14:paraId="5D270873">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11）审查承包人拟用于本工程的机械装备的性能与数量；</w:t>
      </w:r>
    </w:p>
    <w:p w14:paraId="23A8DED1">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12）审批承包人实施工程的专项施工方案及主要方法或工艺，审批承包人提交的各项安全专项方案；加强监督和管理承包人在施工过程中采取的环境保护措施和安全文明施工措施；</w:t>
      </w:r>
    </w:p>
    <w:p w14:paraId="69752A7F">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13）审查分包合同和分包人的资质，控制重要外购成品件或半成品件的质量；</w:t>
      </w:r>
    </w:p>
    <w:p w14:paraId="297783FC">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14）审查承包人提交的总体进度计划，检查和督促承包人实施进度计划、核批承包人的修正计划。</w:t>
      </w:r>
    </w:p>
    <w:p w14:paraId="4899AF11">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15）要求承包人按照合同条件、技术规范和监理程序进行施工，通过旁站、巡视、检测、试验和整体验收等手段全面监督、检查和控制工程质量；</w:t>
      </w:r>
    </w:p>
    <w:p w14:paraId="43092675">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16）签发中间交工证书；</w:t>
      </w:r>
    </w:p>
    <w:p w14:paraId="67414EF3">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17）调查、处理工程质量缺陷和事故，与设计、承包单位一起提出改进措施和方法，出现重大质量和安全事故时，督促承包人按规定上报有关部门；</w:t>
      </w:r>
    </w:p>
    <w:p w14:paraId="3F5503D0">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18）发布停（复）工令；</w:t>
      </w:r>
    </w:p>
    <w:p w14:paraId="3B68A45B">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19）准确计量已完工程，对工程量的增减做好实测实量，保存好原始凭证，并接受委托人代表检核，审核变更的工程量并签署意见，审核承包人的进度款支付申请报告；</w:t>
      </w:r>
    </w:p>
    <w:p w14:paraId="13713ECE">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20）签认中期支付凭证；</w:t>
      </w:r>
    </w:p>
    <w:p w14:paraId="6EC5B466">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21）发布变更令（重大、重要变更报业主核准）；</w:t>
      </w:r>
    </w:p>
    <w:p w14:paraId="1D65A80C">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22）受理合同事宜，根据合同规定进行评估和处理；</w:t>
      </w:r>
    </w:p>
    <w:p w14:paraId="549B7D83">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23）根据合同规定处理违约事件，协调争端，在仲裁过程中作证；</w:t>
      </w:r>
    </w:p>
    <w:p w14:paraId="76402307">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24）编制监理工作月报；</w:t>
      </w:r>
    </w:p>
    <w:p w14:paraId="1620BFD3">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25）评估承包人的交工申请，主持对拟交工工程的检查和验收；</w:t>
      </w:r>
    </w:p>
    <w:p w14:paraId="5E88173B">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26）签认交工证书，签署监理意见；</w:t>
      </w:r>
    </w:p>
    <w:p w14:paraId="792DC700">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27）督促、检查承包人按工程管理部门和业主的要求编制竣工文件，审核竣工文件及竣工图并签署意见，配合结算审计工作；</w:t>
      </w:r>
    </w:p>
    <w:p w14:paraId="393C244B">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28）编制监理方面的竣工文件；</w:t>
      </w:r>
    </w:p>
    <w:p w14:paraId="7ABAD7CD">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29）配合委托人的竣工验收、工程移交及各种预验工作；</w:t>
      </w:r>
    </w:p>
    <w:p w14:paraId="2BB04449">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30）对承包人的项目负责人及现场管理人员进行考勤</w:t>
      </w:r>
      <w:r>
        <w:rPr>
          <w:rFonts w:hint="eastAsia" w:ascii="Times New Roman" w:hAnsi="Times New Roman" w:eastAsia="宋体"/>
          <w:color w:val="auto"/>
          <w:sz w:val="21"/>
          <w:highlight w:val="none"/>
        </w:rPr>
        <w:t>。</w:t>
      </w:r>
    </w:p>
    <w:p w14:paraId="4C689BF7">
      <w:pPr>
        <w:autoSpaceDE w:val="0"/>
        <w:autoSpaceDN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其他具体监理工作根据《建设工程监理规范》（GB50319-2013） 、《浙江省建设工程监理管理条例》（2001）、《建设工程监理工作标准》（DB33/T1104-2014）、《浙江省建设工程质量管理条例》（2001）及市政、道路、桥梁、园林等方面国家及地方施工验收标准及规范组织实施。</w:t>
      </w:r>
    </w:p>
    <w:p w14:paraId="3D73CB96">
      <w:pPr>
        <w:pStyle w:val="3"/>
        <w:ind w:firstLine="480" w:firstLineChars="200"/>
        <w:rPr>
          <w:rFonts w:ascii="Times New Roman" w:hAnsi="Times New Roman" w:eastAsia="宋体"/>
          <w:b/>
          <w:bCs/>
          <w:color w:val="auto"/>
          <w:sz w:val="21"/>
          <w:highlight w:val="none"/>
        </w:rPr>
      </w:pPr>
      <w:r>
        <w:rPr>
          <w:rFonts w:ascii="Times New Roman" w:hAnsi="Times New Roman" w:eastAsia="宋体"/>
          <w:color w:val="auto"/>
          <w:highlight w:val="none"/>
        </w:rPr>
        <w:t>★</w:t>
      </w:r>
      <w:r>
        <w:rPr>
          <w:rFonts w:hint="eastAsia" w:ascii="Times New Roman" w:hAnsi="Times New Roman" w:eastAsia="宋体"/>
          <w:b/>
          <w:bCs/>
          <w:color w:val="auto"/>
          <w:sz w:val="21"/>
          <w:highlight w:val="none"/>
        </w:rPr>
        <w:t>8、拟投入本项目的监理人员配备表（最低要求）</w:t>
      </w:r>
    </w:p>
    <w:tbl>
      <w:tblPr>
        <w:tblStyle w:val="77"/>
        <w:tblW w:w="97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7"/>
        <w:gridCol w:w="2551"/>
        <w:gridCol w:w="1720"/>
        <w:gridCol w:w="1513"/>
        <w:gridCol w:w="1204"/>
      </w:tblGrid>
      <w:tr w14:paraId="07B4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35" w:type="dxa"/>
            <w:noWrap/>
            <w:vAlign w:val="center"/>
          </w:tcPr>
          <w:p w14:paraId="6D4B5380">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序号</w:t>
            </w:r>
          </w:p>
        </w:tc>
        <w:tc>
          <w:tcPr>
            <w:tcW w:w="1997" w:type="dxa"/>
            <w:noWrap/>
            <w:vAlign w:val="center"/>
          </w:tcPr>
          <w:p w14:paraId="140FAD26">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岗位要求</w:t>
            </w:r>
          </w:p>
        </w:tc>
        <w:tc>
          <w:tcPr>
            <w:tcW w:w="2551" w:type="dxa"/>
            <w:noWrap/>
            <w:vAlign w:val="center"/>
          </w:tcPr>
          <w:p w14:paraId="770AB541">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技术职称或执业资格要求</w:t>
            </w:r>
          </w:p>
        </w:tc>
        <w:tc>
          <w:tcPr>
            <w:tcW w:w="1720" w:type="dxa"/>
            <w:noWrap/>
            <w:vAlign w:val="center"/>
          </w:tcPr>
          <w:p w14:paraId="0094A5DE">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专业要求</w:t>
            </w:r>
          </w:p>
        </w:tc>
        <w:tc>
          <w:tcPr>
            <w:tcW w:w="1513" w:type="dxa"/>
            <w:noWrap/>
            <w:vAlign w:val="center"/>
          </w:tcPr>
          <w:p w14:paraId="31FFB3EF">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数量</w:t>
            </w:r>
          </w:p>
          <w:p w14:paraId="3DACF69D">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要求（人）</w:t>
            </w:r>
          </w:p>
        </w:tc>
        <w:tc>
          <w:tcPr>
            <w:tcW w:w="1204" w:type="dxa"/>
            <w:noWrap/>
            <w:vAlign w:val="center"/>
          </w:tcPr>
          <w:p w14:paraId="329780C8">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备注</w:t>
            </w:r>
          </w:p>
        </w:tc>
      </w:tr>
      <w:tr w14:paraId="5526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35" w:type="dxa"/>
            <w:noWrap/>
            <w:vAlign w:val="center"/>
          </w:tcPr>
          <w:p w14:paraId="554EBDBA">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1</w:t>
            </w:r>
          </w:p>
        </w:tc>
        <w:tc>
          <w:tcPr>
            <w:tcW w:w="1997" w:type="dxa"/>
            <w:noWrap/>
            <w:vAlign w:val="center"/>
          </w:tcPr>
          <w:p w14:paraId="24C03B2A">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总监理工程师</w:t>
            </w:r>
          </w:p>
        </w:tc>
        <w:tc>
          <w:tcPr>
            <w:tcW w:w="2551" w:type="dxa"/>
            <w:noWrap/>
            <w:vAlign w:val="center"/>
          </w:tcPr>
          <w:p w14:paraId="4C79582B">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国家级注册监理工程师</w:t>
            </w:r>
          </w:p>
        </w:tc>
        <w:tc>
          <w:tcPr>
            <w:tcW w:w="1720" w:type="dxa"/>
            <w:noWrap/>
            <w:vAlign w:val="center"/>
          </w:tcPr>
          <w:p w14:paraId="10D7C4C7">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市政公用工程</w:t>
            </w:r>
          </w:p>
        </w:tc>
        <w:tc>
          <w:tcPr>
            <w:tcW w:w="1513" w:type="dxa"/>
            <w:noWrap/>
            <w:vAlign w:val="center"/>
          </w:tcPr>
          <w:p w14:paraId="54972795">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1</w:t>
            </w:r>
          </w:p>
        </w:tc>
        <w:tc>
          <w:tcPr>
            <w:tcW w:w="1204" w:type="dxa"/>
            <w:noWrap/>
            <w:vAlign w:val="center"/>
          </w:tcPr>
          <w:p w14:paraId="502D792C">
            <w:pPr>
              <w:autoSpaceDE w:val="0"/>
              <w:autoSpaceDN w:val="0"/>
              <w:ind w:firstLine="420" w:firstLineChars="200"/>
              <w:jc w:val="center"/>
              <w:rPr>
                <w:rFonts w:ascii="Times New Roman" w:hAnsi="Times New Roman" w:eastAsia="宋体"/>
                <w:color w:val="auto"/>
                <w:sz w:val="21"/>
                <w:highlight w:val="none"/>
              </w:rPr>
            </w:pPr>
          </w:p>
        </w:tc>
      </w:tr>
      <w:tr w14:paraId="29F8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35" w:type="dxa"/>
            <w:noWrap/>
            <w:vAlign w:val="center"/>
          </w:tcPr>
          <w:p w14:paraId="06561083">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2</w:t>
            </w:r>
          </w:p>
        </w:tc>
        <w:tc>
          <w:tcPr>
            <w:tcW w:w="1997" w:type="dxa"/>
            <w:noWrap/>
            <w:vAlign w:val="center"/>
          </w:tcPr>
          <w:p w14:paraId="25510014">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专业监理工程师</w:t>
            </w:r>
          </w:p>
        </w:tc>
        <w:tc>
          <w:tcPr>
            <w:tcW w:w="2551" w:type="dxa"/>
            <w:noWrap/>
            <w:vAlign w:val="center"/>
          </w:tcPr>
          <w:p w14:paraId="0AD0970B">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监理工程师及以上</w:t>
            </w:r>
          </w:p>
        </w:tc>
        <w:tc>
          <w:tcPr>
            <w:tcW w:w="1720" w:type="dxa"/>
            <w:noWrap/>
            <w:vAlign w:val="center"/>
          </w:tcPr>
          <w:p w14:paraId="30FFB8B6">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市政</w:t>
            </w:r>
          </w:p>
        </w:tc>
        <w:tc>
          <w:tcPr>
            <w:tcW w:w="1513" w:type="dxa"/>
            <w:noWrap/>
            <w:vAlign w:val="center"/>
          </w:tcPr>
          <w:p w14:paraId="77E8F7A2">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1</w:t>
            </w:r>
          </w:p>
        </w:tc>
        <w:tc>
          <w:tcPr>
            <w:tcW w:w="1204" w:type="dxa"/>
            <w:noWrap/>
            <w:vAlign w:val="center"/>
          </w:tcPr>
          <w:p w14:paraId="7B28F18C">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主导专业</w:t>
            </w:r>
          </w:p>
        </w:tc>
      </w:tr>
      <w:tr w14:paraId="2789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35" w:type="dxa"/>
            <w:noWrap/>
            <w:vAlign w:val="center"/>
          </w:tcPr>
          <w:p w14:paraId="7C52ADD3">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3</w:t>
            </w:r>
          </w:p>
        </w:tc>
        <w:tc>
          <w:tcPr>
            <w:tcW w:w="1997" w:type="dxa"/>
            <w:noWrap/>
            <w:vAlign w:val="center"/>
          </w:tcPr>
          <w:p w14:paraId="45086730">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监理员</w:t>
            </w:r>
          </w:p>
        </w:tc>
        <w:tc>
          <w:tcPr>
            <w:tcW w:w="2551" w:type="dxa"/>
            <w:noWrap/>
            <w:vAlign w:val="center"/>
          </w:tcPr>
          <w:p w14:paraId="2BBC91E8">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监理员及以上</w:t>
            </w:r>
          </w:p>
        </w:tc>
        <w:tc>
          <w:tcPr>
            <w:tcW w:w="1720" w:type="dxa"/>
            <w:noWrap/>
            <w:vAlign w:val="center"/>
          </w:tcPr>
          <w:p w14:paraId="632620A9">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市政或园林</w:t>
            </w:r>
          </w:p>
        </w:tc>
        <w:tc>
          <w:tcPr>
            <w:tcW w:w="1513" w:type="dxa"/>
            <w:noWrap/>
            <w:vAlign w:val="center"/>
          </w:tcPr>
          <w:p w14:paraId="53042EF4">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1</w:t>
            </w:r>
          </w:p>
        </w:tc>
        <w:tc>
          <w:tcPr>
            <w:tcW w:w="1204" w:type="dxa"/>
            <w:noWrap/>
            <w:vAlign w:val="center"/>
          </w:tcPr>
          <w:p w14:paraId="11F8100B">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主导专业</w:t>
            </w:r>
          </w:p>
        </w:tc>
      </w:tr>
    </w:tbl>
    <w:p w14:paraId="0E99E67B">
      <w:pPr>
        <w:pStyle w:val="3"/>
        <w:ind w:firstLine="211" w:firstLineChars="100"/>
        <w:rPr>
          <w:color w:val="auto"/>
          <w:highlight w:val="none"/>
        </w:rPr>
        <w:sectPr>
          <w:footnotePr>
            <w:numFmt w:val="decimalEnclosedCircleChinese"/>
          </w:footnotePr>
          <w:pgSz w:w="11906" w:h="16838"/>
          <w:pgMar w:top="1701" w:right="1134" w:bottom="1304" w:left="1134" w:header="850" w:footer="340" w:gutter="567"/>
          <w:cols w:space="720" w:num="1"/>
          <w:docGrid w:type="lines" w:linePitch="312" w:charSpace="0"/>
        </w:sectPr>
      </w:pPr>
      <w:r>
        <w:rPr>
          <w:rFonts w:hint="eastAsia" w:ascii="Times New Roman" w:hAnsi="Times New Roman" w:eastAsia="宋体"/>
          <w:b/>
          <w:bCs/>
          <w:color w:val="auto"/>
          <w:sz w:val="21"/>
          <w:highlight w:val="none"/>
        </w:rPr>
        <w:t>注：响应文件中提供证书复印件及开标前三个月任意一个月的社保缴纳证明材料。</w:t>
      </w:r>
    </w:p>
    <w:p w14:paraId="5DFD6E77">
      <w:pPr>
        <w:pStyle w:val="140"/>
        <w:rPr>
          <w:color w:val="auto"/>
          <w:highlight w:val="none"/>
        </w:rPr>
      </w:pPr>
    </w:p>
    <w:p w14:paraId="7E94EC9C">
      <w:pPr>
        <w:autoSpaceDE w:val="0"/>
        <w:autoSpaceDN w:val="0"/>
        <w:ind w:firstLine="422" w:firstLineChars="200"/>
        <w:rPr>
          <w:rFonts w:ascii="Times New Roman" w:hAnsi="Times New Roman" w:eastAsia="宋体"/>
          <w:color w:val="auto"/>
          <w:sz w:val="21"/>
          <w:highlight w:val="none"/>
        </w:rPr>
      </w:pPr>
      <w:r>
        <w:rPr>
          <w:rFonts w:ascii="Times New Roman" w:hAnsi="Times New Roman" w:eastAsia="宋体"/>
          <w:b/>
          <w:bCs/>
          <w:color w:val="auto"/>
          <w:sz w:val="21"/>
          <w:highlight w:val="none"/>
        </w:rPr>
        <w:t>二、商务要求表</w:t>
      </w:r>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16"/>
        <w:gridCol w:w="5798"/>
      </w:tblGrid>
      <w:tr w14:paraId="309D6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16" w:type="dxa"/>
            <w:tcBorders>
              <w:top w:val="single" w:color="auto" w:sz="4" w:space="0"/>
              <w:left w:val="single" w:color="auto" w:sz="4" w:space="0"/>
              <w:bottom w:val="single" w:color="auto" w:sz="4" w:space="0"/>
              <w:right w:val="single" w:color="auto" w:sz="4" w:space="0"/>
            </w:tcBorders>
            <w:noWrap/>
            <w:vAlign w:val="center"/>
          </w:tcPr>
          <w:p w14:paraId="43DA98DC">
            <w:pPr>
              <w:adjustRightInd/>
              <w:spacing w:line="400" w:lineRule="exact"/>
              <w:jc w:val="center"/>
              <w:textAlignment w:val="auto"/>
              <w:rPr>
                <w:rFonts w:ascii="Times New Roman" w:hAnsi="Times New Roman" w:eastAsia="宋体"/>
                <w:b/>
                <w:bCs/>
                <w:color w:val="auto"/>
                <w:kern w:val="2"/>
                <w:sz w:val="21"/>
                <w:highlight w:val="none"/>
              </w:rPr>
            </w:pPr>
            <w:bookmarkStart w:id="107" w:name="_Toc513103337"/>
            <w:r>
              <w:rPr>
                <w:rFonts w:ascii="Times New Roman" w:hAnsi="Times New Roman" w:eastAsia="宋体"/>
                <w:b/>
                <w:bCs/>
                <w:color w:val="auto"/>
                <w:kern w:val="2"/>
                <w:sz w:val="21"/>
                <w:highlight w:val="none"/>
              </w:rPr>
              <w:t>项目</w:t>
            </w:r>
          </w:p>
        </w:tc>
        <w:tc>
          <w:tcPr>
            <w:tcW w:w="5798" w:type="dxa"/>
            <w:tcBorders>
              <w:top w:val="single" w:color="auto" w:sz="4" w:space="0"/>
              <w:left w:val="single" w:color="auto" w:sz="4" w:space="0"/>
              <w:bottom w:val="single" w:color="auto" w:sz="4" w:space="0"/>
              <w:right w:val="single" w:color="auto" w:sz="4" w:space="0"/>
            </w:tcBorders>
            <w:noWrap/>
            <w:vAlign w:val="center"/>
          </w:tcPr>
          <w:p w14:paraId="2309E8AA">
            <w:pPr>
              <w:adjustRightInd/>
              <w:spacing w:line="400" w:lineRule="exact"/>
              <w:jc w:val="center"/>
              <w:textAlignment w:val="auto"/>
              <w:rPr>
                <w:rFonts w:ascii="Times New Roman" w:hAnsi="Times New Roman" w:eastAsia="宋体"/>
                <w:b/>
                <w:bCs/>
                <w:color w:val="auto"/>
                <w:kern w:val="2"/>
                <w:sz w:val="21"/>
                <w:highlight w:val="none"/>
              </w:rPr>
            </w:pPr>
            <w:r>
              <w:rPr>
                <w:rFonts w:ascii="Times New Roman" w:hAnsi="Times New Roman" w:eastAsia="宋体"/>
                <w:b/>
                <w:bCs/>
                <w:color w:val="auto"/>
                <w:kern w:val="2"/>
                <w:sz w:val="21"/>
                <w:highlight w:val="none"/>
              </w:rPr>
              <w:t>要求</w:t>
            </w:r>
          </w:p>
        </w:tc>
      </w:tr>
      <w:tr w14:paraId="472CA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916" w:type="dxa"/>
            <w:tcBorders>
              <w:top w:val="single" w:color="auto" w:sz="4" w:space="0"/>
              <w:left w:val="single" w:color="auto" w:sz="4" w:space="0"/>
              <w:bottom w:val="single" w:color="auto" w:sz="4" w:space="0"/>
              <w:right w:val="single" w:color="auto" w:sz="4" w:space="0"/>
            </w:tcBorders>
            <w:noWrap/>
            <w:vAlign w:val="center"/>
          </w:tcPr>
          <w:p w14:paraId="0A943D83">
            <w:pPr>
              <w:adjustRightInd/>
              <w:spacing w:line="400" w:lineRule="exact"/>
              <w:jc w:val="left"/>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1、合同履约期限</w:t>
            </w:r>
          </w:p>
        </w:tc>
        <w:tc>
          <w:tcPr>
            <w:tcW w:w="5798" w:type="dxa"/>
            <w:tcBorders>
              <w:top w:val="single" w:color="auto" w:sz="4" w:space="0"/>
              <w:left w:val="single" w:color="auto" w:sz="4" w:space="0"/>
              <w:bottom w:val="single" w:color="auto" w:sz="4" w:space="0"/>
              <w:right w:val="single" w:color="auto" w:sz="4" w:space="0"/>
            </w:tcBorders>
            <w:noWrap/>
            <w:vAlign w:val="center"/>
          </w:tcPr>
          <w:p w14:paraId="4DBCAD5E">
            <w:pPr>
              <w:adjustRightInd/>
              <w:spacing w:line="400" w:lineRule="exact"/>
              <w:jc w:val="left"/>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详见第一章 竞争性磋商公告。</w:t>
            </w:r>
          </w:p>
        </w:tc>
      </w:tr>
      <w:tr w14:paraId="69FE8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16" w:type="dxa"/>
            <w:tcBorders>
              <w:top w:val="single" w:color="auto" w:sz="4" w:space="0"/>
              <w:left w:val="single" w:color="auto" w:sz="4" w:space="0"/>
              <w:bottom w:val="single" w:color="auto" w:sz="4" w:space="0"/>
              <w:right w:val="single" w:color="auto" w:sz="4" w:space="0"/>
            </w:tcBorders>
            <w:noWrap/>
            <w:vAlign w:val="center"/>
          </w:tcPr>
          <w:p w14:paraId="24872F20">
            <w:pPr>
              <w:adjustRightInd/>
              <w:spacing w:line="400" w:lineRule="exact"/>
              <w:jc w:val="left"/>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2、付款方式</w:t>
            </w:r>
          </w:p>
        </w:tc>
        <w:tc>
          <w:tcPr>
            <w:tcW w:w="5798" w:type="dxa"/>
            <w:tcBorders>
              <w:top w:val="single" w:color="auto" w:sz="4" w:space="0"/>
              <w:left w:val="single" w:color="auto" w:sz="4" w:space="0"/>
              <w:bottom w:val="single" w:color="auto" w:sz="4" w:space="0"/>
              <w:right w:val="single" w:color="auto" w:sz="4" w:space="0"/>
            </w:tcBorders>
            <w:noWrap/>
            <w:vAlign w:val="center"/>
          </w:tcPr>
          <w:p w14:paraId="41D06450">
            <w:pPr>
              <w:pStyle w:val="163"/>
              <w:spacing w:line="400" w:lineRule="exact"/>
              <w:ind w:firstLine="0" w:firstLineChars="0"/>
              <w:textAlignment w:val="auto"/>
              <w:rPr>
                <w:rFonts w:hAnsi="宋体" w:eastAsia="宋体" w:cs="宋体"/>
                <w:color w:val="auto"/>
                <w:spacing w:val="10"/>
                <w:sz w:val="21"/>
                <w:highlight w:val="none"/>
              </w:rPr>
            </w:pPr>
            <w:r>
              <w:rPr>
                <w:rFonts w:hint="eastAsia" w:hAnsi="宋体" w:eastAsia="宋体" w:cs="宋体"/>
                <w:color w:val="auto"/>
                <w:spacing w:val="10"/>
                <w:sz w:val="21"/>
                <w:highlight w:val="none"/>
              </w:rPr>
              <w:t>1、合同生效并具备实施条件（接到采购人正式开工通知）后7个工作日内，成交供应商同时向采购人递交预付款等额的预付款保函，成交供应商开具符合要求的发票后，支付合同金额的20%作为预付款。</w:t>
            </w:r>
          </w:p>
          <w:p w14:paraId="6DA61E14">
            <w:pPr>
              <w:pStyle w:val="163"/>
              <w:spacing w:line="400" w:lineRule="exact"/>
              <w:ind w:firstLine="0" w:firstLineChars="0"/>
              <w:textAlignment w:val="auto"/>
              <w:rPr>
                <w:rFonts w:hAnsi="宋体" w:eastAsia="宋体" w:cs="宋体"/>
                <w:color w:val="auto"/>
                <w:spacing w:val="10"/>
                <w:sz w:val="21"/>
                <w:highlight w:val="none"/>
              </w:rPr>
            </w:pPr>
            <w:r>
              <w:rPr>
                <w:rFonts w:hint="eastAsia" w:hAnsi="宋体" w:eastAsia="宋体" w:cs="宋体"/>
                <w:color w:val="auto"/>
                <w:spacing w:val="10"/>
                <w:sz w:val="21"/>
                <w:highlight w:val="none"/>
              </w:rPr>
              <w:t>2、工程竣工验收合格并整改完成后一个月内支付至合同总价80%（含预付款）。</w:t>
            </w:r>
          </w:p>
          <w:p w14:paraId="1AB35CC4">
            <w:pPr>
              <w:pStyle w:val="163"/>
              <w:spacing w:line="400" w:lineRule="exact"/>
              <w:ind w:firstLine="0" w:firstLineChars="0"/>
              <w:textAlignment w:val="auto"/>
              <w:rPr>
                <w:rFonts w:ascii="Times New Roman" w:hAnsi="Times New Roman" w:eastAsia="宋体"/>
                <w:color w:val="auto"/>
                <w:kern w:val="2"/>
                <w:sz w:val="21"/>
                <w:highlight w:val="none"/>
              </w:rPr>
            </w:pPr>
            <w:r>
              <w:rPr>
                <w:rFonts w:hint="eastAsia" w:hAnsi="宋体" w:eastAsia="宋体" w:cs="宋体"/>
                <w:color w:val="auto"/>
                <w:spacing w:val="10"/>
                <w:sz w:val="21"/>
                <w:highlight w:val="none"/>
              </w:rPr>
              <w:t>3、工程结算审定结束及资料归档后按监理费审定金额结清余款（不计息）。</w:t>
            </w:r>
          </w:p>
        </w:tc>
      </w:tr>
      <w:tr w14:paraId="5AC4A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16" w:type="dxa"/>
            <w:tcBorders>
              <w:top w:val="single" w:color="auto" w:sz="4" w:space="0"/>
              <w:left w:val="single" w:color="auto" w:sz="4" w:space="0"/>
              <w:bottom w:val="single" w:color="auto" w:sz="4" w:space="0"/>
              <w:right w:val="single" w:color="auto" w:sz="4" w:space="0"/>
            </w:tcBorders>
            <w:noWrap/>
            <w:vAlign w:val="center"/>
          </w:tcPr>
          <w:p w14:paraId="7EB26D12">
            <w:pPr>
              <w:adjustRightInd/>
              <w:spacing w:line="400" w:lineRule="exact"/>
              <w:jc w:val="left"/>
              <w:textAlignment w:val="auto"/>
              <w:rPr>
                <w:rFonts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3、</w:t>
            </w:r>
            <w:r>
              <w:rPr>
                <w:rFonts w:ascii="Times New Roman" w:hAnsi="Times New Roman" w:eastAsia="宋体"/>
                <w:color w:val="auto"/>
                <w:kern w:val="2"/>
                <w:sz w:val="21"/>
                <w:highlight w:val="none"/>
              </w:rPr>
              <w:t>履约保证金的收取及退还</w:t>
            </w:r>
          </w:p>
        </w:tc>
        <w:tc>
          <w:tcPr>
            <w:tcW w:w="5798" w:type="dxa"/>
            <w:tcBorders>
              <w:top w:val="single" w:color="auto" w:sz="4" w:space="0"/>
              <w:left w:val="single" w:color="auto" w:sz="4" w:space="0"/>
              <w:bottom w:val="single" w:color="auto" w:sz="4" w:space="0"/>
              <w:right w:val="single" w:color="auto" w:sz="4" w:space="0"/>
            </w:tcBorders>
            <w:noWrap/>
            <w:vAlign w:val="center"/>
          </w:tcPr>
          <w:p w14:paraId="2A5140FC">
            <w:pPr>
              <w:adjustRightInd/>
              <w:spacing w:line="400" w:lineRule="exact"/>
              <w:jc w:val="left"/>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履约保证金金额：合同金额的1%。</w:t>
            </w:r>
          </w:p>
          <w:p w14:paraId="0951010A">
            <w:pPr>
              <w:adjustRightInd/>
              <w:spacing w:line="400" w:lineRule="exact"/>
              <w:jc w:val="left"/>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履约保证金形式：银行汇票（电汇）、支票、银行保函、保险保单等采购人认可的非现金形式。</w:t>
            </w:r>
          </w:p>
          <w:p w14:paraId="47544582">
            <w:pPr>
              <w:adjustRightInd/>
              <w:spacing w:line="400" w:lineRule="exact"/>
              <w:jc w:val="left"/>
              <w:textAlignment w:val="auto"/>
              <w:rPr>
                <w:rFonts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成交供应商</w:t>
            </w:r>
            <w:r>
              <w:rPr>
                <w:rFonts w:ascii="Times New Roman" w:hAnsi="Times New Roman" w:eastAsia="宋体"/>
                <w:color w:val="auto"/>
                <w:kern w:val="2"/>
                <w:sz w:val="21"/>
                <w:highlight w:val="none"/>
              </w:rPr>
              <w:t>应于合同签订后10日内将履约保证金交至采购人指定账户。合同履行期间，</w:t>
            </w:r>
            <w:r>
              <w:rPr>
                <w:rFonts w:hint="eastAsia" w:ascii="Times New Roman" w:hAnsi="Times New Roman" w:eastAsia="宋体"/>
                <w:color w:val="auto"/>
                <w:kern w:val="2"/>
                <w:sz w:val="21"/>
                <w:highlight w:val="none"/>
              </w:rPr>
              <w:t>成交供应商</w:t>
            </w:r>
            <w:r>
              <w:rPr>
                <w:rFonts w:ascii="Times New Roman" w:hAnsi="Times New Roman" w:eastAsia="宋体"/>
                <w:color w:val="auto"/>
                <w:kern w:val="2"/>
                <w:sz w:val="21"/>
                <w:highlight w:val="none"/>
              </w:rPr>
              <w:t>不得将履约保证金取回或作任何抵押。履约保证金于</w:t>
            </w:r>
            <w:r>
              <w:rPr>
                <w:rFonts w:hint="eastAsia" w:hAnsi="宋体" w:eastAsia="宋体" w:cs="宋体"/>
                <w:color w:val="auto"/>
                <w:sz w:val="21"/>
                <w:highlight w:val="none"/>
              </w:rPr>
              <w:t>工程终验合格后</w:t>
            </w:r>
            <w:r>
              <w:rPr>
                <w:rFonts w:ascii="Times New Roman" w:hAnsi="Times New Roman" w:eastAsia="宋体"/>
                <w:color w:val="auto"/>
                <w:kern w:val="2"/>
                <w:sz w:val="21"/>
                <w:highlight w:val="none"/>
              </w:rPr>
              <w:t>（</w:t>
            </w:r>
            <w:r>
              <w:rPr>
                <w:rFonts w:hint="eastAsia" w:ascii="Times New Roman" w:hAnsi="Times New Roman" w:eastAsia="宋体"/>
                <w:color w:val="auto"/>
                <w:kern w:val="2"/>
                <w:sz w:val="21"/>
                <w:highlight w:val="none"/>
              </w:rPr>
              <w:t>成交供应商</w:t>
            </w:r>
            <w:r>
              <w:rPr>
                <w:rFonts w:ascii="Times New Roman" w:hAnsi="Times New Roman" w:eastAsia="宋体"/>
                <w:color w:val="auto"/>
                <w:kern w:val="2"/>
                <w:sz w:val="21"/>
                <w:highlight w:val="none"/>
              </w:rPr>
              <w:t>未按合同要求进行履约的情形除外，如出现未按合同要求履约的情形按合同约定执行）。</w:t>
            </w:r>
          </w:p>
        </w:tc>
      </w:tr>
      <w:tr w14:paraId="43DB8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16" w:type="dxa"/>
            <w:tcBorders>
              <w:top w:val="single" w:color="auto" w:sz="4" w:space="0"/>
              <w:left w:val="single" w:color="auto" w:sz="4" w:space="0"/>
              <w:bottom w:val="single" w:color="auto" w:sz="4" w:space="0"/>
              <w:right w:val="single" w:color="auto" w:sz="4" w:space="0"/>
            </w:tcBorders>
            <w:noWrap/>
            <w:vAlign w:val="center"/>
          </w:tcPr>
          <w:p w14:paraId="00FA2A37">
            <w:pPr>
              <w:adjustRightInd/>
              <w:spacing w:line="400" w:lineRule="exact"/>
              <w:jc w:val="left"/>
              <w:textAlignment w:val="auto"/>
              <w:rPr>
                <w:rFonts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4、</w:t>
            </w:r>
            <w:r>
              <w:rPr>
                <w:rFonts w:ascii="Times New Roman" w:hAnsi="Times New Roman" w:eastAsia="宋体"/>
                <w:color w:val="auto"/>
                <w:kern w:val="2"/>
                <w:sz w:val="21"/>
                <w:highlight w:val="none"/>
              </w:rPr>
              <w:t>合同终止</w:t>
            </w:r>
          </w:p>
        </w:tc>
        <w:tc>
          <w:tcPr>
            <w:tcW w:w="5798" w:type="dxa"/>
            <w:tcBorders>
              <w:top w:val="single" w:color="auto" w:sz="4" w:space="0"/>
              <w:left w:val="single" w:color="auto" w:sz="4" w:space="0"/>
              <w:bottom w:val="single" w:color="auto" w:sz="4" w:space="0"/>
              <w:right w:val="single" w:color="auto" w:sz="4" w:space="0"/>
            </w:tcBorders>
            <w:noWrap/>
            <w:vAlign w:val="center"/>
          </w:tcPr>
          <w:p w14:paraId="73614CF9">
            <w:pPr>
              <w:adjustRightInd/>
              <w:spacing w:line="400" w:lineRule="exact"/>
              <w:jc w:val="left"/>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成交人在合同有效期内，不得以任何理由终止合同，确有特殊情况的，须提前两个月向采购人提出书面申请，经采购人同意后，方可终止合同。因成交人发生重大差错事故的，采购人可有权终止协议，成交人承担全部责任。</w:t>
            </w:r>
          </w:p>
        </w:tc>
      </w:tr>
      <w:bookmarkEnd w:id="107"/>
    </w:tbl>
    <w:p w14:paraId="788A97D5">
      <w:pPr>
        <w:pStyle w:val="76"/>
        <w:spacing w:after="0"/>
        <w:ind w:left="0" w:leftChars="0" w:firstLineChars="0"/>
        <w:contextualSpacing/>
        <w:jc w:val="left"/>
        <w:rPr>
          <w:rFonts w:ascii="Times New Roman" w:hAnsi="Times New Roman" w:eastAsia="宋体"/>
          <w:color w:val="auto"/>
          <w:sz w:val="21"/>
          <w:highlight w:val="none"/>
          <w:lang w:eastAsia="zh-TW"/>
        </w:rPr>
      </w:pPr>
      <w:r>
        <w:rPr>
          <w:rFonts w:ascii="Times New Roman" w:hAnsi="Times New Roman" w:eastAsia="宋体"/>
          <w:color w:val="auto"/>
          <w:sz w:val="28"/>
          <w:szCs w:val="28"/>
          <w:highlight w:val="none"/>
        </w:rPr>
        <w:br w:type="page"/>
      </w:r>
    </w:p>
    <w:p w14:paraId="65708EF5">
      <w:pPr>
        <w:pStyle w:val="5"/>
        <w:adjustRightInd/>
        <w:spacing w:before="0" w:after="0" w:line="360" w:lineRule="auto"/>
        <w:jc w:val="center"/>
        <w:textAlignment w:val="auto"/>
        <w:rPr>
          <w:rFonts w:ascii="Times New Roman" w:hAnsi="Times New Roman" w:eastAsia="宋体"/>
          <w:color w:val="auto"/>
          <w:sz w:val="30"/>
          <w:szCs w:val="30"/>
          <w:highlight w:val="none"/>
        </w:rPr>
      </w:pPr>
      <w:bookmarkStart w:id="108" w:name="_Toc23088"/>
      <w:bookmarkStart w:id="109" w:name="_Toc133"/>
      <w:bookmarkStart w:id="110" w:name="_Toc21693"/>
      <w:bookmarkStart w:id="111" w:name="_Toc32260"/>
      <w:bookmarkStart w:id="112" w:name="_Toc27365"/>
      <w:bookmarkStart w:id="113" w:name="_Toc28378"/>
      <w:bookmarkStart w:id="114" w:name="_Toc29910"/>
      <w:bookmarkStart w:id="115" w:name="_Toc24694"/>
      <w:r>
        <w:rPr>
          <w:rFonts w:ascii="Times New Roman" w:hAnsi="Times New Roman" w:eastAsia="宋体"/>
          <w:color w:val="auto"/>
          <w:sz w:val="30"/>
          <w:szCs w:val="30"/>
          <w:highlight w:val="none"/>
        </w:rPr>
        <w:t>第五章</w:t>
      </w:r>
      <w:r>
        <w:rPr>
          <w:rFonts w:hint="eastAsia" w:ascii="Times New Roman" w:hAnsi="Times New Roman" w:eastAsia="宋体"/>
          <w:color w:val="auto"/>
          <w:sz w:val="30"/>
          <w:szCs w:val="30"/>
          <w:highlight w:val="none"/>
          <w:lang w:val="en-US" w:eastAsia="zh-CN"/>
        </w:rPr>
        <w:t xml:space="preserve"> </w:t>
      </w:r>
      <w:r>
        <w:rPr>
          <w:rFonts w:ascii="Times New Roman" w:hAnsi="Times New Roman" w:eastAsia="宋体"/>
          <w:color w:val="auto"/>
          <w:sz w:val="30"/>
          <w:szCs w:val="30"/>
          <w:highlight w:val="none"/>
        </w:rPr>
        <w:t>评审标准</w:t>
      </w:r>
      <w:bookmarkEnd w:id="108"/>
      <w:bookmarkEnd w:id="109"/>
      <w:bookmarkEnd w:id="110"/>
      <w:bookmarkEnd w:id="111"/>
      <w:bookmarkEnd w:id="112"/>
      <w:bookmarkEnd w:id="113"/>
      <w:bookmarkEnd w:id="114"/>
      <w:bookmarkEnd w:id="115"/>
    </w:p>
    <w:bookmarkEnd w:id="102"/>
    <w:bookmarkEnd w:id="103"/>
    <w:bookmarkEnd w:id="106"/>
    <w:p w14:paraId="05DA5A36">
      <w:pPr>
        <w:pStyle w:val="46"/>
        <w:snapToGrid w:val="0"/>
        <w:spacing w:after="0" w:line="360" w:lineRule="auto"/>
        <w:ind w:left="0" w:leftChars="0" w:firstLine="420" w:firstLineChars="200"/>
        <w:rPr>
          <w:rFonts w:ascii="Times New Roman" w:hAnsi="Times New Roman" w:eastAsia="宋体"/>
          <w:color w:val="auto"/>
          <w:sz w:val="21"/>
          <w:highlight w:val="none"/>
        </w:rPr>
      </w:pPr>
      <w:bookmarkStart w:id="116" w:name="OLE_LINK2"/>
      <w:bookmarkEnd w:id="116"/>
      <w:bookmarkStart w:id="117" w:name="OLE_LINK1"/>
      <w:bookmarkEnd w:id="117"/>
    </w:p>
    <w:p w14:paraId="38059A9C">
      <w:pPr>
        <w:pStyle w:val="46"/>
        <w:snapToGrid w:val="0"/>
        <w:spacing w:after="0" w:line="360" w:lineRule="auto"/>
        <w:ind w:left="0" w:leftChars="0"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本办法严格遵照《中华人民共和国政府采购法》、《中华人民共和国政府采购法实施条例》、《政府采购竞争性磋商采购方式管理暂行办法》，结合项目所在地政府有关政府采购规定和项目的实际情况制定。</w:t>
      </w:r>
    </w:p>
    <w:p w14:paraId="15A21D59">
      <w:pPr>
        <w:snapToGrid w:val="0"/>
        <w:ind w:firstLine="422" w:firstLineChars="200"/>
        <w:rPr>
          <w:rFonts w:ascii="Times New Roman" w:hAnsi="Times New Roman" w:eastAsia="宋体"/>
          <w:b/>
          <w:bCs/>
          <w:color w:val="auto"/>
          <w:sz w:val="21"/>
          <w:highlight w:val="none"/>
        </w:rPr>
      </w:pPr>
      <w:r>
        <w:rPr>
          <w:rFonts w:ascii="Times New Roman" w:hAnsi="Times New Roman" w:eastAsia="宋体"/>
          <w:b/>
          <w:bCs/>
          <w:color w:val="auto"/>
          <w:sz w:val="21"/>
          <w:highlight w:val="none"/>
        </w:rPr>
        <w:t>一、总则</w:t>
      </w:r>
    </w:p>
    <w:p w14:paraId="54CBE119">
      <w:pPr>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本次磋商遵循公平、公正、科学、择优的原则依法进行，磋商活动及当事人接受依法实施的监督。本次磋商采用综合评分法。</w:t>
      </w:r>
    </w:p>
    <w:p w14:paraId="00F7093F">
      <w:pPr>
        <w:snapToGrid w:val="0"/>
        <w:ind w:firstLine="422" w:firstLineChars="200"/>
        <w:rPr>
          <w:rFonts w:ascii="Times New Roman" w:hAnsi="Times New Roman" w:eastAsia="宋体"/>
          <w:b/>
          <w:bCs/>
          <w:color w:val="auto"/>
          <w:sz w:val="21"/>
          <w:highlight w:val="none"/>
        </w:rPr>
      </w:pPr>
      <w:r>
        <w:rPr>
          <w:rFonts w:ascii="Times New Roman" w:hAnsi="Times New Roman" w:eastAsia="宋体"/>
          <w:b/>
          <w:bCs/>
          <w:color w:val="auto"/>
          <w:sz w:val="21"/>
          <w:highlight w:val="none"/>
        </w:rPr>
        <w:t>二、评审组织</w:t>
      </w:r>
    </w:p>
    <w:p w14:paraId="772C8204">
      <w:pPr>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磋商小组：采购人和采购机构根据采购项目的内容特点按照法律法规规定组建磋商小组。磋商小组由采购人、技术、经济等方面专家等有关人员组成。</w:t>
      </w:r>
    </w:p>
    <w:p w14:paraId="01B318A6">
      <w:pPr>
        <w:snapToGrid w:val="0"/>
        <w:ind w:firstLine="422" w:firstLineChars="200"/>
        <w:rPr>
          <w:rFonts w:ascii="Times New Roman" w:hAnsi="Times New Roman" w:eastAsia="宋体"/>
          <w:b/>
          <w:bCs/>
          <w:color w:val="auto"/>
          <w:sz w:val="21"/>
          <w:highlight w:val="none"/>
        </w:rPr>
      </w:pPr>
      <w:r>
        <w:rPr>
          <w:rFonts w:ascii="Times New Roman" w:hAnsi="Times New Roman" w:eastAsia="宋体"/>
          <w:b/>
          <w:bCs/>
          <w:color w:val="auto"/>
          <w:sz w:val="21"/>
          <w:highlight w:val="none"/>
        </w:rPr>
        <w:t>三、磋商程序</w:t>
      </w:r>
    </w:p>
    <w:p w14:paraId="1F525DBC">
      <w:pPr>
        <w:pStyle w:val="21"/>
        <w:tabs>
          <w:tab w:val="left" w:pos="720"/>
        </w:tabs>
        <w:snapToGrid w:val="0"/>
        <w:ind w:left="0" w:firstLine="420" w:firstLineChars="200"/>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详见第二章供应商须知 四、磋商程序。</w:t>
      </w:r>
    </w:p>
    <w:p w14:paraId="06028D3A">
      <w:pPr>
        <w:snapToGrid w:val="0"/>
        <w:ind w:firstLine="422" w:firstLineChars="200"/>
        <w:rPr>
          <w:rFonts w:ascii="Times New Roman" w:hAnsi="Times New Roman" w:eastAsia="宋体"/>
          <w:b/>
          <w:bCs/>
          <w:color w:val="auto"/>
          <w:sz w:val="21"/>
          <w:highlight w:val="none"/>
        </w:rPr>
      </w:pPr>
      <w:r>
        <w:rPr>
          <w:rFonts w:ascii="Times New Roman" w:hAnsi="Times New Roman" w:eastAsia="宋体"/>
          <w:b/>
          <w:bCs/>
          <w:color w:val="auto"/>
          <w:sz w:val="21"/>
          <w:highlight w:val="none"/>
        </w:rPr>
        <w:t>四、评审程序</w:t>
      </w:r>
    </w:p>
    <w:p w14:paraId="3E8A1990">
      <w:pPr>
        <w:pStyle w:val="21"/>
        <w:tabs>
          <w:tab w:val="left" w:pos="720"/>
        </w:tabs>
        <w:snapToGrid w:val="0"/>
        <w:ind w:left="0" w:firstLine="420" w:firstLineChars="200"/>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详见第二章供应商须知 五、评审标准。</w:t>
      </w:r>
    </w:p>
    <w:p w14:paraId="548B79E2">
      <w:pPr>
        <w:numPr>
          <w:ilvl w:val="0"/>
          <w:numId w:val="2"/>
        </w:numPr>
        <w:snapToGrid w:val="0"/>
        <w:rPr>
          <w:rFonts w:ascii="Times New Roman" w:hAnsi="Times New Roman" w:eastAsia="宋体"/>
          <w:b/>
          <w:bCs/>
          <w:color w:val="auto"/>
          <w:sz w:val="21"/>
          <w:highlight w:val="none"/>
        </w:rPr>
      </w:pPr>
      <w:r>
        <w:rPr>
          <w:rFonts w:ascii="Times New Roman" w:hAnsi="Times New Roman" w:eastAsia="宋体"/>
          <w:b/>
          <w:bCs/>
          <w:color w:val="auto"/>
          <w:sz w:val="21"/>
          <w:highlight w:val="none"/>
        </w:rPr>
        <w:br w:type="page"/>
      </w:r>
    </w:p>
    <w:p w14:paraId="6BD84549">
      <w:pPr>
        <w:spacing w:line="276" w:lineRule="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三、评审标准</w:t>
      </w:r>
    </w:p>
    <w:tbl>
      <w:tblPr>
        <w:tblStyle w:val="77"/>
        <w:tblW w:w="48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7811"/>
      </w:tblGrid>
      <w:tr w14:paraId="617A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pct"/>
            <w:noWrap/>
            <w:vAlign w:val="center"/>
          </w:tcPr>
          <w:p w14:paraId="225DA318">
            <w:pPr>
              <w:adjustRightInd/>
              <w:spacing w:line="400" w:lineRule="exact"/>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价格分</w:t>
            </w:r>
          </w:p>
          <w:p w14:paraId="34A77585">
            <w:pPr>
              <w:adjustRightInd/>
              <w:spacing w:line="400" w:lineRule="exact"/>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（10分）</w:t>
            </w:r>
          </w:p>
        </w:tc>
        <w:tc>
          <w:tcPr>
            <w:tcW w:w="4241" w:type="pct"/>
            <w:noWrap/>
            <w:vAlign w:val="center"/>
          </w:tcPr>
          <w:p w14:paraId="705DA359">
            <w:pPr>
              <w:adjustRightInd/>
              <w:spacing w:line="400" w:lineRule="exact"/>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参与评审的价格＝最终报价；</w:t>
            </w:r>
          </w:p>
          <w:p w14:paraId="64E04D29">
            <w:pPr>
              <w:adjustRightInd/>
              <w:spacing w:line="400" w:lineRule="exact"/>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评审基准价＝满足采购要求且最低参与评审的价格</w:t>
            </w:r>
            <w:r>
              <w:rPr>
                <w:rFonts w:hint="eastAsia" w:ascii="Times New Roman" w:hAnsi="Times New Roman" w:eastAsia="宋体"/>
                <w:color w:val="auto"/>
                <w:sz w:val="21"/>
                <w:highlight w:val="none"/>
              </w:rPr>
              <w:t>（即满足磋商文件要求且参与评审的价格）</w:t>
            </w:r>
            <w:r>
              <w:rPr>
                <w:rFonts w:ascii="Times New Roman" w:hAnsi="Times New Roman" w:eastAsia="宋体"/>
                <w:color w:val="auto"/>
                <w:sz w:val="21"/>
                <w:highlight w:val="none"/>
              </w:rPr>
              <w:t>；</w:t>
            </w:r>
          </w:p>
          <w:p w14:paraId="267FBAE3">
            <w:pPr>
              <w:adjustRightInd/>
              <w:spacing w:line="400" w:lineRule="exact"/>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评审基准价的价格分为满分10分；</w:t>
            </w:r>
          </w:p>
          <w:p w14:paraId="02086B43">
            <w:pPr>
              <w:adjustRightInd/>
              <w:spacing w:line="400" w:lineRule="exact"/>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最终报价得分=</w:t>
            </w:r>
            <w:r>
              <w:rPr>
                <w:rFonts w:hint="eastAsia" w:ascii="Times New Roman" w:hAnsi="Times New Roman" w:eastAsia="宋体"/>
                <w:color w:val="auto"/>
                <w:sz w:val="21"/>
                <w:highlight w:val="none"/>
              </w:rPr>
              <w:t>（</w:t>
            </w:r>
            <w:r>
              <w:rPr>
                <w:rFonts w:ascii="Times New Roman" w:hAnsi="Times New Roman" w:eastAsia="宋体"/>
                <w:color w:val="auto"/>
                <w:sz w:val="21"/>
                <w:highlight w:val="none"/>
              </w:rPr>
              <w:t>评标基准价/各</w:t>
            </w:r>
            <w:r>
              <w:rPr>
                <w:rFonts w:hint="eastAsia" w:ascii="Times New Roman" w:hAnsi="Times New Roman" w:eastAsia="宋体"/>
                <w:color w:val="auto"/>
                <w:sz w:val="21"/>
                <w:highlight w:val="none"/>
              </w:rPr>
              <w:t>供应商</w:t>
            </w:r>
            <w:r>
              <w:rPr>
                <w:rFonts w:ascii="Times New Roman" w:hAnsi="Times New Roman" w:eastAsia="宋体"/>
                <w:color w:val="auto"/>
                <w:sz w:val="21"/>
                <w:highlight w:val="none"/>
              </w:rPr>
              <w:t>参与评审的价格</w:t>
            </w:r>
            <w:r>
              <w:rPr>
                <w:rFonts w:hint="eastAsia" w:ascii="Times New Roman" w:hAnsi="Times New Roman" w:eastAsia="宋体"/>
                <w:color w:val="auto"/>
                <w:sz w:val="21"/>
                <w:highlight w:val="none"/>
              </w:rPr>
              <w:t>）</w:t>
            </w:r>
            <w:r>
              <w:rPr>
                <w:rFonts w:ascii="Times New Roman" w:hAnsi="Times New Roman" w:eastAsia="宋体"/>
                <w:color w:val="auto"/>
                <w:sz w:val="21"/>
                <w:highlight w:val="none"/>
              </w:rPr>
              <w:t>×10×100%（保留小数点后两位）。</w:t>
            </w:r>
          </w:p>
        </w:tc>
      </w:tr>
      <w:tr w14:paraId="58F8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pct"/>
            <w:vMerge w:val="restart"/>
            <w:noWrap/>
            <w:vAlign w:val="center"/>
          </w:tcPr>
          <w:p w14:paraId="483854F4">
            <w:pPr>
              <w:adjustRightInd/>
              <w:spacing w:line="400" w:lineRule="exact"/>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技术商务分（90分）</w:t>
            </w:r>
          </w:p>
        </w:tc>
        <w:tc>
          <w:tcPr>
            <w:tcW w:w="4241" w:type="pct"/>
            <w:noWrap/>
            <w:vAlign w:val="center"/>
          </w:tcPr>
          <w:p w14:paraId="3AA02B00">
            <w:pPr>
              <w:adjustRightInd/>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1、企业业绩（</w:t>
            </w:r>
            <w:r>
              <w:rPr>
                <w:rFonts w:hint="eastAsia" w:ascii="Times New Roman" w:hAnsi="Times New Roman" w:eastAsia="宋体"/>
                <w:b/>
                <w:bCs/>
                <w:color w:val="auto"/>
                <w:sz w:val="21"/>
                <w:highlight w:val="none"/>
              </w:rPr>
              <w:t>1</w:t>
            </w:r>
            <w:r>
              <w:rPr>
                <w:rFonts w:ascii="Times New Roman" w:hAnsi="Times New Roman" w:eastAsia="宋体"/>
                <w:b/>
                <w:bCs/>
                <w:color w:val="auto"/>
                <w:sz w:val="21"/>
                <w:highlight w:val="none"/>
              </w:rPr>
              <w:t>分）</w:t>
            </w:r>
          </w:p>
          <w:p w14:paraId="1C545372">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供应商自</w:t>
            </w:r>
            <w:r>
              <w:rPr>
                <w:rFonts w:hint="eastAsia" w:ascii="Times New Roman" w:hAnsi="Times New Roman" w:eastAsia="宋体"/>
                <w:color w:val="auto"/>
                <w:sz w:val="21"/>
                <w:highlight w:val="none"/>
              </w:rPr>
              <w:t>2021</w:t>
            </w:r>
            <w:r>
              <w:rPr>
                <w:rFonts w:ascii="Times New Roman" w:hAnsi="Times New Roman" w:eastAsia="宋体"/>
                <w:color w:val="auto"/>
                <w:sz w:val="21"/>
                <w:highlight w:val="none"/>
              </w:rPr>
              <w:t>年1月1日以来（以合同签订时间为准）完成过</w:t>
            </w:r>
            <w:r>
              <w:rPr>
                <w:rFonts w:hint="eastAsia" w:ascii="Times New Roman" w:hAnsi="Times New Roman" w:eastAsia="宋体"/>
                <w:color w:val="auto"/>
                <w:sz w:val="21"/>
                <w:highlight w:val="none"/>
              </w:rPr>
              <w:t>市政道路监理服务</w:t>
            </w:r>
            <w:r>
              <w:rPr>
                <w:rFonts w:ascii="Times New Roman" w:hAnsi="Times New Roman" w:eastAsia="宋体"/>
                <w:color w:val="auto"/>
                <w:sz w:val="21"/>
                <w:highlight w:val="none"/>
              </w:rPr>
              <w:t>业绩，每个业绩得</w:t>
            </w:r>
            <w:r>
              <w:rPr>
                <w:rFonts w:hint="eastAsia" w:ascii="Times New Roman" w:hAnsi="Times New Roman" w:eastAsia="宋体"/>
                <w:color w:val="auto"/>
                <w:sz w:val="21"/>
                <w:highlight w:val="none"/>
              </w:rPr>
              <w:t>0.5</w:t>
            </w:r>
            <w:r>
              <w:rPr>
                <w:rFonts w:ascii="Times New Roman" w:hAnsi="Times New Roman" w:eastAsia="宋体"/>
                <w:color w:val="auto"/>
                <w:sz w:val="21"/>
                <w:highlight w:val="none"/>
              </w:rPr>
              <w:t>分，最高得</w:t>
            </w:r>
            <w:r>
              <w:rPr>
                <w:rFonts w:hint="eastAsia" w:ascii="Times New Roman" w:hAnsi="Times New Roman" w:eastAsia="宋体"/>
                <w:color w:val="auto"/>
                <w:sz w:val="21"/>
                <w:highlight w:val="none"/>
              </w:rPr>
              <w:t>1</w:t>
            </w:r>
            <w:r>
              <w:rPr>
                <w:rFonts w:ascii="Times New Roman" w:hAnsi="Times New Roman" w:eastAsia="宋体"/>
                <w:color w:val="auto"/>
                <w:sz w:val="21"/>
                <w:highlight w:val="none"/>
              </w:rPr>
              <w:t>分。</w:t>
            </w:r>
          </w:p>
          <w:p w14:paraId="3AA6D5D1">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w:t>
            </w:r>
            <w:r>
              <w:rPr>
                <w:rFonts w:hint="eastAsia" w:ascii="Times New Roman" w:hAnsi="Times New Roman" w:eastAsia="宋体"/>
                <w:color w:val="auto"/>
                <w:sz w:val="21"/>
                <w:highlight w:val="none"/>
              </w:rPr>
              <w:t>响应</w:t>
            </w:r>
            <w:r>
              <w:rPr>
                <w:rFonts w:ascii="Times New Roman" w:hAnsi="Times New Roman" w:eastAsia="宋体"/>
                <w:color w:val="auto"/>
                <w:sz w:val="21"/>
                <w:highlight w:val="none"/>
                <w:lang w:val="zh-CN"/>
              </w:rPr>
              <w:t>文件中须</w:t>
            </w:r>
            <w:r>
              <w:rPr>
                <w:rFonts w:ascii="Times New Roman" w:hAnsi="Times New Roman" w:eastAsia="宋体"/>
                <w:color w:val="auto"/>
                <w:sz w:val="21"/>
                <w:highlight w:val="none"/>
              </w:rPr>
              <w:t>提供监理合同或者中标</w:t>
            </w:r>
            <w:r>
              <w:rPr>
                <w:rFonts w:hint="eastAsia" w:ascii="Times New Roman" w:hAnsi="Times New Roman" w:eastAsia="宋体"/>
                <w:color w:val="auto"/>
                <w:sz w:val="21"/>
                <w:highlight w:val="none"/>
              </w:rPr>
              <w:t>（成交）</w:t>
            </w:r>
            <w:r>
              <w:rPr>
                <w:rFonts w:ascii="Times New Roman" w:hAnsi="Times New Roman" w:eastAsia="宋体"/>
                <w:color w:val="auto"/>
                <w:sz w:val="21"/>
                <w:highlight w:val="none"/>
              </w:rPr>
              <w:t>通知书</w:t>
            </w:r>
            <w:r>
              <w:rPr>
                <w:rFonts w:hint="eastAsia" w:ascii="Times New Roman" w:hAnsi="Times New Roman" w:eastAsia="宋体"/>
                <w:color w:val="auto"/>
                <w:sz w:val="21"/>
                <w:highlight w:val="none"/>
              </w:rPr>
              <w:t>复印件并加盖供应商公章。</w:t>
            </w:r>
            <w:r>
              <w:rPr>
                <w:rFonts w:ascii="Times New Roman" w:hAnsi="Times New Roman" w:eastAsia="宋体"/>
                <w:color w:val="auto"/>
                <w:sz w:val="21"/>
                <w:highlight w:val="none"/>
              </w:rPr>
              <w:t>）</w:t>
            </w:r>
          </w:p>
        </w:tc>
      </w:tr>
      <w:tr w14:paraId="4AED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pct"/>
            <w:vMerge w:val="continue"/>
            <w:noWrap/>
            <w:vAlign w:val="center"/>
          </w:tcPr>
          <w:p w14:paraId="7132AB1C">
            <w:pPr>
              <w:adjustRightInd/>
              <w:spacing w:line="400" w:lineRule="exact"/>
              <w:jc w:val="center"/>
              <w:textAlignment w:val="auto"/>
              <w:rPr>
                <w:rFonts w:ascii="Times New Roman" w:hAnsi="Times New Roman" w:eastAsia="宋体"/>
                <w:color w:val="auto"/>
                <w:sz w:val="21"/>
                <w:highlight w:val="none"/>
              </w:rPr>
            </w:pPr>
          </w:p>
        </w:tc>
        <w:tc>
          <w:tcPr>
            <w:tcW w:w="4241" w:type="pct"/>
            <w:noWrap/>
            <w:vAlign w:val="center"/>
          </w:tcPr>
          <w:p w14:paraId="5E3B512D">
            <w:pPr>
              <w:adjustRightInd/>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2、体系认证（</w:t>
            </w:r>
            <w:r>
              <w:rPr>
                <w:rFonts w:hint="eastAsia" w:ascii="Times New Roman" w:hAnsi="Times New Roman" w:eastAsia="宋体"/>
                <w:b/>
                <w:bCs/>
                <w:color w:val="auto"/>
                <w:sz w:val="21"/>
                <w:highlight w:val="none"/>
              </w:rPr>
              <w:t>3</w:t>
            </w:r>
            <w:r>
              <w:rPr>
                <w:rFonts w:ascii="Times New Roman" w:hAnsi="Times New Roman" w:eastAsia="宋体"/>
                <w:b/>
                <w:bCs/>
                <w:color w:val="auto"/>
                <w:sz w:val="21"/>
                <w:highlight w:val="none"/>
              </w:rPr>
              <w:t>分）</w:t>
            </w:r>
          </w:p>
          <w:p w14:paraId="17883696">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供应商须具有有效期内质量管理体系认证的得</w:t>
            </w:r>
            <w:r>
              <w:rPr>
                <w:rFonts w:hint="eastAsia" w:ascii="Times New Roman" w:hAnsi="Times New Roman" w:eastAsia="宋体"/>
                <w:color w:val="auto"/>
                <w:sz w:val="21"/>
                <w:highlight w:val="none"/>
              </w:rPr>
              <w:t>3</w:t>
            </w:r>
            <w:r>
              <w:rPr>
                <w:rFonts w:ascii="Times New Roman" w:hAnsi="Times New Roman" w:eastAsia="宋体"/>
                <w:color w:val="auto"/>
                <w:sz w:val="21"/>
                <w:highlight w:val="none"/>
              </w:rPr>
              <w:t>分</w:t>
            </w:r>
            <w:r>
              <w:rPr>
                <w:rFonts w:hint="eastAsia" w:ascii="Times New Roman" w:hAnsi="Times New Roman" w:eastAsia="宋体"/>
                <w:color w:val="auto"/>
                <w:sz w:val="21"/>
                <w:highlight w:val="none"/>
              </w:rPr>
              <w:t>，</w:t>
            </w:r>
            <w:r>
              <w:rPr>
                <w:rFonts w:ascii="Times New Roman" w:hAnsi="Times New Roman" w:eastAsia="宋体"/>
                <w:color w:val="auto"/>
                <w:sz w:val="21"/>
                <w:highlight w:val="none"/>
              </w:rPr>
              <w:t>本项满分</w:t>
            </w:r>
            <w:r>
              <w:rPr>
                <w:rFonts w:hint="eastAsia" w:ascii="Times New Roman" w:hAnsi="Times New Roman" w:eastAsia="宋体"/>
                <w:color w:val="auto"/>
                <w:sz w:val="21"/>
                <w:highlight w:val="none"/>
              </w:rPr>
              <w:t>3</w:t>
            </w:r>
            <w:r>
              <w:rPr>
                <w:rFonts w:ascii="Times New Roman" w:hAnsi="Times New Roman" w:eastAsia="宋体"/>
                <w:color w:val="auto"/>
                <w:sz w:val="21"/>
                <w:highlight w:val="none"/>
              </w:rPr>
              <w:t>分。</w:t>
            </w:r>
          </w:p>
          <w:p w14:paraId="1911DF21">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w:t>
            </w:r>
            <w:r>
              <w:rPr>
                <w:rFonts w:hint="eastAsia" w:ascii="Times New Roman" w:hAnsi="Times New Roman" w:eastAsia="宋体"/>
                <w:color w:val="auto"/>
                <w:sz w:val="21"/>
                <w:highlight w:val="none"/>
              </w:rPr>
              <w:t>响应文件中提供有效期内的认证证书复印件并加盖供应商公章，未提供的不得分。</w:t>
            </w:r>
            <w:r>
              <w:rPr>
                <w:rFonts w:ascii="Times New Roman" w:hAnsi="Times New Roman" w:eastAsia="宋体"/>
                <w:color w:val="auto"/>
                <w:sz w:val="21"/>
                <w:highlight w:val="none"/>
              </w:rPr>
              <w:t>）</w:t>
            </w:r>
          </w:p>
        </w:tc>
      </w:tr>
      <w:tr w14:paraId="276A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pct"/>
            <w:vMerge w:val="continue"/>
            <w:noWrap/>
            <w:vAlign w:val="center"/>
          </w:tcPr>
          <w:p w14:paraId="6C64E7F7">
            <w:pPr>
              <w:adjustRightInd/>
              <w:spacing w:line="400" w:lineRule="exact"/>
              <w:jc w:val="center"/>
              <w:textAlignment w:val="auto"/>
              <w:rPr>
                <w:rFonts w:ascii="Times New Roman" w:hAnsi="Times New Roman" w:eastAsia="宋体"/>
                <w:color w:val="auto"/>
                <w:sz w:val="21"/>
                <w:highlight w:val="none"/>
              </w:rPr>
            </w:pPr>
          </w:p>
        </w:tc>
        <w:tc>
          <w:tcPr>
            <w:tcW w:w="4241" w:type="pct"/>
            <w:noWrap/>
            <w:vAlign w:val="center"/>
          </w:tcPr>
          <w:p w14:paraId="37BE88D4">
            <w:pPr>
              <w:adjustRightInd/>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3、项目负责人（</w:t>
            </w:r>
            <w:r>
              <w:rPr>
                <w:rFonts w:hint="eastAsia" w:ascii="Times New Roman" w:hAnsi="Times New Roman" w:eastAsia="宋体"/>
                <w:b/>
                <w:bCs/>
                <w:color w:val="auto"/>
                <w:sz w:val="21"/>
                <w:highlight w:val="none"/>
              </w:rPr>
              <w:t>5</w:t>
            </w:r>
            <w:r>
              <w:rPr>
                <w:rFonts w:ascii="Times New Roman" w:hAnsi="Times New Roman" w:eastAsia="宋体"/>
                <w:b/>
                <w:bCs/>
                <w:color w:val="auto"/>
                <w:sz w:val="21"/>
                <w:highlight w:val="none"/>
              </w:rPr>
              <w:t>分）</w:t>
            </w:r>
          </w:p>
          <w:p w14:paraId="46856E5C">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供应商拟派项目负责人具有</w:t>
            </w:r>
            <w:r>
              <w:rPr>
                <w:rFonts w:ascii="Times New Roman" w:hAnsi="Times New Roman" w:eastAsia="宋体"/>
                <w:color w:val="auto"/>
                <w:sz w:val="21"/>
                <w:highlight w:val="none"/>
                <w:lang w:val="zh-CN"/>
              </w:rPr>
              <w:t>市政工程</w:t>
            </w:r>
            <w:r>
              <w:rPr>
                <w:rFonts w:hint="eastAsia" w:ascii="Times New Roman" w:hAnsi="Times New Roman" w:eastAsia="宋体"/>
                <w:color w:val="auto"/>
                <w:sz w:val="21"/>
                <w:highlight w:val="none"/>
              </w:rPr>
              <w:t>专业</w:t>
            </w:r>
            <w:r>
              <w:rPr>
                <w:rFonts w:ascii="Times New Roman" w:hAnsi="Times New Roman" w:eastAsia="宋体"/>
                <w:color w:val="auto"/>
                <w:sz w:val="21"/>
                <w:highlight w:val="none"/>
                <w:lang w:val="zh-CN"/>
              </w:rPr>
              <w:t>相关</w:t>
            </w:r>
            <w:r>
              <w:rPr>
                <w:rFonts w:hint="eastAsia" w:ascii="Times New Roman" w:hAnsi="Times New Roman" w:eastAsia="宋体"/>
                <w:color w:val="auto"/>
                <w:sz w:val="21"/>
                <w:highlight w:val="none"/>
              </w:rPr>
              <w:t>类高级</w:t>
            </w:r>
            <w:r>
              <w:rPr>
                <w:rFonts w:ascii="Times New Roman" w:hAnsi="Times New Roman" w:eastAsia="宋体"/>
                <w:color w:val="auto"/>
                <w:sz w:val="21"/>
                <w:highlight w:val="none"/>
              </w:rPr>
              <w:t>及以上职称的得</w:t>
            </w:r>
            <w:r>
              <w:rPr>
                <w:rFonts w:hint="eastAsia" w:ascii="Times New Roman" w:hAnsi="Times New Roman" w:eastAsia="宋体"/>
                <w:color w:val="auto"/>
                <w:sz w:val="21"/>
                <w:highlight w:val="none"/>
              </w:rPr>
              <w:t>5</w:t>
            </w:r>
            <w:r>
              <w:rPr>
                <w:rFonts w:ascii="Times New Roman" w:hAnsi="Times New Roman" w:eastAsia="宋体"/>
                <w:color w:val="auto"/>
                <w:sz w:val="21"/>
                <w:highlight w:val="none"/>
              </w:rPr>
              <w:t>分，</w:t>
            </w:r>
            <w:r>
              <w:rPr>
                <w:rFonts w:ascii="Times New Roman" w:hAnsi="Times New Roman" w:eastAsia="宋体"/>
                <w:color w:val="auto"/>
                <w:sz w:val="21"/>
                <w:highlight w:val="none"/>
                <w:lang w:val="zh-CN"/>
              </w:rPr>
              <w:t>市政工程</w:t>
            </w:r>
            <w:r>
              <w:rPr>
                <w:rFonts w:hint="eastAsia" w:ascii="Times New Roman" w:hAnsi="Times New Roman" w:eastAsia="宋体"/>
                <w:color w:val="auto"/>
                <w:sz w:val="21"/>
                <w:highlight w:val="none"/>
              </w:rPr>
              <w:t>专业</w:t>
            </w:r>
            <w:r>
              <w:rPr>
                <w:rFonts w:ascii="Times New Roman" w:hAnsi="Times New Roman" w:eastAsia="宋体"/>
                <w:color w:val="auto"/>
                <w:sz w:val="21"/>
                <w:highlight w:val="none"/>
                <w:lang w:val="zh-CN"/>
              </w:rPr>
              <w:t>相关</w:t>
            </w:r>
            <w:r>
              <w:rPr>
                <w:rFonts w:hint="eastAsia" w:ascii="Times New Roman" w:hAnsi="Times New Roman" w:eastAsia="宋体"/>
                <w:color w:val="auto"/>
                <w:sz w:val="21"/>
                <w:highlight w:val="none"/>
              </w:rPr>
              <w:t>类中级的得2.5分，</w:t>
            </w:r>
            <w:r>
              <w:rPr>
                <w:rFonts w:ascii="Times New Roman" w:hAnsi="Times New Roman" w:eastAsia="宋体"/>
                <w:color w:val="auto"/>
                <w:sz w:val="21"/>
                <w:highlight w:val="none"/>
              </w:rPr>
              <w:t>其余不得分。</w:t>
            </w:r>
          </w:p>
          <w:p w14:paraId="60EA5DFC">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w:t>
            </w:r>
            <w:r>
              <w:rPr>
                <w:rFonts w:hint="eastAsia" w:ascii="Times New Roman" w:hAnsi="Times New Roman" w:eastAsia="宋体"/>
                <w:color w:val="auto"/>
                <w:sz w:val="21"/>
                <w:highlight w:val="none"/>
              </w:rPr>
              <w:t>响应</w:t>
            </w:r>
            <w:r>
              <w:rPr>
                <w:rFonts w:ascii="Times New Roman" w:hAnsi="Times New Roman" w:eastAsia="宋体"/>
                <w:color w:val="auto"/>
                <w:sz w:val="21"/>
                <w:highlight w:val="none"/>
                <w:lang w:val="zh-CN"/>
              </w:rPr>
              <w:t>文件中须</w:t>
            </w:r>
            <w:r>
              <w:rPr>
                <w:rFonts w:ascii="Times New Roman" w:hAnsi="Times New Roman" w:eastAsia="宋体"/>
                <w:color w:val="auto"/>
                <w:sz w:val="21"/>
                <w:highlight w:val="none"/>
              </w:rPr>
              <w:t>提供职称证书复印件并加盖供应商公章，未提供的不得分。）</w:t>
            </w:r>
          </w:p>
        </w:tc>
      </w:tr>
      <w:tr w14:paraId="03E9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pct"/>
            <w:vMerge w:val="continue"/>
            <w:noWrap/>
            <w:vAlign w:val="center"/>
          </w:tcPr>
          <w:p w14:paraId="1CE65806">
            <w:pPr>
              <w:adjustRightInd/>
              <w:spacing w:line="400" w:lineRule="exact"/>
              <w:jc w:val="center"/>
              <w:textAlignment w:val="auto"/>
              <w:rPr>
                <w:rFonts w:ascii="Times New Roman" w:hAnsi="Times New Roman" w:eastAsia="宋体"/>
                <w:color w:val="auto"/>
                <w:sz w:val="21"/>
                <w:highlight w:val="none"/>
              </w:rPr>
            </w:pPr>
          </w:p>
        </w:tc>
        <w:tc>
          <w:tcPr>
            <w:tcW w:w="4241" w:type="pct"/>
            <w:noWrap/>
            <w:vAlign w:val="center"/>
          </w:tcPr>
          <w:p w14:paraId="4310A5C9">
            <w:pPr>
              <w:adjustRightInd/>
              <w:textAlignment w:val="auto"/>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rPr>
              <w:t>4</w:t>
            </w:r>
            <w:r>
              <w:rPr>
                <w:rFonts w:ascii="Times New Roman" w:hAnsi="Times New Roman" w:eastAsia="宋体"/>
                <w:b/>
                <w:bCs/>
                <w:color w:val="auto"/>
                <w:sz w:val="21"/>
                <w:highlight w:val="none"/>
              </w:rPr>
              <w:t>、监理服务大纲（</w:t>
            </w:r>
            <w:r>
              <w:rPr>
                <w:rFonts w:hint="eastAsia" w:ascii="Times New Roman" w:hAnsi="Times New Roman" w:eastAsia="宋体"/>
                <w:b/>
                <w:bCs/>
                <w:color w:val="auto"/>
                <w:sz w:val="21"/>
                <w:highlight w:val="none"/>
              </w:rPr>
              <w:t>21</w:t>
            </w:r>
            <w:r>
              <w:rPr>
                <w:rFonts w:ascii="Times New Roman" w:hAnsi="Times New Roman" w:eastAsia="宋体"/>
                <w:b/>
                <w:bCs/>
                <w:color w:val="auto"/>
                <w:sz w:val="21"/>
                <w:highlight w:val="none"/>
              </w:rPr>
              <w:t>分）</w:t>
            </w:r>
          </w:p>
          <w:p w14:paraId="3469D13F">
            <w:pPr>
              <w:adjustRightInd/>
              <w:textAlignment w:val="auto"/>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rPr>
              <w:t>4.1</w:t>
            </w:r>
            <w:r>
              <w:rPr>
                <w:rFonts w:ascii="Times New Roman" w:hAnsi="Times New Roman" w:eastAsia="宋体"/>
                <w:b/>
                <w:bCs/>
                <w:color w:val="auto"/>
                <w:sz w:val="21"/>
                <w:highlight w:val="none"/>
              </w:rPr>
              <w:t>监理工作概述：</w:t>
            </w:r>
          </w:p>
          <w:p w14:paraId="0E7AE6AF">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根据供应商针对本项目提供的监理工作概述进行综合评定：</w:t>
            </w:r>
          </w:p>
          <w:p w14:paraId="391F1C12">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概述内容简明扼要，重点突出，针对性强，与采购需求吻合的得7分；</w:t>
            </w:r>
          </w:p>
          <w:p w14:paraId="4DCFC10F">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概述内容基本到位，与采购需求基本吻合的得5分；</w:t>
            </w:r>
          </w:p>
          <w:p w14:paraId="3BAB9357">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概述内容略有欠缺，重点内容未完全明确，针对性较差，与采购需求略有偏离的得3分；</w:t>
            </w:r>
          </w:p>
          <w:p w14:paraId="707CA78B">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内容未涉及的不得分。</w:t>
            </w:r>
          </w:p>
          <w:p w14:paraId="70477E34">
            <w:pPr>
              <w:adjustRightInd/>
              <w:textAlignment w:val="auto"/>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rPr>
              <w:t>4.2监理机构组织形式：</w:t>
            </w:r>
          </w:p>
          <w:p w14:paraId="4706A8F5">
            <w:pPr>
              <w:adjustRightInd/>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rPr>
              <w:t>根据供应商针对本项目提供的监理机构组织形式和人员分工进行综合评定：</w:t>
            </w:r>
          </w:p>
          <w:p w14:paraId="48E79B99">
            <w:pPr>
              <w:adjustRightInd/>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rPr>
              <w:t>机构组织形式明确合理，人员分工明确，针对性强，能够保障本项目实施的得7分；</w:t>
            </w:r>
          </w:p>
          <w:p w14:paraId="6C549775">
            <w:pPr>
              <w:adjustRightInd/>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rPr>
              <w:t>机构组织形式及人员分工基本到位，基本能够保障本项目实施的得5分；</w:t>
            </w:r>
          </w:p>
          <w:p w14:paraId="5007E34C">
            <w:pPr>
              <w:adjustRightInd/>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rPr>
              <w:t>机构组织形式较不明确，人员分工有欠缺，保障本项目实施不清晰完整的得3分；</w:t>
            </w:r>
          </w:p>
          <w:p w14:paraId="221EFC41">
            <w:pPr>
              <w:adjustRightInd/>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rPr>
              <w:t>内容未涉及的不得分。</w:t>
            </w:r>
          </w:p>
          <w:p w14:paraId="22083B8C">
            <w:pPr>
              <w:adjustRightInd/>
              <w:textAlignment w:val="auto"/>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rPr>
              <w:t>4.3主要工作方法和手段：</w:t>
            </w:r>
          </w:p>
          <w:p w14:paraId="70B6C3FE">
            <w:pPr>
              <w:adjustRightInd/>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rPr>
              <w:t>根据供应商针对本项目提供的主要工作方法和手段进行综合评定：</w:t>
            </w:r>
          </w:p>
          <w:p w14:paraId="6506E781">
            <w:pPr>
              <w:adjustRightInd/>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rPr>
              <w:t>内容简明扼要，重点突出，针对性强，能够保障本项目实施的得7分；</w:t>
            </w:r>
          </w:p>
          <w:p w14:paraId="099D1ACE">
            <w:pPr>
              <w:adjustRightInd/>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rPr>
              <w:t>内容基本到位，基本能够保障本项目实施的得5分；</w:t>
            </w:r>
          </w:p>
          <w:p w14:paraId="3C720975">
            <w:pPr>
              <w:adjustRightInd/>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rPr>
              <w:t>内容略有欠缺，针对性较差的得3分；</w:t>
            </w:r>
          </w:p>
          <w:p w14:paraId="6511250E">
            <w:pPr>
              <w:adjustRightInd/>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rPr>
              <w:t>内容未涉及的不得分。</w:t>
            </w:r>
          </w:p>
        </w:tc>
      </w:tr>
      <w:tr w14:paraId="481E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pct"/>
            <w:vMerge w:val="continue"/>
            <w:noWrap/>
            <w:vAlign w:val="center"/>
          </w:tcPr>
          <w:p w14:paraId="53CDAA45">
            <w:pPr>
              <w:adjustRightInd/>
              <w:spacing w:line="400" w:lineRule="exact"/>
              <w:jc w:val="center"/>
              <w:textAlignment w:val="auto"/>
              <w:rPr>
                <w:rFonts w:ascii="Times New Roman" w:hAnsi="Times New Roman" w:eastAsia="宋体"/>
                <w:color w:val="auto"/>
                <w:sz w:val="21"/>
                <w:highlight w:val="none"/>
              </w:rPr>
            </w:pPr>
          </w:p>
        </w:tc>
        <w:tc>
          <w:tcPr>
            <w:tcW w:w="4241" w:type="pct"/>
            <w:noWrap/>
            <w:vAlign w:val="center"/>
          </w:tcPr>
          <w:p w14:paraId="29432A6D">
            <w:pPr>
              <w:adjustRightInd/>
              <w:textAlignment w:val="auto"/>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rPr>
              <w:t>5、</w:t>
            </w:r>
            <w:r>
              <w:rPr>
                <w:rFonts w:ascii="Times New Roman" w:hAnsi="Times New Roman" w:eastAsia="宋体"/>
                <w:b/>
                <w:bCs/>
                <w:color w:val="auto"/>
                <w:sz w:val="21"/>
                <w:highlight w:val="none"/>
              </w:rPr>
              <w:t>总体进度及方案把关措施（</w:t>
            </w:r>
            <w:r>
              <w:rPr>
                <w:rFonts w:hint="eastAsia" w:ascii="Times New Roman" w:hAnsi="Times New Roman" w:eastAsia="宋体"/>
                <w:b/>
                <w:bCs/>
                <w:color w:val="auto"/>
                <w:sz w:val="21"/>
                <w:highlight w:val="none"/>
              </w:rPr>
              <w:t>24</w:t>
            </w:r>
            <w:r>
              <w:rPr>
                <w:rFonts w:ascii="Times New Roman" w:hAnsi="Times New Roman" w:eastAsia="宋体"/>
                <w:b/>
                <w:bCs/>
                <w:color w:val="auto"/>
                <w:sz w:val="21"/>
                <w:highlight w:val="none"/>
              </w:rPr>
              <w:t>分）</w:t>
            </w:r>
          </w:p>
          <w:p w14:paraId="39E2B13B">
            <w:pPr>
              <w:adjustRightInd/>
              <w:textAlignment w:val="auto"/>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rPr>
              <w:t>5.1</w:t>
            </w:r>
            <w:r>
              <w:rPr>
                <w:rFonts w:ascii="Times New Roman" w:hAnsi="Times New Roman" w:eastAsia="宋体"/>
                <w:b/>
                <w:bCs/>
                <w:color w:val="auto"/>
                <w:sz w:val="21"/>
                <w:highlight w:val="none"/>
              </w:rPr>
              <w:t>项目组织及技术总体方案的把关措施：</w:t>
            </w:r>
          </w:p>
          <w:p w14:paraId="5E3C3659">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根据供应商提供的项目组织及技术总体方案的把关措施进行综合评定：</w:t>
            </w:r>
          </w:p>
          <w:p w14:paraId="4DB40051">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技术实施方案把关措施内容具体完整的得</w:t>
            </w:r>
            <w:r>
              <w:rPr>
                <w:rFonts w:hint="eastAsia" w:ascii="Times New Roman" w:hAnsi="Times New Roman" w:eastAsia="宋体"/>
                <w:color w:val="auto"/>
                <w:sz w:val="21"/>
                <w:highlight w:val="none"/>
              </w:rPr>
              <w:t>8</w:t>
            </w:r>
            <w:r>
              <w:rPr>
                <w:rFonts w:ascii="Times New Roman" w:hAnsi="Times New Roman" w:eastAsia="宋体"/>
                <w:color w:val="auto"/>
                <w:sz w:val="21"/>
                <w:highlight w:val="none"/>
              </w:rPr>
              <w:t>分；</w:t>
            </w:r>
          </w:p>
          <w:p w14:paraId="6CA1C985">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技术实施方案把关措施内容清晰基本完整的得</w:t>
            </w:r>
            <w:r>
              <w:rPr>
                <w:rFonts w:hint="eastAsia" w:ascii="Times New Roman" w:hAnsi="Times New Roman" w:eastAsia="宋体"/>
                <w:color w:val="auto"/>
                <w:sz w:val="21"/>
                <w:highlight w:val="none"/>
              </w:rPr>
              <w:t>6</w:t>
            </w:r>
            <w:r>
              <w:rPr>
                <w:rFonts w:ascii="Times New Roman" w:hAnsi="Times New Roman" w:eastAsia="宋体"/>
                <w:color w:val="auto"/>
                <w:sz w:val="21"/>
                <w:highlight w:val="none"/>
              </w:rPr>
              <w:t>分；</w:t>
            </w:r>
          </w:p>
          <w:p w14:paraId="59CE3D29">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技术实施方案把关措施内容简略的得</w:t>
            </w:r>
            <w:r>
              <w:rPr>
                <w:rFonts w:hint="eastAsia" w:ascii="Times New Roman" w:hAnsi="Times New Roman" w:eastAsia="宋体"/>
                <w:color w:val="auto"/>
                <w:sz w:val="21"/>
                <w:highlight w:val="none"/>
              </w:rPr>
              <w:t>4</w:t>
            </w:r>
            <w:r>
              <w:rPr>
                <w:rFonts w:ascii="Times New Roman" w:hAnsi="Times New Roman" w:eastAsia="宋体"/>
                <w:color w:val="auto"/>
                <w:sz w:val="21"/>
                <w:highlight w:val="none"/>
              </w:rPr>
              <w:t>分；</w:t>
            </w:r>
          </w:p>
          <w:p w14:paraId="57249F28">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内容未涉及的不得分。</w:t>
            </w:r>
          </w:p>
          <w:p w14:paraId="0ECEE17C">
            <w:pPr>
              <w:adjustRightInd/>
              <w:textAlignment w:val="auto"/>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rPr>
              <w:t>5.2</w:t>
            </w:r>
            <w:r>
              <w:rPr>
                <w:rFonts w:ascii="Times New Roman" w:hAnsi="Times New Roman" w:eastAsia="宋体"/>
                <w:b/>
                <w:bCs/>
                <w:color w:val="auto"/>
                <w:sz w:val="21"/>
                <w:highlight w:val="none"/>
              </w:rPr>
              <w:t>质量控制措施：</w:t>
            </w:r>
          </w:p>
          <w:p w14:paraId="2A7A6754">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根据供应商提供的不同阶段质量控制措施进行综合评定：</w:t>
            </w:r>
          </w:p>
          <w:p w14:paraId="26FD37D9">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内容完整、针对性强、考虑充分，能够保障本项目实施的得</w:t>
            </w:r>
            <w:r>
              <w:rPr>
                <w:rFonts w:hint="eastAsia" w:ascii="Times New Roman" w:hAnsi="Times New Roman" w:eastAsia="宋体"/>
                <w:color w:val="auto"/>
                <w:sz w:val="21"/>
                <w:highlight w:val="none"/>
              </w:rPr>
              <w:t>8</w:t>
            </w:r>
            <w:r>
              <w:rPr>
                <w:rFonts w:ascii="Times New Roman" w:hAnsi="Times New Roman" w:eastAsia="宋体"/>
                <w:color w:val="auto"/>
                <w:sz w:val="21"/>
                <w:highlight w:val="none"/>
              </w:rPr>
              <w:t>分；</w:t>
            </w:r>
          </w:p>
          <w:p w14:paraId="0A206BB0">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内容基本到位，基本能够保障本项目实施的得</w:t>
            </w:r>
            <w:r>
              <w:rPr>
                <w:rFonts w:hint="eastAsia" w:ascii="Times New Roman" w:hAnsi="Times New Roman" w:eastAsia="宋体"/>
                <w:color w:val="auto"/>
                <w:sz w:val="21"/>
                <w:highlight w:val="none"/>
              </w:rPr>
              <w:t>6</w:t>
            </w:r>
            <w:r>
              <w:rPr>
                <w:rFonts w:ascii="Times New Roman" w:hAnsi="Times New Roman" w:eastAsia="宋体"/>
                <w:color w:val="auto"/>
                <w:sz w:val="21"/>
                <w:highlight w:val="none"/>
              </w:rPr>
              <w:t>分；</w:t>
            </w:r>
          </w:p>
          <w:p w14:paraId="6EF23E50">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内容有明显欠缺，保障本项目内容不清晰完整的得</w:t>
            </w:r>
            <w:r>
              <w:rPr>
                <w:rFonts w:hint="eastAsia" w:ascii="Times New Roman" w:hAnsi="Times New Roman" w:eastAsia="宋体"/>
                <w:color w:val="auto"/>
                <w:sz w:val="21"/>
                <w:highlight w:val="none"/>
              </w:rPr>
              <w:t>4</w:t>
            </w:r>
            <w:r>
              <w:rPr>
                <w:rFonts w:ascii="Times New Roman" w:hAnsi="Times New Roman" w:eastAsia="宋体"/>
                <w:color w:val="auto"/>
                <w:sz w:val="21"/>
                <w:highlight w:val="none"/>
              </w:rPr>
              <w:t>分；</w:t>
            </w:r>
          </w:p>
          <w:p w14:paraId="55B0160F">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内容未涉及的不得分。</w:t>
            </w:r>
          </w:p>
          <w:p w14:paraId="4EB4571B">
            <w:pPr>
              <w:adjustRightInd/>
              <w:textAlignment w:val="auto"/>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rPr>
              <w:t>5.3</w:t>
            </w:r>
            <w:r>
              <w:rPr>
                <w:rFonts w:ascii="Times New Roman" w:hAnsi="Times New Roman" w:eastAsia="宋体"/>
                <w:b/>
                <w:bCs/>
                <w:color w:val="auto"/>
                <w:sz w:val="21"/>
                <w:highlight w:val="none"/>
              </w:rPr>
              <w:t>进度控制措施：</w:t>
            </w:r>
          </w:p>
          <w:p w14:paraId="341A6736">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根据供应商提供的进度控制措施进行综合评定：</w:t>
            </w:r>
          </w:p>
          <w:p w14:paraId="690039DD">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进度、工期保障措施可行、合理，能够按合同要求完成的得</w:t>
            </w:r>
            <w:r>
              <w:rPr>
                <w:rFonts w:hint="eastAsia" w:ascii="Times New Roman" w:hAnsi="Times New Roman" w:eastAsia="宋体"/>
                <w:color w:val="auto"/>
                <w:sz w:val="21"/>
                <w:highlight w:val="none"/>
              </w:rPr>
              <w:t>8</w:t>
            </w:r>
            <w:r>
              <w:rPr>
                <w:rFonts w:ascii="Times New Roman" w:hAnsi="Times New Roman" w:eastAsia="宋体"/>
                <w:color w:val="auto"/>
                <w:sz w:val="21"/>
                <w:highlight w:val="none"/>
              </w:rPr>
              <w:t>分；</w:t>
            </w:r>
          </w:p>
          <w:p w14:paraId="4EB73536">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进度、工期保障措施基本可行、合理的的得</w:t>
            </w:r>
            <w:r>
              <w:rPr>
                <w:rFonts w:hint="eastAsia" w:ascii="Times New Roman" w:hAnsi="Times New Roman" w:eastAsia="宋体"/>
                <w:color w:val="auto"/>
                <w:sz w:val="21"/>
                <w:highlight w:val="none"/>
              </w:rPr>
              <w:t>6</w:t>
            </w:r>
            <w:r>
              <w:rPr>
                <w:rFonts w:ascii="Times New Roman" w:hAnsi="Times New Roman" w:eastAsia="宋体"/>
                <w:color w:val="auto"/>
                <w:sz w:val="21"/>
                <w:highlight w:val="none"/>
              </w:rPr>
              <w:t>分；</w:t>
            </w:r>
          </w:p>
          <w:p w14:paraId="38A8E436">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进度、工期保障措施不可行、不合理的得</w:t>
            </w:r>
            <w:r>
              <w:rPr>
                <w:rFonts w:hint="eastAsia" w:ascii="Times New Roman" w:hAnsi="Times New Roman" w:eastAsia="宋体"/>
                <w:color w:val="auto"/>
                <w:sz w:val="21"/>
                <w:highlight w:val="none"/>
              </w:rPr>
              <w:t>4</w:t>
            </w:r>
            <w:r>
              <w:rPr>
                <w:rFonts w:ascii="Times New Roman" w:hAnsi="Times New Roman" w:eastAsia="宋体"/>
                <w:color w:val="auto"/>
                <w:sz w:val="21"/>
                <w:highlight w:val="none"/>
              </w:rPr>
              <w:t>分；</w:t>
            </w:r>
          </w:p>
          <w:p w14:paraId="083C05B4">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内容未涉及的不得分。</w:t>
            </w:r>
          </w:p>
        </w:tc>
      </w:tr>
      <w:tr w14:paraId="2A73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pct"/>
            <w:vMerge w:val="continue"/>
            <w:noWrap/>
            <w:vAlign w:val="center"/>
          </w:tcPr>
          <w:p w14:paraId="784268AC">
            <w:pPr>
              <w:adjustRightInd/>
              <w:spacing w:line="400" w:lineRule="exact"/>
              <w:jc w:val="center"/>
              <w:textAlignment w:val="auto"/>
              <w:rPr>
                <w:rFonts w:ascii="Times New Roman" w:hAnsi="Times New Roman" w:eastAsia="宋体"/>
                <w:color w:val="auto"/>
                <w:sz w:val="21"/>
                <w:highlight w:val="none"/>
              </w:rPr>
            </w:pPr>
          </w:p>
        </w:tc>
        <w:tc>
          <w:tcPr>
            <w:tcW w:w="4241" w:type="pct"/>
            <w:noWrap/>
            <w:vAlign w:val="center"/>
          </w:tcPr>
          <w:p w14:paraId="1BD619A3">
            <w:pPr>
              <w:adjustRightInd/>
              <w:textAlignment w:val="auto"/>
              <w:rPr>
                <w:rFonts w:ascii="Times New Roman" w:hAnsi="Times New Roman" w:eastAsia="宋体"/>
                <w:bCs/>
                <w:color w:val="auto"/>
                <w:sz w:val="21"/>
                <w:highlight w:val="none"/>
              </w:rPr>
            </w:pPr>
            <w:r>
              <w:rPr>
                <w:rFonts w:hint="eastAsia" w:ascii="Times New Roman" w:hAnsi="Times New Roman" w:eastAsia="宋体"/>
                <w:b/>
                <w:color w:val="auto"/>
                <w:sz w:val="21"/>
                <w:highlight w:val="none"/>
              </w:rPr>
              <w:t>6、</w:t>
            </w:r>
            <w:r>
              <w:rPr>
                <w:rFonts w:ascii="Times New Roman" w:hAnsi="Times New Roman" w:eastAsia="宋体"/>
                <w:b/>
                <w:color w:val="auto"/>
                <w:sz w:val="21"/>
                <w:highlight w:val="none"/>
              </w:rPr>
              <w:t>监理工作合同及信息管理控制</w:t>
            </w:r>
            <w:r>
              <w:rPr>
                <w:rFonts w:hint="eastAsia" w:ascii="Times New Roman" w:hAnsi="Times New Roman" w:eastAsia="宋体"/>
                <w:b/>
                <w:color w:val="auto"/>
                <w:sz w:val="21"/>
                <w:highlight w:val="none"/>
              </w:rPr>
              <w:t>（30分）</w:t>
            </w:r>
          </w:p>
          <w:p w14:paraId="7C14254D">
            <w:pPr>
              <w:adjustRightInd/>
              <w:textAlignment w:val="auto"/>
              <w:rPr>
                <w:rFonts w:ascii="Times New Roman" w:hAnsi="Times New Roman" w:eastAsia="宋体"/>
                <w:b/>
                <w:color w:val="auto"/>
                <w:sz w:val="21"/>
                <w:highlight w:val="none"/>
              </w:rPr>
            </w:pPr>
            <w:r>
              <w:rPr>
                <w:rFonts w:hint="eastAsia" w:ascii="Times New Roman" w:hAnsi="Times New Roman" w:eastAsia="宋体"/>
                <w:b/>
                <w:color w:val="auto"/>
                <w:sz w:val="21"/>
                <w:highlight w:val="none"/>
              </w:rPr>
              <w:t>6.1</w:t>
            </w:r>
            <w:r>
              <w:rPr>
                <w:rFonts w:ascii="Times New Roman" w:hAnsi="Times New Roman" w:eastAsia="宋体"/>
                <w:b/>
                <w:color w:val="auto"/>
                <w:sz w:val="21"/>
                <w:highlight w:val="none"/>
              </w:rPr>
              <w:t>合同管理：</w:t>
            </w:r>
          </w:p>
          <w:p w14:paraId="055F9515">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根据供应商结合项目实际情况，提供的项目合同管理和项目安全管理方案详细且科学合理，针对性强等内容进行综合评定：</w:t>
            </w:r>
          </w:p>
          <w:p w14:paraId="1D4E25F4">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项目合同管理和项目安全管理方案内容清晰、措施完整的得6分；</w:t>
            </w:r>
          </w:p>
          <w:p w14:paraId="2F2BEC78">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项目合同管理和项目安全管理方案内容基本清晰、措施基本完整的得4分；</w:t>
            </w:r>
          </w:p>
          <w:p w14:paraId="4CAFD103">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项目合同管理和项目安全管理方案内容不清晰、措施不完整的得2分；</w:t>
            </w:r>
          </w:p>
          <w:p w14:paraId="4AD9EA45">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内容未涉及的不得分。</w:t>
            </w:r>
          </w:p>
          <w:p w14:paraId="20533C78">
            <w:pPr>
              <w:adjustRightInd/>
              <w:textAlignment w:val="auto"/>
              <w:rPr>
                <w:rFonts w:ascii="Times New Roman" w:hAnsi="Times New Roman" w:eastAsia="宋体"/>
                <w:b/>
                <w:color w:val="auto"/>
                <w:sz w:val="21"/>
                <w:highlight w:val="none"/>
              </w:rPr>
            </w:pPr>
            <w:r>
              <w:rPr>
                <w:rFonts w:hint="eastAsia" w:ascii="Times New Roman" w:hAnsi="Times New Roman" w:eastAsia="宋体"/>
                <w:b/>
                <w:color w:val="auto"/>
                <w:sz w:val="21"/>
                <w:highlight w:val="none"/>
              </w:rPr>
              <w:t>6.2信息</w:t>
            </w:r>
            <w:r>
              <w:rPr>
                <w:rFonts w:ascii="Times New Roman" w:hAnsi="Times New Roman" w:eastAsia="宋体"/>
                <w:b/>
                <w:color w:val="auto"/>
                <w:sz w:val="21"/>
                <w:highlight w:val="none"/>
              </w:rPr>
              <w:t>管理：</w:t>
            </w:r>
          </w:p>
          <w:p w14:paraId="429ADDE6">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根据供应商结合项目实际情况，提供的信息管理/项目文档管理方案详细且科学合理，针对性强等内容进行综合评定：</w:t>
            </w:r>
          </w:p>
          <w:p w14:paraId="377C3FC5">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管理方案内容清晰、措施完整的得6分；</w:t>
            </w:r>
          </w:p>
          <w:p w14:paraId="05C6FCFF">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管理方案内容基本清晰、措施基本完整的得4分；</w:t>
            </w:r>
          </w:p>
          <w:p w14:paraId="28EC3D07">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管理方案内容不清晰、措施不完整的得2分；</w:t>
            </w:r>
          </w:p>
          <w:p w14:paraId="417DCB87">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内容未涉及的不得分。</w:t>
            </w:r>
          </w:p>
          <w:p w14:paraId="0D154582">
            <w:pPr>
              <w:adjustRightInd/>
              <w:textAlignment w:val="auto"/>
              <w:rPr>
                <w:rFonts w:ascii="Times New Roman" w:hAnsi="Times New Roman" w:eastAsia="宋体"/>
                <w:b/>
                <w:color w:val="auto"/>
                <w:sz w:val="21"/>
                <w:highlight w:val="none"/>
              </w:rPr>
            </w:pPr>
            <w:r>
              <w:rPr>
                <w:rFonts w:hint="eastAsia" w:ascii="Times New Roman" w:hAnsi="Times New Roman" w:eastAsia="宋体"/>
                <w:b/>
                <w:color w:val="auto"/>
                <w:sz w:val="21"/>
                <w:highlight w:val="none"/>
              </w:rPr>
              <w:t>6.3</w:t>
            </w:r>
            <w:r>
              <w:rPr>
                <w:rFonts w:ascii="Times New Roman" w:hAnsi="Times New Roman" w:eastAsia="宋体"/>
                <w:b/>
                <w:color w:val="auto"/>
                <w:sz w:val="21"/>
                <w:highlight w:val="none"/>
              </w:rPr>
              <w:t>项目建设的协调：</w:t>
            </w:r>
          </w:p>
          <w:p w14:paraId="29CC3D5C">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根据供应商针对本项目提供解决在建设过程中各种纠纷的预备方案措施内容进行综合评定。</w:t>
            </w:r>
          </w:p>
          <w:p w14:paraId="08509D5F">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预备方案措施内容清晰、完整全面的得6分；</w:t>
            </w:r>
          </w:p>
          <w:p w14:paraId="057DE41C">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预备方案措施内容基本清晰、基本完整的得4分；</w:t>
            </w:r>
          </w:p>
          <w:p w14:paraId="11EA6E50">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预备方案措施内容不清晰、不完整的得2分；</w:t>
            </w:r>
          </w:p>
          <w:p w14:paraId="7385A38E">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内容未涉及的不得分。</w:t>
            </w:r>
          </w:p>
          <w:p w14:paraId="762CE061">
            <w:pPr>
              <w:adjustRightInd/>
              <w:textAlignment w:val="auto"/>
              <w:rPr>
                <w:rFonts w:ascii="Times New Roman" w:hAnsi="Times New Roman" w:eastAsia="宋体"/>
                <w:b/>
                <w:color w:val="auto"/>
                <w:sz w:val="21"/>
                <w:highlight w:val="none"/>
              </w:rPr>
            </w:pPr>
            <w:r>
              <w:rPr>
                <w:rFonts w:hint="eastAsia" w:ascii="Times New Roman" w:hAnsi="Times New Roman" w:eastAsia="宋体"/>
                <w:b/>
                <w:color w:val="auto"/>
                <w:sz w:val="21"/>
                <w:highlight w:val="none"/>
              </w:rPr>
              <w:t>6.4</w:t>
            </w:r>
            <w:r>
              <w:rPr>
                <w:rFonts w:ascii="Times New Roman" w:hAnsi="Times New Roman" w:eastAsia="宋体"/>
                <w:b/>
                <w:color w:val="auto"/>
                <w:sz w:val="21"/>
                <w:highlight w:val="none"/>
              </w:rPr>
              <w:t xml:space="preserve">项目安全的管理 </w:t>
            </w:r>
          </w:p>
          <w:p w14:paraId="03ECAFA4">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根据供应商结合项目实际情况，提供的安全管理方案措施内容进行综合评定。</w:t>
            </w:r>
          </w:p>
          <w:p w14:paraId="41819CC4">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安全管理方案措施内容清晰、完整全面的得6分；</w:t>
            </w:r>
          </w:p>
          <w:p w14:paraId="7332C9E5">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安全管理方案措施内容基本清晰、基本完整的得4分；</w:t>
            </w:r>
          </w:p>
          <w:p w14:paraId="3218B773">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安全管理方案措施内容不清晰、不完整的得2分；</w:t>
            </w:r>
          </w:p>
          <w:p w14:paraId="6658DD33">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内容未涉及的不得分。</w:t>
            </w:r>
          </w:p>
          <w:p w14:paraId="3398F81C">
            <w:pPr>
              <w:adjustRightInd/>
              <w:textAlignment w:val="auto"/>
              <w:rPr>
                <w:rFonts w:ascii="Times New Roman" w:hAnsi="Times New Roman" w:eastAsia="宋体"/>
                <w:b/>
                <w:color w:val="auto"/>
                <w:sz w:val="21"/>
                <w:highlight w:val="none"/>
              </w:rPr>
            </w:pPr>
            <w:r>
              <w:rPr>
                <w:rFonts w:hint="eastAsia" w:ascii="Times New Roman" w:hAnsi="Times New Roman" w:eastAsia="宋体"/>
                <w:b/>
                <w:color w:val="auto"/>
                <w:sz w:val="21"/>
                <w:highlight w:val="none"/>
              </w:rPr>
              <w:t>6.5</w:t>
            </w:r>
            <w:r>
              <w:rPr>
                <w:rFonts w:ascii="Times New Roman" w:hAnsi="Times New Roman" w:eastAsia="宋体"/>
                <w:b/>
                <w:color w:val="auto"/>
                <w:sz w:val="21"/>
                <w:highlight w:val="none"/>
              </w:rPr>
              <w:t>项目知识产权的管理</w:t>
            </w:r>
          </w:p>
          <w:p w14:paraId="75EA6B4A">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根据供应商结合项目实际情况，提供的知识产权保护措施内容进行综合评定。</w:t>
            </w:r>
          </w:p>
          <w:p w14:paraId="569CE59B">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知识产权保护措施内容清晰、完整全面的得6分；</w:t>
            </w:r>
          </w:p>
          <w:p w14:paraId="1AD45765">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知识产权保护措施内容基本清晰、基本完整的得4分；</w:t>
            </w:r>
          </w:p>
          <w:p w14:paraId="5FD0121B">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知识产权保护措施内容不清晰、不完整的得2分；</w:t>
            </w:r>
          </w:p>
          <w:p w14:paraId="396BF235">
            <w:pPr>
              <w:adjustRightInd/>
              <w:textAlignment w:val="auto"/>
              <w:rPr>
                <w:rFonts w:ascii="Times New Roman" w:hAnsi="Times New Roman" w:eastAsia="宋体"/>
                <w:color w:val="auto"/>
                <w:sz w:val="21"/>
                <w:highlight w:val="none"/>
              </w:rPr>
            </w:pPr>
            <w:r>
              <w:rPr>
                <w:rFonts w:ascii="Times New Roman" w:hAnsi="Times New Roman" w:eastAsia="宋体"/>
                <w:bCs/>
                <w:color w:val="auto"/>
                <w:sz w:val="21"/>
                <w:highlight w:val="none"/>
              </w:rPr>
              <w:t>内容未涉及的不得分。</w:t>
            </w:r>
          </w:p>
        </w:tc>
      </w:tr>
      <w:tr w14:paraId="7806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pct"/>
            <w:vMerge w:val="continue"/>
            <w:noWrap/>
            <w:vAlign w:val="center"/>
          </w:tcPr>
          <w:p w14:paraId="0807D81C">
            <w:pPr>
              <w:adjustRightInd/>
              <w:spacing w:line="400" w:lineRule="exact"/>
              <w:jc w:val="center"/>
              <w:textAlignment w:val="auto"/>
              <w:rPr>
                <w:rFonts w:ascii="Times New Roman" w:hAnsi="Times New Roman" w:eastAsia="宋体"/>
                <w:color w:val="auto"/>
                <w:sz w:val="21"/>
                <w:highlight w:val="none"/>
              </w:rPr>
            </w:pPr>
          </w:p>
        </w:tc>
        <w:tc>
          <w:tcPr>
            <w:tcW w:w="4241" w:type="pct"/>
            <w:noWrap/>
            <w:vAlign w:val="center"/>
          </w:tcPr>
          <w:p w14:paraId="1449A0D1">
            <w:pPr>
              <w:numPr>
                <w:ilvl w:val="0"/>
                <w:numId w:val="3"/>
              </w:numPr>
              <w:adjustRightInd/>
              <w:textAlignment w:val="auto"/>
              <w:rPr>
                <w:rFonts w:ascii="Times New Roman" w:hAnsi="Times New Roman" w:eastAsia="宋体"/>
                <w:b/>
                <w:color w:val="auto"/>
                <w:sz w:val="21"/>
                <w:highlight w:val="none"/>
              </w:rPr>
            </w:pPr>
            <w:r>
              <w:rPr>
                <w:rFonts w:ascii="Times New Roman" w:hAnsi="Times New Roman" w:eastAsia="宋体"/>
                <w:b/>
                <w:color w:val="auto"/>
                <w:sz w:val="21"/>
                <w:highlight w:val="none"/>
              </w:rPr>
              <w:t>售后服务承诺</w:t>
            </w:r>
            <w:r>
              <w:rPr>
                <w:rFonts w:hint="eastAsia" w:ascii="Times New Roman" w:hAnsi="Times New Roman" w:eastAsia="宋体"/>
                <w:b/>
                <w:color w:val="auto"/>
                <w:sz w:val="21"/>
                <w:highlight w:val="none"/>
              </w:rPr>
              <w:t>（6分）</w:t>
            </w:r>
          </w:p>
          <w:p w14:paraId="0896ED80">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 xml:space="preserve">根据供应商针对项目提供的监理服务能力及持续的监理服务和快速的售后服务响应内容进行综合评定。 </w:t>
            </w:r>
          </w:p>
          <w:p w14:paraId="3D895493">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售后服务方案详细、完善，涵盖采购需求中所列举的内容的得</w:t>
            </w:r>
            <w:r>
              <w:rPr>
                <w:rFonts w:hint="eastAsia" w:ascii="Times New Roman" w:hAnsi="Times New Roman" w:eastAsia="宋体"/>
                <w:bCs/>
                <w:color w:val="auto"/>
                <w:sz w:val="21"/>
                <w:highlight w:val="none"/>
              </w:rPr>
              <w:t>6</w:t>
            </w:r>
            <w:r>
              <w:rPr>
                <w:rFonts w:ascii="Times New Roman" w:hAnsi="Times New Roman" w:eastAsia="宋体"/>
                <w:bCs/>
                <w:color w:val="auto"/>
                <w:sz w:val="21"/>
                <w:highlight w:val="none"/>
              </w:rPr>
              <w:t>分；</w:t>
            </w:r>
          </w:p>
          <w:p w14:paraId="62B2E0D8">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售后服务方案完整，基本涵盖采购需求中所列举的内容的得</w:t>
            </w:r>
            <w:r>
              <w:rPr>
                <w:rFonts w:hint="eastAsia" w:ascii="Times New Roman" w:hAnsi="Times New Roman" w:eastAsia="宋体"/>
                <w:bCs/>
                <w:color w:val="auto"/>
                <w:sz w:val="21"/>
                <w:highlight w:val="none"/>
              </w:rPr>
              <w:t>4</w:t>
            </w:r>
            <w:r>
              <w:rPr>
                <w:rFonts w:ascii="Times New Roman" w:hAnsi="Times New Roman" w:eastAsia="宋体"/>
                <w:bCs/>
                <w:color w:val="auto"/>
                <w:sz w:val="21"/>
                <w:highlight w:val="none"/>
              </w:rPr>
              <w:t>分；</w:t>
            </w:r>
          </w:p>
          <w:p w14:paraId="6C2220E0">
            <w:pPr>
              <w:adjustRightInd/>
              <w:textAlignment w:val="auto"/>
              <w:rPr>
                <w:rFonts w:ascii="Times New Roman" w:hAnsi="Times New Roman" w:eastAsia="宋体"/>
                <w:bCs/>
                <w:color w:val="auto"/>
                <w:sz w:val="21"/>
                <w:highlight w:val="none"/>
              </w:rPr>
            </w:pPr>
            <w:r>
              <w:rPr>
                <w:rFonts w:ascii="Times New Roman" w:hAnsi="Times New Roman" w:eastAsia="宋体"/>
                <w:bCs/>
                <w:color w:val="auto"/>
                <w:sz w:val="21"/>
                <w:highlight w:val="none"/>
              </w:rPr>
              <w:t>售后服务方案存在缺陷，采购需求中所列举内容不全的得</w:t>
            </w:r>
            <w:r>
              <w:rPr>
                <w:rFonts w:hint="eastAsia" w:ascii="Times New Roman" w:hAnsi="Times New Roman" w:eastAsia="宋体"/>
                <w:bCs/>
                <w:color w:val="auto"/>
                <w:sz w:val="21"/>
                <w:highlight w:val="none"/>
              </w:rPr>
              <w:t>2</w:t>
            </w:r>
            <w:r>
              <w:rPr>
                <w:rFonts w:ascii="Times New Roman" w:hAnsi="Times New Roman" w:eastAsia="宋体"/>
                <w:bCs/>
                <w:color w:val="auto"/>
                <w:sz w:val="21"/>
                <w:highlight w:val="none"/>
              </w:rPr>
              <w:t>分；</w:t>
            </w:r>
          </w:p>
          <w:p w14:paraId="4C4B4A5F">
            <w:pPr>
              <w:adjustRightInd/>
              <w:textAlignment w:val="auto"/>
              <w:rPr>
                <w:rFonts w:ascii="Times New Roman" w:hAnsi="Times New Roman" w:eastAsia="宋体"/>
                <w:color w:val="auto"/>
                <w:sz w:val="21"/>
                <w:highlight w:val="none"/>
              </w:rPr>
            </w:pPr>
            <w:r>
              <w:rPr>
                <w:rFonts w:ascii="Times New Roman" w:hAnsi="Times New Roman" w:eastAsia="宋体"/>
                <w:bCs/>
                <w:color w:val="auto"/>
                <w:sz w:val="21"/>
                <w:highlight w:val="none"/>
              </w:rPr>
              <w:t>内容未涉及的不得分。</w:t>
            </w:r>
          </w:p>
        </w:tc>
      </w:tr>
    </w:tbl>
    <w:p w14:paraId="662E39ED">
      <w:pPr>
        <w:rPr>
          <w:rFonts w:ascii="Times New Roman" w:hAnsi="Times New Roman" w:eastAsia="宋体"/>
          <w:bCs/>
          <w:color w:val="auto"/>
          <w:sz w:val="21"/>
          <w:highlight w:val="none"/>
        </w:rPr>
      </w:pPr>
      <w:r>
        <w:rPr>
          <w:rFonts w:ascii="Times New Roman" w:hAnsi="Times New Roman" w:eastAsia="宋体"/>
          <w:bCs/>
          <w:color w:val="auto"/>
          <w:sz w:val="21"/>
          <w:highlight w:val="none"/>
        </w:rPr>
        <w:t>注：1、小数点后保留二位数。2、各磋商小组成员自行按以上参考分值评分。3、重大事件由评委会集体讨论，按照“少数服从多数”原则。</w:t>
      </w: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90"/>
    <w:bookmarkEnd w:id="91"/>
    <w:p w14:paraId="7F875704">
      <w:pPr>
        <w:pStyle w:val="5"/>
        <w:adjustRightInd/>
        <w:spacing w:before="0" w:after="0" w:line="360" w:lineRule="auto"/>
        <w:jc w:val="center"/>
        <w:textAlignment w:val="auto"/>
        <w:rPr>
          <w:rFonts w:ascii="Times New Roman" w:hAnsi="Times New Roman" w:eastAsia="宋体"/>
          <w:color w:val="auto"/>
          <w:sz w:val="30"/>
          <w:szCs w:val="30"/>
          <w:highlight w:val="none"/>
        </w:rPr>
        <w:sectPr>
          <w:footnotePr>
            <w:numFmt w:val="decimalEnclosedCircleChinese"/>
          </w:footnotePr>
          <w:pgSz w:w="11906" w:h="16838"/>
          <w:pgMar w:top="1701" w:right="1134" w:bottom="1304" w:left="1134" w:header="850" w:footer="340" w:gutter="567"/>
          <w:cols w:space="720" w:num="1"/>
          <w:docGrid w:type="lines" w:linePitch="312" w:charSpace="0"/>
        </w:sectPr>
      </w:pPr>
      <w:bookmarkStart w:id="118" w:name="_Toc11368"/>
    </w:p>
    <w:p w14:paraId="771DEFC8">
      <w:pPr>
        <w:pStyle w:val="5"/>
        <w:adjustRightInd/>
        <w:spacing w:before="0" w:after="0" w:line="360" w:lineRule="auto"/>
        <w:jc w:val="center"/>
        <w:textAlignment w:val="auto"/>
        <w:rPr>
          <w:rFonts w:ascii="Times New Roman" w:hAnsi="Times New Roman" w:eastAsia="宋体"/>
          <w:color w:val="auto"/>
          <w:sz w:val="30"/>
          <w:szCs w:val="30"/>
          <w:highlight w:val="none"/>
        </w:rPr>
      </w:pPr>
      <w:bookmarkStart w:id="119" w:name="_Toc8071"/>
      <w:bookmarkStart w:id="120" w:name="_Toc16410"/>
      <w:bookmarkStart w:id="121" w:name="_Toc24760"/>
      <w:bookmarkStart w:id="122" w:name="_Toc20085"/>
      <w:bookmarkStart w:id="123" w:name="_Toc4100"/>
      <w:bookmarkStart w:id="124" w:name="_Toc27618"/>
      <w:bookmarkStart w:id="125" w:name="_Toc24335"/>
      <w:r>
        <w:rPr>
          <w:rFonts w:ascii="Times New Roman" w:hAnsi="Times New Roman" w:eastAsia="宋体"/>
          <w:color w:val="auto"/>
          <w:sz w:val="30"/>
          <w:szCs w:val="30"/>
          <w:highlight w:val="none"/>
        </w:rPr>
        <w:t>第六章</w:t>
      </w:r>
      <w:r>
        <w:rPr>
          <w:rFonts w:hint="eastAsia" w:ascii="Times New Roman" w:hAnsi="Times New Roman" w:eastAsia="宋体"/>
          <w:color w:val="auto"/>
          <w:sz w:val="30"/>
          <w:szCs w:val="30"/>
          <w:highlight w:val="none"/>
          <w:lang w:val="en-US" w:eastAsia="zh-CN"/>
        </w:rPr>
        <w:t xml:space="preserve"> </w:t>
      </w:r>
      <w:r>
        <w:rPr>
          <w:rFonts w:ascii="Times New Roman" w:hAnsi="Times New Roman" w:eastAsia="宋体"/>
          <w:color w:val="auto"/>
          <w:sz w:val="30"/>
          <w:szCs w:val="30"/>
          <w:highlight w:val="none"/>
        </w:rPr>
        <w:t>响应文件格式</w:t>
      </w:r>
      <w:bookmarkEnd w:id="118"/>
      <w:bookmarkEnd w:id="119"/>
      <w:bookmarkEnd w:id="120"/>
      <w:bookmarkEnd w:id="121"/>
      <w:bookmarkEnd w:id="122"/>
      <w:bookmarkEnd w:id="123"/>
      <w:bookmarkEnd w:id="124"/>
      <w:bookmarkEnd w:id="125"/>
    </w:p>
    <w:p w14:paraId="6D5673C3">
      <w:pPr>
        <w:rPr>
          <w:rFonts w:ascii="Times New Roman" w:hAnsi="Times New Roman" w:eastAsia="宋体"/>
          <w:color w:val="auto"/>
          <w:sz w:val="21"/>
          <w:highlight w:val="none"/>
        </w:rPr>
      </w:pPr>
      <w:r>
        <w:rPr>
          <w:rFonts w:ascii="Times New Roman" w:hAnsi="Times New Roman" w:eastAsia="宋体"/>
          <w:b/>
          <w:bCs/>
          <w:color w:val="auto"/>
          <w:sz w:val="21"/>
          <w:highlight w:val="none"/>
        </w:rPr>
        <w:t>1.封面：</w:t>
      </w:r>
    </w:p>
    <w:p w14:paraId="3A48B66B">
      <w:pPr>
        <w:ind w:firstLine="422" w:firstLineChars="200"/>
        <w:rPr>
          <w:rFonts w:ascii="Times New Roman" w:hAnsi="Times New Roman" w:eastAsia="宋体"/>
          <w:b/>
          <w:bCs/>
          <w:color w:val="auto"/>
          <w:sz w:val="21"/>
          <w:highlight w:val="none"/>
        </w:rPr>
      </w:pPr>
    </w:p>
    <w:p w14:paraId="26394CCE">
      <w:pPr>
        <w:ind w:firstLine="422" w:firstLineChars="200"/>
        <w:rPr>
          <w:rFonts w:ascii="Times New Roman" w:hAnsi="Times New Roman" w:eastAsia="宋体"/>
          <w:b/>
          <w:bCs/>
          <w:color w:val="auto"/>
          <w:sz w:val="21"/>
          <w:highlight w:val="none"/>
        </w:rPr>
      </w:pPr>
    </w:p>
    <w:p w14:paraId="2ED9697C">
      <w:pPr>
        <w:ind w:firstLine="422" w:firstLineChars="200"/>
        <w:rPr>
          <w:rFonts w:ascii="Times New Roman" w:hAnsi="Times New Roman" w:eastAsia="宋体"/>
          <w:color w:val="auto"/>
          <w:sz w:val="21"/>
          <w:highlight w:val="none"/>
        </w:rPr>
      </w:pPr>
      <w:r>
        <w:rPr>
          <w:rFonts w:ascii="Times New Roman" w:hAnsi="Times New Roman" w:eastAsia="宋体"/>
          <w:b/>
          <w:bCs/>
          <w:color w:val="auto"/>
          <w:sz w:val="21"/>
          <w:highlight w:val="none"/>
        </w:rPr>
        <w:t>响应文件</w:t>
      </w:r>
    </w:p>
    <w:p w14:paraId="7A86EF05">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 xml:space="preserve">项目名称：                       </w:t>
      </w:r>
    </w:p>
    <w:p w14:paraId="6A266182">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 xml:space="preserve">项目编号：                       </w:t>
      </w:r>
    </w:p>
    <w:p w14:paraId="0B96FBD3">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供应商名称（盖章）：</w:t>
      </w:r>
    </w:p>
    <w:p w14:paraId="2592E887">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法定代表人或授权代表（签字或盖章）：</w:t>
      </w:r>
    </w:p>
    <w:p w14:paraId="50F52D3E">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供应商地址：</w:t>
      </w:r>
    </w:p>
    <w:p w14:paraId="77376B4F">
      <w:pPr>
        <w:ind w:firstLine="420" w:firstLineChars="200"/>
        <w:rPr>
          <w:rFonts w:ascii="Times New Roman" w:hAnsi="Times New Roman" w:eastAsia="宋体"/>
          <w:color w:val="auto"/>
          <w:sz w:val="21"/>
          <w:highlight w:val="none"/>
        </w:rPr>
      </w:pPr>
    </w:p>
    <w:p w14:paraId="5B349F20">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 xml:space="preserve">                                                       年  月  日</w:t>
      </w:r>
    </w:p>
    <w:p w14:paraId="2F7B5C18">
      <w:pPr>
        <w:snapToGrid w:val="0"/>
        <w:spacing w:before="50" w:after="50"/>
        <w:rPr>
          <w:rFonts w:ascii="Times New Roman" w:hAnsi="Times New Roman" w:eastAsia="宋体"/>
          <w:b/>
          <w:color w:val="auto"/>
          <w:sz w:val="21"/>
          <w:highlight w:val="none"/>
        </w:rPr>
      </w:pPr>
      <w:r>
        <w:rPr>
          <w:rFonts w:ascii="Times New Roman" w:hAnsi="Times New Roman" w:eastAsia="宋体"/>
          <w:color w:val="auto"/>
          <w:sz w:val="21"/>
          <w:highlight w:val="none"/>
        </w:rPr>
        <w:br w:type="page"/>
      </w:r>
    </w:p>
    <w:p w14:paraId="14B56ACF">
      <w:pPr>
        <w:rPr>
          <w:rFonts w:ascii="Times New Roman" w:hAnsi="Times New Roman" w:eastAsia="宋体"/>
          <w:b/>
          <w:color w:val="auto"/>
          <w:highlight w:val="none"/>
        </w:rPr>
      </w:pPr>
      <w:r>
        <w:rPr>
          <w:rFonts w:ascii="Times New Roman" w:hAnsi="Times New Roman" w:eastAsia="宋体"/>
          <w:b/>
          <w:color w:val="auto"/>
          <w:sz w:val="21"/>
          <w:highlight w:val="none"/>
        </w:rPr>
        <w:t>2.</w:t>
      </w:r>
      <w:bookmarkStart w:id="126" w:name="_Toc275865606"/>
      <w:r>
        <w:rPr>
          <w:rFonts w:ascii="Times New Roman" w:hAnsi="Times New Roman" w:eastAsia="宋体"/>
          <w:b/>
          <w:color w:val="auto"/>
          <w:sz w:val="21"/>
          <w:highlight w:val="none"/>
        </w:rPr>
        <w:t>供应商资格声明函：</w:t>
      </w:r>
    </w:p>
    <w:bookmarkEnd w:id="126"/>
    <w:p w14:paraId="57E14B89">
      <w:pPr>
        <w:widowControl/>
        <w:adjustRightInd/>
        <w:jc w:val="center"/>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供应商资格声明函</w:t>
      </w:r>
    </w:p>
    <w:p w14:paraId="7C094120">
      <w:pPr>
        <w:adjustRightInd/>
        <w:textAlignment w:val="auto"/>
        <w:rPr>
          <w:rFonts w:ascii="Times New Roman" w:hAnsi="Times New Roman" w:eastAsia="宋体"/>
          <w:b/>
          <w:color w:val="auto"/>
          <w:kern w:val="2"/>
          <w:sz w:val="21"/>
          <w:highlight w:val="none"/>
        </w:rPr>
      </w:pPr>
    </w:p>
    <w:p w14:paraId="0058CB60">
      <w:pPr>
        <w:adjustRightInd/>
        <w:textAlignment w:val="auto"/>
        <w:rPr>
          <w:rFonts w:ascii="Times New Roman" w:hAnsi="Times New Roman" w:eastAsia="宋体"/>
          <w:b/>
          <w:color w:val="auto"/>
          <w:kern w:val="2"/>
          <w:sz w:val="21"/>
          <w:highlight w:val="none"/>
        </w:rPr>
      </w:pPr>
      <w:r>
        <w:rPr>
          <w:rFonts w:hint="eastAsia" w:ascii="Times New Roman" w:hAnsi="Times New Roman" w:eastAsia="宋体"/>
          <w:b/>
          <w:color w:val="auto"/>
          <w:kern w:val="2"/>
          <w:sz w:val="21"/>
          <w:highlight w:val="none"/>
        </w:rPr>
        <w:t>科信联合工程咨询有限公司</w:t>
      </w:r>
      <w:r>
        <w:rPr>
          <w:rFonts w:ascii="Times New Roman" w:hAnsi="Times New Roman" w:eastAsia="宋体"/>
          <w:b/>
          <w:color w:val="auto"/>
          <w:kern w:val="2"/>
          <w:sz w:val="21"/>
          <w:highlight w:val="none"/>
        </w:rPr>
        <w:t>：</w:t>
      </w:r>
    </w:p>
    <w:p w14:paraId="78B235A0">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关于贵司年月日发布项目（项目编号：）的采购公告，本公司（企业）愿意参加采购活动，并声明：</w:t>
      </w:r>
    </w:p>
    <w:p w14:paraId="16D29F4F">
      <w:pPr>
        <w:numPr>
          <w:ilvl w:val="0"/>
          <w:numId w:val="4"/>
        </w:numPr>
        <w:adjustRightInd/>
        <w:snapToGrid w:val="0"/>
        <w:ind w:firstLine="420" w:firstLineChars="200"/>
        <w:textAlignment w:val="auto"/>
        <w:rPr>
          <w:rFonts w:ascii="Times New Roman" w:hAnsi="Times New Roman" w:eastAsia="宋体"/>
          <w:bCs/>
          <w:color w:val="auto"/>
          <w:kern w:val="2"/>
          <w:sz w:val="21"/>
          <w:highlight w:val="none"/>
        </w:rPr>
      </w:pPr>
      <w:r>
        <w:rPr>
          <w:rFonts w:ascii="Times New Roman" w:hAnsi="Times New Roman" w:eastAsia="宋体"/>
          <w:color w:val="auto"/>
          <w:kern w:val="2"/>
          <w:sz w:val="21"/>
          <w:highlight w:val="none"/>
        </w:rPr>
        <w:t>本公司（企业）具备</w:t>
      </w:r>
      <w:r>
        <w:rPr>
          <w:rFonts w:ascii="Times New Roman" w:hAnsi="Times New Roman" w:eastAsia="宋体"/>
          <w:bCs/>
          <w:color w:val="auto"/>
          <w:kern w:val="2"/>
          <w:sz w:val="21"/>
          <w:highlight w:val="none"/>
        </w:rPr>
        <w:t>《中华人民共和国政府采购法》第二十二条资格条件：</w:t>
      </w:r>
    </w:p>
    <w:p w14:paraId="2215EBC4">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1.1、具有独立承担民事责任的能力；</w:t>
      </w:r>
    </w:p>
    <w:p w14:paraId="0C978872">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1.2、具有良好的商业信誉和健全的财务会计制度；</w:t>
      </w:r>
    </w:p>
    <w:p w14:paraId="03DA5064">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1.3、具有履行合同所必需的设备和专业技术能力；</w:t>
      </w:r>
    </w:p>
    <w:p w14:paraId="39F04272">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1.4、有依法缴纳税收和社会保障资金的良好记录；</w:t>
      </w:r>
    </w:p>
    <w:p w14:paraId="368C8EBC">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1.5、参加政府采购活动前三年内，在经营活动中没有重大违法记录；</w:t>
      </w:r>
    </w:p>
    <w:p w14:paraId="2D502EBE">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1.6、法律、行政法规规定的其他条件。</w:t>
      </w:r>
    </w:p>
    <w:p w14:paraId="37769313">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否则，由此所造成的损失、不良后果及法律责任，一律由我公司（企业）承担。</w:t>
      </w:r>
    </w:p>
    <w:p w14:paraId="401F281B">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2、本公司（企业）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14:paraId="30BD5A0B">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3、本公司（企业）的法定代表人或单位负责人与所参投的本项目的其他供应商的法定代表人或单位负责人不为同一人且与其他供应商之间不存在直接控股、管理关系。</w:t>
      </w:r>
    </w:p>
    <w:p w14:paraId="14C7EDCB">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4、根据《中华人民共和国政府采购法实施条例》的规定，本公司（企业）如为本项目提供整体设计、规范编制或者项目管理、监理、检测等服务的供应商，不得再参加该项目的其他采购活动（单一来源除外）。否则，由此所造成的损失、不良后果及法律责任，一律由我公司（企业）承担。</w:t>
      </w:r>
    </w:p>
    <w:p w14:paraId="5661FFC5">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5、我公司已清楚采购文件的要求及有关文件规定。本次采购活动中，如有违法、违规、弄虚作假行为，所造成的损失、不良后果及法律责任，一律由我公司（企业）承担。</w:t>
      </w:r>
    </w:p>
    <w:p w14:paraId="262002E5">
      <w:pPr>
        <w:adjustRightInd/>
        <w:snapToGrid w:val="0"/>
        <w:ind w:firstLine="422" w:firstLineChars="200"/>
        <w:textAlignment w:val="auto"/>
        <w:rPr>
          <w:rFonts w:ascii="Times New Roman" w:hAnsi="Times New Roman" w:eastAsia="宋体"/>
          <w:color w:val="auto"/>
          <w:spacing w:val="4"/>
          <w:kern w:val="2"/>
          <w:sz w:val="21"/>
          <w:highlight w:val="none"/>
        </w:rPr>
      </w:pPr>
      <w:r>
        <w:rPr>
          <w:rFonts w:ascii="Times New Roman" w:hAnsi="Times New Roman" w:eastAsia="宋体"/>
          <w:b/>
          <w:color w:val="auto"/>
          <w:kern w:val="2"/>
          <w:sz w:val="21"/>
          <w:highlight w:val="none"/>
        </w:rPr>
        <w:t>特此声明！</w:t>
      </w:r>
    </w:p>
    <w:p w14:paraId="29B0D3C9">
      <w:pPr>
        <w:widowControl/>
        <w:ind w:firstLine="420" w:firstLineChars="200"/>
        <w:rPr>
          <w:rFonts w:ascii="Times New Roman" w:hAnsi="Times New Roman" w:eastAsia="宋体"/>
          <w:color w:val="auto"/>
          <w:sz w:val="21"/>
          <w:highlight w:val="none"/>
        </w:rPr>
      </w:pPr>
    </w:p>
    <w:p w14:paraId="4737430B">
      <w:pPr>
        <w:pStyle w:val="39"/>
        <w:rPr>
          <w:rFonts w:ascii="Times New Roman" w:hAnsi="Times New Roman"/>
          <w:color w:val="auto"/>
          <w:highlight w:val="none"/>
        </w:rPr>
      </w:pPr>
    </w:p>
    <w:p w14:paraId="45F7800E">
      <w:pPr>
        <w:widowControl/>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供应商名称（盖章）：</w:t>
      </w:r>
    </w:p>
    <w:p w14:paraId="7038D181">
      <w:pPr>
        <w:widowControl/>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法定代表人或授权代表（签字或盖章）：</w:t>
      </w:r>
    </w:p>
    <w:p w14:paraId="47CC1D36">
      <w:pPr>
        <w:widowControl/>
        <w:ind w:firstLine="420" w:firstLineChars="200"/>
        <w:rPr>
          <w:rFonts w:ascii="Times New Roman" w:hAnsi="Times New Roman" w:eastAsia="宋体"/>
          <w:b/>
          <w:color w:val="auto"/>
          <w:spacing w:val="-4"/>
          <w:highlight w:val="none"/>
        </w:rPr>
      </w:pPr>
      <w:r>
        <w:rPr>
          <w:rFonts w:ascii="Times New Roman" w:hAnsi="Times New Roman" w:eastAsia="宋体"/>
          <w:color w:val="auto"/>
          <w:sz w:val="21"/>
          <w:highlight w:val="none"/>
        </w:rPr>
        <w:t>日  期：</w:t>
      </w:r>
    </w:p>
    <w:p w14:paraId="5E6258D8">
      <w:pPr>
        <w:rPr>
          <w:rFonts w:ascii="Times New Roman" w:hAnsi="Times New Roman" w:eastAsia="宋体"/>
          <w:b/>
          <w:color w:val="auto"/>
          <w:sz w:val="21"/>
          <w:highlight w:val="none"/>
        </w:rPr>
      </w:pPr>
    </w:p>
    <w:p w14:paraId="76187696">
      <w:pPr>
        <w:rPr>
          <w:rFonts w:ascii="Times New Roman" w:hAnsi="Times New Roman" w:eastAsia="宋体"/>
          <w:b/>
          <w:color w:val="auto"/>
          <w:sz w:val="21"/>
          <w:highlight w:val="none"/>
        </w:rPr>
      </w:pPr>
      <w:r>
        <w:rPr>
          <w:rFonts w:ascii="Times New Roman" w:hAnsi="Times New Roman" w:eastAsia="宋体"/>
          <w:b/>
          <w:color w:val="auto"/>
          <w:sz w:val="21"/>
          <w:highlight w:val="none"/>
        </w:rPr>
        <w:t>3.符合《中华人民共和国政府采购法》第二十二条规定的供应商资格条件，提供以下材料及承诺（承诺详见《供应商资格声明函》）：</w:t>
      </w:r>
    </w:p>
    <w:p w14:paraId="34A771A7">
      <w:pPr>
        <w:rPr>
          <w:rFonts w:ascii="Times New Roman" w:hAnsi="Times New Roman" w:eastAsia="宋体"/>
          <w:b/>
          <w:color w:val="auto"/>
          <w:sz w:val="21"/>
          <w:highlight w:val="none"/>
        </w:rPr>
      </w:pPr>
      <w:r>
        <w:rPr>
          <w:rFonts w:ascii="Times New Roman" w:hAnsi="Times New Roman" w:eastAsia="宋体"/>
          <w:b/>
          <w:color w:val="auto"/>
          <w:sz w:val="21"/>
          <w:highlight w:val="none"/>
        </w:rPr>
        <w:t>（1）供应商的营业执照副本复印件（如有）、特定资格证明材料复印件（如有）（加盖公章或各自单位公章）；</w:t>
      </w:r>
    </w:p>
    <w:p w14:paraId="2B53AA42">
      <w:pPr>
        <w:rPr>
          <w:rFonts w:ascii="Times New Roman" w:hAnsi="Times New Roman" w:eastAsia="宋体"/>
          <w:b/>
          <w:color w:val="auto"/>
          <w:sz w:val="21"/>
          <w:highlight w:val="none"/>
        </w:rPr>
      </w:pPr>
    </w:p>
    <w:p w14:paraId="7D14A456">
      <w:pPr>
        <w:rPr>
          <w:rFonts w:ascii="Times New Roman" w:hAnsi="Times New Roman" w:eastAsia="宋体"/>
          <w:b/>
          <w:color w:val="auto"/>
          <w:sz w:val="21"/>
          <w:highlight w:val="none"/>
        </w:rPr>
      </w:pPr>
    </w:p>
    <w:p w14:paraId="2BF9C1E3">
      <w:pPr>
        <w:rPr>
          <w:rFonts w:ascii="Times New Roman" w:hAnsi="Times New Roman" w:eastAsia="宋体"/>
          <w:color w:val="auto"/>
          <w:highlight w:val="none"/>
        </w:rPr>
      </w:pPr>
      <w:r>
        <w:rPr>
          <w:rFonts w:ascii="Times New Roman" w:hAnsi="Times New Roman" w:eastAsia="宋体"/>
          <w:b/>
          <w:color w:val="auto"/>
          <w:sz w:val="21"/>
          <w:highlight w:val="none"/>
        </w:rPr>
        <w:br w:type="page"/>
      </w:r>
    </w:p>
    <w:p w14:paraId="26BAFE4A">
      <w:pPr>
        <w:widowControl/>
        <w:adjustRightInd/>
        <w:jc w:val="left"/>
        <w:textAlignment w:val="auto"/>
        <w:rPr>
          <w:rFonts w:ascii="Times New Roman" w:hAnsi="Times New Roman" w:eastAsia="宋体"/>
          <w:b/>
          <w:bCs/>
          <w:color w:val="auto"/>
          <w:sz w:val="21"/>
          <w:highlight w:val="none"/>
        </w:rPr>
      </w:pPr>
      <w:r>
        <w:rPr>
          <w:rFonts w:ascii="Times New Roman" w:hAnsi="Times New Roman" w:eastAsia="宋体"/>
          <w:b/>
          <w:color w:val="auto"/>
          <w:sz w:val="21"/>
          <w:highlight w:val="none"/>
        </w:rPr>
        <w:t>4.报价函：</w:t>
      </w:r>
    </w:p>
    <w:p w14:paraId="2015D343">
      <w:pPr>
        <w:widowControl/>
        <w:adjustRightInd/>
        <w:jc w:val="center"/>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报 价 函</w:t>
      </w:r>
    </w:p>
    <w:p w14:paraId="3F4F3264">
      <w:pPr>
        <w:pStyle w:val="72"/>
        <w:snapToGrid w:val="0"/>
        <w:rPr>
          <w:rFonts w:hAnsi="Times New Roman" w:eastAsia="宋体"/>
          <w:b/>
          <w:bCs/>
          <w:color w:val="auto"/>
          <w:spacing w:val="-4"/>
          <w:kern w:val="2"/>
          <w:sz w:val="21"/>
          <w:highlight w:val="none"/>
        </w:rPr>
      </w:pPr>
    </w:p>
    <w:p w14:paraId="7335306F">
      <w:pPr>
        <w:pStyle w:val="72"/>
        <w:snapToGrid w:val="0"/>
        <w:rPr>
          <w:rFonts w:hAnsi="Times New Roman" w:eastAsia="宋体"/>
          <w:color w:val="auto"/>
          <w:sz w:val="21"/>
          <w:highlight w:val="none"/>
        </w:rPr>
      </w:pPr>
      <w:r>
        <w:rPr>
          <w:rFonts w:hint="eastAsia" w:hAnsi="Times New Roman" w:eastAsia="宋体"/>
          <w:b/>
          <w:bCs/>
          <w:color w:val="auto"/>
          <w:spacing w:val="-4"/>
          <w:kern w:val="2"/>
          <w:sz w:val="21"/>
          <w:highlight w:val="none"/>
        </w:rPr>
        <w:t>科信联合工程咨询有限公司</w:t>
      </w:r>
      <w:r>
        <w:rPr>
          <w:rFonts w:hAnsi="Times New Roman" w:eastAsia="宋体"/>
          <w:b/>
          <w:bCs/>
          <w:color w:val="auto"/>
          <w:spacing w:val="-4"/>
          <w:kern w:val="2"/>
          <w:sz w:val="21"/>
          <w:highlight w:val="none"/>
        </w:rPr>
        <w:t>：</w:t>
      </w:r>
    </w:p>
    <w:p w14:paraId="45C677CF">
      <w:pPr>
        <w:pStyle w:val="72"/>
        <w:adjustRightInd/>
        <w:ind w:firstLine="404" w:firstLineChars="200"/>
        <w:rPr>
          <w:rFonts w:hAnsi="Times New Roman" w:eastAsia="宋体"/>
          <w:color w:val="auto"/>
          <w:sz w:val="21"/>
          <w:highlight w:val="none"/>
          <w:u w:val="single"/>
        </w:rPr>
      </w:pPr>
      <w:r>
        <w:rPr>
          <w:rFonts w:hAnsi="Times New Roman" w:eastAsia="宋体"/>
          <w:color w:val="auto"/>
          <w:spacing w:val="-4"/>
          <w:kern w:val="2"/>
          <w:sz w:val="21"/>
          <w:highlight w:val="none"/>
          <w:u w:val="single"/>
        </w:rPr>
        <w:t xml:space="preserve">           （供应商名称）      </w:t>
      </w:r>
      <w:r>
        <w:rPr>
          <w:rFonts w:hAnsi="Times New Roman" w:eastAsia="宋体"/>
          <w:color w:val="auto"/>
          <w:spacing w:val="-4"/>
          <w:kern w:val="2"/>
          <w:sz w:val="21"/>
          <w:highlight w:val="none"/>
        </w:rPr>
        <w:t>授权</w:t>
      </w:r>
      <w:r>
        <w:rPr>
          <w:rFonts w:hAnsi="Times New Roman" w:eastAsia="宋体"/>
          <w:color w:val="auto"/>
          <w:spacing w:val="-4"/>
          <w:kern w:val="2"/>
          <w:sz w:val="21"/>
          <w:highlight w:val="none"/>
          <w:u w:val="single"/>
        </w:rPr>
        <w:t>（授权代表姓名、职务）</w:t>
      </w:r>
      <w:r>
        <w:rPr>
          <w:rFonts w:hAnsi="Times New Roman" w:eastAsia="宋体"/>
          <w:color w:val="auto"/>
          <w:spacing w:val="-4"/>
          <w:kern w:val="2"/>
          <w:sz w:val="21"/>
          <w:highlight w:val="none"/>
        </w:rPr>
        <w:t xml:space="preserve">为本公司（单位）合法代理人，参加贵方组织的 </w:t>
      </w:r>
      <w:r>
        <w:rPr>
          <w:rFonts w:hAnsi="Times New Roman" w:eastAsia="宋体"/>
          <w:color w:val="auto"/>
          <w:spacing w:val="-4"/>
          <w:kern w:val="2"/>
          <w:sz w:val="21"/>
          <w:highlight w:val="none"/>
          <w:u w:val="single"/>
        </w:rPr>
        <w:t xml:space="preserve">         （项目编号、项目名称）      </w:t>
      </w:r>
      <w:r>
        <w:rPr>
          <w:rFonts w:hAnsi="Times New Roman" w:eastAsia="宋体"/>
          <w:color w:val="auto"/>
          <w:spacing w:val="-4"/>
          <w:kern w:val="2"/>
          <w:sz w:val="21"/>
          <w:highlight w:val="none"/>
        </w:rPr>
        <w:t>采购活动，代表本公司（单位）处理采购活动中的一切事宜，为对</w:t>
      </w:r>
      <w:r>
        <w:rPr>
          <w:rFonts w:hAnsi="Times New Roman" w:eastAsia="宋体"/>
          <w:color w:val="auto"/>
          <w:spacing w:val="-4"/>
          <w:kern w:val="2"/>
          <w:sz w:val="21"/>
          <w:highlight w:val="none"/>
          <w:u w:val="single"/>
        </w:rPr>
        <w:t xml:space="preserve">     （项目名称）       </w:t>
      </w:r>
      <w:r>
        <w:rPr>
          <w:rFonts w:hAnsi="Times New Roman" w:eastAsia="宋体"/>
          <w:color w:val="auto"/>
          <w:spacing w:val="-4"/>
          <w:kern w:val="2"/>
          <w:sz w:val="21"/>
          <w:highlight w:val="none"/>
        </w:rPr>
        <w:t>进行响应，在此：</w:t>
      </w:r>
    </w:p>
    <w:p w14:paraId="237F8D74">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1、提供采购文件中“响应须知”规定的全部响应文件：</w:t>
      </w:r>
    </w:p>
    <w:p w14:paraId="65FC9BB3">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（1）响应文件（资格审查部分、商务技术部分、报价部分）1份。</w:t>
      </w:r>
    </w:p>
    <w:p w14:paraId="59D0A47B">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2、据此函，签字代表宣布并承诺如下：</w:t>
      </w:r>
    </w:p>
    <w:p w14:paraId="0B7722AA">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（1）本响应自开启之日起</w:t>
      </w:r>
      <w:r>
        <w:rPr>
          <w:rFonts w:hAnsi="Times New Roman" w:eastAsia="宋体"/>
          <w:color w:val="auto"/>
          <w:spacing w:val="-4"/>
          <w:kern w:val="2"/>
          <w:sz w:val="21"/>
          <w:highlight w:val="none"/>
          <w:u w:val="single"/>
        </w:rPr>
        <w:t xml:space="preserve"> 60 </w:t>
      </w:r>
      <w:r>
        <w:rPr>
          <w:rFonts w:hAnsi="Times New Roman" w:eastAsia="宋体"/>
          <w:color w:val="auto"/>
          <w:spacing w:val="-4"/>
          <w:kern w:val="2"/>
          <w:sz w:val="21"/>
          <w:highlight w:val="none"/>
        </w:rPr>
        <w:t>天内有效。</w:t>
      </w:r>
    </w:p>
    <w:p w14:paraId="7019B4F6">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（2）我们已详细审查全部采购文件及有关的澄清/修改文件（若有的话），我们完全理解并同意放弃对这方面提出任何异议的权利。保证遵守采购文件有关条款规定。</w:t>
      </w:r>
    </w:p>
    <w:p w14:paraId="4251EAD8">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（3）保证在成交后忠实地执行与采购人所签署的合同，并承担合同规定的责任义务。保证在成交后按照采购文件的规定支付成交服务费。</w:t>
      </w:r>
    </w:p>
    <w:p w14:paraId="21E5C788">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（4）承诺应贵方要求提供任何与该项目响应有关的数据、情况和技术资料。</w:t>
      </w:r>
    </w:p>
    <w:p w14:paraId="2877B282">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（5）我们承诺，与为采购人采购本次的货物或服务进行设计、编制规范和其他文件所委托的咨询公司或其附属机构无任何直接或间接的关联。</w:t>
      </w:r>
    </w:p>
    <w:p w14:paraId="0821CCA9">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（6）响应方已详细审查并理解全部采购文件，如有违反，愿意接受监管机构相应的处理。</w:t>
      </w:r>
    </w:p>
    <w:p w14:paraId="41023943">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3、与本采购活动有关的一切往来通讯请寄：</w:t>
      </w:r>
    </w:p>
    <w:p w14:paraId="48270C7F">
      <w:pPr>
        <w:pStyle w:val="72"/>
        <w:adjustRightInd/>
        <w:ind w:firstLine="404" w:firstLineChars="200"/>
        <w:rPr>
          <w:rFonts w:hAnsi="Times New Roman" w:eastAsia="宋体"/>
          <w:color w:val="auto"/>
          <w:sz w:val="21"/>
          <w:highlight w:val="none"/>
        </w:rPr>
      </w:pPr>
      <w:r>
        <w:rPr>
          <w:rFonts w:hAnsi="Times New Roman" w:eastAsia="宋体"/>
          <w:color w:val="auto"/>
          <w:spacing w:val="-4"/>
          <w:kern w:val="2"/>
          <w:sz w:val="21"/>
          <w:highlight w:val="none"/>
        </w:rPr>
        <w:t>地址：</w:t>
      </w:r>
    </w:p>
    <w:p w14:paraId="7F76FE56">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邮编：</w:t>
      </w:r>
    </w:p>
    <w:p w14:paraId="18388014">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电话：</w:t>
      </w:r>
    </w:p>
    <w:p w14:paraId="35A2C46C">
      <w:pPr>
        <w:pStyle w:val="72"/>
        <w:adjustRightInd/>
        <w:ind w:firstLine="404" w:firstLineChars="200"/>
        <w:rPr>
          <w:rFonts w:hAnsi="Times New Roman" w:eastAsia="宋体"/>
          <w:color w:val="auto"/>
          <w:sz w:val="21"/>
          <w:highlight w:val="none"/>
          <w:u w:val="single"/>
        </w:rPr>
      </w:pPr>
      <w:r>
        <w:rPr>
          <w:rFonts w:hAnsi="Times New Roman" w:eastAsia="宋体"/>
          <w:color w:val="auto"/>
          <w:spacing w:val="-4"/>
          <w:kern w:val="2"/>
          <w:sz w:val="21"/>
          <w:highlight w:val="none"/>
        </w:rPr>
        <w:t>传真：</w:t>
      </w:r>
    </w:p>
    <w:p w14:paraId="351F6588">
      <w:pPr>
        <w:pStyle w:val="72"/>
        <w:snapToGrid w:val="0"/>
        <w:ind w:firstLine="420" w:firstLineChars="200"/>
        <w:rPr>
          <w:rFonts w:hAnsi="Times New Roman" w:eastAsia="宋体"/>
          <w:color w:val="auto"/>
          <w:sz w:val="21"/>
          <w:highlight w:val="none"/>
        </w:rPr>
      </w:pPr>
    </w:p>
    <w:p w14:paraId="7752798B">
      <w:pPr>
        <w:pStyle w:val="72"/>
        <w:snapToGrid w:val="0"/>
        <w:ind w:firstLine="420" w:firstLineChars="200"/>
        <w:rPr>
          <w:rFonts w:hAnsi="Times New Roman" w:eastAsia="宋体"/>
          <w:color w:val="auto"/>
          <w:sz w:val="21"/>
          <w:highlight w:val="none"/>
        </w:rPr>
      </w:pPr>
    </w:p>
    <w:p w14:paraId="45F3E305">
      <w:pPr>
        <w:widowControl/>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供应商名称（盖章）：</w:t>
      </w:r>
    </w:p>
    <w:p w14:paraId="5DD48012">
      <w:pPr>
        <w:widowControl/>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法定代表人或授权代表（签字或盖章）：</w:t>
      </w:r>
    </w:p>
    <w:p w14:paraId="114EF786">
      <w:pPr>
        <w:widowControl/>
        <w:ind w:firstLine="420" w:firstLineChars="200"/>
        <w:rPr>
          <w:rFonts w:ascii="Times New Roman" w:hAnsi="Times New Roman" w:eastAsia="宋体"/>
          <w:color w:val="auto"/>
          <w:sz w:val="21"/>
          <w:highlight w:val="none"/>
        </w:rPr>
        <w:sectPr>
          <w:footerReference r:id="rId13" w:type="default"/>
          <w:footnotePr>
            <w:numFmt w:val="decimalEnclosedCircleChinese"/>
          </w:footnotePr>
          <w:pgSz w:w="11906" w:h="16838"/>
          <w:pgMar w:top="1701" w:right="1134" w:bottom="1304" w:left="1134" w:header="964" w:footer="567" w:gutter="567"/>
          <w:cols w:space="720" w:num="1"/>
          <w:docGrid w:type="lines" w:linePitch="312" w:charSpace="0"/>
        </w:sectPr>
      </w:pPr>
      <w:r>
        <w:rPr>
          <w:rFonts w:ascii="Times New Roman" w:hAnsi="Times New Roman" w:eastAsia="宋体"/>
          <w:color w:val="auto"/>
          <w:sz w:val="21"/>
          <w:highlight w:val="none"/>
        </w:rPr>
        <w:t>日  期：</w:t>
      </w:r>
    </w:p>
    <w:p w14:paraId="2110B3F3">
      <w:pPr>
        <w:widowControl/>
        <w:adjustRightInd/>
        <w:jc w:val="center"/>
        <w:textAlignment w:val="auto"/>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rPr>
        <w:t>报 价 函 附 录</w:t>
      </w:r>
    </w:p>
    <w:tbl>
      <w:tblPr>
        <w:tblStyle w:val="78"/>
        <w:tblW w:w="93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813"/>
        <w:gridCol w:w="886"/>
        <w:gridCol w:w="3528"/>
        <w:gridCol w:w="1472"/>
      </w:tblGrid>
      <w:tr w14:paraId="0E335B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41" w:type="dxa"/>
            <w:vAlign w:val="center"/>
          </w:tcPr>
          <w:p w14:paraId="286D44DF">
            <w:pPr>
              <w:widowControl/>
              <w:rPr>
                <w:rFonts w:ascii="Times New Roman" w:hAnsi="Times New Roman" w:eastAsia="宋体"/>
                <w:color w:val="auto"/>
                <w:sz w:val="21"/>
                <w:highlight w:val="none"/>
              </w:rPr>
            </w:pPr>
            <w:r>
              <w:rPr>
                <w:rFonts w:hint="eastAsia" w:ascii="Times New Roman" w:hAnsi="Times New Roman" w:eastAsia="宋体"/>
                <w:color w:val="auto"/>
                <w:sz w:val="21"/>
                <w:highlight w:val="none"/>
              </w:rPr>
              <w:t>序号</w:t>
            </w:r>
          </w:p>
        </w:tc>
        <w:tc>
          <w:tcPr>
            <w:tcW w:w="2813" w:type="dxa"/>
            <w:vAlign w:val="center"/>
          </w:tcPr>
          <w:p w14:paraId="7DB027CE">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条款名称</w:t>
            </w:r>
          </w:p>
        </w:tc>
        <w:tc>
          <w:tcPr>
            <w:tcW w:w="886" w:type="dxa"/>
            <w:vAlign w:val="center"/>
          </w:tcPr>
          <w:p w14:paraId="32186F52">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合同条款号</w:t>
            </w:r>
          </w:p>
        </w:tc>
        <w:tc>
          <w:tcPr>
            <w:tcW w:w="3528" w:type="dxa"/>
            <w:vAlign w:val="center"/>
          </w:tcPr>
          <w:p w14:paraId="040BDEB8">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约定内容</w:t>
            </w:r>
          </w:p>
        </w:tc>
        <w:tc>
          <w:tcPr>
            <w:tcW w:w="1472" w:type="dxa"/>
            <w:vAlign w:val="center"/>
          </w:tcPr>
          <w:p w14:paraId="5F6E617D">
            <w:pPr>
              <w:widowControl/>
              <w:rPr>
                <w:rFonts w:ascii="Times New Roman" w:hAnsi="Times New Roman" w:eastAsia="宋体"/>
                <w:color w:val="auto"/>
                <w:sz w:val="21"/>
                <w:highlight w:val="none"/>
              </w:rPr>
            </w:pPr>
            <w:r>
              <w:rPr>
                <w:rFonts w:hint="eastAsia" w:ascii="Times New Roman" w:hAnsi="Times New Roman" w:eastAsia="宋体"/>
                <w:color w:val="auto"/>
                <w:sz w:val="21"/>
                <w:highlight w:val="none"/>
              </w:rPr>
              <w:t>供应商承诺</w:t>
            </w:r>
          </w:p>
        </w:tc>
      </w:tr>
      <w:tr w14:paraId="179885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1" w:type="dxa"/>
            <w:vAlign w:val="center"/>
          </w:tcPr>
          <w:p w14:paraId="786A2F55">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1</w:t>
            </w:r>
          </w:p>
        </w:tc>
        <w:tc>
          <w:tcPr>
            <w:tcW w:w="2813" w:type="dxa"/>
            <w:vAlign w:val="center"/>
          </w:tcPr>
          <w:p w14:paraId="1C7F9EE9">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履约保证金金额</w:t>
            </w:r>
          </w:p>
        </w:tc>
        <w:tc>
          <w:tcPr>
            <w:tcW w:w="886" w:type="dxa"/>
            <w:vAlign w:val="center"/>
          </w:tcPr>
          <w:p w14:paraId="2F332EDB">
            <w:pPr>
              <w:widowControl/>
              <w:ind w:firstLine="420" w:firstLineChars="200"/>
              <w:rPr>
                <w:rFonts w:ascii="Times New Roman" w:hAnsi="Times New Roman" w:eastAsia="宋体"/>
                <w:color w:val="auto"/>
                <w:sz w:val="21"/>
                <w:highlight w:val="none"/>
              </w:rPr>
            </w:pPr>
            <w:r>
              <w:rPr>
                <w:rFonts w:hint="eastAsia" w:ascii="Times New Roman" w:hAnsi="Times New Roman" w:eastAsia="宋体"/>
                <w:color w:val="auto"/>
                <w:sz w:val="21"/>
                <w:highlight w:val="none"/>
              </w:rPr>
              <w:t>/</w:t>
            </w:r>
          </w:p>
        </w:tc>
        <w:tc>
          <w:tcPr>
            <w:tcW w:w="3528" w:type="dxa"/>
            <w:vAlign w:val="center"/>
          </w:tcPr>
          <w:p w14:paraId="43808163">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合同金额的</w:t>
            </w:r>
            <w:r>
              <w:rPr>
                <w:rFonts w:hint="eastAsia" w:ascii="Times New Roman" w:hAnsi="Times New Roman" w:eastAsia="宋体"/>
                <w:color w:val="auto"/>
                <w:sz w:val="21"/>
                <w:highlight w:val="none"/>
                <w:u w:val="single"/>
              </w:rPr>
              <w:t>1</w:t>
            </w:r>
            <w:r>
              <w:rPr>
                <w:rFonts w:hint="eastAsia" w:ascii="Times New Roman" w:hAnsi="Times New Roman" w:eastAsia="宋体"/>
                <w:color w:val="auto"/>
                <w:sz w:val="21"/>
                <w:highlight w:val="none"/>
              </w:rPr>
              <w:t>%</w:t>
            </w:r>
          </w:p>
        </w:tc>
        <w:tc>
          <w:tcPr>
            <w:tcW w:w="1472" w:type="dxa"/>
            <w:vAlign w:val="center"/>
          </w:tcPr>
          <w:p w14:paraId="466EBF3C">
            <w:pPr>
              <w:widowControl/>
              <w:ind w:firstLine="420" w:firstLineChars="200"/>
              <w:rPr>
                <w:rFonts w:ascii="Times New Roman" w:hAnsi="Times New Roman" w:eastAsia="宋体"/>
                <w:color w:val="auto"/>
                <w:sz w:val="21"/>
                <w:highlight w:val="none"/>
              </w:rPr>
            </w:pPr>
          </w:p>
        </w:tc>
      </w:tr>
      <w:tr w14:paraId="4037E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41" w:type="dxa"/>
            <w:vAlign w:val="center"/>
          </w:tcPr>
          <w:p w14:paraId="0A50D727">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2</w:t>
            </w:r>
          </w:p>
        </w:tc>
        <w:tc>
          <w:tcPr>
            <w:tcW w:w="2813" w:type="dxa"/>
            <w:vAlign w:val="center"/>
          </w:tcPr>
          <w:p w14:paraId="58C000F1">
            <w:pPr>
              <w:widowControl/>
              <w:jc w:val="center"/>
              <w:rPr>
                <w:rFonts w:ascii="Times New Roman" w:hAnsi="Times New Roman" w:eastAsia="宋体"/>
                <w:color w:val="auto"/>
                <w:sz w:val="21"/>
                <w:highlight w:val="none"/>
              </w:rPr>
            </w:pPr>
            <w:r>
              <w:rPr>
                <w:rFonts w:ascii="Times New Roman" w:hAnsi="Times New Roman" w:eastAsia="宋体"/>
                <w:color w:val="auto"/>
                <w:sz w:val="21"/>
                <w:highlight w:val="none"/>
              </w:rPr>
              <w:t>进度控制落后于施工工期赔偿标准</w:t>
            </w:r>
          </w:p>
        </w:tc>
        <w:tc>
          <w:tcPr>
            <w:tcW w:w="886" w:type="dxa"/>
            <w:vAlign w:val="center"/>
          </w:tcPr>
          <w:p w14:paraId="1A5D0C22">
            <w:pPr>
              <w:widowControl/>
              <w:ind w:firstLine="420" w:firstLineChars="200"/>
              <w:rPr>
                <w:rFonts w:ascii="Times New Roman" w:hAnsi="Times New Roman" w:eastAsia="宋体"/>
                <w:color w:val="auto"/>
                <w:sz w:val="21"/>
                <w:highlight w:val="none"/>
              </w:rPr>
            </w:pPr>
            <w:r>
              <w:rPr>
                <w:rFonts w:hint="eastAsia" w:ascii="Times New Roman" w:hAnsi="Times New Roman" w:eastAsia="宋体"/>
                <w:color w:val="auto"/>
                <w:sz w:val="21"/>
                <w:highlight w:val="none"/>
              </w:rPr>
              <w:t>/</w:t>
            </w:r>
          </w:p>
        </w:tc>
        <w:tc>
          <w:tcPr>
            <w:tcW w:w="3528" w:type="dxa"/>
            <w:vAlign w:val="center"/>
          </w:tcPr>
          <w:p w14:paraId="78E92366">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u w:val="single"/>
              </w:rPr>
              <w:t>500</w:t>
            </w:r>
            <w:r>
              <w:rPr>
                <w:rFonts w:hint="eastAsia" w:ascii="Times New Roman" w:hAnsi="Times New Roman" w:eastAsia="宋体"/>
                <w:color w:val="auto"/>
                <w:sz w:val="21"/>
                <w:highlight w:val="none"/>
              </w:rPr>
              <w:t>元/天</w:t>
            </w:r>
          </w:p>
        </w:tc>
        <w:tc>
          <w:tcPr>
            <w:tcW w:w="1472" w:type="dxa"/>
            <w:vAlign w:val="center"/>
          </w:tcPr>
          <w:p w14:paraId="021C55FB">
            <w:pPr>
              <w:widowControl/>
              <w:ind w:firstLine="420" w:firstLineChars="200"/>
              <w:rPr>
                <w:rFonts w:ascii="Times New Roman" w:hAnsi="Times New Roman" w:eastAsia="宋体"/>
                <w:color w:val="auto"/>
                <w:sz w:val="21"/>
                <w:highlight w:val="none"/>
              </w:rPr>
            </w:pPr>
          </w:p>
        </w:tc>
      </w:tr>
      <w:tr w14:paraId="0358D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1" w:type="dxa"/>
            <w:vAlign w:val="center"/>
          </w:tcPr>
          <w:p w14:paraId="7CF2B912">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3</w:t>
            </w:r>
          </w:p>
        </w:tc>
        <w:tc>
          <w:tcPr>
            <w:tcW w:w="2813" w:type="dxa"/>
            <w:vAlign w:val="center"/>
          </w:tcPr>
          <w:p w14:paraId="66E195B1">
            <w:pPr>
              <w:widowControl/>
              <w:jc w:val="center"/>
              <w:rPr>
                <w:rFonts w:ascii="Times New Roman" w:hAnsi="Times New Roman" w:eastAsia="宋体"/>
                <w:color w:val="auto"/>
                <w:sz w:val="21"/>
                <w:highlight w:val="none"/>
              </w:rPr>
            </w:pPr>
            <w:r>
              <w:rPr>
                <w:rFonts w:ascii="Times New Roman" w:hAnsi="Times New Roman" w:eastAsia="宋体"/>
                <w:color w:val="auto"/>
                <w:sz w:val="21"/>
                <w:highlight w:val="none"/>
              </w:rPr>
              <w:t>未达到安全施工控制目标违约金限额</w:t>
            </w:r>
          </w:p>
        </w:tc>
        <w:tc>
          <w:tcPr>
            <w:tcW w:w="886" w:type="dxa"/>
            <w:vAlign w:val="center"/>
          </w:tcPr>
          <w:p w14:paraId="3B5904AD">
            <w:pPr>
              <w:widowControl/>
              <w:ind w:firstLine="420" w:firstLineChars="200"/>
              <w:rPr>
                <w:rFonts w:ascii="Times New Roman" w:hAnsi="Times New Roman" w:eastAsia="宋体"/>
                <w:color w:val="auto"/>
                <w:sz w:val="21"/>
                <w:highlight w:val="none"/>
              </w:rPr>
            </w:pPr>
            <w:r>
              <w:rPr>
                <w:rFonts w:hint="eastAsia" w:ascii="Times New Roman" w:hAnsi="Times New Roman" w:eastAsia="宋体"/>
                <w:color w:val="auto"/>
                <w:sz w:val="21"/>
                <w:highlight w:val="none"/>
              </w:rPr>
              <w:t>/</w:t>
            </w:r>
          </w:p>
        </w:tc>
        <w:tc>
          <w:tcPr>
            <w:tcW w:w="3528" w:type="dxa"/>
            <w:vAlign w:val="center"/>
          </w:tcPr>
          <w:p w14:paraId="62882A0B">
            <w:pPr>
              <w:widowControl/>
              <w:jc w:val="center"/>
              <w:rPr>
                <w:rFonts w:ascii="Times New Roman" w:hAnsi="Times New Roman" w:eastAsia="宋体"/>
                <w:color w:val="auto"/>
                <w:sz w:val="21"/>
                <w:highlight w:val="none"/>
              </w:rPr>
            </w:pPr>
            <w:r>
              <w:rPr>
                <w:rFonts w:ascii="Times New Roman" w:hAnsi="Times New Roman" w:eastAsia="宋体"/>
                <w:color w:val="auto"/>
                <w:sz w:val="21"/>
                <w:highlight w:val="none"/>
              </w:rPr>
              <w:t>履约担保（履约保证金）金额的</w:t>
            </w:r>
            <w:r>
              <w:rPr>
                <w:rFonts w:ascii="Times New Roman" w:hAnsi="Times New Roman" w:eastAsia="宋体"/>
                <w:color w:val="auto"/>
                <w:sz w:val="21"/>
                <w:highlight w:val="none"/>
                <w:u w:val="single"/>
              </w:rPr>
              <w:t>20</w:t>
            </w:r>
            <w:r>
              <w:rPr>
                <w:rFonts w:ascii="Times New Roman" w:hAnsi="Times New Roman" w:eastAsia="宋体"/>
                <w:color w:val="auto"/>
                <w:sz w:val="21"/>
                <w:highlight w:val="none"/>
              </w:rPr>
              <w:t>%</w:t>
            </w:r>
          </w:p>
        </w:tc>
        <w:tc>
          <w:tcPr>
            <w:tcW w:w="1472" w:type="dxa"/>
            <w:vAlign w:val="center"/>
          </w:tcPr>
          <w:p w14:paraId="69DA5A51">
            <w:pPr>
              <w:widowControl/>
              <w:ind w:firstLine="420" w:firstLineChars="200"/>
              <w:rPr>
                <w:rFonts w:ascii="Times New Roman" w:hAnsi="Times New Roman" w:eastAsia="宋体"/>
                <w:color w:val="auto"/>
                <w:sz w:val="21"/>
                <w:highlight w:val="none"/>
              </w:rPr>
            </w:pPr>
          </w:p>
        </w:tc>
      </w:tr>
      <w:tr w14:paraId="7F2913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1" w:type="dxa"/>
            <w:vAlign w:val="center"/>
          </w:tcPr>
          <w:p w14:paraId="461A285B">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4</w:t>
            </w:r>
          </w:p>
        </w:tc>
        <w:tc>
          <w:tcPr>
            <w:tcW w:w="2813" w:type="dxa"/>
            <w:vAlign w:val="center"/>
          </w:tcPr>
          <w:p w14:paraId="381427C3">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未达到进度控制目标或造成委托人工作严重被动的违约金限额</w:t>
            </w:r>
          </w:p>
        </w:tc>
        <w:tc>
          <w:tcPr>
            <w:tcW w:w="886" w:type="dxa"/>
            <w:vAlign w:val="center"/>
          </w:tcPr>
          <w:p w14:paraId="5E2BE8C7">
            <w:pPr>
              <w:widowControl/>
              <w:ind w:firstLine="420" w:firstLineChars="200"/>
              <w:rPr>
                <w:rFonts w:ascii="Times New Roman" w:hAnsi="Times New Roman" w:eastAsia="宋体"/>
                <w:color w:val="auto"/>
                <w:sz w:val="21"/>
                <w:highlight w:val="none"/>
              </w:rPr>
            </w:pPr>
            <w:r>
              <w:rPr>
                <w:rFonts w:hint="eastAsia" w:ascii="Times New Roman" w:hAnsi="Times New Roman" w:eastAsia="宋体"/>
                <w:color w:val="auto"/>
                <w:sz w:val="21"/>
                <w:highlight w:val="none"/>
              </w:rPr>
              <w:t>/</w:t>
            </w:r>
          </w:p>
        </w:tc>
        <w:tc>
          <w:tcPr>
            <w:tcW w:w="3528" w:type="dxa"/>
            <w:vAlign w:val="center"/>
          </w:tcPr>
          <w:p w14:paraId="24FC09BD">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履约担保（履约保证金）金额的</w:t>
            </w:r>
            <w:r>
              <w:rPr>
                <w:rFonts w:hint="eastAsia" w:ascii="Times New Roman" w:hAnsi="Times New Roman" w:eastAsia="宋体"/>
                <w:color w:val="auto"/>
                <w:sz w:val="21"/>
                <w:highlight w:val="none"/>
                <w:u w:val="single"/>
              </w:rPr>
              <w:t>20</w:t>
            </w:r>
            <w:r>
              <w:rPr>
                <w:rFonts w:hint="eastAsia" w:ascii="Times New Roman" w:hAnsi="Times New Roman" w:eastAsia="宋体"/>
                <w:color w:val="auto"/>
                <w:sz w:val="21"/>
                <w:highlight w:val="none"/>
              </w:rPr>
              <w:t>%</w:t>
            </w:r>
          </w:p>
        </w:tc>
        <w:tc>
          <w:tcPr>
            <w:tcW w:w="1472" w:type="dxa"/>
            <w:vAlign w:val="center"/>
          </w:tcPr>
          <w:p w14:paraId="47B57C05">
            <w:pPr>
              <w:widowControl/>
              <w:ind w:firstLine="420" w:firstLineChars="200"/>
              <w:rPr>
                <w:rFonts w:ascii="Times New Roman" w:hAnsi="Times New Roman" w:eastAsia="宋体"/>
                <w:color w:val="auto"/>
                <w:sz w:val="21"/>
                <w:highlight w:val="none"/>
              </w:rPr>
            </w:pPr>
          </w:p>
        </w:tc>
      </w:tr>
      <w:tr w14:paraId="5A868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1" w:type="dxa"/>
            <w:vAlign w:val="center"/>
          </w:tcPr>
          <w:p w14:paraId="1BBCF8E6">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5</w:t>
            </w:r>
          </w:p>
        </w:tc>
        <w:tc>
          <w:tcPr>
            <w:tcW w:w="2813" w:type="dxa"/>
            <w:vAlign w:val="center"/>
          </w:tcPr>
          <w:p w14:paraId="18C92282">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未达到质量控制目标或监理造成财政资金严重损失浪费现象的违约金限额</w:t>
            </w:r>
          </w:p>
        </w:tc>
        <w:tc>
          <w:tcPr>
            <w:tcW w:w="886" w:type="dxa"/>
            <w:vAlign w:val="center"/>
          </w:tcPr>
          <w:p w14:paraId="565A0EC8">
            <w:pPr>
              <w:widowControl/>
              <w:ind w:firstLine="420" w:firstLineChars="200"/>
              <w:rPr>
                <w:rFonts w:ascii="Times New Roman" w:hAnsi="Times New Roman" w:eastAsia="宋体"/>
                <w:color w:val="auto"/>
                <w:sz w:val="21"/>
                <w:highlight w:val="none"/>
              </w:rPr>
            </w:pPr>
            <w:r>
              <w:rPr>
                <w:rFonts w:hint="eastAsia" w:ascii="Times New Roman" w:hAnsi="Times New Roman" w:eastAsia="宋体"/>
                <w:color w:val="auto"/>
                <w:sz w:val="21"/>
                <w:highlight w:val="none"/>
              </w:rPr>
              <w:t>/</w:t>
            </w:r>
          </w:p>
        </w:tc>
        <w:tc>
          <w:tcPr>
            <w:tcW w:w="3528" w:type="dxa"/>
            <w:vAlign w:val="center"/>
          </w:tcPr>
          <w:p w14:paraId="365810D7">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履约担保（履约保证金）金额的</w:t>
            </w:r>
            <w:r>
              <w:rPr>
                <w:rFonts w:hint="eastAsia" w:ascii="Times New Roman" w:hAnsi="Times New Roman" w:eastAsia="宋体"/>
                <w:color w:val="auto"/>
                <w:sz w:val="21"/>
                <w:highlight w:val="none"/>
                <w:u w:val="single"/>
              </w:rPr>
              <w:t>30</w:t>
            </w:r>
            <w:r>
              <w:rPr>
                <w:rFonts w:hint="eastAsia" w:ascii="Times New Roman" w:hAnsi="Times New Roman" w:eastAsia="宋体"/>
                <w:color w:val="auto"/>
                <w:sz w:val="21"/>
                <w:highlight w:val="none"/>
              </w:rPr>
              <w:t>%</w:t>
            </w:r>
          </w:p>
        </w:tc>
        <w:tc>
          <w:tcPr>
            <w:tcW w:w="1472" w:type="dxa"/>
            <w:vAlign w:val="center"/>
          </w:tcPr>
          <w:p w14:paraId="0F3F6CE4">
            <w:pPr>
              <w:widowControl/>
              <w:ind w:firstLine="420" w:firstLineChars="200"/>
              <w:rPr>
                <w:rFonts w:ascii="Times New Roman" w:hAnsi="Times New Roman" w:eastAsia="宋体"/>
                <w:color w:val="auto"/>
                <w:sz w:val="21"/>
                <w:highlight w:val="none"/>
              </w:rPr>
            </w:pPr>
          </w:p>
        </w:tc>
      </w:tr>
      <w:tr w14:paraId="1246A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1" w:type="dxa"/>
            <w:vAlign w:val="center"/>
          </w:tcPr>
          <w:p w14:paraId="4A37AE5A">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6</w:t>
            </w:r>
          </w:p>
        </w:tc>
        <w:tc>
          <w:tcPr>
            <w:tcW w:w="2813" w:type="dxa"/>
            <w:vAlign w:val="center"/>
          </w:tcPr>
          <w:p w14:paraId="7969642A">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未履行承诺的项目机构人员现场服务到位率违约金限额</w:t>
            </w:r>
          </w:p>
        </w:tc>
        <w:tc>
          <w:tcPr>
            <w:tcW w:w="886" w:type="dxa"/>
            <w:vAlign w:val="center"/>
          </w:tcPr>
          <w:p w14:paraId="66FCF19D">
            <w:pPr>
              <w:widowControl/>
              <w:ind w:firstLine="420" w:firstLineChars="200"/>
              <w:rPr>
                <w:rFonts w:ascii="Times New Roman" w:hAnsi="Times New Roman" w:eastAsia="宋体"/>
                <w:color w:val="auto"/>
                <w:sz w:val="21"/>
                <w:highlight w:val="none"/>
              </w:rPr>
            </w:pPr>
            <w:r>
              <w:rPr>
                <w:rFonts w:hint="eastAsia" w:ascii="Times New Roman" w:hAnsi="Times New Roman" w:eastAsia="宋体"/>
                <w:color w:val="auto"/>
                <w:sz w:val="21"/>
                <w:highlight w:val="none"/>
              </w:rPr>
              <w:t>/</w:t>
            </w:r>
          </w:p>
        </w:tc>
        <w:tc>
          <w:tcPr>
            <w:tcW w:w="3528" w:type="dxa"/>
            <w:vAlign w:val="center"/>
          </w:tcPr>
          <w:p w14:paraId="477908B4">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总监理工程师到位率达到每月</w:t>
            </w:r>
            <w:r>
              <w:rPr>
                <w:rFonts w:hint="eastAsia" w:ascii="Times New Roman" w:hAnsi="Times New Roman" w:eastAsia="宋体"/>
                <w:color w:val="auto"/>
                <w:sz w:val="21"/>
                <w:highlight w:val="none"/>
                <w:u w:val="single"/>
              </w:rPr>
              <w:t>25</w:t>
            </w:r>
            <w:r>
              <w:rPr>
                <w:rFonts w:hint="eastAsia" w:ascii="Times New Roman" w:hAnsi="Times New Roman" w:eastAsia="宋体"/>
                <w:color w:val="auto"/>
                <w:sz w:val="21"/>
                <w:highlight w:val="none"/>
              </w:rPr>
              <w:t>天以上，其它监理人员到位率达到每月</w:t>
            </w:r>
            <w:r>
              <w:rPr>
                <w:rFonts w:hint="eastAsia" w:ascii="Times New Roman" w:hAnsi="Times New Roman" w:eastAsia="宋体"/>
                <w:color w:val="auto"/>
                <w:sz w:val="21"/>
                <w:highlight w:val="none"/>
                <w:u w:val="single"/>
              </w:rPr>
              <w:t>25</w:t>
            </w:r>
            <w:r>
              <w:rPr>
                <w:rFonts w:hint="eastAsia" w:ascii="Times New Roman" w:hAnsi="Times New Roman" w:eastAsia="宋体"/>
                <w:color w:val="auto"/>
                <w:sz w:val="21"/>
                <w:highlight w:val="none"/>
              </w:rPr>
              <w:t>天以上。</w:t>
            </w:r>
          </w:p>
        </w:tc>
        <w:tc>
          <w:tcPr>
            <w:tcW w:w="1472" w:type="dxa"/>
            <w:vAlign w:val="center"/>
          </w:tcPr>
          <w:p w14:paraId="7AB83D8B">
            <w:pPr>
              <w:widowControl/>
              <w:ind w:firstLine="420" w:firstLineChars="200"/>
              <w:rPr>
                <w:rFonts w:ascii="Times New Roman" w:hAnsi="Times New Roman" w:eastAsia="宋体"/>
                <w:color w:val="auto"/>
                <w:sz w:val="21"/>
                <w:highlight w:val="none"/>
              </w:rPr>
            </w:pPr>
          </w:p>
        </w:tc>
      </w:tr>
      <w:tr w14:paraId="53932F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1" w:type="dxa"/>
            <w:vAlign w:val="center"/>
          </w:tcPr>
          <w:p w14:paraId="49AB98C9">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7</w:t>
            </w:r>
          </w:p>
        </w:tc>
        <w:tc>
          <w:tcPr>
            <w:tcW w:w="2813" w:type="dxa"/>
            <w:vAlign w:val="center"/>
          </w:tcPr>
          <w:p w14:paraId="5EB6D1D8">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监理人员未到位违约金限额</w:t>
            </w:r>
          </w:p>
        </w:tc>
        <w:tc>
          <w:tcPr>
            <w:tcW w:w="886" w:type="dxa"/>
            <w:vAlign w:val="center"/>
          </w:tcPr>
          <w:p w14:paraId="66EF035F">
            <w:pPr>
              <w:widowControl/>
              <w:ind w:firstLine="420" w:firstLineChars="200"/>
              <w:rPr>
                <w:rFonts w:ascii="Times New Roman" w:hAnsi="Times New Roman" w:eastAsia="宋体"/>
                <w:color w:val="auto"/>
                <w:sz w:val="21"/>
                <w:highlight w:val="none"/>
              </w:rPr>
            </w:pPr>
            <w:r>
              <w:rPr>
                <w:rFonts w:hint="eastAsia" w:ascii="Times New Roman" w:hAnsi="Times New Roman" w:eastAsia="宋体"/>
                <w:color w:val="auto"/>
                <w:sz w:val="21"/>
                <w:highlight w:val="none"/>
              </w:rPr>
              <w:t>/</w:t>
            </w:r>
          </w:p>
        </w:tc>
        <w:tc>
          <w:tcPr>
            <w:tcW w:w="3528" w:type="dxa"/>
            <w:vAlign w:val="center"/>
          </w:tcPr>
          <w:p w14:paraId="733D401E">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履约担保（履约保证金）金额的30%</w:t>
            </w:r>
          </w:p>
        </w:tc>
        <w:tc>
          <w:tcPr>
            <w:tcW w:w="1472" w:type="dxa"/>
            <w:vAlign w:val="center"/>
          </w:tcPr>
          <w:p w14:paraId="490A3104">
            <w:pPr>
              <w:widowControl/>
              <w:ind w:firstLine="420" w:firstLineChars="200"/>
              <w:rPr>
                <w:rFonts w:ascii="Times New Roman" w:hAnsi="Times New Roman" w:eastAsia="宋体"/>
                <w:color w:val="auto"/>
                <w:sz w:val="21"/>
                <w:highlight w:val="none"/>
              </w:rPr>
            </w:pPr>
          </w:p>
        </w:tc>
      </w:tr>
      <w:tr w14:paraId="15F80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1" w:type="dxa"/>
            <w:vAlign w:val="center"/>
          </w:tcPr>
          <w:p w14:paraId="40D07B7C">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8</w:t>
            </w:r>
          </w:p>
        </w:tc>
        <w:tc>
          <w:tcPr>
            <w:tcW w:w="2813" w:type="dxa"/>
            <w:vAlign w:val="center"/>
          </w:tcPr>
          <w:p w14:paraId="50DD28D8">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是否同意合同条件及格式</w:t>
            </w:r>
          </w:p>
        </w:tc>
        <w:tc>
          <w:tcPr>
            <w:tcW w:w="886" w:type="dxa"/>
            <w:vAlign w:val="center"/>
          </w:tcPr>
          <w:p w14:paraId="08DA982C">
            <w:pPr>
              <w:widowControl/>
              <w:ind w:firstLine="420" w:firstLineChars="200"/>
              <w:rPr>
                <w:rFonts w:ascii="Times New Roman" w:hAnsi="Times New Roman" w:eastAsia="宋体"/>
                <w:color w:val="auto"/>
                <w:sz w:val="21"/>
                <w:highlight w:val="none"/>
              </w:rPr>
            </w:pPr>
            <w:r>
              <w:rPr>
                <w:rFonts w:hint="eastAsia" w:ascii="Times New Roman" w:hAnsi="Times New Roman" w:eastAsia="宋体"/>
                <w:color w:val="auto"/>
                <w:sz w:val="21"/>
                <w:highlight w:val="none"/>
              </w:rPr>
              <w:t>/</w:t>
            </w:r>
          </w:p>
        </w:tc>
        <w:tc>
          <w:tcPr>
            <w:tcW w:w="3528" w:type="dxa"/>
            <w:vAlign w:val="center"/>
          </w:tcPr>
          <w:p w14:paraId="5FE3CC4F">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要求供应商承诺“同意”</w:t>
            </w:r>
          </w:p>
        </w:tc>
        <w:tc>
          <w:tcPr>
            <w:tcW w:w="1472" w:type="dxa"/>
            <w:vAlign w:val="center"/>
          </w:tcPr>
          <w:p w14:paraId="09E91045">
            <w:pPr>
              <w:widowControl/>
              <w:ind w:firstLine="420" w:firstLineChars="200"/>
              <w:rPr>
                <w:rFonts w:ascii="Times New Roman" w:hAnsi="Times New Roman" w:eastAsia="宋体"/>
                <w:color w:val="auto"/>
                <w:sz w:val="21"/>
                <w:highlight w:val="none"/>
              </w:rPr>
            </w:pPr>
          </w:p>
        </w:tc>
      </w:tr>
      <w:tr w14:paraId="5ECD2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1" w:type="dxa"/>
            <w:vAlign w:val="center"/>
          </w:tcPr>
          <w:p w14:paraId="6C30A8C8">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9</w:t>
            </w:r>
          </w:p>
        </w:tc>
        <w:tc>
          <w:tcPr>
            <w:tcW w:w="2813" w:type="dxa"/>
            <w:vAlign w:val="center"/>
          </w:tcPr>
          <w:p w14:paraId="33D4EB5F">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是否同意招标文件其他条款</w:t>
            </w:r>
          </w:p>
        </w:tc>
        <w:tc>
          <w:tcPr>
            <w:tcW w:w="886" w:type="dxa"/>
            <w:vAlign w:val="center"/>
          </w:tcPr>
          <w:p w14:paraId="35FDF0F5">
            <w:pPr>
              <w:widowControl/>
              <w:ind w:firstLine="420" w:firstLineChars="200"/>
              <w:rPr>
                <w:rFonts w:ascii="Times New Roman" w:hAnsi="Times New Roman" w:eastAsia="宋体"/>
                <w:color w:val="auto"/>
                <w:sz w:val="21"/>
                <w:highlight w:val="none"/>
              </w:rPr>
            </w:pPr>
            <w:r>
              <w:rPr>
                <w:rFonts w:hint="eastAsia" w:ascii="Times New Roman" w:hAnsi="Times New Roman" w:eastAsia="宋体"/>
                <w:color w:val="auto"/>
                <w:sz w:val="21"/>
                <w:highlight w:val="none"/>
              </w:rPr>
              <w:t>/</w:t>
            </w:r>
          </w:p>
        </w:tc>
        <w:tc>
          <w:tcPr>
            <w:tcW w:w="3528" w:type="dxa"/>
            <w:vAlign w:val="center"/>
          </w:tcPr>
          <w:p w14:paraId="1249C6DD">
            <w:pPr>
              <w:widowControl/>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要求供应商承诺“同意”</w:t>
            </w:r>
          </w:p>
        </w:tc>
        <w:tc>
          <w:tcPr>
            <w:tcW w:w="1472" w:type="dxa"/>
            <w:vAlign w:val="center"/>
          </w:tcPr>
          <w:p w14:paraId="3F87A08B">
            <w:pPr>
              <w:widowControl/>
              <w:ind w:firstLine="420" w:firstLineChars="200"/>
              <w:rPr>
                <w:rFonts w:ascii="Times New Roman" w:hAnsi="Times New Roman" w:eastAsia="宋体"/>
                <w:color w:val="auto"/>
                <w:sz w:val="21"/>
                <w:highlight w:val="none"/>
              </w:rPr>
            </w:pPr>
          </w:p>
        </w:tc>
      </w:tr>
      <w:tr w14:paraId="564A9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340" w:type="dxa"/>
            <w:gridSpan w:val="5"/>
            <w:vAlign w:val="center"/>
          </w:tcPr>
          <w:p w14:paraId="4DBBE379">
            <w:pPr>
              <w:widowControl/>
              <w:rPr>
                <w:rFonts w:ascii="Times New Roman" w:hAnsi="Times New Roman" w:eastAsia="宋体"/>
                <w:color w:val="auto"/>
                <w:sz w:val="21"/>
                <w:highlight w:val="none"/>
              </w:rPr>
            </w:pPr>
            <w:r>
              <w:rPr>
                <w:rFonts w:hint="eastAsia" w:ascii="Times New Roman" w:hAnsi="Times New Roman" w:eastAsia="宋体"/>
                <w:color w:val="auto"/>
                <w:sz w:val="21"/>
                <w:highlight w:val="none"/>
              </w:rPr>
              <w:t>注：</w:t>
            </w:r>
          </w:p>
          <w:p w14:paraId="4501EF20">
            <w:pPr>
              <w:widowControl/>
              <w:rPr>
                <w:rFonts w:ascii="Times New Roman" w:hAnsi="Times New Roman" w:eastAsia="宋体"/>
                <w:color w:val="auto"/>
                <w:sz w:val="21"/>
                <w:highlight w:val="none"/>
              </w:rPr>
            </w:pPr>
            <w:r>
              <w:rPr>
                <w:rFonts w:hint="eastAsia" w:ascii="Times New Roman" w:hAnsi="Times New Roman" w:eastAsia="宋体"/>
                <w:color w:val="auto"/>
                <w:sz w:val="21"/>
                <w:highlight w:val="none"/>
              </w:rPr>
              <w:t>1.供应商承诺一列，供应商必须承诺“同意”；</w:t>
            </w:r>
          </w:p>
          <w:p w14:paraId="6BBA957A">
            <w:pPr>
              <w:widowControl/>
              <w:rPr>
                <w:rFonts w:ascii="Times New Roman" w:hAnsi="Times New Roman" w:eastAsia="宋体"/>
                <w:color w:val="auto"/>
                <w:sz w:val="21"/>
                <w:highlight w:val="none"/>
              </w:rPr>
            </w:pPr>
            <w:r>
              <w:rPr>
                <w:rFonts w:hint="eastAsia" w:ascii="Times New Roman" w:hAnsi="Times New Roman" w:eastAsia="宋体"/>
                <w:color w:val="auto"/>
                <w:sz w:val="21"/>
                <w:highlight w:val="none"/>
              </w:rPr>
              <w:t>2.供应商在响应采购文件中规定的实质性要求和条件的基础上，可做出其他有利于招标人的承诺。</w:t>
            </w:r>
          </w:p>
        </w:tc>
      </w:tr>
    </w:tbl>
    <w:p w14:paraId="56593E57">
      <w:pPr>
        <w:ind w:left="839" w:firstLine="3000" w:firstLineChars="1250"/>
        <w:rPr>
          <w:rFonts w:asciiTheme="minorEastAsia" w:hAnsiTheme="minorEastAsia" w:eastAsiaTheme="minorEastAsia"/>
          <w:color w:val="auto"/>
          <w:sz w:val="24"/>
          <w:highlight w:val="none"/>
        </w:rPr>
      </w:pPr>
    </w:p>
    <w:p w14:paraId="34499EAB">
      <w:pPr>
        <w:widowControl/>
        <w:ind w:firstLine="420" w:firstLineChars="200"/>
        <w:jc w:val="center"/>
        <w:rPr>
          <w:rFonts w:ascii="Times New Roman" w:hAnsi="Times New Roman" w:eastAsia="宋体"/>
          <w:color w:val="auto"/>
          <w:sz w:val="21"/>
          <w:highlight w:val="none"/>
        </w:rPr>
      </w:pPr>
      <w:bookmarkStart w:id="127" w:name="page81"/>
      <w:bookmarkEnd w:id="127"/>
      <w:r>
        <w:rPr>
          <w:rFonts w:ascii="Times New Roman" w:hAnsi="Times New Roman" w:eastAsia="宋体"/>
          <w:color w:val="auto"/>
          <w:sz w:val="21"/>
          <w:highlight w:val="none"/>
        </w:rPr>
        <w:t>供应商名称（盖章）：</w:t>
      </w:r>
    </w:p>
    <w:p w14:paraId="077FFDB8">
      <w:pPr>
        <w:widowControl/>
        <w:ind w:firstLine="420" w:firstLineChars="200"/>
        <w:jc w:val="center"/>
        <w:rPr>
          <w:rFonts w:ascii="Times New Roman" w:hAnsi="Times New Roman" w:eastAsia="宋体"/>
          <w:color w:val="auto"/>
          <w:sz w:val="21"/>
          <w:highlight w:val="none"/>
        </w:rPr>
      </w:pPr>
      <w:r>
        <w:rPr>
          <w:rFonts w:ascii="Times New Roman" w:hAnsi="Times New Roman" w:eastAsia="宋体"/>
          <w:color w:val="auto"/>
          <w:sz w:val="21"/>
          <w:highlight w:val="none"/>
        </w:rPr>
        <w:t>法定代表人或授权代表（签字或盖章）：</w:t>
      </w:r>
    </w:p>
    <w:p w14:paraId="16B6004E">
      <w:pPr>
        <w:widowControl/>
        <w:ind w:firstLine="420" w:firstLineChars="200"/>
        <w:jc w:val="center"/>
        <w:rPr>
          <w:rFonts w:ascii="Times New Roman" w:hAnsi="Times New Roman" w:eastAsia="宋体"/>
          <w:color w:val="auto"/>
          <w:sz w:val="21"/>
          <w:highlight w:val="none"/>
        </w:rPr>
        <w:sectPr>
          <w:footerReference r:id="rId14" w:type="default"/>
          <w:footnotePr>
            <w:numFmt w:val="decimalEnclosedCircleChinese"/>
          </w:footnotePr>
          <w:pgSz w:w="11906" w:h="16838"/>
          <w:pgMar w:top="1701" w:right="1134" w:bottom="1304" w:left="1134" w:header="964" w:footer="567" w:gutter="567"/>
          <w:cols w:space="720" w:num="1"/>
          <w:docGrid w:type="lines" w:linePitch="312" w:charSpace="0"/>
        </w:sectPr>
      </w:pPr>
      <w:r>
        <w:rPr>
          <w:rFonts w:ascii="Times New Roman" w:hAnsi="Times New Roman" w:eastAsia="宋体"/>
          <w:color w:val="auto"/>
          <w:sz w:val="21"/>
          <w:highlight w:val="none"/>
        </w:rPr>
        <w:t>日  期：</w:t>
      </w:r>
    </w:p>
    <w:p w14:paraId="347336A0">
      <w:pPr>
        <w:snapToGrid w:val="0"/>
        <w:rPr>
          <w:rFonts w:ascii="Times New Roman" w:hAnsi="Times New Roman" w:eastAsia="宋体"/>
          <w:color w:val="auto"/>
          <w:sz w:val="21"/>
          <w:highlight w:val="none"/>
          <w:lang w:val="zh-CN"/>
        </w:rPr>
      </w:pPr>
      <w:r>
        <w:rPr>
          <w:rFonts w:ascii="Times New Roman" w:hAnsi="Times New Roman" w:eastAsia="宋体"/>
          <w:b/>
          <w:color w:val="auto"/>
          <w:sz w:val="21"/>
          <w:highlight w:val="none"/>
        </w:rPr>
        <w:t>5.首次报价一览表：</w:t>
      </w:r>
    </w:p>
    <w:p w14:paraId="4E7A3BC4">
      <w:pPr>
        <w:widowControl/>
        <w:adjustRightInd/>
        <w:jc w:val="center"/>
        <w:textAlignment w:val="auto"/>
        <w:rPr>
          <w:rFonts w:ascii="Times New Roman" w:hAnsi="Times New Roman" w:eastAsia="宋体"/>
          <w:b/>
          <w:bCs/>
          <w:color w:val="auto"/>
          <w:sz w:val="21"/>
          <w:highlight w:val="none"/>
          <w:lang w:val="zh-CN"/>
        </w:rPr>
      </w:pPr>
      <w:r>
        <w:rPr>
          <w:rFonts w:ascii="Times New Roman" w:hAnsi="Times New Roman" w:eastAsia="宋体"/>
          <w:b/>
          <w:bCs/>
          <w:color w:val="auto"/>
          <w:sz w:val="21"/>
          <w:highlight w:val="none"/>
        </w:rPr>
        <w:t>首次</w:t>
      </w:r>
      <w:r>
        <w:rPr>
          <w:rFonts w:ascii="Times New Roman" w:hAnsi="Times New Roman" w:eastAsia="宋体"/>
          <w:b/>
          <w:bCs/>
          <w:color w:val="auto"/>
          <w:sz w:val="21"/>
          <w:highlight w:val="none"/>
          <w:lang w:val="zh-CN"/>
        </w:rPr>
        <w:t>报价</w:t>
      </w:r>
      <w:r>
        <w:rPr>
          <w:rFonts w:ascii="Times New Roman" w:hAnsi="Times New Roman" w:eastAsia="宋体"/>
          <w:b/>
          <w:bCs/>
          <w:color w:val="auto"/>
          <w:sz w:val="21"/>
          <w:highlight w:val="none"/>
        </w:rPr>
        <w:t>一览</w:t>
      </w:r>
      <w:r>
        <w:rPr>
          <w:rFonts w:ascii="Times New Roman" w:hAnsi="Times New Roman" w:eastAsia="宋体"/>
          <w:b/>
          <w:bCs/>
          <w:color w:val="auto"/>
          <w:sz w:val="21"/>
          <w:highlight w:val="none"/>
          <w:lang w:val="zh-CN"/>
        </w:rPr>
        <w:t>表</w:t>
      </w:r>
    </w:p>
    <w:p w14:paraId="0ECB3595">
      <w:pPr>
        <w:rPr>
          <w:rFonts w:ascii="Times New Roman" w:hAnsi="Times New Roman" w:eastAsia="宋体"/>
          <w:color w:val="auto"/>
          <w:sz w:val="21"/>
          <w:highlight w:val="none"/>
          <w:lang w:val="zh-CN"/>
        </w:rPr>
      </w:pPr>
      <w:r>
        <w:rPr>
          <w:rFonts w:ascii="Times New Roman" w:hAnsi="Times New Roman" w:eastAsia="宋体"/>
          <w:color w:val="auto"/>
          <w:sz w:val="21"/>
          <w:highlight w:val="none"/>
          <w:lang w:val="zh-CN"/>
        </w:rPr>
        <w:t xml:space="preserve">项目名称：项目编号：           </w:t>
      </w:r>
    </w:p>
    <w:tbl>
      <w:tblPr>
        <w:tblStyle w:val="77"/>
        <w:tblpPr w:leftFromText="180" w:rightFromText="180" w:vertAnchor="text" w:tblpY="1"/>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087"/>
        <w:gridCol w:w="1810"/>
        <w:gridCol w:w="2197"/>
        <w:gridCol w:w="2198"/>
      </w:tblGrid>
      <w:tr w14:paraId="6E97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32" w:type="pct"/>
            <w:vAlign w:val="center"/>
          </w:tcPr>
          <w:p w14:paraId="4517B7C5">
            <w:pPr>
              <w:pStyle w:val="30"/>
              <w:widowControl/>
              <w:snapToGrid w:val="0"/>
              <w:spacing w:after="0" w:line="240" w:lineRule="auto"/>
              <w:ind w:left="0" w:leftChars="0"/>
              <w:contextualSpacing/>
              <w:jc w:val="center"/>
              <w:rPr>
                <w:rFonts w:ascii="Times New Roman" w:hAnsi="Times New Roman" w:eastAsia="宋体"/>
                <w:b/>
                <w:bCs/>
                <w:color w:val="auto"/>
                <w:sz w:val="21"/>
                <w:highlight w:val="none"/>
              </w:rPr>
            </w:pPr>
            <w:r>
              <w:rPr>
                <w:rFonts w:ascii="Times New Roman" w:hAnsi="Times New Roman" w:eastAsia="宋体"/>
                <w:b/>
                <w:bCs/>
                <w:color w:val="auto"/>
                <w:sz w:val="21"/>
                <w:highlight w:val="none"/>
              </w:rPr>
              <w:t>序号</w:t>
            </w:r>
          </w:p>
        </w:tc>
        <w:tc>
          <w:tcPr>
            <w:tcW w:w="1124" w:type="pct"/>
            <w:vAlign w:val="center"/>
          </w:tcPr>
          <w:p w14:paraId="78D448FD">
            <w:pPr>
              <w:pStyle w:val="30"/>
              <w:widowControl/>
              <w:snapToGrid w:val="0"/>
              <w:spacing w:after="0" w:line="240" w:lineRule="auto"/>
              <w:ind w:left="0" w:leftChars="0"/>
              <w:contextualSpacing/>
              <w:jc w:val="center"/>
              <w:rPr>
                <w:rFonts w:ascii="Times New Roman" w:hAnsi="Times New Roman" w:eastAsia="宋体"/>
                <w:b/>
                <w:bCs/>
                <w:color w:val="auto"/>
                <w:sz w:val="21"/>
                <w:highlight w:val="none"/>
              </w:rPr>
            </w:pPr>
            <w:r>
              <w:rPr>
                <w:rFonts w:ascii="Times New Roman" w:hAnsi="Times New Roman" w:eastAsia="宋体"/>
                <w:b/>
                <w:bCs/>
                <w:color w:val="auto"/>
                <w:sz w:val="21"/>
                <w:highlight w:val="none"/>
              </w:rPr>
              <w:t>采购内容</w:t>
            </w:r>
          </w:p>
        </w:tc>
        <w:tc>
          <w:tcPr>
            <w:tcW w:w="975" w:type="pct"/>
            <w:vAlign w:val="center"/>
          </w:tcPr>
          <w:p w14:paraId="7AFAEDAF">
            <w:pPr>
              <w:pStyle w:val="30"/>
              <w:widowControl/>
              <w:snapToGrid w:val="0"/>
              <w:spacing w:after="0" w:line="240" w:lineRule="auto"/>
              <w:ind w:left="0" w:leftChars="0"/>
              <w:contextualSpacing/>
              <w:jc w:val="center"/>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rPr>
              <w:t>预算价格（元）</w:t>
            </w:r>
          </w:p>
        </w:tc>
        <w:tc>
          <w:tcPr>
            <w:tcW w:w="1183" w:type="pct"/>
            <w:vAlign w:val="center"/>
          </w:tcPr>
          <w:p w14:paraId="081D61C9">
            <w:pPr>
              <w:pStyle w:val="30"/>
              <w:widowControl/>
              <w:snapToGrid w:val="0"/>
              <w:spacing w:after="0" w:line="240" w:lineRule="auto"/>
              <w:ind w:left="0" w:leftChars="0"/>
              <w:contextualSpacing/>
              <w:jc w:val="center"/>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rPr>
              <w:t>响应</w:t>
            </w:r>
            <w:r>
              <w:rPr>
                <w:rFonts w:ascii="Times New Roman" w:hAnsi="Times New Roman" w:eastAsia="宋体"/>
                <w:b/>
                <w:bCs/>
                <w:color w:val="auto"/>
                <w:sz w:val="21"/>
                <w:highlight w:val="none"/>
              </w:rPr>
              <w:t>浮动率</w:t>
            </w:r>
            <w:r>
              <w:rPr>
                <w:rFonts w:hint="eastAsia" w:ascii="Times New Roman" w:hAnsi="Times New Roman" w:eastAsia="宋体"/>
                <w:b/>
                <w:bCs/>
                <w:color w:val="auto"/>
                <w:sz w:val="21"/>
                <w:highlight w:val="none"/>
              </w:rPr>
              <w:t>（%）</w:t>
            </w:r>
          </w:p>
        </w:tc>
        <w:tc>
          <w:tcPr>
            <w:tcW w:w="1184" w:type="pct"/>
            <w:vAlign w:val="center"/>
          </w:tcPr>
          <w:p w14:paraId="22BE3539">
            <w:pPr>
              <w:pStyle w:val="30"/>
              <w:widowControl/>
              <w:snapToGrid w:val="0"/>
              <w:spacing w:after="0" w:line="240" w:lineRule="auto"/>
              <w:ind w:left="0" w:leftChars="0"/>
              <w:contextualSpacing/>
              <w:jc w:val="center"/>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rPr>
              <w:t>响应</w:t>
            </w:r>
            <w:r>
              <w:rPr>
                <w:rFonts w:ascii="Times New Roman" w:hAnsi="Times New Roman" w:eastAsia="宋体"/>
                <w:b/>
                <w:bCs/>
                <w:color w:val="auto"/>
                <w:sz w:val="21"/>
                <w:highlight w:val="none"/>
              </w:rPr>
              <w:t>报价</w:t>
            </w:r>
          </w:p>
          <w:p w14:paraId="2F3FA290">
            <w:pPr>
              <w:pStyle w:val="30"/>
              <w:widowControl/>
              <w:snapToGrid w:val="0"/>
              <w:spacing w:after="0" w:line="240" w:lineRule="auto"/>
              <w:ind w:left="0" w:leftChars="0"/>
              <w:contextualSpacing/>
              <w:jc w:val="center"/>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rPr>
              <w:t>（元）</w:t>
            </w:r>
          </w:p>
        </w:tc>
      </w:tr>
      <w:tr w14:paraId="5022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532" w:type="pct"/>
            <w:vAlign w:val="center"/>
          </w:tcPr>
          <w:p w14:paraId="73AC0649">
            <w:pPr>
              <w:snapToGrid w:val="0"/>
              <w:spacing w:line="240" w:lineRule="auto"/>
              <w:contextualSpacing/>
              <w:jc w:val="center"/>
              <w:rPr>
                <w:rFonts w:ascii="Times New Roman" w:hAnsi="Times New Roman" w:eastAsia="宋体"/>
                <w:color w:val="auto"/>
                <w:sz w:val="21"/>
                <w:highlight w:val="none"/>
              </w:rPr>
            </w:pPr>
            <w:r>
              <w:rPr>
                <w:rFonts w:ascii="Times New Roman" w:hAnsi="Times New Roman" w:eastAsia="宋体"/>
                <w:color w:val="auto"/>
                <w:sz w:val="21"/>
                <w:highlight w:val="none"/>
              </w:rPr>
              <w:t>1</w:t>
            </w:r>
          </w:p>
        </w:tc>
        <w:tc>
          <w:tcPr>
            <w:tcW w:w="1124" w:type="pct"/>
            <w:vAlign w:val="center"/>
          </w:tcPr>
          <w:p w14:paraId="3373CE14">
            <w:pPr>
              <w:autoSpaceDE w:val="0"/>
              <w:autoSpaceDN w:val="0"/>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广贤路东段道路及周边公共区域改造项目（监理）</w:t>
            </w:r>
          </w:p>
        </w:tc>
        <w:tc>
          <w:tcPr>
            <w:tcW w:w="975" w:type="pct"/>
            <w:vAlign w:val="center"/>
          </w:tcPr>
          <w:p w14:paraId="302E6512">
            <w:pPr>
              <w:pStyle w:val="30"/>
              <w:widowControl/>
              <w:snapToGrid w:val="0"/>
              <w:spacing w:after="0"/>
              <w:ind w:left="0" w:leftChars="0"/>
              <w:contextualSpacing/>
              <w:jc w:val="center"/>
              <w:rPr>
                <w:rFonts w:ascii="Times New Roman" w:hAnsi="Times New Roman" w:eastAsia="宋体"/>
                <w:color w:val="auto"/>
                <w:sz w:val="21"/>
                <w:highlight w:val="none"/>
              </w:rPr>
            </w:pPr>
            <w:r>
              <w:rPr>
                <w:rFonts w:hint="eastAsia" w:ascii="Times New Roman" w:hAnsi="Times New Roman" w:eastAsia="宋体"/>
                <w:color w:val="auto"/>
                <w:sz w:val="21"/>
                <w:highlight w:val="none"/>
              </w:rPr>
              <w:t>641948.00</w:t>
            </w:r>
          </w:p>
        </w:tc>
        <w:tc>
          <w:tcPr>
            <w:tcW w:w="1183" w:type="pct"/>
            <w:vAlign w:val="center"/>
          </w:tcPr>
          <w:p w14:paraId="4B53BBC8">
            <w:pPr>
              <w:pStyle w:val="30"/>
              <w:widowControl/>
              <w:snapToGrid w:val="0"/>
              <w:spacing w:after="0" w:line="240" w:lineRule="auto"/>
              <w:ind w:left="0" w:leftChars="0"/>
              <w:contextualSpacing/>
              <w:rPr>
                <w:rFonts w:ascii="Times New Roman" w:hAnsi="Times New Roman" w:eastAsia="宋体"/>
                <w:color w:val="auto"/>
                <w:sz w:val="21"/>
                <w:highlight w:val="none"/>
              </w:rPr>
            </w:pPr>
          </w:p>
        </w:tc>
        <w:tc>
          <w:tcPr>
            <w:tcW w:w="1184" w:type="pct"/>
            <w:vAlign w:val="center"/>
          </w:tcPr>
          <w:p w14:paraId="58FFF675">
            <w:pPr>
              <w:pStyle w:val="30"/>
              <w:widowControl/>
              <w:snapToGrid w:val="0"/>
              <w:spacing w:after="0" w:line="240" w:lineRule="auto"/>
              <w:ind w:left="0" w:leftChars="0"/>
              <w:contextualSpacing/>
              <w:rPr>
                <w:rFonts w:ascii="Times New Roman" w:hAnsi="Times New Roman" w:eastAsia="宋体"/>
                <w:color w:val="auto"/>
                <w:sz w:val="21"/>
                <w:highlight w:val="none"/>
              </w:rPr>
            </w:pPr>
          </w:p>
        </w:tc>
      </w:tr>
    </w:tbl>
    <w:p w14:paraId="486D0B55">
      <w:pPr>
        <w:rPr>
          <w:rFonts w:ascii="Times New Roman" w:hAnsi="Times New Roman" w:eastAsia="宋体"/>
          <w:color w:val="auto"/>
          <w:sz w:val="21"/>
          <w:highlight w:val="none"/>
        </w:rPr>
      </w:pPr>
      <w:r>
        <w:rPr>
          <w:rFonts w:ascii="Times New Roman" w:hAnsi="Times New Roman" w:eastAsia="宋体"/>
          <w:color w:val="auto"/>
          <w:sz w:val="21"/>
          <w:highlight w:val="none"/>
          <w:lang w:val="zh-CN"/>
        </w:rPr>
        <w:t>注：1、</w:t>
      </w:r>
      <w:r>
        <w:rPr>
          <w:rFonts w:hint="eastAsia" w:ascii="Times New Roman" w:hAnsi="Times New Roman" w:eastAsia="宋体"/>
          <w:color w:val="auto"/>
          <w:sz w:val="21"/>
          <w:highlight w:val="none"/>
        </w:rPr>
        <w:t>响应</w:t>
      </w:r>
      <w:r>
        <w:rPr>
          <w:rFonts w:ascii="Times New Roman" w:hAnsi="Times New Roman" w:eastAsia="宋体"/>
          <w:color w:val="auto"/>
          <w:sz w:val="21"/>
          <w:highlight w:val="none"/>
          <w:lang w:val="zh-CN"/>
        </w:rPr>
        <w:t>报价=预算价格x(1+响应浮动率》。</w:t>
      </w:r>
      <w:r>
        <w:rPr>
          <w:rFonts w:hint="eastAsia" w:ascii="Times New Roman" w:hAnsi="Times New Roman" w:eastAsia="宋体"/>
          <w:color w:val="auto"/>
          <w:sz w:val="21"/>
          <w:highlight w:val="none"/>
        </w:rPr>
        <w:t>2</w:t>
      </w:r>
      <w:r>
        <w:rPr>
          <w:rFonts w:ascii="Times New Roman" w:hAnsi="Times New Roman" w:eastAsia="宋体"/>
          <w:color w:val="auto"/>
          <w:sz w:val="21"/>
          <w:highlight w:val="none"/>
        </w:rPr>
        <w:t>、</w:t>
      </w:r>
      <w:r>
        <w:rPr>
          <w:rFonts w:ascii="Times New Roman" w:hAnsi="Times New Roman" w:eastAsia="宋体"/>
          <w:color w:val="auto"/>
          <w:sz w:val="21"/>
          <w:highlight w:val="none"/>
          <w:lang w:val="zh-CN"/>
        </w:rPr>
        <w:t>上表</w:t>
      </w:r>
      <w:r>
        <w:rPr>
          <w:rFonts w:hint="eastAsia" w:ascii="Times New Roman" w:hAnsi="Times New Roman" w:eastAsia="宋体"/>
          <w:color w:val="auto"/>
          <w:sz w:val="21"/>
          <w:highlight w:val="none"/>
        </w:rPr>
        <w:t>响应</w:t>
      </w:r>
      <w:r>
        <w:rPr>
          <w:rFonts w:ascii="Times New Roman" w:hAnsi="Times New Roman" w:eastAsia="宋体"/>
          <w:color w:val="auto"/>
          <w:sz w:val="21"/>
          <w:highlight w:val="none"/>
          <w:lang w:val="zh-CN"/>
        </w:rPr>
        <w:t>报价浮动率以%为单位，最多保留两位小数，</w:t>
      </w:r>
      <w:r>
        <w:rPr>
          <w:rFonts w:hint="eastAsia" w:ascii="Times New Roman" w:hAnsi="Times New Roman" w:eastAsia="宋体"/>
          <w:color w:val="auto"/>
          <w:sz w:val="21"/>
          <w:highlight w:val="none"/>
        </w:rPr>
        <w:t>响应</w:t>
      </w:r>
      <w:r>
        <w:rPr>
          <w:rFonts w:ascii="Times New Roman" w:hAnsi="Times New Roman" w:eastAsia="宋体"/>
          <w:color w:val="auto"/>
          <w:sz w:val="21"/>
          <w:highlight w:val="none"/>
          <w:lang w:val="zh-CN"/>
        </w:rPr>
        <w:t>报价精确到“元”。</w:t>
      </w:r>
      <w:r>
        <w:rPr>
          <w:rFonts w:hint="eastAsia" w:ascii="Times New Roman" w:hAnsi="Times New Roman" w:eastAsia="宋体"/>
          <w:color w:val="auto"/>
          <w:sz w:val="21"/>
          <w:highlight w:val="none"/>
          <w:lang w:val="zh-CN"/>
        </w:rPr>
        <w:t>供应商</w:t>
      </w:r>
      <w:r>
        <w:rPr>
          <w:rFonts w:ascii="Times New Roman" w:hAnsi="Times New Roman" w:eastAsia="宋体"/>
          <w:color w:val="auto"/>
          <w:sz w:val="21"/>
          <w:highlight w:val="none"/>
          <w:lang w:val="zh-CN"/>
        </w:rPr>
        <w:t>应按上表格式及备注要求填报，且不得随意更改上表实质性内容，反之则作无效标处理。</w:t>
      </w:r>
      <w:r>
        <w:rPr>
          <w:rFonts w:hint="eastAsia" w:ascii="Times New Roman" w:hAnsi="Times New Roman" w:eastAsia="宋体"/>
          <w:color w:val="auto"/>
          <w:sz w:val="21"/>
          <w:highlight w:val="none"/>
        </w:rPr>
        <w:t>3</w:t>
      </w:r>
      <w:r>
        <w:rPr>
          <w:rFonts w:ascii="Times New Roman" w:hAnsi="Times New Roman" w:eastAsia="宋体"/>
          <w:color w:val="auto"/>
          <w:sz w:val="21"/>
          <w:highlight w:val="none"/>
          <w:lang w:val="zh-CN"/>
        </w:rPr>
        <w:t>、结算时各项单价均按预算单价x (1+</w:t>
      </w:r>
      <w:r>
        <w:rPr>
          <w:rFonts w:hint="eastAsia" w:ascii="Times New Roman" w:hAnsi="Times New Roman" w:eastAsia="宋体"/>
          <w:color w:val="auto"/>
          <w:sz w:val="21"/>
          <w:highlight w:val="none"/>
        </w:rPr>
        <w:t>响应</w:t>
      </w:r>
      <w:r>
        <w:rPr>
          <w:rFonts w:ascii="Times New Roman" w:hAnsi="Times New Roman" w:eastAsia="宋体"/>
          <w:color w:val="auto"/>
          <w:sz w:val="21"/>
          <w:highlight w:val="none"/>
          <w:lang w:val="zh-CN"/>
        </w:rPr>
        <w:t>浮动率)计算。</w:t>
      </w:r>
      <w:r>
        <w:rPr>
          <w:rFonts w:hint="eastAsia" w:ascii="Times New Roman" w:hAnsi="Times New Roman" w:eastAsia="宋体"/>
          <w:color w:val="auto"/>
          <w:sz w:val="21"/>
          <w:highlight w:val="none"/>
        </w:rPr>
        <w:t>4、报价一经涂改，应在涂改处须加盖单位公章或者法定代表人或授权采购人签字或盖章，否则其响应作无效响应处理。</w:t>
      </w:r>
    </w:p>
    <w:p w14:paraId="7BBF81AA">
      <w:pPr>
        <w:rPr>
          <w:rFonts w:ascii="Times New Roman" w:hAnsi="Times New Roman" w:eastAsia="宋体"/>
          <w:b/>
          <w:bCs/>
          <w:color w:val="auto"/>
          <w:sz w:val="21"/>
          <w:highlight w:val="none"/>
        </w:rPr>
      </w:pPr>
    </w:p>
    <w:p w14:paraId="1E531CEF">
      <w:pPr>
        <w:rPr>
          <w:rFonts w:ascii="Times New Roman" w:hAnsi="Times New Roman" w:eastAsia="宋体"/>
          <w:color w:val="auto"/>
          <w:sz w:val="21"/>
          <w:highlight w:val="none"/>
        </w:rPr>
      </w:pPr>
    </w:p>
    <w:p w14:paraId="79BBDEB2">
      <w:pPr>
        <w:widowControl/>
        <w:snapToGrid w:val="0"/>
        <w:ind w:right="375"/>
        <w:rPr>
          <w:rFonts w:ascii="Times New Roman" w:hAnsi="Times New Roman" w:eastAsia="宋体"/>
          <w:color w:val="auto"/>
          <w:sz w:val="21"/>
          <w:highlight w:val="none"/>
        </w:rPr>
      </w:pPr>
      <w:bookmarkStart w:id="128" w:name="_Toc78171641"/>
      <w:bookmarkStart w:id="129" w:name="_Toc25084"/>
    </w:p>
    <w:p w14:paraId="7010C83C">
      <w:pPr>
        <w:pStyle w:val="76"/>
        <w:ind w:left="0" w:leftChars="0" w:firstLine="0" w:firstLineChars="0"/>
        <w:rPr>
          <w:rFonts w:ascii="Times New Roman" w:hAnsi="Times New Roman" w:eastAsia="宋体"/>
          <w:color w:val="auto"/>
          <w:sz w:val="21"/>
          <w:highlight w:val="none"/>
        </w:rPr>
      </w:pPr>
    </w:p>
    <w:p w14:paraId="3D2B44EE">
      <w:pPr>
        <w:rPr>
          <w:rFonts w:ascii="Times New Roman" w:hAnsi="Times New Roman" w:eastAsia="宋体"/>
          <w:color w:val="auto"/>
          <w:highlight w:val="none"/>
        </w:rPr>
      </w:pPr>
    </w:p>
    <w:p w14:paraId="1D2F33A5">
      <w:pPr>
        <w:widowControl/>
        <w:snapToGrid w:val="0"/>
        <w:ind w:right="375"/>
        <w:rPr>
          <w:rFonts w:ascii="Times New Roman" w:hAnsi="Times New Roman" w:eastAsia="宋体"/>
          <w:color w:val="auto"/>
          <w:sz w:val="21"/>
          <w:highlight w:val="none"/>
        </w:rPr>
      </w:pPr>
    </w:p>
    <w:p w14:paraId="17A7B81A">
      <w:pPr>
        <w:widowControl/>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供应商名称（盖章）：</w:t>
      </w:r>
    </w:p>
    <w:p w14:paraId="30D9AACE">
      <w:pPr>
        <w:widowControl/>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法定代表人或授权代表（签字或盖章）：</w:t>
      </w:r>
    </w:p>
    <w:p w14:paraId="21C1C1E4">
      <w:pPr>
        <w:widowControl/>
        <w:ind w:firstLine="420" w:firstLineChars="200"/>
        <w:rPr>
          <w:rFonts w:ascii="Times New Roman" w:hAnsi="Times New Roman" w:eastAsia="宋体"/>
          <w:color w:val="auto"/>
          <w:sz w:val="21"/>
          <w:highlight w:val="none"/>
        </w:rPr>
        <w:sectPr>
          <w:footerReference r:id="rId15" w:type="default"/>
          <w:footnotePr>
            <w:numFmt w:val="decimalEnclosedCircleChinese"/>
          </w:footnotePr>
          <w:pgSz w:w="11906" w:h="16838"/>
          <w:pgMar w:top="1701" w:right="1134" w:bottom="1304" w:left="1134" w:header="964" w:footer="567" w:gutter="567"/>
          <w:cols w:space="720" w:num="1"/>
          <w:docGrid w:type="lines" w:linePitch="312" w:charSpace="0"/>
        </w:sectPr>
      </w:pPr>
      <w:r>
        <w:rPr>
          <w:rFonts w:ascii="Times New Roman" w:hAnsi="Times New Roman" w:eastAsia="宋体"/>
          <w:color w:val="auto"/>
          <w:sz w:val="21"/>
          <w:highlight w:val="none"/>
        </w:rPr>
        <w:t>日  期：</w:t>
      </w:r>
    </w:p>
    <w:bookmarkEnd w:id="128"/>
    <w:p w14:paraId="2369FECF">
      <w:pPr>
        <w:rPr>
          <w:rFonts w:ascii="Times New Roman" w:hAnsi="Times New Roman" w:eastAsia="宋体"/>
          <w:color w:val="auto"/>
          <w:sz w:val="21"/>
          <w:highlight w:val="none"/>
          <w:lang w:val="zh-CN"/>
        </w:rPr>
      </w:pPr>
      <w:r>
        <w:rPr>
          <w:rFonts w:ascii="Times New Roman" w:hAnsi="Times New Roman" w:eastAsia="宋体"/>
          <w:b/>
          <w:color w:val="auto"/>
          <w:sz w:val="21"/>
          <w:highlight w:val="none"/>
        </w:rPr>
        <w:t>6.中小企业声明函：</w:t>
      </w:r>
    </w:p>
    <w:bookmarkEnd w:id="129"/>
    <w:p w14:paraId="2D30CCE1">
      <w:pPr>
        <w:widowControl/>
        <w:adjustRightInd/>
        <w:jc w:val="center"/>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中小企业声明函（服务）</w:t>
      </w:r>
    </w:p>
    <w:p w14:paraId="0C9F79AC">
      <w:pPr>
        <w:adjustRightInd/>
        <w:spacing w:line="500" w:lineRule="exact"/>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本公司（联合体）郑重声明，根据《政府采购促进中小企业发展管理办法》（财库【2020】46 号）的规定，本公司（联合体）参加</w:t>
      </w:r>
      <w:r>
        <w:rPr>
          <w:rFonts w:ascii="Times New Roman" w:hAnsi="Times New Roman" w:eastAsia="宋体"/>
          <w:color w:val="auto"/>
          <w:kern w:val="2"/>
          <w:sz w:val="21"/>
          <w:highlight w:val="none"/>
          <w:u w:val="single"/>
        </w:rPr>
        <w:t>（单位名称）</w:t>
      </w:r>
      <w:r>
        <w:rPr>
          <w:rFonts w:ascii="Times New Roman" w:hAnsi="Times New Roman" w:eastAsia="宋体"/>
          <w:color w:val="auto"/>
          <w:kern w:val="2"/>
          <w:sz w:val="21"/>
          <w:highlight w:val="none"/>
        </w:rPr>
        <w:t>的</w:t>
      </w:r>
      <w:r>
        <w:rPr>
          <w:rFonts w:ascii="Times New Roman" w:hAnsi="Times New Roman" w:eastAsia="宋体"/>
          <w:color w:val="auto"/>
          <w:kern w:val="2"/>
          <w:sz w:val="21"/>
          <w:highlight w:val="none"/>
          <w:u w:val="single"/>
        </w:rPr>
        <w:t>（项目名称）</w:t>
      </w:r>
      <w:r>
        <w:rPr>
          <w:rFonts w:ascii="Times New Roman" w:hAnsi="Times New Roman" w:eastAsia="宋体"/>
          <w:color w:val="auto"/>
          <w:kern w:val="2"/>
          <w:sz w:val="21"/>
          <w:highlight w:val="none"/>
        </w:rPr>
        <w:t>采购活动，服务全部由符合政策要求的中小企业承接。相关企业（含联合体中的中小企业、签订分包意向协议的中小企业）的具体情况如下：</w:t>
      </w:r>
    </w:p>
    <w:p w14:paraId="78972128">
      <w:pPr>
        <w:adjustRightInd/>
        <w:spacing w:line="500" w:lineRule="exact"/>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1.</w:t>
      </w:r>
      <w:r>
        <w:rPr>
          <w:rFonts w:ascii="Times New Roman" w:hAnsi="Times New Roman" w:eastAsia="宋体"/>
          <w:i/>
          <w:color w:val="auto"/>
          <w:kern w:val="2"/>
          <w:sz w:val="21"/>
          <w:highlight w:val="none"/>
          <w:u w:val="single"/>
        </w:rPr>
        <w:t xml:space="preserve"> （标的名称） </w:t>
      </w:r>
      <w:r>
        <w:rPr>
          <w:rFonts w:ascii="Times New Roman" w:hAnsi="Times New Roman" w:eastAsia="宋体"/>
          <w:color w:val="auto"/>
          <w:kern w:val="2"/>
          <w:sz w:val="21"/>
          <w:highlight w:val="none"/>
        </w:rPr>
        <w:t>，属于</w:t>
      </w:r>
      <w:r>
        <w:rPr>
          <w:rFonts w:ascii="Times New Roman" w:hAnsi="Times New Roman" w:eastAsia="宋体"/>
          <w:b/>
          <w:bCs/>
          <w:color w:val="auto"/>
          <w:sz w:val="21"/>
          <w:highlight w:val="none"/>
          <w:u w:val="single"/>
        </w:rPr>
        <w:t>其他未列明行业</w:t>
      </w:r>
      <w:r>
        <w:rPr>
          <w:rFonts w:ascii="Times New Roman" w:hAnsi="Times New Roman" w:eastAsia="宋体"/>
          <w:color w:val="auto"/>
          <w:kern w:val="2"/>
          <w:sz w:val="21"/>
          <w:highlight w:val="none"/>
        </w:rPr>
        <w:t>；承接企业为</w:t>
      </w:r>
      <w:r>
        <w:rPr>
          <w:rFonts w:ascii="Times New Roman" w:hAnsi="Times New Roman" w:eastAsia="宋体"/>
          <w:i/>
          <w:color w:val="auto"/>
          <w:kern w:val="2"/>
          <w:sz w:val="21"/>
          <w:highlight w:val="none"/>
          <w:u w:val="single"/>
        </w:rPr>
        <w:t>（企业名称）</w:t>
      </w:r>
      <w:r>
        <w:rPr>
          <w:rFonts w:ascii="Times New Roman" w:hAnsi="Times New Roman" w:eastAsia="宋体"/>
          <w:color w:val="auto"/>
          <w:kern w:val="2"/>
          <w:sz w:val="21"/>
          <w:highlight w:val="none"/>
        </w:rPr>
        <w:t>，</w:t>
      </w:r>
      <w:r>
        <w:rPr>
          <w:rFonts w:ascii="Times New Roman" w:hAnsi="Times New Roman" w:eastAsia="宋体"/>
          <w:color w:val="auto"/>
          <w:sz w:val="21"/>
          <w:highlight w:val="none"/>
        </w:rPr>
        <w:t>从业人员人，营业收入为万元，资产总额为万元</w:t>
      </w:r>
      <w:r>
        <w:rPr>
          <w:rFonts w:ascii="Times New Roman" w:hAnsi="Times New Roman" w:eastAsia="宋体"/>
          <w:color w:val="auto"/>
          <w:sz w:val="21"/>
          <w:highlight w:val="none"/>
          <w:vertAlign w:val="superscript"/>
        </w:rPr>
        <w:t>1</w:t>
      </w:r>
      <w:r>
        <w:rPr>
          <w:rFonts w:ascii="Times New Roman" w:hAnsi="Times New Roman" w:eastAsia="宋体"/>
          <w:color w:val="auto"/>
          <w:sz w:val="21"/>
          <w:highlight w:val="none"/>
        </w:rPr>
        <w:t>，属于</w:t>
      </w:r>
      <w:r>
        <w:rPr>
          <w:rFonts w:ascii="Times New Roman" w:hAnsi="Times New Roman" w:eastAsia="宋体"/>
          <w:i/>
          <w:color w:val="auto"/>
          <w:sz w:val="21"/>
          <w:highlight w:val="none"/>
          <w:u w:val="single"/>
        </w:rPr>
        <w:t>（中型企业、小型企业、微型企业）</w:t>
      </w:r>
      <w:r>
        <w:rPr>
          <w:rFonts w:ascii="Times New Roman" w:hAnsi="Times New Roman" w:eastAsia="宋体"/>
          <w:color w:val="auto"/>
          <w:sz w:val="21"/>
          <w:highlight w:val="none"/>
        </w:rPr>
        <w:t>；</w:t>
      </w:r>
    </w:p>
    <w:p w14:paraId="5ABDBBDF">
      <w:pPr>
        <w:adjustRightInd/>
        <w:spacing w:line="500" w:lineRule="exact"/>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kern w:val="2"/>
          <w:sz w:val="21"/>
          <w:highlight w:val="none"/>
        </w:rPr>
        <w:t>2.</w:t>
      </w:r>
      <w:r>
        <w:rPr>
          <w:rFonts w:ascii="Times New Roman" w:hAnsi="Times New Roman" w:eastAsia="宋体"/>
          <w:i/>
          <w:color w:val="auto"/>
          <w:kern w:val="2"/>
          <w:sz w:val="21"/>
          <w:highlight w:val="none"/>
          <w:u w:val="single"/>
        </w:rPr>
        <w:t xml:space="preserve"> （标的名称） </w:t>
      </w:r>
      <w:r>
        <w:rPr>
          <w:rFonts w:ascii="Times New Roman" w:hAnsi="Times New Roman" w:eastAsia="宋体"/>
          <w:color w:val="auto"/>
          <w:kern w:val="2"/>
          <w:sz w:val="21"/>
          <w:highlight w:val="none"/>
        </w:rPr>
        <w:t>，属于</w:t>
      </w:r>
      <w:r>
        <w:rPr>
          <w:rFonts w:ascii="Times New Roman" w:hAnsi="Times New Roman" w:eastAsia="宋体"/>
          <w:b/>
          <w:bCs/>
          <w:color w:val="auto"/>
          <w:sz w:val="21"/>
          <w:highlight w:val="none"/>
          <w:u w:val="single"/>
        </w:rPr>
        <w:t>其他未列明行业</w:t>
      </w:r>
      <w:r>
        <w:rPr>
          <w:rFonts w:ascii="Times New Roman" w:hAnsi="Times New Roman" w:eastAsia="宋体"/>
          <w:color w:val="auto"/>
          <w:kern w:val="2"/>
          <w:sz w:val="21"/>
          <w:highlight w:val="none"/>
        </w:rPr>
        <w:t>；承接企业为</w:t>
      </w:r>
      <w:r>
        <w:rPr>
          <w:rFonts w:ascii="Times New Roman" w:hAnsi="Times New Roman" w:eastAsia="宋体"/>
          <w:i/>
          <w:color w:val="auto"/>
          <w:kern w:val="2"/>
          <w:sz w:val="21"/>
          <w:highlight w:val="none"/>
          <w:u w:val="single"/>
        </w:rPr>
        <w:t>（企业名称）</w:t>
      </w:r>
      <w:r>
        <w:rPr>
          <w:rFonts w:ascii="Times New Roman" w:hAnsi="Times New Roman" w:eastAsia="宋体"/>
          <w:color w:val="auto"/>
          <w:kern w:val="2"/>
          <w:sz w:val="21"/>
          <w:highlight w:val="none"/>
        </w:rPr>
        <w:t>，</w:t>
      </w:r>
      <w:r>
        <w:rPr>
          <w:rFonts w:ascii="Times New Roman" w:hAnsi="Times New Roman" w:eastAsia="宋体"/>
          <w:color w:val="auto"/>
          <w:sz w:val="21"/>
          <w:highlight w:val="none"/>
        </w:rPr>
        <w:t>从业人员人，营业收入为万元，资产总额为万元</w:t>
      </w:r>
      <w:r>
        <w:rPr>
          <w:rFonts w:ascii="Times New Roman" w:hAnsi="Times New Roman" w:eastAsia="宋体"/>
          <w:color w:val="auto"/>
          <w:sz w:val="21"/>
          <w:highlight w:val="none"/>
          <w:vertAlign w:val="superscript"/>
        </w:rPr>
        <w:t>1</w:t>
      </w:r>
      <w:r>
        <w:rPr>
          <w:rFonts w:ascii="Times New Roman" w:hAnsi="Times New Roman" w:eastAsia="宋体"/>
          <w:color w:val="auto"/>
          <w:sz w:val="21"/>
          <w:highlight w:val="none"/>
        </w:rPr>
        <w:t>，属于</w:t>
      </w:r>
      <w:r>
        <w:rPr>
          <w:rFonts w:ascii="Times New Roman" w:hAnsi="Times New Roman" w:eastAsia="宋体"/>
          <w:i/>
          <w:color w:val="auto"/>
          <w:sz w:val="21"/>
          <w:highlight w:val="none"/>
          <w:u w:val="single"/>
        </w:rPr>
        <w:t>（中型企业、小型企业、微型企业）</w:t>
      </w:r>
      <w:r>
        <w:rPr>
          <w:rFonts w:ascii="Times New Roman" w:hAnsi="Times New Roman" w:eastAsia="宋体"/>
          <w:color w:val="auto"/>
          <w:sz w:val="21"/>
          <w:highlight w:val="none"/>
        </w:rPr>
        <w:t>；</w:t>
      </w:r>
    </w:p>
    <w:p w14:paraId="61AB095C">
      <w:pPr>
        <w:adjustRightInd/>
        <w:spacing w:line="500" w:lineRule="exact"/>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w:t>
      </w:r>
    </w:p>
    <w:p w14:paraId="13AF82C4">
      <w:pPr>
        <w:adjustRightInd/>
        <w:spacing w:line="500" w:lineRule="exact"/>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以上企业，不属于大企业的分支机构，不存在控股股东为大企业的情形，也不存在与大企业的负责人为同一人的情形。</w:t>
      </w:r>
    </w:p>
    <w:p w14:paraId="63F8CE8F">
      <w:pPr>
        <w:adjustRightInd/>
        <w:spacing w:line="500" w:lineRule="exact"/>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本企业对上述声明内容的真实性负责。如有虚假，将依法承担相应责任。</w:t>
      </w:r>
    </w:p>
    <w:p w14:paraId="3BB98BC3">
      <w:pPr>
        <w:adjustRightInd/>
        <w:spacing w:line="500" w:lineRule="exact"/>
        <w:textAlignment w:val="auto"/>
        <w:rPr>
          <w:rFonts w:ascii="Times New Roman" w:hAnsi="Times New Roman" w:eastAsia="宋体"/>
          <w:color w:val="auto"/>
          <w:kern w:val="2"/>
          <w:sz w:val="21"/>
          <w:highlight w:val="none"/>
        </w:rPr>
      </w:pPr>
    </w:p>
    <w:p w14:paraId="5A6EAAA6">
      <w:pPr>
        <w:adjustRightInd/>
        <w:spacing w:line="500" w:lineRule="exact"/>
        <w:ind w:firstLine="420" w:firstLineChars="200"/>
        <w:jc w:val="left"/>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企业名称（盖章）：</w:t>
      </w:r>
    </w:p>
    <w:p w14:paraId="0D40245F">
      <w:pPr>
        <w:adjustRightInd/>
        <w:spacing w:line="500" w:lineRule="exact"/>
        <w:jc w:val="left"/>
        <w:textAlignment w:val="auto"/>
        <w:rPr>
          <w:rFonts w:ascii="Times New Roman" w:hAnsi="Times New Roman" w:eastAsia="宋体"/>
          <w:color w:val="auto"/>
          <w:kern w:val="2"/>
          <w:sz w:val="21"/>
          <w:highlight w:val="none"/>
        </w:rPr>
      </w:pPr>
    </w:p>
    <w:p w14:paraId="53C54B3E">
      <w:pPr>
        <w:ind w:firstLine="420" w:firstLineChars="200"/>
        <w:rPr>
          <w:rFonts w:ascii="Times New Roman" w:hAnsi="Times New Roman" w:eastAsia="宋体"/>
          <w:color w:val="auto"/>
          <w:sz w:val="21"/>
          <w:highlight w:val="none"/>
        </w:rPr>
      </w:pPr>
      <w:r>
        <w:rPr>
          <w:rFonts w:ascii="Times New Roman" w:hAnsi="Times New Roman" w:eastAsia="宋体"/>
          <w:color w:val="auto"/>
          <w:kern w:val="2"/>
          <w:sz w:val="21"/>
          <w:highlight w:val="none"/>
        </w:rPr>
        <w:t>日 期：</w:t>
      </w:r>
    </w:p>
    <w:p w14:paraId="68DF2572">
      <w:pPr>
        <w:ind w:firstLine="420" w:firstLineChars="200"/>
        <w:rPr>
          <w:rFonts w:ascii="Times New Roman" w:hAnsi="Times New Roman" w:eastAsia="宋体"/>
          <w:color w:val="auto"/>
          <w:sz w:val="21"/>
          <w:highlight w:val="none"/>
        </w:rPr>
      </w:pPr>
    </w:p>
    <w:p w14:paraId="4F253733">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注：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14:paraId="3AB876D2">
      <w:pPr>
        <w:numPr>
          <w:ilvl w:val="0"/>
          <w:numId w:val="4"/>
        </w:num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行业及规模：</w:t>
      </w:r>
      <w:r>
        <w:rPr>
          <w:rFonts w:ascii="Times New Roman" w:hAnsi="Times New Roman" w:eastAsia="宋体"/>
          <w:b/>
          <w:bCs/>
          <w:color w:val="auto"/>
          <w:sz w:val="21"/>
          <w:highlight w:val="none"/>
          <w:u w:val="single"/>
        </w:rPr>
        <w:t>其他未列明行业</w:t>
      </w:r>
      <w:r>
        <w:rPr>
          <w:rFonts w:ascii="Times New Roman" w:hAnsi="Times New Roman" w:eastAsia="宋体"/>
          <w:color w:val="auto"/>
          <w:sz w:val="21"/>
          <w:highlight w:val="none"/>
        </w:rPr>
        <w:t>。从业人员300人以下的为中小微型企业。其中，从业人员100人及以上的为中型企业；从业人员10人及以上的为小型企业；从业人员10人以下的为微型企业。</w:t>
      </w:r>
    </w:p>
    <w:p w14:paraId="2FE650C7">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3、从业人员、营业收入、资产总额填报上一年度数据，无上一年度数据的新成立企业可不填。</w:t>
      </w:r>
    </w:p>
    <w:p w14:paraId="7236366F">
      <w:pPr>
        <w:ind w:firstLine="422" w:firstLineChars="200"/>
        <w:rPr>
          <w:rFonts w:ascii="Times New Roman" w:hAnsi="Times New Roman" w:eastAsia="宋体"/>
          <w:b/>
          <w:bCs/>
          <w:color w:val="auto"/>
          <w:sz w:val="21"/>
          <w:highlight w:val="none"/>
        </w:rPr>
      </w:pPr>
      <w:r>
        <w:rPr>
          <w:rFonts w:ascii="Times New Roman" w:hAnsi="Times New Roman" w:eastAsia="宋体"/>
          <w:b/>
          <w:bCs/>
          <w:color w:val="auto"/>
          <w:sz w:val="21"/>
          <w:highlight w:val="none"/>
        </w:rPr>
        <w:t>风险提示：</w:t>
      </w:r>
    </w:p>
    <w:p w14:paraId="08CD8234">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供应商应当对其出具的《中小企业声明函》真实性负责，供应商出具的《中小企业声明函》内容不实的，属于提供虚假材料谋取成交。</w:t>
      </w:r>
    </w:p>
    <w:p w14:paraId="13C5C0C3">
      <w:pPr>
        <w:contextualSpacing/>
        <w:rPr>
          <w:rFonts w:ascii="Times New Roman" w:hAnsi="Times New Roman" w:eastAsia="宋体"/>
          <w:color w:val="auto"/>
          <w:highlight w:val="none"/>
        </w:rPr>
      </w:pPr>
    </w:p>
    <w:p w14:paraId="4E494B1F">
      <w:pPr>
        <w:widowControl/>
        <w:spacing w:before="100" w:beforeAutospacing="1" w:after="100" w:afterAutospacing="1"/>
        <w:jc w:val="left"/>
        <w:rPr>
          <w:rFonts w:ascii="Times New Roman" w:hAnsi="Times New Roman" w:eastAsia="宋体"/>
          <w:color w:val="auto"/>
          <w:sz w:val="21"/>
          <w:highlight w:val="none"/>
        </w:rPr>
      </w:pPr>
      <w:r>
        <w:rPr>
          <w:rFonts w:ascii="Times New Roman" w:hAnsi="Times New Roman" w:eastAsia="宋体"/>
          <w:color w:val="auto"/>
          <w:sz w:val="21"/>
          <w:highlight w:val="none"/>
        </w:rPr>
        <w:br w:type="page"/>
      </w:r>
    </w:p>
    <w:p w14:paraId="46C3D704">
      <w:pPr>
        <w:spacing w:before="240"/>
        <w:rPr>
          <w:rFonts w:ascii="Times New Roman" w:hAnsi="Times New Roman" w:eastAsia="宋体"/>
          <w:b/>
          <w:color w:val="auto"/>
          <w:sz w:val="21"/>
          <w:highlight w:val="none"/>
        </w:rPr>
      </w:pPr>
      <w:r>
        <w:rPr>
          <w:rFonts w:ascii="Times New Roman" w:hAnsi="Times New Roman" w:eastAsia="宋体"/>
          <w:b/>
          <w:color w:val="auto"/>
          <w:sz w:val="21"/>
          <w:highlight w:val="none"/>
        </w:rPr>
        <w:t>7.残疾人福利性单位声明函：</w:t>
      </w:r>
    </w:p>
    <w:p w14:paraId="7D691100">
      <w:pPr>
        <w:widowControl/>
        <w:adjustRightInd/>
        <w:jc w:val="center"/>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残疾人福利性单位声明函</w:t>
      </w:r>
    </w:p>
    <w:p w14:paraId="54951D50">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33DDC2">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本单位对上述声明的真实性负责。如有虚假，将依法承担相应责任。</w:t>
      </w:r>
    </w:p>
    <w:p w14:paraId="1EEBE853">
      <w:pPr>
        <w:ind w:firstLine="420" w:firstLineChars="200"/>
        <w:rPr>
          <w:rFonts w:ascii="Times New Roman" w:hAnsi="Times New Roman" w:eastAsia="宋体"/>
          <w:bCs/>
          <w:color w:val="auto"/>
          <w:sz w:val="21"/>
          <w:highlight w:val="none"/>
        </w:rPr>
      </w:pPr>
    </w:p>
    <w:p w14:paraId="7930534B">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单位名称（盖章）：</w:t>
      </w:r>
    </w:p>
    <w:p w14:paraId="46176F78">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日  期：</w:t>
      </w:r>
    </w:p>
    <w:p w14:paraId="2248A49E">
      <w:pPr>
        <w:ind w:firstLine="420" w:firstLineChars="200"/>
        <w:rPr>
          <w:rFonts w:ascii="Times New Roman" w:hAnsi="Times New Roman" w:eastAsia="宋体"/>
          <w:bCs/>
          <w:color w:val="auto"/>
          <w:sz w:val="21"/>
          <w:highlight w:val="none"/>
        </w:rPr>
      </w:pPr>
    </w:p>
    <w:p w14:paraId="2BE1A83D">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注：</w:t>
      </w:r>
    </w:p>
    <w:p w14:paraId="08EDE644">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1、如供应商为非残疾人福利性单位的可不提供本声明函。</w:t>
      </w:r>
    </w:p>
    <w:p w14:paraId="0E804C45">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2、享受政府采购支持政策的残疾人福利性单位应当同时满足以下条件：</w:t>
      </w:r>
    </w:p>
    <w:p w14:paraId="6E669CFA">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（一）安置的残疾人占本单位在职职工人数的比例不低于25%（含25%），并且安置的残疾人人数不少于10人（含10人）；</w:t>
      </w:r>
    </w:p>
    <w:p w14:paraId="7683308B">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（二）依法与安置的每位残疾人签订了一年以上（含一年）的劳动合同或服务协议；</w:t>
      </w:r>
    </w:p>
    <w:p w14:paraId="5B094D1A">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（三）为安置的每位残疾人按月足额缴纳了基本养老保险、基本医疗保险、失业保险、工伤保险和生育保险等社会保险费；</w:t>
      </w:r>
    </w:p>
    <w:p w14:paraId="6FBBDC6C">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（四）通过银行等金融机构向安置的每位残疾人，按月支付了不低于单位所在区县适用的经省级人民政府批准的月最低工资标准的工资；</w:t>
      </w:r>
    </w:p>
    <w:p w14:paraId="304D7178">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（五）提供本单位制造的货物、承担的工程或者服务（以下简称产品），或者提供其他残疾人福利性单位制造的货物（不包括使用非残疾人福利性单位注册商标的货物）。</w:t>
      </w:r>
    </w:p>
    <w:p w14:paraId="125521EE">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29381DB">
      <w:pPr>
        <w:rPr>
          <w:rFonts w:ascii="Times New Roman" w:hAnsi="Times New Roman" w:eastAsia="宋体"/>
          <w:b/>
          <w:color w:val="auto"/>
          <w:sz w:val="21"/>
          <w:highlight w:val="none"/>
        </w:rPr>
      </w:pPr>
      <w:r>
        <w:rPr>
          <w:rFonts w:ascii="Times New Roman" w:hAnsi="Times New Roman" w:eastAsia="宋体"/>
          <w:b/>
          <w:color w:val="auto"/>
          <w:sz w:val="21"/>
          <w:highlight w:val="none"/>
        </w:rPr>
        <w:br w:type="page"/>
      </w:r>
    </w:p>
    <w:p w14:paraId="4A44E3D8">
      <w:pPr>
        <w:ind w:firstLine="105" w:firstLineChars="50"/>
        <w:rPr>
          <w:rFonts w:ascii="Times New Roman" w:hAnsi="Times New Roman" w:eastAsia="宋体"/>
          <w:b/>
          <w:color w:val="auto"/>
          <w:sz w:val="21"/>
          <w:highlight w:val="none"/>
        </w:rPr>
      </w:pPr>
      <w:r>
        <w:rPr>
          <w:rFonts w:ascii="Times New Roman" w:hAnsi="Times New Roman" w:eastAsia="宋体"/>
          <w:b/>
          <w:color w:val="auto"/>
          <w:sz w:val="21"/>
          <w:highlight w:val="none"/>
        </w:rPr>
        <w:t>8.需求响应（偏离）表：</w:t>
      </w:r>
    </w:p>
    <w:p w14:paraId="536F14F2">
      <w:pPr>
        <w:widowControl/>
        <w:adjustRightInd/>
        <w:jc w:val="center"/>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需求响应（偏离）表</w:t>
      </w:r>
    </w:p>
    <w:p w14:paraId="60C62900">
      <w:pPr>
        <w:ind w:right="34" w:rightChars="12"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lang w:val="zh-CN"/>
        </w:rPr>
        <w:t xml:space="preserve">项目名称：           项目编号：    </w:t>
      </w:r>
    </w:p>
    <w:tbl>
      <w:tblPr>
        <w:tblStyle w:val="77"/>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699"/>
        <w:gridCol w:w="2837"/>
        <w:gridCol w:w="2407"/>
      </w:tblGrid>
      <w:tr w14:paraId="5844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1F26319">
            <w:pPr>
              <w:topLinePunct/>
              <w:jc w:val="center"/>
              <w:rPr>
                <w:rFonts w:ascii="Times New Roman" w:hAnsi="Times New Roman" w:eastAsia="宋体"/>
                <w:color w:val="auto"/>
                <w:sz w:val="21"/>
                <w:highlight w:val="none"/>
              </w:rPr>
            </w:pPr>
            <w:r>
              <w:rPr>
                <w:rFonts w:ascii="Times New Roman" w:hAnsi="Times New Roman" w:eastAsia="宋体"/>
                <w:color w:val="auto"/>
                <w:sz w:val="21"/>
                <w:highlight w:val="none"/>
              </w:rPr>
              <w:t>序号</w:t>
            </w:r>
          </w:p>
        </w:tc>
        <w:tc>
          <w:tcPr>
            <w:tcW w:w="2699" w:type="dxa"/>
            <w:tcBorders>
              <w:top w:val="single" w:color="auto" w:sz="4" w:space="0"/>
              <w:left w:val="single" w:color="auto" w:sz="4" w:space="0"/>
              <w:bottom w:val="single" w:color="auto" w:sz="4" w:space="0"/>
              <w:right w:val="single" w:color="auto" w:sz="4" w:space="0"/>
            </w:tcBorders>
            <w:vAlign w:val="center"/>
          </w:tcPr>
          <w:p w14:paraId="2B91AA4E">
            <w:pPr>
              <w:topLinePunct/>
              <w:jc w:val="center"/>
              <w:rPr>
                <w:rFonts w:ascii="Times New Roman" w:hAnsi="Times New Roman" w:eastAsia="宋体"/>
                <w:color w:val="auto"/>
                <w:sz w:val="21"/>
                <w:highlight w:val="none"/>
              </w:rPr>
            </w:pPr>
            <w:r>
              <w:rPr>
                <w:rFonts w:ascii="Times New Roman" w:hAnsi="Times New Roman" w:eastAsia="宋体"/>
                <w:color w:val="auto"/>
                <w:sz w:val="21"/>
                <w:highlight w:val="none"/>
              </w:rPr>
              <w:t>采购文件技术要求</w:t>
            </w:r>
          </w:p>
        </w:tc>
        <w:tc>
          <w:tcPr>
            <w:tcW w:w="2837" w:type="dxa"/>
            <w:tcBorders>
              <w:top w:val="single" w:color="auto" w:sz="4" w:space="0"/>
              <w:left w:val="single" w:color="auto" w:sz="4" w:space="0"/>
              <w:bottom w:val="single" w:color="auto" w:sz="4" w:space="0"/>
              <w:right w:val="single" w:color="auto" w:sz="4" w:space="0"/>
            </w:tcBorders>
            <w:vAlign w:val="center"/>
          </w:tcPr>
          <w:p w14:paraId="6320A55D">
            <w:pPr>
              <w:topLinePunct/>
              <w:jc w:val="center"/>
              <w:rPr>
                <w:rFonts w:ascii="Times New Roman" w:hAnsi="Times New Roman" w:eastAsia="宋体"/>
                <w:color w:val="auto"/>
                <w:sz w:val="21"/>
                <w:highlight w:val="none"/>
              </w:rPr>
            </w:pPr>
            <w:r>
              <w:rPr>
                <w:rFonts w:ascii="Times New Roman" w:hAnsi="Times New Roman" w:eastAsia="宋体"/>
                <w:color w:val="auto"/>
                <w:sz w:val="21"/>
                <w:highlight w:val="none"/>
              </w:rPr>
              <w:t>响应文件响应情况</w:t>
            </w:r>
          </w:p>
        </w:tc>
        <w:tc>
          <w:tcPr>
            <w:tcW w:w="2407" w:type="dxa"/>
            <w:tcBorders>
              <w:top w:val="single" w:color="auto" w:sz="4" w:space="0"/>
              <w:left w:val="single" w:color="auto" w:sz="4" w:space="0"/>
              <w:bottom w:val="single" w:color="auto" w:sz="4" w:space="0"/>
              <w:right w:val="single" w:color="auto" w:sz="4" w:space="0"/>
            </w:tcBorders>
            <w:vAlign w:val="center"/>
          </w:tcPr>
          <w:p w14:paraId="70351D37">
            <w:pPr>
              <w:topLinePunct/>
              <w:jc w:val="center"/>
              <w:rPr>
                <w:rFonts w:ascii="Times New Roman" w:hAnsi="Times New Roman" w:eastAsia="宋体"/>
                <w:color w:val="auto"/>
                <w:sz w:val="21"/>
                <w:highlight w:val="none"/>
              </w:rPr>
            </w:pPr>
            <w:r>
              <w:rPr>
                <w:rFonts w:ascii="Times New Roman" w:hAnsi="Times New Roman" w:eastAsia="宋体"/>
                <w:color w:val="auto"/>
                <w:sz w:val="21"/>
                <w:highlight w:val="none"/>
              </w:rPr>
              <w:t>备注</w:t>
            </w:r>
          </w:p>
        </w:tc>
      </w:tr>
      <w:tr w14:paraId="38F0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4B6CC98">
            <w:pPr>
              <w:topLinePunct/>
              <w:jc w:val="center"/>
              <w:rPr>
                <w:rFonts w:ascii="Times New Roman" w:hAnsi="Times New Roman" w:eastAsia="宋体"/>
                <w:b/>
                <w:color w:val="auto"/>
                <w:sz w:val="21"/>
                <w:highlight w:val="none"/>
              </w:rPr>
            </w:pPr>
            <w:r>
              <w:rPr>
                <w:rFonts w:ascii="Times New Roman" w:hAnsi="Times New Roman" w:eastAsia="宋体"/>
                <w:b/>
                <w:color w:val="auto"/>
                <w:sz w:val="21"/>
                <w:highlight w:val="none"/>
              </w:rPr>
              <w:t>1</w:t>
            </w:r>
          </w:p>
        </w:tc>
        <w:tc>
          <w:tcPr>
            <w:tcW w:w="2699" w:type="dxa"/>
            <w:tcBorders>
              <w:top w:val="single" w:color="auto" w:sz="4" w:space="0"/>
              <w:left w:val="single" w:color="auto" w:sz="4" w:space="0"/>
              <w:bottom w:val="single" w:color="auto" w:sz="4" w:space="0"/>
              <w:right w:val="single" w:color="auto" w:sz="4" w:space="0"/>
            </w:tcBorders>
            <w:vAlign w:val="center"/>
          </w:tcPr>
          <w:p w14:paraId="424230E9">
            <w:pPr>
              <w:topLinePunct/>
              <w:rPr>
                <w:rFonts w:ascii="Times New Roman" w:hAnsi="Times New Roman" w:eastAsia="宋体"/>
                <w:b/>
                <w:color w:val="auto"/>
                <w:sz w:val="21"/>
                <w:highlight w:val="none"/>
              </w:rPr>
            </w:pPr>
            <w:r>
              <w:rPr>
                <w:rFonts w:ascii="Times New Roman" w:hAnsi="Times New Roman" w:eastAsia="宋体"/>
                <w:b/>
                <w:bCs/>
                <w:color w:val="auto"/>
                <w:sz w:val="21"/>
                <w:highlight w:val="none"/>
                <w:lang w:val="zh-CN"/>
              </w:rPr>
              <w:t>若完全响应本项目第四章</w:t>
            </w:r>
            <w:r>
              <w:rPr>
                <w:rFonts w:ascii="Times New Roman" w:hAnsi="Times New Roman" w:eastAsia="宋体"/>
                <w:b/>
                <w:bCs/>
                <w:color w:val="auto"/>
                <w:sz w:val="21"/>
                <w:highlight w:val="none"/>
              </w:rPr>
              <w:t xml:space="preserve"> 项目需求，请在本栏填写</w:t>
            </w:r>
            <w:r>
              <w:rPr>
                <w:rFonts w:ascii="Times New Roman" w:hAnsi="Times New Roman" w:eastAsia="宋体"/>
                <w:b/>
                <w:color w:val="auto"/>
                <w:sz w:val="21"/>
                <w:highlight w:val="none"/>
              </w:rPr>
              <w:t>“</w:t>
            </w:r>
            <w:r>
              <w:rPr>
                <w:rFonts w:ascii="Times New Roman" w:hAnsi="Times New Roman" w:eastAsia="宋体"/>
                <w:b/>
                <w:bCs/>
                <w:color w:val="auto"/>
                <w:sz w:val="21"/>
                <w:highlight w:val="none"/>
              </w:rPr>
              <w:t>本项目所有项目需求</w:t>
            </w:r>
            <w:r>
              <w:rPr>
                <w:rFonts w:ascii="Times New Roman" w:hAnsi="Times New Roman" w:eastAsia="宋体"/>
                <w:b/>
                <w:color w:val="auto"/>
                <w:sz w:val="21"/>
                <w:highlight w:val="none"/>
              </w:rPr>
              <w:t>”。</w:t>
            </w:r>
          </w:p>
        </w:tc>
        <w:tc>
          <w:tcPr>
            <w:tcW w:w="2837" w:type="dxa"/>
            <w:tcBorders>
              <w:top w:val="single" w:color="auto" w:sz="4" w:space="0"/>
              <w:left w:val="single" w:color="auto" w:sz="4" w:space="0"/>
              <w:bottom w:val="single" w:color="auto" w:sz="4" w:space="0"/>
              <w:right w:val="single" w:color="auto" w:sz="4" w:space="0"/>
            </w:tcBorders>
            <w:vAlign w:val="center"/>
          </w:tcPr>
          <w:p w14:paraId="322AA0A1">
            <w:pPr>
              <w:topLinePunct/>
              <w:rPr>
                <w:rFonts w:ascii="Times New Roman" w:hAnsi="Times New Roman" w:eastAsia="宋体"/>
                <w:b/>
                <w:color w:val="auto"/>
                <w:sz w:val="21"/>
                <w:highlight w:val="none"/>
              </w:rPr>
            </w:pPr>
            <w:r>
              <w:rPr>
                <w:rFonts w:ascii="Times New Roman" w:hAnsi="Times New Roman" w:eastAsia="宋体"/>
                <w:b/>
                <w:bCs/>
                <w:color w:val="auto"/>
                <w:sz w:val="21"/>
                <w:highlight w:val="none"/>
                <w:lang w:val="zh-CN"/>
              </w:rPr>
              <w:t>若完全响应本项目第四章</w:t>
            </w:r>
            <w:r>
              <w:rPr>
                <w:rFonts w:ascii="Times New Roman" w:hAnsi="Times New Roman" w:eastAsia="宋体"/>
                <w:b/>
                <w:bCs/>
                <w:color w:val="auto"/>
                <w:sz w:val="21"/>
                <w:highlight w:val="none"/>
              </w:rPr>
              <w:t xml:space="preserve"> 项目需求，请在本栏填写“完全响应本项目所有项目需求”。</w:t>
            </w:r>
          </w:p>
        </w:tc>
        <w:tc>
          <w:tcPr>
            <w:tcW w:w="2407" w:type="dxa"/>
            <w:tcBorders>
              <w:top w:val="single" w:color="auto" w:sz="4" w:space="0"/>
              <w:left w:val="single" w:color="auto" w:sz="4" w:space="0"/>
              <w:bottom w:val="single" w:color="auto" w:sz="4" w:space="0"/>
              <w:right w:val="single" w:color="auto" w:sz="4" w:space="0"/>
            </w:tcBorders>
            <w:vAlign w:val="center"/>
          </w:tcPr>
          <w:p w14:paraId="09D496A7">
            <w:pPr>
              <w:topLinePunct/>
              <w:jc w:val="center"/>
              <w:rPr>
                <w:rFonts w:ascii="Times New Roman" w:hAnsi="Times New Roman" w:eastAsia="宋体"/>
                <w:b/>
                <w:color w:val="auto"/>
                <w:sz w:val="21"/>
                <w:highlight w:val="none"/>
              </w:rPr>
            </w:pPr>
          </w:p>
        </w:tc>
      </w:tr>
      <w:tr w14:paraId="08DE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B4564B8">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38B06AE4">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2674E13B">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0AE3AFDE">
            <w:pPr>
              <w:topLinePunct/>
              <w:jc w:val="center"/>
              <w:rPr>
                <w:rFonts w:ascii="Times New Roman" w:hAnsi="Times New Roman" w:eastAsia="宋体"/>
                <w:b/>
                <w:color w:val="auto"/>
                <w:sz w:val="21"/>
                <w:highlight w:val="none"/>
              </w:rPr>
            </w:pPr>
          </w:p>
        </w:tc>
      </w:tr>
      <w:tr w14:paraId="1E7B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D91144F">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21A43601">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481A8171">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1C06CC6">
            <w:pPr>
              <w:topLinePunct/>
              <w:jc w:val="center"/>
              <w:rPr>
                <w:rFonts w:ascii="Times New Roman" w:hAnsi="Times New Roman" w:eastAsia="宋体"/>
                <w:b/>
                <w:color w:val="auto"/>
                <w:sz w:val="21"/>
                <w:highlight w:val="none"/>
              </w:rPr>
            </w:pPr>
          </w:p>
        </w:tc>
      </w:tr>
      <w:tr w14:paraId="707C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A872E9A">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16CC524E">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07C0B46D">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5904018E">
            <w:pPr>
              <w:topLinePunct/>
              <w:jc w:val="center"/>
              <w:rPr>
                <w:rFonts w:ascii="Times New Roman" w:hAnsi="Times New Roman" w:eastAsia="宋体"/>
                <w:b/>
                <w:color w:val="auto"/>
                <w:sz w:val="21"/>
                <w:highlight w:val="none"/>
              </w:rPr>
            </w:pPr>
          </w:p>
        </w:tc>
      </w:tr>
      <w:tr w14:paraId="321C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904BDF9">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3693439A">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367E1C74">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CEBC83B">
            <w:pPr>
              <w:topLinePunct/>
              <w:jc w:val="center"/>
              <w:rPr>
                <w:rFonts w:ascii="Times New Roman" w:hAnsi="Times New Roman" w:eastAsia="宋体"/>
                <w:b/>
                <w:color w:val="auto"/>
                <w:sz w:val="21"/>
                <w:highlight w:val="none"/>
              </w:rPr>
            </w:pPr>
          </w:p>
        </w:tc>
      </w:tr>
      <w:tr w14:paraId="5E65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91CB059">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09C3EB69">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2E3C8DE7">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518D38C">
            <w:pPr>
              <w:topLinePunct/>
              <w:jc w:val="center"/>
              <w:rPr>
                <w:rFonts w:ascii="Times New Roman" w:hAnsi="Times New Roman" w:eastAsia="宋体"/>
                <w:b/>
                <w:color w:val="auto"/>
                <w:sz w:val="21"/>
                <w:highlight w:val="none"/>
              </w:rPr>
            </w:pPr>
          </w:p>
        </w:tc>
      </w:tr>
      <w:tr w14:paraId="7377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EDA23D8">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44A0F888">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4ED58823">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69C5A6E5">
            <w:pPr>
              <w:topLinePunct/>
              <w:jc w:val="center"/>
              <w:rPr>
                <w:rFonts w:ascii="Times New Roman" w:hAnsi="Times New Roman" w:eastAsia="宋体"/>
                <w:b/>
                <w:color w:val="auto"/>
                <w:sz w:val="21"/>
                <w:highlight w:val="none"/>
              </w:rPr>
            </w:pPr>
          </w:p>
        </w:tc>
      </w:tr>
      <w:tr w14:paraId="07E9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CFF46EA">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75FE9FB6">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65A84D66">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1561E365">
            <w:pPr>
              <w:topLinePunct/>
              <w:jc w:val="center"/>
              <w:rPr>
                <w:rFonts w:ascii="Times New Roman" w:hAnsi="Times New Roman" w:eastAsia="宋体"/>
                <w:b/>
                <w:color w:val="auto"/>
                <w:sz w:val="21"/>
                <w:highlight w:val="none"/>
              </w:rPr>
            </w:pPr>
          </w:p>
        </w:tc>
      </w:tr>
      <w:tr w14:paraId="4844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75A113F">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4BB72307">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176328B9">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229F348D">
            <w:pPr>
              <w:topLinePunct/>
              <w:jc w:val="center"/>
              <w:rPr>
                <w:rFonts w:ascii="Times New Roman" w:hAnsi="Times New Roman" w:eastAsia="宋体"/>
                <w:b/>
                <w:color w:val="auto"/>
                <w:sz w:val="21"/>
                <w:highlight w:val="none"/>
              </w:rPr>
            </w:pPr>
          </w:p>
        </w:tc>
      </w:tr>
      <w:tr w14:paraId="0D99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668637C">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4A008354">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548155B3">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BCA296B">
            <w:pPr>
              <w:topLinePunct/>
              <w:jc w:val="center"/>
              <w:rPr>
                <w:rFonts w:ascii="Times New Roman" w:hAnsi="Times New Roman" w:eastAsia="宋体"/>
                <w:b/>
                <w:color w:val="auto"/>
                <w:sz w:val="21"/>
                <w:highlight w:val="none"/>
              </w:rPr>
            </w:pPr>
          </w:p>
        </w:tc>
      </w:tr>
      <w:tr w14:paraId="49D6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971FA93">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41E0E6D8">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41B2283E">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1BB4E9E6">
            <w:pPr>
              <w:topLinePunct/>
              <w:jc w:val="center"/>
              <w:rPr>
                <w:rFonts w:ascii="Times New Roman" w:hAnsi="Times New Roman" w:eastAsia="宋体"/>
                <w:b/>
                <w:color w:val="auto"/>
                <w:sz w:val="21"/>
                <w:highlight w:val="none"/>
              </w:rPr>
            </w:pPr>
          </w:p>
        </w:tc>
      </w:tr>
      <w:tr w14:paraId="1C7B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6CA706F">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7370A136">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4E628111">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1FCDDF21">
            <w:pPr>
              <w:topLinePunct/>
              <w:jc w:val="center"/>
              <w:rPr>
                <w:rFonts w:ascii="Times New Roman" w:hAnsi="Times New Roman" w:eastAsia="宋体"/>
                <w:b/>
                <w:color w:val="auto"/>
                <w:sz w:val="21"/>
                <w:highlight w:val="none"/>
              </w:rPr>
            </w:pPr>
          </w:p>
        </w:tc>
      </w:tr>
      <w:tr w14:paraId="45D4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FDD35A7">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5FA1E8AF">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2A56EA07">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554F509D">
            <w:pPr>
              <w:topLinePunct/>
              <w:jc w:val="center"/>
              <w:rPr>
                <w:rFonts w:ascii="Times New Roman" w:hAnsi="Times New Roman" w:eastAsia="宋体"/>
                <w:b/>
                <w:color w:val="auto"/>
                <w:sz w:val="21"/>
                <w:highlight w:val="none"/>
              </w:rPr>
            </w:pPr>
          </w:p>
        </w:tc>
      </w:tr>
      <w:tr w14:paraId="4C62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68C181B">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2D6813A9">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7328667F">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90E2C51">
            <w:pPr>
              <w:topLinePunct/>
              <w:jc w:val="center"/>
              <w:rPr>
                <w:rFonts w:ascii="Times New Roman" w:hAnsi="Times New Roman" w:eastAsia="宋体"/>
                <w:b/>
                <w:color w:val="auto"/>
                <w:sz w:val="21"/>
                <w:highlight w:val="none"/>
              </w:rPr>
            </w:pPr>
          </w:p>
        </w:tc>
      </w:tr>
    </w:tbl>
    <w:p w14:paraId="304D2923">
      <w:pPr>
        <w:ind w:right="420" w:firstLine="3150" w:firstLineChars="1500"/>
        <w:rPr>
          <w:rFonts w:ascii="Times New Roman" w:hAnsi="Times New Roman" w:eastAsia="宋体"/>
          <w:color w:val="auto"/>
          <w:sz w:val="21"/>
          <w:highlight w:val="none"/>
        </w:rPr>
      </w:pPr>
    </w:p>
    <w:p w14:paraId="2C407A03">
      <w:pPr>
        <w:ind w:right="420" w:firstLine="3150" w:firstLineChars="1500"/>
        <w:rPr>
          <w:rFonts w:ascii="Times New Roman" w:hAnsi="Times New Roman" w:eastAsia="宋体"/>
          <w:color w:val="auto"/>
          <w:sz w:val="21"/>
          <w:highlight w:val="none"/>
        </w:rPr>
      </w:pPr>
    </w:p>
    <w:p w14:paraId="7994AD32">
      <w:pPr>
        <w:widowControl/>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供应商名称（盖章）：</w:t>
      </w:r>
    </w:p>
    <w:p w14:paraId="1B1A0FBD">
      <w:pPr>
        <w:widowControl/>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法定代表人或授权代表（签字或盖章）：</w:t>
      </w:r>
    </w:p>
    <w:p w14:paraId="608710D0">
      <w:pPr>
        <w:widowControl/>
        <w:ind w:firstLine="420" w:firstLineChars="200"/>
        <w:rPr>
          <w:rFonts w:ascii="Times New Roman" w:hAnsi="Times New Roman" w:eastAsia="宋体"/>
          <w:b/>
          <w:color w:val="auto"/>
          <w:spacing w:val="-4"/>
          <w:highlight w:val="none"/>
        </w:rPr>
      </w:pPr>
      <w:r>
        <w:rPr>
          <w:rFonts w:ascii="Times New Roman" w:hAnsi="Times New Roman" w:eastAsia="宋体"/>
          <w:color w:val="auto"/>
          <w:sz w:val="21"/>
          <w:highlight w:val="none"/>
        </w:rPr>
        <w:t>日  期：</w:t>
      </w:r>
    </w:p>
    <w:p w14:paraId="2B16BE1A">
      <w:pPr>
        <w:ind w:right="420"/>
        <w:rPr>
          <w:rFonts w:ascii="Times New Roman" w:hAnsi="Times New Roman" w:eastAsia="宋体"/>
          <w:b/>
          <w:color w:val="auto"/>
          <w:sz w:val="21"/>
          <w:highlight w:val="none"/>
        </w:rPr>
      </w:pPr>
      <w:r>
        <w:rPr>
          <w:rFonts w:ascii="Times New Roman" w:hAnsi="Times New Roman" w:eastAsia="宋体"/>
          <w:color w:val="auto"/>
          <w:sz w:val="21"/>
          <w:highlight w:val="none"/>
        </w:rPr>
        <w:br w:type="page"/>
      </w:r>
      <w:r>
        <w:rPr>
          <w:rFonts w:ascii="Times New Roman" w:hAnsi="Times New Roman" w:eastAsia="宋体"/>
          <w:b/>
          <w:color w:val="auto"/>
          <w:sz w:val="21"/>
          <w:highlight w:val="none"/>
        </w:rPr>
        <w:t>9.法定代表人身份证明及授权委托书：</w:t>
      </w:r>
    </w:p>
    <w:p w14:paraId="5C459B10">
      <w:pPr>
        <w:rPr>
          <w:rFonts w:ascii="Times New Roman" w:hAnsi="Times New Roman" w:eastAsia="宋体"/>
          <w:color w:val="auto"/>
          <w:sz w:val="21"/>
          <w:highlight w:val="none"/>
        </w:rPr>
      </w:pPr>
    </w:p>
    <w:p w14:paraId="07F098EE">
      <w:pPr>
        <w:widowControl/>
        <w:adjustRightInd/>
        <w:jc w:val="center"/>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法定代表人证明</w:t>
      </w:r>
    </w:p>
    <w:p w14:paraId="5C6C2584">
      <w:pPr>
        <w:widowControl/>
        <w:adjustRightInd/>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单位名称：</w:t>
      </w:r>
    </w:p>
    <w:p w14:paraId="1FCA19D1">
      <w:pPr>
        <w:widowControl/>
        <w:adjustRightInd/>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地    址：</w:t>
      </w:r>
    </w:p>
    <w:p w14:paraId="71DEF1F4">
      <w:pPr>
        <w:widowControl/>
        <w:adjustRightInd/>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姓    名： 性    别：</w:t>
      </w:r>
    </w:p>
    <w:p w14:paraId="4DA1EBD0">
      <w:pPr>
        <w:widowControl/>
        <w:adjustRightInd/>
        <w:ind w:firstLine="420" w:firstLineChars="200"/>
        <w:textAlignment w:val="auto"/>
        <w:rPr>
          <w:rFonts w:ascii="Times New Roman" w:hAnsi="Times New Roman" w:eastAsia="宋体"/>
          <w:color w:val="auto"/>
          <w:kern w:val="2"/>
          <w:sz w:val="21"/>
          <w:highlight w:val="none"/>
          <w:u w:val="single"/>
        </w:rPr>
      </w:pPr>
      <w:r>
        <w:rPr>
          <w:rFonts w:ascii="Times New Roman" w:hAnsi="Times New Roman" w:eastAsia="宋体"/>
          <w:color w:val="auto"/>
          <w:kern w:val="2"/>
          <w:sz w:val="21"/>
          <w:highlight w:val="none"/>
        </w:rPr>
        <w:t>年    龄： 职    务：</w:t>
      </w:r>
    </w:p>
    <w:p w14:paraId="643C9CAC">
      <w:pPr>
        <w:widowControl/>
        <w:adjustRightInd/>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身份证号码：</w:t>
      </w:r>
    </w:p>
    <w:p w14:paraId="32F90B37">
      <w:pPr>
        <w:widowControl/>
        <w:adjustRightInd/>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系</w:t>
      </w:r>
      <w:r>
        <w:rPr>
          <w:rFonts w:ascii="Times New Roman" w:hAnsi="Times New Roman" w:eastAsia="宋体"/>
          <w:color w:val="auto"/>
          <w:kern w:val="2"/>
          <w:sz w:val="21"/>
          <w:highlight w:val="none"/>
          <w:u w:val="single"/>
        </w:rPr>
        <w:t xml:space="preserve">         （供应商名称）      </w:t>
      </w:r>
      <w:r>
        <w:rPr>
          <w:rFonts w:ascii="Times New Roman" w:hAnsi="Times New Roman" w:eastAsia="宋体"/>
          <w:color w:val="auto"/>
          <w:kern w:val="2"/>
          <w:sz w:val="21"/>
          <w:highlight w:val="none"/>
        </w:rPr>
        <w:t>的法定代表人，为</w:t>
      </w:r>
      <w:r>
        <w:rPr>
          <w:rFonts w:ascii="Times New Roman" w:hAnsi="Times New Roman" w:eastAsia="宋体"/>
          <w:color w:val="auto"/>
          <w:kern w:val="2"/>
          <w:sz w:val="21"/>
          <w:highlight w:val="none"/>
          <w:u w:val="single"/>
        </w:rPr>
        <w:t xml:space="preserve">     （项目编号、项目名称）   </w:t>
      </w:r>
      <w:r>
        <w:rPr>
          <w:rFonts w:ascii="Times New Roman" w:hAnsi="Times New Roman" w:eastAsia="宋体"/>
          <w:color w:val="auto"/>
          <w:kern w:val="2"/>
          <w:sz w:val="21"/>
          <w:highlight w:val="none"/>
        </w:rPr>
        <w:t>项目，签署上述项目的响应文件，进行合同谈判、签署合同和处理与之有关的一切事宜。</w:t>
      </w:r>
    </w:p>
    <w:p w14:paraId="6A1A7758">
      <w:pPr>
        <w:widowControl/>
        <w:adjustRightInd/>
        <w:ind w:firstLine="422" w:firstLineChars="200"/>
        <w:textAlignment w:val="auto"/>
        <w:rPr>
          <w:rFonts w:ascii="Times New Roman" w:hAnsi="Times New Roman" w:eastAsia="宋体"/>
          <w:color w:val="auto"/>
          <w:kern w:val="2"/>
          <w:sz w:val="21"/>
          <w:highlight w:val="none"/>
        </w:rPr>
      </w:pPr>
      <w:r>
        <w:rPr>
          <w:rFonts w:ascii="Times New Roman" w:hAnsi="Times New Roman" w:eastAsia="宋体"/>
          <w:b/>
          <w:bCs/>
          <w:color w:val="auto"/>
          <w:kern w:val="2"/>
          <w:sz w:val="21"/>
          <w:highlight w:val="none"/>
        </w:rPr>
        <w:t>特此证明！</w:t>
      </w:r>
    </w:p>
    <w:p w14:paraId="5134591E">
      <w:pPr>
        <w:ind w:firstLine="422" w:firstLineChars="200"/>
        <w:rPr>
          <w:rFonts w:ascii="Times New Roman" w:hAnsi="Times New Roman" w:eastAsia="宋体"/>
          <w:b/>
          <w:color w:val="auto"/>
          <w:sz w:val="21"/>
          <w:highlight w:val="none"/>
        </w:rPr>
      </w:pPr>
    </w:p>
    <w:p w14:paraId="1B1A2BFF">
      <w:pPr>
        <w:ind w:firstLine="422" w:firstLineChars="200"/>
        <w:rPr>
          <w:rFonts w:ascii="Times New Roman" w:hAnsi="Times New Roman" w:eastAsia="宋体"/>
          <w:b/>
          <w:color w:val="auto"/>
          <w:sz w:val="21"/>
          <w:highlight w:val="none"/>
        </w:rPr>
      </w:pPr>
    </w:p>
    <w:p w14:paraId="68A1C90C">
      <w:pPr>
        <w:ind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附身份证复印件（正反面）：</w:t>
      </w:r>
    </w:p>
    <w:p w14:paraId="0B3D457B">
      <w:pPr>
        <w:pStyle w:val="76"/>
        <w:ind w:left="560" w:firstLine="422"/>
        <w:rPr>
          <w:rFonts w:ascii="Times New Roman" w:hAnsi="Times New Roman" w:eastAsia="宋体"/>
          <w:b/>
          <w:color w:val="auto"/>
          <w:sz w:val="21"/>
          <w:highlight w:val="none"/>
        </w:rPr>
      </w:pPr>
    </w:p>
    <w:p w14:paraId="4259D881">
      <w:pPr>
        <w:pStyle w:val="76"/>
        <w:ind w:left="560" w:firstLine="422"/>
        <w:rPr>
          <w:rFonts w:ascii="Times New Roman" w:hAnsi="Times New Roman" w:eastAsia="宋体"/>
          <w:b/>
          <w:color w:val="auto"/>
          <w:sz w:val="21"/>
          <w:highlight w:val="none"/>
        </w:rPr>
      </w:pPr>
    </w:p>
    <w:p w14:paraId="5095BEFF">
      <w:pPr>
        <w:rPr>
          <w:rFonts w:ascii="Times New Roman" w:hAnsi="Times New Roman" w:eastAsia="宋体"/>
          <w:b/>
          <w:color w:val="auto"/>
          <w:sz w:val="21"/>
          <w:highlight w:val="none"/>
        </w:rPr>
      </w:pPr>
    </w:p>
    <w:p w14:paraId="5D2887C2">
      <w:pPr>
        <w:pStyle w:val="30"/>
        <w:ind w:left="560"/>
        <w:rPr>
          <w:rFonts w:ascii="Times New Roman" w:hAnsi="Times New Roman"/>
          <w:color w:val="auto"/>
          <w:highlight w:val="none"/>
        </w:rPr>
      </w:pPr>
    </w:p>
    <w:p w14:paraId="4DF20AFE">
      <w:pPr>
        <w:ind w:right="420" w:firstLine="3150" w:firstLineChars="1500"/>
        <w:rPr>
          <w:rFonts w:ascii="Times New Roman" w:hAnsi="Times New Roman" w:eastAsia="宋体"/>
          <w:color w:val="auto"/>
          <w:sz w:val="21"/>
          <w:highlight w:val="none"/>
        </w:rPr>
      </w:pPr>
      <w:r>
        <w:rPr>
          <w:rFonts w:ascii="Times New Roman" w:hAnsi="Times New Roman" w:eastAsia="宋体"/>
          <w:color w:val="auto"/>
          <w:sz w:val="21"/>
          <w:highlight w:val="none"/>
        </w:rPr>
        <w:t xml:space="preserve">供应商名称（盖章）：  </w:t>
      </w:r>
    </w:p>
    <w:p w14:paraId="293070F4">
      <w:pPr>
        <w:ind w:right="420" w:firstLine="3150" w:firstLineChars="1500"/>
        <w:rPr>
          <w:rFonts w:ascii="Times New Roman" w:hAnsi="Times New Roman" w:eastAsia="宋体"/>
          <w:color w:val="auto"/>
          <w:sz w:val="21"/>
          <w:highlight w:val="none"/>
        </w:rPr>
      </w:pPr>
      <w:r>
        <w:rPr>
          <w:rFonts w:ascii="Times New Roman" w:hAnsi="Times New Roman" w:eastAsia="宋体"/>
          <w:color w:val="auto"/>
          <w:sz w:val="21"/>
          <w:highlight w:val="none"/>
        </w:rPr>
        <w:t xml:space="preserve">供应商的法定代表人（签字或盖章）：          </w:t>
      </w:r>
    </w:p>
    <w:p w14:paraId="66434A12">
      <w:pPr>
        <w:ind w:right="420" w:firstLine="3150" w:firstLineChars="1500"/>
        <w:rPr>
          <w:rFonts w:ascii="Times New Roman" w:hAnsi="Times New Roman" w:eastAsia="宋体"/>
          <w:b/>
          <w:color w:val="auto"/>
          <w:sz w:val="21"/>
          <w:highlight w:val="none"/>
        </w:rPr>
      </w:pPr>
      <w:r>
        <w:rPr>
          <w:rFonts w:ascii="Times New Roman" w:hAnsi="Times New Roman" w:eastAsia="宋体"/>
          <w:color w:val="auto"/>
          <w:sz w:val="21"/>
          <w:highlight w:val="none"/>
        </w:rPr>
        <w:t xml:space="preserve">日  期：                   </w:t>
      </w:r>
    </w:p>
    <w:p w14:paraId="041CF9A8">
      <w:pPr>
        <w:jc w:val="center"/>
        <w:rPr>
          <w:rFonts w:ascii="Times New Roman" w:hAnsi="Times New Roman" w:eastAsia="宋体"/>
          <w:b/>
          <w:color w:val="auto"/>
          <w:sz w:val="32"/>
          <w:highlight w:val="none"/>
        </w:rPr>
      </w:pPr>
      <w:r>
        <w:rPr>
          <w:rFonts w:ascii="Times New Roman" w:hAnsi="Times New Roman" w:eastAsia="宋体"/>
          <w:b/>
          <w:color w:val="auto"/>
          <w:highlight w:val="none"/>
        </w:rPr>
        <w:br w:type="page"/>
      </w:r>
      <w:r>
        <w:rPr>
          <w:rFonts w:ascii="Times New Roman" w:hAnsi="Times New Roman" w:eastAsia="宋体"/>
          <w:b/>
          <w:color w:val="auto"/>
          <w:sz w:val="21"/>
          <w:highlight w:val="none"/>
        </w:rPr>
        <w:t>法定代表人授权委托书</w:t>
      </w:r>
    </w:p>
    <w:p w14:paraId="7DF972DC">
      <w:pPr>
        <w:snapToGrid w:val="0"/>
        <w:rPr>
          <w:rFonts w:ascii="Times New Roman" w:hAnsi="Times New Roman" w:eastAsia="宋体"/>
          <w:color w:val="auto"/>
          <w:sz w:val="21"/>
          <w:highlight w:val="none"/>
        </w:rPr>
      </w:pPr>
    </w:p>
    <w:p w14:paraId="4A6614A1">
      <w:pPr>
        <w:snapToGrid w:val="0"/>
        <w:rPr>
          <w:rFonts w:ascii="Times New Roman" w:hAnsi="Times New Roman" w:eastAsia="宋体"/>
          <w:color w:val="auto"/>
          <w:sz w:val="21"/>
          <w:highlight w:val="none"/>
        </w:rPr>
      </w:pPr>
      <w:r>
        <w:rPr>
          <w:rFonts w:ascii="Times New Roman" w:hAnsi="Times New Roman" w:eastAsia="宋体"/>
          <w:color w:val="auto"/>
          <w:sz w:val="21"/>
          <w:highlight w:val="none"/>
        </w:rPr>
        <w:t>致：（采购单位名称）：</w:t>
      </w:r>
    </w:p>
    <w:p w14:paraId="74222B31">
      <w:pPr>
        <w:snapToGrid w:val="0"/>
        <w:ind w:firstLine="420" w:firstLineChars="200"/>
        <w:rPr>
          <w:rFonts w:ascii="Times New Roman" w:hAnsi="Times New Roman" w:eastAsia="宋体"/>
          <w:color w:val="auto"/>
          <w:sz w:val="21"/>
          <w:highlight w:val="none"/>
          <w:u w:val="single"/>
        </w:rPr>
      </w:pPr>
      <w:r>
        <w:rPr>
          <w:rFonts w:ascii="Times New Roman" w:hAnsi="Times New Roman" w:eastAsia="宋体"/>
          <w:color w:val="auto"/>
          <w:sz w:val="21"/>
          <w:highlight w:val="none"/>
        </w:rPr>
        <w:t>我（姓名）系（供应商名称）的法定代表人，现授权委托本单位在职职工</w:t>
      </w:r>
      <w:r>
        <w:rPr>
          <w:rFonts w:ascii="Times New Roman" w:hAnsi="Times New Roman" w:eastAsia="宋体"/>
          <w:color w:val="auto"/>
          <w:sz w:val="21"/>
          <w:highlight w:val="none"/>
          <w:u w:val="single"/>
        </w:rPr>
        <w:t xml:space="preserve"> （姓名）</w:t>
      </w:r>
      <w:r>
        <w:rPr>
          <w:rFonts w:ascii="Times New Roman" w:hAnsi="Times New Roman" w:eastAsia="宋体"/>
          <w:color w:val="auto"/>
          <w:sz w:val="21"/>
          <w:highlight w:val="none"/>
        </w:rPr>
        <w:t>以我方的名义参加</w:t>
      </w:r>
      <w:r>
        <w:rPr>
          <w:rFonts w:ascii="Times New Roman" w:hAnsi="Times New Roman" w:eastAsia="宋体"/>
          <w:color w:val="auto"/>
          <w:sz w:val="21"/>
          <w:highlight w:val="none"/>
          <w:u w:val="single"/>
        </w:rPr>
        <w:t>（项目名称）</w:t>
      </w:r>
      <w:r>
        <w:rPr>
          <w:rFonts w:ascii="Times New Roman" w:hAnsi="Times New Roman" w:eastAsia="宋体"/>
          <w:color w:val="auto"/>
          <w:sz w:val="21"/>
          <w:highlight w:val="none"/>
        </w:rPr>
        <w:t>项目的采购活动，并代表我方全权办理针对上述项目的采购活动、签约等具体事务和签署相关文件。</w:t>
      </w:r>
    </w:p>
    <w:p w14:paraId="6AF53021">
      <w:pPr>
        <w:snapToGrid w:val="0"/>
        <w:ind w:firstLine="420" w:firstLineChars="200"/>
        <w:rPr>
          <w:rFonts w:ascii="Times New Roman" w:hAnsi="Times New Roman" w:eastAsia="宋体"/>
          <w:color w:val="auto"/>
          <w:sz w:val="21"/>
          <w:highlight w:val="none"/>
          <w:u w:val="single"/>
        </w:rPr>
      </w:pPr>
      <w:r>
        <w:rPr>
          <w:rFonts w:ascii="Times New Roman" w:hAnsi="Times New Roman" w:eastAsia="宋体"/>
          <w:color w:val="auto"/>
          <w:sz w:val="21"/>
          <w:highlight w:val="none"/>
        </w:rPr>
        <w:t>我方对授权代表的签字或盖章事项负全部责任。</w:t>
      </w:r>
    </w:p>
    <w:p w14:paraId="7197FA6F">
      <w:pPr>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在撤销授权的书面通知以前，本授权书一直有效。授权代表在授权书有效期内签署的所有文件不因授权的撤销而失效。</w:t>
      </w:r>
    </w:p>
    <w:p w14:paraId="60154BA2">
      <w:pPr>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授权代表无转委托权，特此委托。</w:t>
      </w:r>
    </w:p>
    <w:p w14:paraId="5C2F4137">
      <w:pPr>
        <w:snapToGrid w:val="0"/>
        <w:ind w:firstLine="420" w:firstLineChars="200"/>
        <w:rPr>
          <w:rFonts w:ascii="Times New Roman" w:hAnsi="Times New Roman" w:eastAsia="宋体"/>
          <w:color w:val="auto"/>
          <w:sz w:val="21"/>
          <w:highlight w:val="none"/>
        </w:rPr>
      </w:pPr>
    </w:p>
    <w:p w14:paraId="25F2495A">
      <w:pPr>
        <w:snapToGrid w:val="0"/>
        <w:ind w:firstLine="420" w:firstLineChars="200"/>
        <w:rPr>
          <w:rFonts w:ascii="Times New Roman" w:hAnsi="Times New Roman" w:eastAsia="宋体"/>
          <w:color w:val="auto"/>
          <w:sz w:val="21"/>
          <w:highlight w:val="none"/>
        </w:rPr>
      </w:pPr>
    </w:p>
    <w:p w14:paraId="1F785784">
      <w:pPr>
        <w:snapToGrid w:val="0"/>
        <w:ind w:firstLine="420" w:firstLineChars="200"/>
        <w:rPr>
          <w:rFonts w:ascii="Times New Roman" w:hAnsi="Times New Roman" w:eastAsia="宋体"/>
          <w:color w:val="auto"/>
          <w:sz w:val="21"/>
          <w:highlight w:val="none"/>
          <w:u w:val="single"/>
        </w:rPr>
      </w:pPr>
      <w:r>
        <w:rPr>
          <w:rFonts w:ascii="Times New Roman" w:hAnsi="Times New Roman" w:eastAsia="宋体"/>
          <w:color w:val="auto"/>
          <w:sz w:val="21"/>
          <w:highlight w:val="none"/>
        </w:rPr>
        <w:t>授权代表签字或盖章：                 法定代表人签字或盖章：</w:t>
      </w:r>
    </w:p>
    <w:p w14:paraId="759BB0B2">
      <w:pPr>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职务：                         职务：</w:t>
      </w:r>
    </w:p>
    <w:p w14:paraId="37BA5DED">
      <w:pPr>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授权代表身份证号码：</w:t>
      </w:r>
    </w:p>
    <w:p w14:paraId="5B623A2D">
      <w:pPr>
        <w:snapToGrid w:val="0"/>
        <w:rPr>
          <w:rFonts w:ascii="Times New Roman" w:hAnsi="Times New Roman" w:eastAsia="宋体"/>
          <w:color w:val="auto"/>
          <w:sz w:val="21"/>
          <w:highlight w:val="none"/>
        </w:rPr>
      </w:pPr>
    </w:p>
    <w:p w14:paraId="30953336">
      <w:pPr>
        <w:snapToGrid w:val="0"/>
        <w:rPr>
          <w:rFonts w:ascii="Times New Roman" w:hAnsi="Times New Roman" w:eastAsia="宋体"/>
          <w:color w:val="auto"/>
          <w:sz w:val="21"/>
          <w:highlight w:val="none"/>
        </w:rPr>
      </w:pPr>
    </w:p>
    <w:p w14:paraId="590D89EB">
      <w:pPr>
        <w:snapToGrid w:val="0"/>
        <w:ind w:firstLine="4830" w:firstLineChars="2300"/>
        <w:rPr>
          <w:rFonts w:ascii="Times New Roman" w:hAnsi="Times New Roman" w:eastAsia="宋体"/>
          <w:color w:val="auto"/>
          <w:sz w:val="21"/>
          <w:highlight w:val="none"/>
        </w:rPr>
      </w:pPr>
      <w:r>
        <w:rPr>
          <w:rFonts w:ascii="Times New Roman" w:hAnsi="Times New Roman" w:eastAsia="宋体"/>
          <w:color w:val="auto"/>
          <w:sz w:val="21"/>
          <w:highlight w:val="none"/>
        </w:rPr>
        <w:t xml:space="preserve">供应商名称（盖章）：        </w:t>
      </w:r>
    </w:p>
    <w:p w14:paraId="6D34E71C">
      <w:pPr>
        <w:snapToGrid w:val="0"/>
        <w:ind w:firstLine="4830" w:firstLineChars="2300"/>
        <w:rPr>
          <w:rFonts w:ascii="Times New Roman" w:hAnsi="Times New Roman" w:eastAsia="宋体"/>
          <w:color w:val="auto"/>
          <w:sz w:val="21"/>
          <w:highlight w:val="none"/>
        </w:rPr>
      </w:pPr>
    </w:p>
    <w:p w14:paraId="79873695">
      <w:pPr>
        <w:snapToGrid w:val="0"/>
        <w:ind w:firstLine="4830" w:firstLineChars="2300"/>
        <w:rPr>
          <w:rFonts w:ascii="Times New Roman" w:hAnsi="Times New Roman" w:eastAsia="宋体"/>
          <w:color w:val="auto"/>
          <w:sz w:val="21"/>
          <w:highlight w:val="none"/>
        </w:rPr>
      </w:pPr>
      <w:r>
        <w:rPr>
          <w:rFonts w:ascii="Times New Roman" w:hAnsi="Times New Roman" w:eastAsia="宋体"/>
          <w:color w:val="auto"/>
          <w:sz w:val="21"/>
          <w:highlight w:val="none"/>
        </w:rPr>
        <w:t xml:space="preserve">日  期：                       </w:t>
      </w:r>
    </w:p>
    <w:p w14:paraId="5245C43F">
      <w:pPr>
        <w:snapToGrid w:val="0"/>
        <w:rPr>
          <w:rFonts w:ascii="Times New Roman" w:hAnsi="Times New Roman" w:eastAsia="宋体"/>
          <w:color w:val="auto"/>
          <w:sz w:val="21"/>
          <w:highlight w:val="none"/>
        </w:rPr>
      </w:pPr>
    </w:p>
    <w:p w14:paraId="60BD136A">
      <w:pPr>
        <w:rPr>
          <w:rFonts w:ascii="Times New Roman" w:hAnsi="Times New Roman" w:eastAsia="宋体"/>
          <w:b/>
          <w:color w:val="auto"/>
          <w:sz w:val="21"/>
          <w:highlight w:val="none"/>
        </w:rPr>
      </w:pPr>
    </w:p>
    <w:p w14:paraId="3D38E92C">
      <w:pPr>
        <w:rPr>
          <w:rFonts w:ascii="Times New Roman" w:hAnsi="Times New Roman" w:eastAsia="宋体"/>
          <w:b/>
          <w:color w:val="auto"/>
          <w:sz w:val="21"/>
          <w:highlight w:val="none"/>
        </w:rPr>
      </w:pPr>
    </w:p>
    <w:p w14:paraId="42579F2A">
      <w:pPr>
        <w:snapToGrid w:val="0"/>
        <w:spacing w:before="50" w:after="50"/>
        <w:rPr>
          <w:rFonts w:ascii="Times New Roman" w:hAnsi="Times New Roman" w:eastAsia="宋体"/>
          <w:b/>
          <w:color w:val="auto"/>
          <w:sz w:val="21"/>
          <w:highlight w:val="none"/>
        </w:rPr>
        <w:sectPr>
          <w:footerReference r:id="rId16" w:type="default"/>
          <w:footnotePr>
            <w:numFmt w:val="decimalEnclosedCircleChinese"/>
          </w:footnotePr>
          <w:pgSz w:w="11906" w:h="16838"/>
          <w:pgMar w:top="1701" w:right="1134" w:bottom="1304" w:left="1134" w:header="964" w:footer="567" w:gutter="567"/>
          <w:cols w:space="720" w:num="1"/>
          <w:docGrid w:type="lines" w:linePitch="312" w:charSpace="0"/>
        </w:sectPr>
      </w:pPr>
      <w:r>
        <w:rPr>
          <w:rFonts w:ascii="Times New Roman" w:hAnsi="Times New Roman" w:eastAsia="宋体"/>
          <w:b/>
          <w:color w:val="auto"/>
          <w:sz w:val="21"/>
          <w:highlight w:val="none"/>
        </w:rPr>
        <w:t>附：法定代表人身份证复印件（正反面），授权代表身份证复印件（正反面）及开启日前三个月内任意一个月当地相关部门出具的社保证明。</w:t>
      </w:r>
    </w:p>
    <w:p w14:paraId="0FEC68E9">
      <w:pPr>
        <w:pStyle w:val="163"/>
        <w:numPr>
          <w:ilvl w:val="0"/>
          <w:numId w:val="5"/>
        </w:numPr>
        <w:ind w:firstLine="0" w:firstLineChars="0"/>
        <w:rPr>
          <w:rFonts w:ascii="Times New Roman" w:hAnsi="Times New Roman" w:eastAsia="宋体"/>
          <w:b/>
          <w:color w:val="auto"/>
          <w:sz w:val="21"/>
          <w:highlight w:val="none"/>
        </w:rPr>
      </w:pPr>
      <w:r>
        <w:rPr>
          <w:rFonts w:ascii="Times New Roman" w:hAnsi="Times New Roman" w:eastAsia="宋体"/>
          <w:b/>
          <w:color w:val="auto"/>
          <w:sz w:val="21"/>
          <w:highlight w:val="none"/>
        </w:rPr>
        <w:t>监理人员组成表：</w:t>
      </w:r>
    </w:p>
    <w:p w14:paraId="40F38573">
      <w:pPr>
        <w:pStyle w:val="39"/>
        <w:spacing w:before="120" w:after="120"/>
        <w:jc w:val="center"/>
        <w:rPr>
          <w:b/>
          <w:color w:val="auto"/>
          <w:sz w:val="28"/>
          <w:szCs w:val="28"/>
          <w:highlight w:val="none"/>
        </w:rPr>
      </w:pPr>
      <w:r>
        <w:rPr>
          <w:rFonts w:hint="eastAsia" w:ascii="Times New Roman" w:hAnsi="Times New Roman" w:eastAsia="宋体"/>
          <w:b/>
          <w:color w:val="auto"/>
          <w:highlight w:val="none"/>
        </w:rPr>
        <w:t>监理人员组成表</w:t>
      </w:r>
    </w:p>
    <w:p w14:paraId="06EB7732">
      <w:pPr>
        <w:rPr>
          <w:rFonts w:hAnsi="宋体"/>
          <w:bCs/>
          <w:color w:val="auto"/>
          <w:highlight w:val="none"/>
          <w:u w:val="single"/>
        </w:rPr>
      </w:pPr>
      <w:r>
        <w:rPr>
          <w:rFonts w:ascii="Times New Roman" w:hAnsi="Times New Roman" w:eastAsia="宋体"/>
          <w:color w:val="auto"/>
          <w:sz w:val="21"/>
          <w:highlight w:val="none"/>
          <w:lang w:val="zh-CN"/>
        </w:rPr>
        <w:t>项目名称：项目编号：</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993"/>
        <w:gridCol w:w="992"/>
        <w:gridCol w:w="992"/>
        <w:gridCol w:w="1559"/>
        <w:gridCol w:w="1676"/>
        <w:gridCol w:w="963"/>
      </w:tblGrid>
      <w:tr w14:paraId="5D20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7" w:type="dxa"/>
            <w:vMerge w:val="restart"/>
            <w:tcBorders>
              <w:top w:val="double" w:color="auto" w:sz="4" w:space="0"/>
              <w:left w:val="double" w:color="auto" w:sz="4" w:space="0"/>
            </w:tcBorders>
            <w:noWrap/>
            <w:vAlign w:val="center"/>
          </w:tcPr>
          <w:p w14:paraId="646E5F47">
            <w:pPr>
              <w:jc w:val="center"/>
              <w:rPr>
                <w:rFonts w:hAnsi="宋体" w:eastAsia="宋体" w:cs="宋体"/>
                <w:b/>
                <w:color w:val="auto"/>
                <w:sz w:val="21"/>
                <w:highlight w:val="none"/>
              </w:rPr>
            </w:pPr>
            <w:r>
              <w:rPr>
                <w:rFonts w:hint="eastAsia" w:hAnsi="宋体" w:eastAsia="宋体" w:cs="宋体"/>
                <w:b/>
                <w:bCs/>
                <w:color w:val="auto"/>
                <w:sz w:val="21"/>
                <w:highlight w:val="none"/>
              </w:rPr>
              <w:t>项目管理机构人员的专业岗位</w:t>
            </w:r>
          </w:p>
        </w:tc>
        <w:tc>
          <w:tcPr>
            <w:tcW w:w="993" w:type="dxa"/>
            <w:vMerge w:val="restart"/>
            <w:tcBorders>
              <w:top w:val="double" w:color="auto" w:sz="4" w:space="0"/>
            </w:tcBorders>
            <w:noWrap/>
            <w:vAlign w:val="center"/>
          </w:tcPr>
          <w:p w14:paraId="66E3DC56">
            <w:pPr>
              <w:jc w:val="center"/>
              <w:rPr>
                <w:rFonts w:hAnsi="宋体" w:eastAsia="宋体" w:cs="宋体"/>
                <w:b/>
                <w:color w:val="auto"/>
                <w:sz w:val="21"/>
                <w:highlight w:val="none"/>
              </w:rPr>
            </w:pPr>
            <w:r>
              <w:rPr>
                <w:rFonts w:hint="eastAsia" w:hAnsi="宋体" w:eastAsia="宋体" w:cs="宋体"/>
                <w:b/>
                <w:color w:val="auto"/>
                <w:sz w:val="21"/>
                <w:highlight w:val="none"/>
              </w:rPr>
              <w:t>姓名</w:t>
            </w:r>
          </w:p>
        </w:tc>
        <w:tc>
          <w:tcPr>
            <w:tcW w:w="992" w:type="dxa"/>
            <w:vMerge w:val="restart"/>
            <w:tcBorders>
              <w:top w:val="double" w:color="auto" w:sz="4" w:space="0"/>
            </w:tcBorders>
            <w:noWrap/>
            <w:vAlign w:val="center"/>
          </w:tcPr>
          <w:p w14:paraId="7536BB01">
            <w:pPr>
              <w:jc w:val="center"/>
              <w:rPr>
                <w:rFonts w:hAnsi="宋体" w:eastAsia="宋体" w:cs="宋体"/>
                <w:b/>
                <w:color w:val="auto"/>
                <w:sz w:val="21"/>
                <w:highlight w:val="none"/>
              </w:rPr>
            </w:pPr>
            <w:r>
              <w:rPr>
                <w:rFonts w:hint="eastAsia" w:hAnsi="宋体" w:eastAsia="宋体" w:cs="宋体"/>
                <w:b/>
                <w:color w:val="auto"/>
                <w:sz w:val="21"/>
                <w:highlight w:val="none"/>
              </w:rPr>
              <w:t>工作年限</w:t>
            </w:r>
          </w:p>
        </w:tc>
        <w:tc>
          <w:tcPr>
            <w:tcW w:w="992" w:type="dxa"/>
            <w:vMerge w:val="restart"/>
            <w:tcBorders>
              <w:top w:val="double" w:color="auto" w:sz="4" w:space="0"/>
            </w:tcBorders>
            <w:noWrap/>
            <w:vAlign w:val="center"/>
          </w:tcPr>
          <w:p w14:paraId="6276E95D">
            <w:pPr>
              <w:jc w:val="center"/>
              <w:rPr>
                <w:rFonts w:hAnsi="宋体" w:eastAsia="宋体" w:cs="宋体"/>
                <w:b/>
                <w:color w:val="auto"/>
                <w:sz w:val="21"/>
                <w:highlight w:val="none"/>
              </w:rPr>
            </w:pPr>
            <w:r>
              <w:rPr>
                <w:rFonts w:hint="eastAsia" w:hAnsi="宋体" w:eastAsia="宋体" w:cs="宋体"/>
                <w:b/>
                <w:color w:val="auto"/>
                <w:sz w:val="21"/>
                <w:highlight w:val="none"/>
              </w:rPr>
              <w:t>年龄</w:t>
            </w:r>
          </w:p>
        </w:tc>
        <w:tc>
          <w:tcPr>
            <w:tcW w:w="4198" w:type="dxa"/>
            <w:gridSpan w:val="3"/>
            <w:tcBorders>
              <w:top w:val="double" w:color="auto" w:sz="4" w:space="0"/>
              <w:right w:val="double" w:color="auto" w:sz="4" w:space="0"/>
            </w:tcBorders>
            <w:noWrap/>
            <w:vAlign w:val="center"/>
          </w:tcPr>
          <w:p w14:paraId="24DD38F5">
            <w:pPr>
              <w:jc w:val="center"/>
              <w:rPr>
                <w:rFonts w:hAnsi="宋体" w:eastAsia="宋体" w:cs="宋体"/>
                <w:b/>
                <w:color w:val="auto"/>
                <w:sz w:val="21"/>
                <w:highlight w:val="none"/>
              </w:rPr>
            </w:pPr>
            <w:r>
              <w:rPr>
                <w:rFonts w:hint="eastAsia" w:hAnsi="宋体" w:eastAsia="宋体" w:cs="宋体"/>
                <w:b/>
                <w:color w:val="auto"/>
                <w:sz w:val="21"/>
                <w:highlight w:val="none"/>
              </w:rPr>
              <w:t>技术职称或执业资格</w:t>
            </w:r>
          </w:p>
        </w:tc>
      </w:tr>
      <w:tr w14:paraId="074E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7" w:type="dxa"/>
            <w:vMerge w:val="continue"/>
            <w:tcBorders>
              <w:left w:val="double" w:color="auto" w:sz="4" w:space="0"/>
            </w:tcBorders>
            <w:noWrap/>
            <w:vAlign w:val="center"/>
          </w:tcPr>
          <w:p w14:paraId="254FCF7C">
            <w:pPr>
              <w:widowControl/>
              <w:jc w:val="left"/>
              <w:rPr>
                <w:rFonts w:hAnsi="宋体" w:eastAsia="宋体" w:cs="宋体"/>
                <w:b/>
                <w:color w:val="auto"/>
                <w:sz w:val="21"/>
                <w:highlight w:val="none"/>
              </w:rPr>
            </w:pPr>
          </w:p>
        </w:tc>
        <w:tc>
          <w:tcPr>
            <w:tcW w:w="993" w:type="dxa"/>
            <w:vMerge w:val="continue"/>
            <w:noWrap/>
            <w:vAlign w:val="center"/>
          </w:tcPr>
          <w:p w14:paraId="48132A5E">
            <w:pPr>
              <w:widowControl/>
              <w:jc w:val="left"/>
              <w:rPr>
                <w:rFonts w:hAnsi="宋体" w:eastAsia="宋体" w:cs="宋体"/>
                <w:b/>
                <w:color w:val="auto"/>
                <w:sz w:val="21"/>
                <w:highlight w:val="none"/>
              </w:rPr>
            </w:pPr>
          </w:p>
        </w:tc>
        <w:tc>
          <w:tcPr>
            <w:tcW w:w="992" w:type="dxa"/>
            <w:vMerge w:val="continue"/>
            <w:noWrap/>
            <w:vAlign w:val="center"/>
          </w:tcPr>
          <w:p w14:paraId="46E20679">
            <w:pPr>
              <w:widowControl/>
              <w:jc w:val="left"/>
              <w:rPr>
                <w:rFonts w:hAnsi="宋体" w:eastAsia="宋体" w:cs="宋体"/>
                <w:b/>
                <w:color w:val="auto"/>
                <w:sz w:val="21"/>
                <w:highlight w:val="none"/>
              </w:rPr>
            </w:pPr>
          </w:p>
        </w:tc>
        <w:tc>
          <w:tcPr>
            <w:tcW w:w="992" w:type="dxa"/>
            <w:vMerge w:val="continue"/>
            <w:noWrap/>
            <w:vAlign w:val="center"/>
          </w:tcPr>
          <w:p w14:paraId="0340667D">
            <w:pPr>
              <w:widowControl/>
              <w:jc w:val="left"/>
              <w:rPr>
                <w:rFonts w:hAnsi="宋体" w:eastAsia="宋体" w:cs="宋体"/>
                <w:b/>
                <w:color w:val="auto"/>
                <w:sz w:val="21"/>
                <w:highlight w:val="none"/>
              </w:rPr>
            </w:pPr>
          </w:p>
        </w:tc>
        <w:tc>
          <w:tcPr>
            <w:tcW w:w="1559" w:type="dxa"/>
            <w:noWrap/>
            <w:vAlign w:val="center"/>
          </w:tcPr>
          <w:p w14:paraId="245B25F0">
            <w:pPr>
              <w:jc w:val="center"/>
              <w:rPr>
                <w:rFonts w:hAnsi="宋体" w:eastAsia="宋体" w:cs="宋体"/>
                <w:b/>
                <w:color w:val="auto"/>
                <w:sz w:val="21"/>
                <w:highlight w:val="none"/>
              </w:rPr>
            </w:pPr>
            <w:r>
              <w:rPr>
                <w:rFonts w:hint="eastAsia" w:hAnsi="宋体" w:eastAsia="宋体" w:cs="宋体"/>
                <w:b/>
                <w:color w:val="auto"/>
                <w:sz w:val="21"/>
                <w:highlight w:val="none"/>
              </w:rPr>
              <w:t>证书名称</w:t>
            </w:r>
          </w:p>
        </w:tc>
        <w:tc>
          <w:tcPr>
            <w:tcW w:w="1676" w:type="dxa"/>
            <w:noWrap/>
            <w:vAlign w:val="center"/>
          </w:tcPr>
          <w:p w14:paraId="09B792CB">
            <w:pPr>
              <w:jc w:val="center"/>
              <w:rPr>
                <w:rFonts w:hAnsi="宋体" w:eastAsia="宋体" w:cs="宋体"/>
                <w:b/>
                <w:color w:val="auto"/>
                <w:sz w:val="21"/>
                <w:highlight w:val="none"/>
              </w:rPr>
            </w:pPr>
            <w:r>
              <w:rPr>
                <w:rFonts w:hint="eastAsia" w:hAnsi="宋体" w:eastAsia="宋体" w:cs="宋体"/>
                <w:b/>
                <w:color w:val="auto"/>
                <w:sz w:val="21"/>
                <w:highlight w:val="none"/>
              </w:rPr>
              <w:t>证号</w:t>
            </w:r>
          </w:p>
        </w:tc>
        <w:tc>
          <w:tcPr>
            <w:tcW w:w="963" w:type="dxa"/>
            <w:tcBorders>
              <w:right w:val="double" w:color="auto" w:sz="4" w:space="0"/>
            </w:tcBorders>
            <w:noWrap/>
            <w:vAlign w:val="center"/>
          </w:tcPr>
          <w:p w14:paraId="62777B72">
            <w:pPr>
              <w:jc w:val="center"/>
              <w:rPr>
                <w:rFonts w:hAnsi="宋体" w:eastAsia="宋体" w:cs="宋体"/>
                <w:b/>
                <w:color w:val="auto"/>
                <w:sz w:val="21"/>
                <w:highlight w:val="none"/>
              </w:rPr>
            </w:pPr>
            <w:r>
              <w:rPr>
                <w:rFonts w:hint="eastAsia" w:hAnsi="宋体" w:eastAsia="宋体" w:cs="宋体"/>
                <w:b/>
                <w:color w:val="auto"/>
                <w:sz w:val="21"/>
                <w:highlight w:val="none"/>
              </w:rPr>
              <w:t>专业</w:t>
            </w:r>
          </w:p>
        </w:tc>
      </w:tr>
      <w:tr w14:paraId="731A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7" w:type="dxa"/>
            <w:tcBorders>
              <w:left w:val="double" w:color="auto" w:sz="4" w:space="0"/>
            </w:tcBorders>
            <w:noWrap/>
            <w:vAlign w:val="center"/>
          </w:tcPr>
          <w:p w14:paraId="6FA21E0E">
            <w:pPr>
              <w:jc w:val="center"/>
              <w:rPr>
                <w:rFonts w:hAnsi="宋体" w:eastAsia="宋体" w:cs="宋体"/>
                <w:color w:val="auto"/>
                <w:sz w:val="21"/>
                <w:highlight w:val="none"/>
              </w:rPr>
            </w:pPr>
            <w:r>
              <w:rPr>
                <w:rFonts w:hint="eastAsia" w:hAnsi="宋体" w:eastAsia="宋体" w:cs="宋体"/>
                <w:color w:val="auto"/>
                <w:sz w:val="21"/>
                <w:highlight w:val="none"/>
              </w:rPr>
              <w:t>总监理工程师</w:t>
            </w:r>
          </w:p>
        </w:tc>
        <w:tc>
          <w:tcPr>
            <w:tcW w:w="993" w:type="dxa"/>
            <w:noWrap/>
            <w:vAlign w:val="center"/>
          </w:tcPr>
          <w:p w14:paraId="75E38475">
            <w:pPr>
              <w:jc w:val="center"/>
              <w:rPr>
                <w:rFonts w:hAnsi="宋体" w:eastAsia="宋体" w:cs="宋体"/>
                <w:color w:val="auto"/>
                <w:sz w:val="21"/>
                <w:highlight w:val="none"/>
              </w:rPr>
            </w:pPr>
          </w:p>
        </w:tc>
        <w:tc>
          <w:tcPr>
            <w:tcW w:w="992" w:type="dxa"/>
            <w:noWrap/>
            <w:vAlign w:val="center"/>
          </w:tcPr>
          <w:p w14:paraId="23A32F59">
            <w:pPr>
              <w:jc w:val="center"/>
              <w:rPr>
                <w:rFonts w:hAnsi="宋体" w:eastAsia="宋体" w:cs="宋体"/>
                <w:color w:val="auto"/>
                <w:sz w:val="21"/>
                <w:highlight w:val="none"/>
              </w:rPr>
            </w:pPr>
          </w:p>
        </w:tc>
        <w:tc>
          <w:tcPr>
            <w:tcW w:w="992" w:type="dxa"/>
            <w:noWrap/>
            <w:vAlign w:val="center"/>
          </w:tcPr>
          <w:p w14:paraId="30251040">
            <w:pPr>
              <w:jc w:val="center"/>
              <w:rPr>
                <w:rFonts w:hAnsi="宋体" w:eastAsia="宋体" w:cs="宋体"/>
                <w:color w:val="auto"/>
                <w:sz w:val="21"/>
                <w:highlight w:val="none"/>
              </w:rPr>
            </w:pPr>
          </w:p>
        </w:tc>
        <w:tc>
          <w:tcPr>
            <w:tcW w:w="1559" w:type="dxa"/>
            <w:noWrap/>
            <w:vAlign w:val="center"/>
          </w:tcPr>
          <w:p w14:paraId="11336901">
            <w:pPr>
              <w:jc w:val="center"/>
              <w:rPr>
                <w:rFonts w:hAnsi="宋体" w:eastAsia="宋体" w:cs="宋体"/>
                <w:color w:val="auto"/>
                <w:sz w:val="21"/>
                <w:highlight w:val="none"/>
              </w:rPr>
            </w:pPr>
          </w:p>
        </w:tc>
        <w:tc>
          <w:tcPr>
            <w:tcW w:w="1676" w:type="dxa"/>
            <w:noWrap/>
            <w:vAlign w:val="center"/>
          </w:tcPr>
          <w:p w14:paraId="41C51484">
            <w:pPr>
              <w:jc w:val="center"/>
              <w:rPr>
                <w:rFonts w:hAnsi="宋体" w:eastAsia="宋体" w:cs="宋体"/>
                <w:color w:val="auto"/>
                <w:sz w:val="21"/>
                <w:highlight w:val="none"/>
              </w:rPr>
            </w:pPr>
          </w:p>
        </w:tc>
        <w:tc>
          <w:tcPr>
            <w:tcW w:w="963" w:type="dxa"/>
            <w:tcBorders>
              <w:right w:val="double" w:color="auto" w:sz="4" w:space="0"/>
            </w:tcBorders>
            <w:noWrap/>
            <w:vAlign w:val="center"/>
          </w:tcPr>
          <w:p w14:paraId="241E75E1">
            <w:pPr>
              <w:jc w:val="center"/>
              <w:rPr>
                <w:rFonts w:hAnsi="宋体" w:eastAsia="宋体" w:cs="宋体"/>
                <w:color w:val="auto"/>
                <w:sz w:val="21"/>
                <w:highlight w:val="none"/>
              </w:rPr>
            </w:pPr>
          </w:p>
        </w:tc>
      </w:tr>
      <w:tr w14:paraId="6D40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7" w:type="dxa"/>
            <w:tcBorders>
              <w:left w:val="double" w:color="auto" w:sz="4" w:space="0"/>
            </w:tcBorders>
            <w:noWrap/>
            <w:vAlign w:val="center"/>
          </w:tcPr>
          <w:p w14:paraId="186CA5F6">
            <w:pPr>
              <w:jc w:val="center"/>
              <w:rPr>
                <w:rFonts w:hAnsi="宋体" w:eastAsia="宋体" w:cs="宋体"/>
                <w:color w:val="auto"/>
                <w:sz w:val="21"/>
                <w:highlight w:val="none"/>
              </w:rPr>
            </w:pPr>
            <w:r>
              <w:rPr>
                <w:rFonts w:hint="eastAsia" w:hAnsi="宋体" w:eastAsia="宋体" w:cs="宋体"/>
                <w:color w:val="auto"/>
                <w:sz w:val="21"/>
                <w:highlight w:val="none"/>
              </w:rPr>
              <w:t>专业监理工程师</w:t>
            </w:r>
          </w:p>
          <w:p w14:paraId="185997C7">
            <w:pPr>
              <w:jc w:val="center"/>
              <w:rPr>
                <w:rFonts w:hAnsi="宋体" w:eastAsia="宋体" w:cs="宋体"/>
                <w:color w:val="auto"/>
                <w:sz w:val="21"/>
                <w:highlight w:val="none"/>
              </w:rPr>
            </w:pPr>
            <w:r>
              <w:rPr>
                <w:rFonts w:hint="eastAsia" w:hAnsi="宋体" w:eastAsia="宋体" w:cs="宋体"/>
                <w:color w:val="auto"/>
                <w:sz w:val="21"/>
                <w:highlight w:val="none"/>
              </w:rPr>
              <w:t>（主导专业）</w:t>
            </w:r>
          </w:p>
        </w:tc>
        <w:tc>
          <w:tcPr>
            <w:tcW w:w="993" w:type="dxa"/>
            <w:noWrap/>
            <w:vAlign w:val="center"/>
          </w:tcPr>
          <w:p w14:paraId="0C866989">
            <w:pPr>
              <w:jc w:val="center"/>
              <w:rPr>
                <w:rFonts w:hAnsi="宋体" w:eastAsia="宋体" w:cs="宋体"/>
                <w:color w:val="auto"/>
                <w:sz w:val="21"/>
                <w:highlight w:val="none"/>
              </w:rPr>
            </w:pPr>
          </w:p>
        </w:tc>
        <w:tc>
          <w:tcPr>
            <w:tcW w:w="992" w:type="dxa"/>
            <w:noWrap/>
            <w:vAlign w:val="center"/>
          </w:tcPr>
          <w:p w14:paraId="63F76D93">
            <w:pPr>
              <w:jc w:val="center"/>
              <w:rPr>
                <w:rFonts w:hAnsi="宋体" w:eastAsia="宋体" w:cs="宋体"/>
                <w:color w:val="auto"/>
                <w:sz w:val="21"/>
                <w:highlight w:val="none"/>
              </w:rPr>
            </w:pPr>
          </w:p>
        </w:tc>
        <w:tc>
          <w:tcPr>
            <w:tcW w:w="992" w:type="dxa"/>
            <w:noWrap/>
            <w:vAlign w:val="center"/>
          </w:tcPr>
          <w:p w14:paraId="74CA13D7">
            <w:pPr>
              <w:jc w:val="center"/>
              <w:rPr>
                <w:rFonts w:hAnsi="宋体" w:eastAsia="宋体" w:cs="宋体"/>
                <w:color w:val="auto"/>
                <w:sz w:val="21"/>
                <w:highlight w:val="none"/>
              </w:rPr>
            </w:pPr>
          </w:p>
        </w:tc>
        <w:tc>
          <w:tcPr>
            <w:tcW w:w="1559" w:type="dxa"/>
            <w:noWrap/>
            <w:vAlign w:val="center"/>
          </w:tcPr>
          <w:p w14:paraId="6AF287B9">
            <w:pPr>
              <w:jc w:val="center"/>
              <w:rPr>
                <w:rFonts w:hAnsi="宋体" w:eastAsia="宋体" w:cs="宋体"/>
                <w:color w:val="auto"/>
                <w:sz w:val="21"/>
                <w:highlight w:val="none"/>
              </w:rPr>
            </w:pPr>
          </w:p>
        </w:tc>
        <w:tc>
          <w:tcPr>
            <w:tcW w:w="1676" w:type="dxa"/>
            <w:noWrap/>
            <w:vAlign w:val="center"/>
          </w:tcPr>
          <w:p w14:paraId="12DD9945">
            <w:pPr>
              <w:jc w:val="center"/>
              <w:rPr>
                <w:rFonts w:hAnsi="宋体" w:eastAsia="宋体" w:cs="宋体"/>
                <w:color w:val="auto"/>
                <w:sz w:val="21"/>
                <w:highlight w:val="none"/>
              </w:rPr>
            </w:pPr>
          </w:p>
        </w:tc>
        <w:tc>
          <w:tcPr>
            <w:tcW w:w="963" w:type="dxa"/>
            <w:tcBorders>
              <w:right w:val="double" w:color="auto" w:sz="4" w:space="0"/>
            </w:tcBorders>
            <w:noWrap/>
            <w:vAlign w:val="center"/>
          </w:tcPr>
          <w:p w14:paraId="4CDDBF42">
            <w:pPr>
              <w:jc w:val="center"/>
              <w:rPr>
                <w:rFonts w:hAnsi="宋体" w:eastAsia="宋体" w:cs="宋体"/>
                <w:color w:val="auto"/>
                <w:sz w:val="21"/>
                <w:highlight w:val="none"/>
              </w:rPr>
            </w:pPr>
          </w:p>
        </w:tc>
      </w:tr>
      <w:tr w14:paraId="022F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7" w:type="dxa"/>
            <w:tcBorders>
              <w:left w:val="double" w:color="auto" w:sz="4" w:space="0"/>
            </w:tcBorders>
            <w:noWrap/>
            <w:vAlign w:val="center"/>
          </w:tcPr>
          <w:p w14:paraId="4F0A600D">
            <w:pPr>
              <w:jc w:val="center"/>
              <w:rPr>
                <w:rFonts w:hAnsi="宋体" w:eastAsia="宋体" w:cs="宋体"/>
                <w:color w:val="auto"/>
                <w:sz w:val="21"/>
                <w:highlight w:val="none"/>
              </w:rPr>
            </w:pPr>
            <w:r>
              <w:rPr>
                <w:rFonts w:hint="eastAsia" w:hAnsi="宋体" w:eastAsia="宋体" w:cs="宋体"/>
                <w:color w:val="auto"/>
                <w:sz w:val="21"/>
                <w:highlight w:val="none"/>
              </w:rPr>
              <w:t>监理员</w:t>
            </w:r>
          </w:p>
          <w:p w14:paraId="3F4A4F3C">
            <w:pPr>
              <w:pStyle w:val="3"/>
              <w:jc w:val="center"/>
              <w:rPr>
                <w:rFonts w:hAnsi="宋体" w:eastAsia="宋体" w:cs="宋体"/>
                <w:color w:val="auto"/>
                <w:sz w:val="21"/>
                <w:highlight w:val="none"/>
              </w:rPr>
            </w:pPr>
            <w:r>
              <w:rPr>
                <w:rFonts w:hint="eastAsia" w:hAnsi="宋体" w:eastAsia="宋体" w:cs="宋体"/>
                <w:color w:val="auto"/>
                <w:sz w:val="21"/>
                <w:highlight w:val="none"/>
              </w:rPr>
              <w:t>（主导专业）</w:t>
            </w:r>
          </w:p>
        </w:tc>
        <w:tc>
          <w:tcPr>
            <w:tcW w:w="993" w:type="dxa"/>
            <w:noWrap/>
            <w:vAlign w:val="center"/>
          </w:tcPr>
          <w:p w14:paraId="2050C2A9">
            <w:pPr>
              <w:jc w:val="center"/>
              <w:rPr>
                <w:rFonts w:hAnsi="宋体" w:eastAsia="宋体" w:cs="宋体"/>
                <w:color w:val="auto"/>
                <w:sz w:val="21"/>
                <w:highlight w:val="none"/>
              </w:rPr>
            </w:pPr>
          </w:p>
        </w:tc>
        <w:tc>
          <w:tcPr>
            <w:tcW w:w="992" w:type="dxa"/>
            <w:noWrap/>
            <w:vAlign w:val="center"/>
          </w:tcPr>
          <w:p w14:paraId="4D2FECAF">
            <w:pPr>
              <w:jc w:val="center"/>
              <w:rPr>
                <w:rFonts w:hAnsi="宋体" w:eastAsia="宋体" w:cs="宋体"/>
                <w:color w:val="auto"/>
                <w:sz w:val="21"/>
                <w:highlight w:val="none"/>
              </w:rPr>
            </w:pPr>
          </w:p>
        </w:tc>
        <w:tc>
          <w:tcPr>
            <w:tcW w:w="992" w:type="dxa"/>
            <w:noWrap/>
            <w:vAlign w:val="center"/>
          </w:tcPr>
          <w:p w14:paraId="29EBF39F">
            <w:pPr>
              <w:jc w:val="center"/>
              <w:rPr>
                <w:rFonts w:hAnsi="宋体" w:eastAsia="宋体" w:cs="宋体"/>
                <w:color w:val="auto"/>
                <w:sz w:val="21"/>
                <w:highlight w:val="none"/>
              </w:rPr>
            </w:pPr>
          </w:p>
        </w:tc>
        <w:tc>
          <w:tcPr>
            <w:tcW w:w="1559" w:type="dxa"/>
            <w:noWrap/>
            <w:vAlign w:val="center"/>
          </w:tcPr>
          <w:p w14:paraId="5EF9EB8E">
            <w:pPr>
              <w:jc w:val="center"/>
              <w:rPr>
                <w:rFonts w:hAnsi="宋体" w:eastAsia="宋体" w:cs="宋体"/>
                <w:color w:val="auto"/>
                <w:sz w:val="21"/>
                <w:highlight w:val="none"/>
              </w:rPr>
            </w:pPr>
          </w:p>
        </w:tc>
        <w:tc>
          <w:tcPr>
            <w:tcW w:w="1676" w:type="dxa"/>
            <w:noWrap/>
            <w:vAlign w:val="center"/>
          </w:tcPr>
          <w:p w14:paraId="0E0DB135">
            <w:pPr>
              <w:jc w:val="center"/>
              <w:rPr>
                <w:rFonts w:hAnsi="宋体" w:eastAsia="宋体" w:cs="宋体"/>
                <w:color w:val="auto"/>
                <w:sz w:val="21"/>
                <w:highlight w:val="none"/>
              </w:rPr>
            </w:pPr>
          </w:p>
        </w:tc>
        <w:tc>
          <w:tcPr>
            <w:tcW w:w="963" w:type="dxa"/>
            <w:tcBorders>
              <w:right w:val="double" w:color="auto" w:sz="4" w:space="0"/>
            </w:tcBorders>
            <w:noWrap/>
            <w:vAlign w:val="center"/>
          </w:tcPr>
          <w:p w14:paraId="59D992EE">
            <w:pPr>
              <w:jc w:val="center"/>
              <w:rPr>
                <w:rFonts w:hAnsi="宋体" w:eastAsia="宋体" w:cs="宋体"/>
                <w:color w:val="auto"/>
                <w:sz w:val="21"/>
                <w:highlight w:val="none"/>
              </w:rPr>
            </w:pPr>
          </w:p>
        </w:tc>
      </w:tr>
      <w:tr w14:paraId="0CB6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7" w:type="dxa"/>
            <w:tcBorders>
              <w:left w:val="double" w:color="auto" w:sz="4" w:space="0"/>
            </w:tcBorders>
            <w:noWrap/>
            <w:vAlign w:val="center"/>
          </w:tcPr>
          <w:p w14:paraId="5DCD4539">
            <w:pPr>
              <w:jc w:val="center"/>
              <w:rPr>
                <w:rFonts w:hAnsi="宋体" w:eastAsia="宋体" w:cs="宋体"/>
                <w:color w:val="auto"/>
                <w:sz w:val="21"/>
                <w:highlight w:val="none"/>
              </w:rPr>
            </w:pPr>
            <w:r>
              <w:rPr>
                <w:rFonts w:hint="eastAsia" w:hAnsi="宋体" w:eastAsia="宋体" w:cs="宋体"/>
                <w:color w:val="auto"/>
                <w:sz w:val="21"/>
                <w:highlight w:val="none"/>
              </w:rPr>
              <w:t>……</w:t>
            </w:r>
          </w:p>
        </w:tc>
        <w:tc>
          <w:tcPr>
            <w:tcW w:w="993" w:type="dxa"/>
            <w:noWrap/>
            <w:vAlign w:val="center"/>
          </w:tcPr>
          <w:p w14:paraId="635D7DCC">
            <w:pPr>
              <w:jc w:val="center"/>
              <w:rPr>
                <w:rFonts w:hAnsi="宋体" w:eastAsia="宋体" w:cs="宋体"/>
                <w:color w:val="auto"/>
                <w:sz w:val="21"/>
                <w:highlight w:val="none"/>
              </w:rPr>
            </w:pPr>
            <w:r>
              <w:rPr>
                <w:rFonts w:hint="eastAsia" w:hAnsi="宋体" w:eastAsia="宋体" w:cs="宋体"/>
                <w:color w:val="auto"/>
                <w:sz w:val="21"/>
                <w:highlight w:val="none"/>
              </w:rPr>
              <w:t>……</w:t>
            </w:r>
          </w:p>
        </w:tc>
        <w:tc>
          <w:tcPr>
            <w:tcW w:w="992" w:type="dxa"/>
            <w:noWrap/>
            <w:vAlign w:val="center"/>
          </w:tcPr>
          <w:p w14:paraId="11CBEA61">
            <w:pPr>
              <w:jc w:val="center"/>
              <w:rPr>
                <w:rFonts w:hAnsi="宋体" w:eastAsia="宋体" w:cs="宋体"/>
                <w:color w:val="auto"/>
                <w:sz w:val="21"/>
                <w:highlight w:val="none"/>
              </w:rPr>
            </w:pPr>
            <w:r>
              <w:rPr>
                <w:rFonts w:hint="eastAsia" w:hAnsi="宋体" w:eastAsia="宋体" w:cs="宋体"/>
                <w:color w:val="auto"/>
                <w:sz w:val="21"/>
                <w:highlight w:val="none"/>
              </w:rPr>
              <w:t>……</w:t>
            </w:r>
          </w:p>
        </w:tc>
        <w:tc>
          <w:tcPr>
            <w:tcW w:w="992" w:type="dxa"/>
            <w:noWrap/>
            <w:vAlign w:val="center"/>
          </w:tcPr>
          <w:p w14:paraId="70A3D267">
            <w:pPr>
              <w:jc w:val="center"/>
              <w:rPr>
                <w:rFonts w:hAnsi="宋体" w:eastAsia="宋体" w:cs="宋体"/>
                <w:color w:val="auto"/>
                <w:sz w:val="21"/>
                <w:highlight w:val="none"/>
              </w:rPr>
            </w:pPr>
            <w:r>
              <w:rPr>
                <w:rFonts w:hint="eastAsia" w:hAnsi="宋体" w:eastAsia="宋体" w:cs="宋体"/>
                <w:color w:val="auto"/>
                <w:sz w:val="21"/>
                <w:highlight w:val="none"/>
              </w:rPr>
              <w:t>……</w:t>
            </w:r>
          </w:p>
        </w:tc>
        <w:tc>
          <w:tcPr>
            <w:tcW w:w="1559" w:type="dxa"/>
            <w:noWrap/>
            <w:vAlign w:val="center"/>
          </w:tcPr>
          <w:p w14:paraId="0F95B36E">
            <w:pPr>
              <w:jc w:val="center"/>
              <w:rPr>
                <w:rFonts w:hAnsi="宋体" w:eastAsia="宋体" w:cs="宋体"/>
                <w:color w:val="auto"/>
                <w:sz w:val="21"/>
                <w:highlight w:val="none"/>
              </w:rPr>
            </w:pPr>
            <w:r>
              <w:rPr>
                <w:rFonts w:hint="eastAsia" w:hAnsi="宋体" w:eastAsia="宋体" w:cs="宋体"/>
                <w:color w:val="auto"/>
                <w:sz w:val="21"/>
                <w:highlight w:val="none"/>
              </w:rPr>
              <w:t>……</w:t>
            </w:r>
          </w:p>
        </w:tc>
        <w:tc>
          <w:tcPr>
            <w:tcW w:w="1676" w:type="dxa"/>
            <w:noWrap/>
            <w:vAlign w:val="center"/>
          </w:tcPr>
          <w:p w14:paraId="78D645ED">
            <w:pPr>
              <w:jc w:val="center"/>
              <w:rPr>
                <w:rFonts w:hAnsi="宋体" w:eastAsia="宋体" w:cs="宋体"/>
                <w:color w:val="auto"/>
                <w:sz w:val="21"/>
                <w:highlight w:val="none"/>
              </w:rPr>
            </w:pPr>
            <w:r>
              <w:rPr>
                <w:rFonts w:hint="eastAsia" w:hAnsi="宋体" w:eastAsia="宋体" w:cs="宋体"/>
                <w:color w:val="auto"/>
                <w:sz w:val="21"/>
                <w:highlight w:val="none"/>
              </w:rPr>
              <w:t>……</w:t>
            </w:r>
          </w:p>
        </w:tc>
        <w:tc>
          <w:tcPr>
            <w:tcW w:w="963" w:type="dxa"/>
            <w:tcBorders>
              <w:right w:val="double" w:color="auto" w:sz="4" w:space="0"/>
            </w:tcBorders>
            <w:noWrap/>
            <w:vAlign w:val="center"/>
          </w:tcPr>
          <w:p w14:paraId="3C947841">
            <w:pPr>
              <w:jc w:val="center"/>
              <w:rPr>
                <w:rFonts w:hAnsi="宋体" w:eastAsia="宋体" w:cs="宋体"/>
                <w:color w:val="auto"/>
                <w:sz w:val="21"/>
                <w:highlight w:val="none"/>
              </w:rPr>
            </w:pPr>
            <w:r>
              <w:rPr>
                <w:rFonts w:hint="eastAsia" w:hAnsi="宋体" w:eastAsia="宋体" w:cs="宋体"/>
                <w:color w:val="auto"/>
                <w:sz w:val="21"/>
                <w:highlight w:val="none"/>
              </w:rPr>
              <w:t>……</w:t>
            </w:r>
          </w:p>
        </w:tc>
      </w:tr>
    </w:tbl>
    <w:p w14:paraId="0C5049AE">
      <w:pPr>
        <w:spacing w:line="440" w:lineRule="exact"/>
        <w:ind w:firstLine="420" w:firstLineChars="200"/>
        <w:rPr>
          <w:rFonts w:hAnsi="宋体" w:eastAsia="宋体" w:cs="宋体"/>
          <w:color w:val="auto"/>
          <w:sz w:val="21"/>
          <w:highlight w:val="none"/>
        </w:rPr>
      </w:pPr>
      <w:r>
        <w:rPr>
          <w:rFonts w:hint="eastAsia" w:hAnsi="宋体" w:eastAsia="宋体" w:cs="宋体"/>
          <w:color w:val="auto"/>
          <w:sz w:val="21"/>
          <w:highlight w:val="none"/>
        </w:rPr>
        <w:t>注：1、以上如有资格或职称要求的，后附资格或职称复印件；有社保或从业年限要求请后附相应证明材料，响应时</w:t>
      </w:r>
      <w:r>
        <w:rPr>
          <w:rFonts w:hint="eastAsia" w:hAnsi="宋体" w:eastAsia="宋体" w:cs="宋体"/>
          <w:b/>
          <w:color w:val="auto"/>
          <w:sz w:val="21"/>
          <w:highlight w:val="none"/>
        </w:rPr>
        <w:t>相关证书扫描件附于响应文件中</w:t>
      </w:r>
      <w:r>
        <w:rPr>
          <w:rFonts w:hint="eastAsia" w:hAnsi="宋体" w:eastAsia="宋体" w:cs="宋体"/>
          <w:color w:val="auto"/>
          <w:sz w:val="21"/>
          <w:highlight w:val="none"/>
        </w:rPr>
        <w:t>。</w:t>
      </w:r>
    </w:p>
    <w:p w14:paraId="6C64FFE0">
      <w:pPr>
        <w:spacing w:line="436" w:lineRule="exact"/>
        <w:ind w:left="561"/>
        <w:jc w:val="left"/>
        <w:rPr>
          <w:rFonts w:hAnsi="宋体" w:eastAsia="宋体" w:cs="宋体"/>
          <w:color w:val="auto"/>
          <w:sz w:val="21"/>
          <w:highlight w:val="none"/>
        </w:rPr>
      </w:pPr>
      <w:r>
        <w:rPr>
          <w:rFonts w:hint="eastAsia" w:hAnsi="宋体" w:eastAsia="宋体" w:cs="宋体"/>
          <w:color w:val="auto"/>
          <w:sz w:val="21"/>
          <w:highlight w:val="none"/>
        </w:rPr>
        <w:t>2、此表在不改变表式的情况下，可自行制作。</w:t>
      </w:r>
    </w:p>
    <w:p w14:paraId="1DFAED79">
      <w:pPr>
        <w:pStyle w:val="30"/>
        <w:tabs>
          <w:tab w:val="left" w:pos="4820"/>
        </w:tabs>
        <w:ind w:left="560"/>
        <w:rPr>
          <w:rFonts w:hAnsi="宋体" w:eastAsia="宋体" w:cs="宋体"/>
          <w:color w:val="auto"/>
          <w:sz w:val="21"/>
          <w:highlight w:val="none"/>
        </w:rPr>
      </w:pPr>
    </w:p>
    <w:p w14:paraId="34844A67">
      <w:pPr>
        <w:ind w:right="420" w:firstLine="3150" w:firstLineChars="1500"/>
        <w:rPr>
          <w:rFonts w:ascii="Times New Roman" w:hAnsi="Times New Roman" w:eastAsia="宋体"/>
          <w:color w:val="auto"/>
          <w:sz w:val="21"/>
          <w:highlight w:val="none"/>
        </w:rPr>
      </w:pPr>
      <w:r>
        <w:rPr>
          <w:rFonts w:ascii="Times New Roman" w:hAnsi="Times New Roman" w:eastAsia="宋体"/>
          <w:color w:val="auto"/>
          <w:sz w:val="21"/>
          <w:highlight w:val="none"/>
        </w:rPr>
        <w:t xml:space="preserve">供应商名称（盖章）：  </w:t>
      </w:r>
    </w:p>
    <w:p w14:paraId="7E312258">
      <w:pPr>
        <w:ind w:right="420" w:firstLine="3150" w:firstLineChars="1500"/>
        <w:rPr>
          <w:rFonts w:ascii="Times New Roman" w:hAnsi="Times New Roman" w:eastAsia="宋体"/>
          <w:color w:val="auto"/>
          <w:sz w:val="21"/>
          <w:highlight w:val="none"/>
        </w:rPr>
      </w:pPr>
      <w:r>
        <w:rPr>
          <w:rFonts w:ascii="Times New Roman" w:hAnsi="Times New Roman" w:eastAsia="宋体"/>
          <w:color w:val="auto"/>
          <w:sz w:val="21"/>
          <w:highlight w:val="none"/>
        </w:rPr>
        <w:t xml:space="preserve">供应商的法定代表人（签字或盖章）：          </w:t>
      </w:r>
    </w:p>
    <w:p w14:paraId="18970224">
      <w:pPr>
        <w:pStyle w:val="163"/>
        <w:ind w:firstLine="3150" w:firstLineChars="1500"/>
        <w:rPr>
          <w:color w:val="auto"/>
          <w:highlight w:val="none"/>
        </w:rPr>
      </w:pPr>
      <w:r>
        <w:rPr>
          <w:rFonts w:ascii="Times New Roman" w:hAnsi="Times New Roman" w:eastAsia="宋体"/>
          <w:color w:val="auto"/>
          <w:sz w:val="21"/>
          <w:highlight w:val="none"/>
        </w:rPr>
        <w:t xml:space="preserve">日  期：  </w:t>
      </w:r>
    </w:p>
    <w:p w14:paraId="31E88831">
      <w:pPr>
        <w:pStyle w:val="72"/>
        <w:rPr>
          <w:rFonts w:hAnsi="Times New Roman" w:eastAsia="宋体"/>
          <w:color w:val="auto"/>
          <w:sz w:val="21"/>
          <w:highlight w:val="none"/>
        </w:rPr>
      </w:pPr>
    </w:p>
    <w:p w14:paraId="042162A4">
      <w:pPr>
        <w:pStyle w:val="72"/>
        <w:rPr>
          <w:rFonts w:hAnsi="Times New Roman" w:eastAsia="宋体"/>
          <w:color w:val="auto"/>
          <w:sz w:val="21"/>
          <w:highlight w:val="none"/>
        </w:rPr>
      </w:pPr>
    </w:p>
    <w:p w14:paraId="13BC3307">
      <w:pPr>
        <w:pStyle w:val="72"/>
        <w:rPr>
          <w:rFonts w:hAnsi="Times New Roman" w:eastAsia="宋体"/>
          <w:color w:val="auto"/>
          <w:sz w:val="21"/>
          <w:highlight w:val="none"/>
        </w:rPr>
      </w:pPr>
    </w:p>
    <w:p w14:paraId="7BB61EC4">
      <w:pPr>
        <w:pStyle w:val="72"/>
        <w:rPr>
          <w:rFonts w:hAnsi="Times New Roman" w:eastAsia="宋体"/>
          <w:color w:val="auto"/>
          <w:sz w:val="21"/>
          <w:highlight w:val="none"/>
        </w:rPr>
      </w:pPr>
    </w:p>
    <w:p w14:paraId="4F612009">
      <w:pPr>
        <w:pStyle w:val="72"/>
        <w:rPr>
          <w:rFonts w:hAnsi="Times New Roman" w:eastAsia="宋体"/>
          <w:color w:val="auto"/>
          <w:sz w:val="21"/>
          <w:highlight w:val="none"/>
        </w:rPr>
      </w:pPr>
    </w:p>
    <w:p w14:paraId="0827330F">
      <w:pPr>
        <w:pStyle w:val="72"/>
        <w:rPr>
          <w:rFonts w:hAnsi="Times New Roman" w:eastAsia="宋体"/>
          <w:color w:val="auto"/>
          <w:sz w:val="21"/>
          <w:highlight w:val="none"/>
        </w:rPr>
      </w:pPr>
    </w:p>
    <w:p w14:paraId="7D8F35AC">
      <w:pPr>
        <w:pStyle w:val="72"/>
        <w:rPr>
          <w:rFonts w:hAnsi="Times New Roman" w:eastAsia="宋体"/>
          <w:color w:val="auto"/>
          <w:sz w:val="21"/>
          <w:highlight w:val="none"/>
        </w:rPr>
      </w:pPr>
    </w:p>
    <w:sectPr>
      <w:footnotePr>
        <w:numFmt w:val="decimalEnclosedCircleChinese"/>
      </w:footnotePr>
      <w:pgSz w:w="11906" w:h="16838"/>
      <w:pgMar w:top="1701" w:right="1134" w:bottom="1304" w:left="1134" w:header="964" w:footer="567" w:gutter="567"/>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方正黑体_GBK">
    <w:altName w:val="微软雅黑"/>
    <w:panose1 w:val="00000000000000000000"/>
    <w:charset w:val="86"/>
    <w:family w:val="script"/>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B2FB">
    <w:pPr>
      <w:pStyle w:val="50"/>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77A36">
    <w:pPr>
      <w:pStyle w:val="50"/>
      <w:framePr w:wrap="around" w:vAnchor="text" w:hAnchor="margin" w:xAlign="center" w:y="1"/>
      <w:rPr>
        <w:rStyle w:val="125"/>
      </w:rPr>
    </w:pPr>
    <w:r>
      <w:fldChar w:fldCharType="begin"/>
    </w:r>
    <w:r>
      <w:rPr>
        <w:rStyle w:val="125"/>
      </w:rPr>
      <w:instrText xml:space="preserve">PAGE  </w:instrText>
    </w:r>
    <w:r>
      <w:fldChar w:fldCharType="end"/>
    </w:r>
  </w:p>
  <w:p w14:paraId="7C9F25B9">
    <w:pPr>
      <w:pStyle w:val="5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50FD3">
    <w:pPr>
      <w:pStyle w:val="50"/>
      <w:jc w:val="center"/>
    </w:pPr>
    <w:r>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path/>
          <v:fill on="f" focussize="0,0"/>
          <v:stroke on="f" weight="0.5pt" joinstyle="miter"/>
          <v:imagedata o:title=""/>
          <o:lock v:ext="edit"/>
          <v:textbox inset="0mm,0mm,0mm,0mm" style="mso-fit-shape-to-text:t;">
            <w:txbxContent>
              <w:p w14:paraId="5CC33BFE">
                <w:pPr>
                  <w:pStyle w:val="50"/>
                </w:pPr>
                <w:r>
                  <w:fldChar w:fldCharType="begin"/>
                </w:r>
                <w:r>
                  <w:instrText xml:space="preserve"> PAGE  \* MERGEFORMAT </w:instrText>
                </w:r>
                <w:r>
                  <w:fldChar w:fldCharType="separate"/>
                </w:r>
                <w:r>
                  <w:t>16</w:t>
                </w:r>
                <w:r>
                  <w:fldChar w:fldCharType="end"/>
                </w:r>
              </w:p>
            </w:txbxContent>
          </v:textbox>
        </v:shape>
      </w:pict>
    </w:r>
    <w:r>
      <w:pict>
        <v:shape id="Text Box 3" o:spid="_x0000_s1037" o:spt="202" type="#_x0000_t202" style="position:absolute;left:0pt;margin-left:216pt;margin-top:-1.45pt;height:12pt;width:18.95pt;mso-position-horizontal-relative:margin;z-index:251659264;mso-width-relative:page;mso-height-relative:page;" filled="f" stroked="f" coordsize="21600,21600" o:gfxdata="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x/cA1gAAAAkBAAAPAAAAAAAAAAEAIAAAACIAAABkcnMvZG93bnJl&#10;di54bWxQSwECFAAUAAAACACHTuJAEJlfyv8BAAARBAAADgAAAAAAAAABACAAAAAlAQAAZHJzL2Uy&#10;b0RvYy54bWxQSwUGAAAAAAYABgBZAQAAlgUAAAAA&#10;">
          <v:path/>
          <v:fill on="f" focussize="0,0"/>
          <v:stroke on="f" joinstyle="miter"/>
          <v:imagedata o:title=""/>
          <o:lock v:ext="edit"/>
          <v:textbox inset="0mm,0mm,0mm,0mm" style="mso-fit-shape-to-text:t;">
            <w:txbxContent>
              <w:p w14:paraId="0A10DA0C">
                <w:pPr>
                  <w:pStyle w:val="50"/>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A6443">
    <w:pPr>
      <w:spacing w:line="121" w:lineRule="exact"/>
      <w:rPr>
        <w:rFonts w:eastAsia="Times New Roman"/>
        <w:sz w:val="18"/>
        <w:szCs w:val="18"/>
      </w:rPr>
    </w:pPr>
    <w:r>
      <w:rPr>
        <w:sz w:val="18"/>
      </w:rPr>
      <w:pict>
        <v:shape id="_x0000_s1036" o:spid="_x0000_s103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path/>
          <v:fill on="f" focussize="0,0"/>
          <v:stroke on="f" weight="0.5pt" joinstyle="miter"/>
          <v:imagedata o:title=""/>
          <o:lock v:ext="edit"/>
          <v:textbox inset="0mm,0mm,0mm,0mm" style="mso-fit-shape-to-text:t;">
            <w:txbxContent>
              <w:p w14:paraId="2D81D211">
                <w:pPr>
                  <w:pStyle w:val="50"/>
                </w:pPr>
                <w:r>
                  <w:fldChar w:fldCharType="begin"/>
                </w:r>
                <w:r>
                  <w:instrText xml:space="preserve"> PAGE  \* MERGEFORMAT </w:instrText>
                </w:r>
                <w:r>
                  <w:fldChar w:fldCharType="separate"/>
                </w:r>
                <w:r>
                  <w:t>26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EF3B2">
    <w:r>
      <w:pict>
        <v:shape id="_x0000_s1035" o:spid="_x0000_s1035"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path/>
          <v:fill on="f" focussize="0,0"/>
          <v:stroke on="f" weight="0.5pt" joinstyle="miter"/>
          <v:imagedata o:title=""/>
          <o:lock v:ext="edit"/>
          <v:textbox inset="0mm,0mm,0mm,0mm" style="mso-fit-shape-to-text:t;">
            <w:txbxContent>
              <w:p w14:paraId="2942D5D7">
                <w:pPr>
                  <w:pStyle w:val="50"/>
                </w:pPr>
                <w:r>
                  <w:fldChar w:fldCharType="begin"/>
                </w:r>
                <w:r>
                  <w:instrText xml:space="preserve"> PAGE  \* MERGEFORMAT </w:instrText>
                </w:r>
                <w:r>
                  <w:fldChar w:fldCharType="separate"/>
                </w:r>
                <w:r>
                  <w:t>46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1AFE5">
    <w:pPr>
      <w:pStyle w:val="50"/>
      <w:jc w:val="both"/>
    </w:pPr>
    <w:r>
      <w:pict>
        <v:shape id="_x0000_s1034" o:spid="_x0000_s1034"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path/>
          <v:fill on="f" focussize="0,0"/>
          <v:stroke on="f" weight="0.5pt" joinstyle="miter"/>
          <v:imagedata o:title=""/>
          <o:lock v:ext="edit"/>
          <v:textbox inset="0mm,0mm,0mm,0mm" style="mso-fit-shape-to-text:t;">
            <w:txbxContent>
              <w:p w14:paraId="50CAA3CD">
                <w:pPr>
                  <w:pStyle w:val="50"/>
                </w:pPr>
                <w:r>
                  <w:fldChar w:fldCharType="begin"/>
                </w:r>
                <w:r>
                  <w:instrText xml:space="preserve"> PAGE  \* MERGEFORMAT </w:instrText>
                </w:r>
                <w:r>
                  <w:fldChar w:fldCharType="separate"/>
                </w:r>
                <w:r>
                  <w:t>50</w:t>
                </w:r>
                <w:r>
                  <w:fldChar w:fldCharType="end"/>
                </w:r>
              </w:p>
            </w:txbxContent>
          </v:textbox>
        </v:shape>
      </w:pict>
    </w:r>
    <w:r>
      <w:pict>
        <v:shape id="_x0000_s1033" o:spid="_x0000_s1033" o:spt="202" type="#_x0000_t202" style="position:absolute;left:0pt;margin-left:216pt;margin-top:-1.45pt;height:12pt;width:18.95pt;mso-position-horizontal-relative:margin;z-index:251660288;mso-width-relative:page;mso-height-relative:page;" filled="f" stroked="f" coordsize="21600,21600" o:gfxdata="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x/cA1gAAAAkBAAAPAAAAAAAAAAEAIAAAACIAAABkcnMvZG93bnJl&#10;di54bWxQSwECFAAUAAAACACHTuJAKnM+0v8BAAARBAAADgAAAAAAAAABACAAAAAlAQAAZHJzL2Uy&#10;b0RvYy54bWxQSwUGAAAAAAYABgBZAQAAlgUAAAAA&#10;">
          <v:path/>
          <v:fill on="f" focussize="0,0"/>
          <v:stroke on="f" joinstyle="miter"/>
          <v:imagedata o:title=""/>
          <o:lock v:ext="edit"/>
          <v:textbox inset="0mm,0mm,0mm,0mm" style="mso-fit-shape-to-text:t;">
            <w:txbxContent>
              <w:p w14:paraId="372EB7A4">
                <w:pPr>
                  <w:pStyle w:val="50"/>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5420B">
    <w:pPr>
      <w:pStyle w:val="50"/>
      <w:jc w:val="both"/>
    </w:pPr>
    <w:r>
      <w:pict>
        <v:shape id="_x0000_s1032" o:spid="_x0000_s1032"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path/>
          <v:fill on="f" focussize="0,0"/>
          <v:stroke on="f" weight="0.5pt" joinstyle="miter"/>
          <v:imagedata o:title=""/>
          <o:lock v:ext="edit"/>
          <v:textbox inset="0mm,0mm,0mm,0mm" style="mso-fit-shape-to-text:t;">
            <w:txbxContent>
              <w:p w14:paraId="630897D3">
                <w:pPr>
                  <w:pStyle w:val="50"/>
                </w:pPr>
                <w:r>
                  <w:fldChar w:fldCharType="begin"/>
                </w:r>
                <w:r>
                  <w:instrText xml:space="preserve"> PAGE  \* MERGEFORMAT </w:instrText>
                </w:r>
                <w:r>
                  <w:fldChar w:fldCharType="separate"/>
                </w:r>
                <w:r>
                  <w:t>51</w:t>
                </w:r>
                <w:r>
                  <w:fldChar w:fldCharType="end"/>
                </w:r>
              </w:p>
            </w:txbxContent>
          </v:textbox>
        </v:shape>
      </w:pict>
    </w:r>
    <w:r>
      <w:pict>
        <v:shape id="_x0000_s1031" o:spid="_x0000_s1031" o:spt="202" type="#_x0000_t202" style="position:absolute;left:0pt;margin-left:216pt;margin-top:-1.45pt;height:12pt;width:18.95pt;mso-position-horizontal-relative:margin;z-index:251661312;mso-width-relative:page;mso-height-relative:page;" filled="f" stroked="f" coordsize="21600,21600" o:gfxdata="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sf3ANYAAAAJAQAADwAAAAAAAAABACAAAAAiAAAAZHJzL2Rvd25y&#10;ZXYueG1sUEsBAhQAFAAAAAgAh07iQDFfJkYAAgAAEgQAAA4AAAAAAAAAAQAgAAAAJQEAAGRycy9l&#10;Mm9Eb2MueG1sUEsFBgAAAAAGAAYAWQEAAJcFAAAAAA==&#10;">
          <v:path/>
          <v:fill on="f" focussize="0,0"/>
          <v:stroke on="f" joinstyle="miter"/>
          <v:imagedata o:title=""/>
          <o:lock v:ext="edit"/>
          <v:textbox inset="0mm,0mm,0mm,0mm" style="mso-fit-shape-to-text:t;">
            <w:txbxContent>
              <w:p w14:paraId="6ECD14F1">
                <w:pPr>
                  <w:pStyle w:val="50"/>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151ED">
    <w:pPr>
      <w:pStyle w:val="50"/>
      <w:jc w:val="both"/>
    </w:pPr>
    <w:r>
      <w:pict>
        <v:shape id="_x0000_s1030" o:spid="_x0000_s1030"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path/>
          <v:fill on="f" focussize="0,0"/>
          <v:stroke on="f" weight="0.5pt" joinstyle="miter"/>
          <v:imagedata o:title=""/>
          <o:lock v:ext="edit"/>
          <v:textbox inset="0mm,0mm,0mm,0mm" style="mso-fit-shape-to-text:t;">
            <w:txbxContent>
              <w:p w14:paraId="672CDDE4">
                <w:pPr>
                  <w:pStyle w:val="50"/>
                </w:pPr>
                <w:r>
                  <w:fldChar w:fldCharType="begin"/>
                </w:r>
                <w:r>
                  <w:instrText xml:space="preserve"> PAGE  \* MERGEFORMAT </w:instrText>
                </w:r>
                <w:r>
                  <w:fldChar w:fldCharType="separate"/>
                </w:r>
                <w:r>
                  <w:t>52</w:t>
                </w:r>
                <w:r>
                  <w:fldChar w:fldCharType="end"/>
                </w:r>
              </w:p>
            </w:txbxContent>
          </v:textbox>
        </v:shape>
      </w:pict>
    </w:r>
    <w:r>
      <w:pict>
        <v:shape id="_x0000_s1029" o:spid="_x0000_s1029" o:spt="202" type="#_x0000_t202" style="position:absolute;left:0pt;margin-left:216pt;margin-top:-1.45pt;height:12pt;width:18.95pt;mso-position-horizontal-relative:margin;z-index:251662336;mso-width-relative:page;mso-height-relative:page;" filled="f" stroked="f" coordsize="21600,21600" o:gfxdata="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sf3ANYAAAAJAQAADwAAAAAAAAABACAAAAAiAAAAZHJzL2Rvd25y&#10;ZXYueG1sUEsBAhQAFAAAAAgAh07iQJfJAw8AAgAAEgQAAA4AAAAAAAAAAQAgAAAAJQEAAGRycy9l&#10;Mm9Eb2MueG1sUEsFBgAAAAAGAAYAWQEAAJcFAAAAAA==&#10;">
          <v:path/>
          <v:fill on="f" focussize="0,0"/>
          <v:stroke on="f" joinstyle="miter"/>
          <v:imagedata o:title=""/>
          <o:lock v:ext="edit"/>
          <v:textbox inset="0mm,0mm,0mm,0mm" style="mso-fit-shape-to-text:t;">
            <w:txbxContent>
              <w:p w14:paraId="07114354">
                <w:pPr>
                  <w:pStyle w:val="50"/>
                </w:pP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24596">
    <w:pPr>
      <w:pStyle w:val="50"/>
      <w:jc w:val="both"/>
    </w:pPr>
    <w:r>
      <w:pict>
        <v:shape id="_x0000_s1028" o:spid="_x0000_s1028"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path/>
          <v:fill on="f" focussize="0,0"/>
          <v:stroke on="f" weight="0.5pt" joinstyle="miter"/>
          <v:imagedata o:title=""/>
          <o:lock v:ext="edit"/>
          <v:textbox inset="0mm,0mm,0mm,0mm" style="mso-fit-shape-to-text:t;">
            <w:txbxContent>
              <w:p w14:paraId="42A31502">
                <w:pPr>
                  <w:pStyle w:val="50"/>
                </w:pPr>
                <w:r>
                  <w:fldChar w:fldCharType="begin"/>
                </w:r>
                <w:r>
                  <w:instrText xml:space="preserve"> PAGE  \* MERGEFORMAT </w:instrText>
                </w:r>
                <w:r>
                  <w:fldChar w:fldCharType="separate"/>
                </w:r>
                <w:r>
                  <w:t>59</w:t>
                </w:r>
                <w:r>
                  <w:fldChar w:fldCharType="end"/>
                </w:r>
              </w:p>
            </w:txbxContent>
          </v:textbox>
        </v:shape>
      </w:pict>
    </w:r>
    <w:r>
      <w:pict>
        <v:shape id="_x0000_s1027" o:spid="_x0000_s1027" o:spt="202" type="#_x0000_t202" style="position:absolute;left:0pt;margin-left:216pt;margin-top:-1.45pt;height:12pt;width:18.95pt;mso-position-horizontal-relative:margin;z-index:251663360;mso-width-relative:page;mso-height-relative:page;" filled="f" stroked="f" coordsize="21600,21600" o:gfxdata="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x/cA1gAAAAkBAAAPAAAAAAAAAAEAIAAAACIAAABkcnMvZG93bnJl&#10;di54bWxQSwECFAAUAAAACACHTuJAebis9v8BAAARBAAADgAAAAAAAAABACAAAAAlAQAAZHJzL2Uy&#10;b0RvYy54bWxQSwUGAAAAAAYABgBZAQAAlgUAAAAA&#10;">
          <v:path/>
          <v:fill on="f" focussize="0,0"/>
          <v:stroke on="f" joinstyle="miter"/>
          <v:imagedata o:title=""/>
          <o:lock v:ext="edit"/>
          <v:textbox inset="0mm,0mm,0mm,0mm" style="mso-fit-shape-to-text:t;">
            <w:txbxContent>
              <w:p w14:paraId="7AE8AE84">
                <w:pPr>
                  <w:pStyle w:val="50"/>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27BF3">
    <w:pPr>
      <w:pStyle w:val="5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3917A">
    <w:pPr>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2146A">
    <w:pPr>
      <w:pStyle w:val="30"/>
      <w:ind w:left="0" w:left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5031F"/>
    <w:multiLevelType w:val="singleLevel"/>
    <w:tmpl w:val="AEE5031F"/>
    <w:lvl w:ilvl="0" w:tentative="0">
      <w:start w:val="7"/>
      <w:numFmt w:val="decimal"/>
      <w:suff w:val="nothing"/>
      <w:lvlText w:val="%1、"/>
      <w:lvlJc w:val="left"/>
    </w:lvl>
  </w:abstractNum>
  <w:abstractNum w:abstractNumId="1">
    <w:nsid w:val="D8D2D899"/>
    <w:multiLevelType w:val="singleLevel"/>
    <w:tmpl w:val="D8D2D899"/>
    <w:lvl w:ilvl="0" w:tentative="0">
      <w:start w:val="3"/>
      <w:numFmt w:val="chineseCounting"/>
      <w:suff w:val="space"/>
      <w:lvlText w:val="第%1章"/>
      <w:lvlJc w:val="left"/>
      <w:rPr>
        <w:rFonts w:hint="eastAsia"/>
      </w:rPr>
    </w:lvl>
  </w:abstractNum>
  <w:abstractNum w:abstractNumId="2">
    <w:nsid w:val="EF080BC2"/>
    <w:multiLevelType w:val="singleLevel"/>
    <w:tmpl w:val="EF080BC2"/>
    <w:lvl w:ilvl="0" w:tentative="0">
      <w:start w:val="10"/>
      <w:numFmt w:val="decimal"/>
      <w:lvlText w:val="%1."/>
      <w:lvlJc w:val="left"/>
      <w:pPr>
        <w:tabs>
          <w:tab w:val="left" w:pos="312"/>
        </w:tabs>
      </w:pPr>
    </w:lvl>
  </w:abstractNum>
  <w:abstractNum w:abstractNumId="3">
    <w:nsid w:val="57340B6E"/>
    <w:multiLevelType w:val="singleLevel"/>
    <w:tmpl w:val="57340B6E"/>
    <w:lvl w:ilvl="0" w:tentative="0">
      <w:start w:val="5"/>
      <w:numFmt w:val="chineseCounting"/>
      <w:suff w:val="nothing"/>
      <w:lvlText w:val="%1."/>
      <w:lvlJc w:val="left"/>
    </w:lvl>
  </w:abstractNum>
  <w:abstractNum w:abstractNumId="4">
    <w:nsid w:val="697B3B0C"/>
    <w:multiLevelType w:val="singleLevel"/>
    <w:tmpl w:val="697B3B0C"/>
    <w:lvl w:ilvl="0" w:tentative="0">
      <w:start w:val="1"/>
      <w:numFmt w:val="decimal"/>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ExMDg5NGM5ZDljNDgyZjZkN2NmNzY5ODZhYjFjYTgifQ=="/>
    <w:docVar w:name="NE.Ref{38D6EA51-E1CA-4318-A4A8-0F383ED2A778}" w:val="뜼㊣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
    <w:docVar w:name="NE.Ref{BEBC398D-FC82-47FC-8F87-56D0800CFCFF}" w:val="(උϰʀ姄㊧塬㊧ϰ֑ϰ֑99(උ顰ѤĠඋĠඋ  Ə9උ㄰姄㊧Ęඋඋϰˀࡪ帴㊧塬㊧ϰ֑ϰ֑ϰϰ_x000a_Ęඋ顰Ѥȸඋ0උȸඋƯϰøඋ̰姄㊧ϰ֑̔粜ূ粔ূȰඋøඋϰ࡭帴㊧塬㊧ϰ֑ϰ֑ϰϰ_x000a_Ȱඋ顰Ѥ͐උĠඋ怈ඇ솯ࡸϰȐඋő08ϰ֑镴Ѥݍඇ͈උȐඋH镡ꉀו姄㊧塬㊧H9H9͈උ顰Ѥрඋȸඋ΀Ə̨උAиඋȐඋHH镡ꌀו姄㊧塬㊧HH9HH9иඋ顰Ѥ԰උȸඋƏИඋAԨඋȐඋH镡ꏀו姄㊧塬㊧H9H9Ԩඋ顰Ѥؠඋȸඋ@ƏԈඋAؘඋȐඋØH镡ꒀו姄㊧塬㊧ØH9ØH9ؘඋ顰ѤܐඋȸඋƏ׸උA܈උȐඋĠH镡ꕀו姄㊧塬㊧ĠH9ĠH9܈උ顰ѤࠀඋȸඋÀƏۨඋA߸උȐඋŨH镡ꘀו姄㊧塬㊧ŨH9ŨH9߸උ顰ѤࣰඋȸඋĀƏߘඋAࣨඋȐඋưH镡ꛀו姄㊧塬㊧ưH9ưH9ࣨඋ顰ѤৠඋȸඋŀƏࣈඋA৘උȐඋǸH镡Ꞁו姄㊧塬㊧ǸH9ǸH9৘උ顰ѤૐඋȸඋƀƏসඋAૈඋȐඋɀH镡ꡀו姄㊧塬㊧ɀH9ɀH9ૈඋ顰ѤீඋȸඋǀƏનඋAஸඋȐඋʈH镡꤀ו姄㊧塬㊧ʈH9ʈH9ஸඋ顰ѤರඋȸඋɀƏ஘උAನඋȐඋːH镡꧀ו姄㊧塬㊧ːH9ːH9ನඋ顰ѤචඋȸඋʀƏಈඋA඘උȐඋ̘H镡ꪀו姄㊧塬㊧̘H9̘H9඘උ顰ѤຐඋȸඋˀƏ൸උAຈඋȐඋ͠H镡ꭀו姄㊧塬㊧͠H9͠H9ຈඋ顰Ѥྀඋȸඋ̀Ə๨උAླྀඋȐඋΨH镡가ו姄㊧塬㊧ΨH9ΨH9ླྀඋ顰Ѥၰඋȸඋ̀ƏམඋAၨඋȐඋ9H镡곀ו姄㊧塬㊧9H99H9ၨඋ顰Ѥᅠඋȸඋ΀Ə၈උAᅘඋȐඋH9H镡궀ו姄㊧塬㊧H9H9H9H9ᅘඋ顰ѤቐඋȸඋƏᄸඋAቈඋȐඋ9H镡김ו姄㊧塬㊧9H99H9ቈඋ顰Ѥፀඋȸඋ@ƏረඋAጸඋȐඋØ9H镡꼀ו姄㊧塬㊧Ø9H9Ø9H9ጸඋ顰ѤᐰඋȸඋƏጘඋAᐨඋȐඋĠ9H镡耀ࡸ姄㊧塬㊧Ġ9H9Ġ9H9ᐨඋ顰ѤᔠඋȸඋÀƏᐈඋAᔘඋȐඋŨ9H镡胀ࡸ姄㊧塬㊧Ũ9H9Ũ9H9ᔘඋ顰ѤᘐඋȸඋĀƏᓸඋAᘈඋȐඋư9H镡膀ࡸ姄㊧塬㊧ư9H9ư9H9ᘈඋ顰ѤᜀඋȸඋŀƏᗨඋAᛸඋȐඋǸ9H镡艀ࡸ姄㊧塬㊧Ǹ9H9Ǹ9H9ᛸඋ顰Ѥ៰උȸඋƀƏᛘඋA៨උȐඋɀ9H镡茀ࡸ姄㊧塬㊧ɀ9H9ɀ9H9៨උ顰ѤᣠඋȸඋǀƏៈඋAᣘඋȐඋʈ9H镡菀ࡸ姄㊧塬㊧ʈ9H9ʈ9H9ᣘඋ顰Ѥ᧐උȸඋɀƏᢸඋAᧈඋȐඋː9H镡蒀ࡸ姄㊧塬㊧ː9H9ː9H9ᧈඋ顰ѤᫀඋȸඋʀƏᦨඋA᪸උȐඋ̘9H镡蕀ࡸ姄㊧塬㊧̘9H9̘9H9᪸උ顰Ѥ᮰උȸඋˀƏ᪘උAᮨඋȐඋ͠9H镡蘀ࡸ姄㊧塬㊧͠9H9͠9H9ᮨඋ顰ѤᲠඋȸඋ̀ƏᮈඋAᲘඋȐඋΨ9H镡蛀ࡸ姄㊧塬㊧Ψ9H9Ψ9H9Იඋ顰Ѥᶐඋȸඋ̀ƏᱸඋAᶈඋȐඋrH镡螀ࡸ姄㊧塬㊧rH9rH9ᶈඋ顰ѤẀඋȸඋ΀ƏᵨඋAṸඋȐඋHrH镡血ࡸ姄㊧塬㊧HrH9HrH9Ṹඋ顰Ѥ උȸඋƏṘඋAὨඋȐඋrH镡褀ࡸ姄㊧ƏỐඋAῠඋ愠ඇࡸ姄㊧උ塬㊧rH9rH9Ὠඋ顰Ѥ⃸උȸඋƏὈඋA⃰උȐඋØrH!觀ࡸ姄㊧塬㊧ØrH9ØrH9⃰උ顰Ѥ⇨උȸඋ癀Ə⃐උA$⾃#⇠උȐඋĠrH誀ࡸ姄㊧塬㊧ĠrH9ĠrH9⇠උ顰Ѥ⋘උȸඋʀƏ⇀උA⋐උȐඋŨrH繡譀ࡸ姄㊧塬㊧ŨrH9ŨrH9⋐උ顰Ѥ⏈උȸඋƏ⊰උA⏀උȐඋưrH谀ࡸ姄㊧塬㊧ưrH9ưrH9⏀උ顰ѤⒸඋȸඋƏ⎠උA⒰උȐඋǸrH賀ࡸ姄㊧塬㊧ǸrH9ǸrH9⒰උ顰Ѥ▨උȸඋƏ⒐උA■උȐඋɀrH趀ࡸ姄㊧塬㊧ɀrH9ɀrH9■උ顰Ѥ⚘උȸඋƏ▀උA⚐උȐඋʈrH蹀ࡸ姄㊧塬㊧ʈrH9ʈrH9⚐උ顰Ѥ➈උȸඋƏ♰උA➀උȐඋːrH輀ࡸ姄㊧塬㊧ːrH9ːrH9➀උ顰Ѥ⡸උȸඋƏƀ❠උA⡰උȐඋ̘rHӁ退ࡸ姄㊧塬㊧̘rH9̘rH9⡰උ顰Ѥ⥨උȸඋ僀Ə2⡐උA⥠උȐඋ͠rH郀ࡸ姄㊧塬㊧͠rH9͠rH9⥠උ顰Ѥ⩘උȸඋƏ⥀උAĘ⩐උȐඋΨrH醀ࡸ姄㊧塬㊧ΨrH9ΨrH9⩐උ顰Ѥ⭈උȸඋƏ⨰උA⭀උȐඋ«H鉀ࡸ姄㊧塬㊧«H9«H9⭀උ顰ѤⰸඋȸඋƏ⬠උAⰰඋȐඋH«H錀ࡸ姄㊧塬㊧H«H9H«H9ⰰඋ顰Ѥ⴨උȸඋƏⰐඋAⴠඋȐඋ«H鏀ࡸ姄㊧塬㊧«H9«H9ⴠඋ顰Ѥ⸘උȸඋƏⴀඋA⸐උȐඋØ«H钀ࡸ姄㊧塬㊧Ø«H9Ø«H9⸐උ顰Ѥ⼈උȸඋƏⷰඋA⼀උȐඋĠ«H镀ࡸ姄㊧塬㊧Ġ«H9Ġ«H9⼀උ顰Ѥ⿸උȸඋƏ⻠උA⿰උȐඋŨ«H阀ࡸ姄㊧塬㊧Ũ«H9Ũ«H9⿰උ"/>
    <w:docVar w:name="ne_docsoft" w:val="NE.Ref{BEBC398D-FC82-47FC-8F87-56D0800CFCF"/>
    <w:docVar w:name="ne_docversion" w:val=" Ѐࠀ⦚振怀曆ㆋ㖚ࠀ氀振怀曆ㆋꦚࠀ⹦振怀曆ㆋࠀቦ振怀曆ㆋ辶ࠀ⹦振怀曆ㆋネࠀⓍ振怀曆ㆋ"/>
  </w:docVars>
  <w:rsids>
    <w:rsidRoot w:val="00E07BDA"/>
    <w:rsid w:val="000003CF"/>
    <w:rsid w:val="000007FB"/>
    <w:rsid w:val="000008D6"/>
    <w:rsid w:val="00000B41"/>
    <w:rsid w:val="0000282C"/>
    <w:rsid w:val="0000309C"/>
    <w:rsid w:val="00003367"/>
    <w:rsid w:val="000044E3"/>
    <w:rsid w:val="000055AE"/>
    <w:rsid w:val="00005B97"/>
    <w:rsid w:val="00005FDF"/>
    <w:rsid w:val="00006ED6"/>
    <w:rsid w:val="000071DD"/>
    <w:rsid w:val="0000769F"/>
    <w:rsid w:val="00010294"/>
    <w:rsid w:val="00010B41"/>
    <w:rsid w:val="000112A2"/>
    <w:rsid w:val="00011819"/>
    <w:rsid w:val="00011839"/>
    <w:rsid w:val="00011F94"/>
    <w:rsid w:val="000123F6"/>
    <w:rsid w:val="00012C8F"/>
    <w:rsid w:val="0001449F"/>
    <w:rsid w:val="00015754"/>
    <w:rsid w:val="000168CD"/>
    <w:rsid w:val="00016C2B"/>
    <w:rsid w:val="0001764D"/>
    <w:rsid w:val="00017E5C"/>
    <w:rsid w:val="000211D1"/>
    <w:rsid w:val="00021513"/>
    <w:rsid w:val="000218AC"/>
    <w:rsid w:val="00022F68"/>
    <w:rsid w:val="000244DD"/>
    <w:rsid w:val="00024730"/>
    <w:rsid w:val="00025151"/>
    <w:rsid w:val="00026D2D"/>
    <w:rsid w:val="00026F79"/>
    <w:rsid w:val="000271E9"/>
    <w:rsid w:val="00027626"/>
    <w:rsid w:val="00027732"/>
    <w:rsid w:val="00030B7E"/>
    <w:rsid w:val="00031443"/>
    <w:rsid w:val="000316C9"/>
    <w:rsid w:val="00032C66"/>
    <w:rsid w:val="0003306F"/>
    <w:rsid w:val="00033459"/>
    <w:rsid w:val="000335F7"/>
    <w:rsid w:val="00034B57"/>
    <w:rsid w:val="000353B2"/>
    <w:rsid w:val="0003611B"/>
    <w:rsid w:val="000362C7"/>
    <w:rsid w:val="0003683D"/>
    <w:rsid w:val="00036B9F"/>
    <w:rsid w:val="00037A11"/>
    <w:rsid w:val="00037CCC"/>
    <w:rsid w:val="000401B2"/>
    <w:rsid w:val="00041DCB"/>
    <w:rsid w:val="000421A0"/>
    <w:rsid w:val="00042976"/>
    <w:rsid w:val="00043F96"/>
    <w:rsid w:val="000443F7"/>
    <w:rsid w:val="00044B0F"/>
    <w:rsid w:val="00044FB5"/>
    <w:rsid w:val="000450CB"/>
    <w:rsid w:val="00045E0A"/>
    <w:rsid w:val="00045F64"/>
    <w:rsid w:val="000474B8"/>
    <w:rsid w:val="000475CD"/>
    <w:rsid w:val="00047F9B"/>
    <w:rsid w:val="0005024A"/>
    <w:rsid w:val="00050A7F"/>
    <w:rsid w:val="00051FE9"/>
    <w:rsid w:val="00052074"/>
    <w:rsid w:val="0005283F"/>
    <w:rsid w:val="00053254"/>
    <w:rsid w:val="000541EC"/>
    <w:rsid w:val="000548EF"/>
    <w:rsid w:val="00055327"/>
    <w:rsid w:val="000558D1"/>
    <w:rsid w:val="00055C94"/>
    <w:rsid w:val="000560A8"/>
    <w:rsid w:val="000560C8"/>
    <w:rsid w:val="0005689E"/>
    <w:rsid w:val="00056A16"/>
    <w:rsid w:val="00057229"/>
    <w:rsid w:val="00057707"/>
    <w:rsid w:val="000604B0"/>
    <w:rsid w:val="00061E9D"/>
    <w:rsid w:val="0006281D"/>
    <w:rsid w:val="00062AD5"/>
    <w:rsid w:val="00063A53"/>
    <w:rsid w:val="00064031"/>
    <w:rsid w:val="00064EE8"/>
    <w:rsid w:val="00066AE0"/>
    <w:rsid w:val="000673B9"/>
    <w:rsid w:val="00067675"/>
    <w:rsid w:val="00067B61"/>
    <w:rsid w:val="00070B91"/>
    <w:rsid w:val="0007171B"/>
    <w:rsid w:val="00071D92"/>
    <w:rsid w:val="00072EF9"/>
    <w:rsid w:val="0007308C"/>
    <w:rsid w:val="00073661"/>
    <w:rsid w:val="00073C27"/>
    <w:rsid w:val="000741CD"/>
    <w:rsid w:val="0007429A"/>
    <w:rsid w:val="00076923"/>
    <w:rsid w:val="00076ECA"/>
    <w:rsid w:val="000803F7"/>
    <w:rsid w:val="00081807"/>
    <w:rsid w:val="000818C0"/>
    <w:rsid w:val="00082849"/>
    <w:rsid w:val="00082BED"/>
    <w:rsid w:val="00083549"/>
    <w:rsid w:val="00084D7E"/>
    <w:rsid w:val="0008552A"/>
    <w:rsid w:val="00085D3E"/>
    <w:rsid w:val="00086860"/>
    <w:rsid w:val="000868CB"/>
    <w:rsid w:val="00087B57"/>
    <w:rsid w:val="00090631"/>
    <w:rsid w:val="000914D0"/>
    <w:rsid w:val="00091986"/>
    <w:rsid w:val="00096ED7"/>
    <w:rsid w:val="0009762E"/>
    <w:rsid w:val="000A067D"/>
    <w:rsid w:val="000A362A"/>
    <w:rsid w:val="000A43FD"/>
    <w:rsid w:val="000A59D4"/>
    <w:rsid w:val="000A5A77"/>
    <w:rsid w:val="000A5E5C"/>
    <w:rsid w:val="000A71EC"/>
    <w:rsid w:val="000A7CC2"/>
    <w:rsid w:val="000B0AB2"/>
    <w:rsid w:val="000B0B56"/>
    <w:rsid w:val="000B12E8"/>
    <w:rsid w:val="000B20E6"/>
    <w:rsid w:val="000B2725"/>
    <w:rsid w:val="000B3B85"/>
    <w:rsid w:val="000B41A6"/>
    <w:rsid w:val="000B4953"/>
    <w:rsid w:val="000B4F9F"/>
    <w:rsid w:val="000B613E"/>
    <w:rsid w:val="000B6C6D"/>
    <w:rsid w:val="000C2660"/>
    <w:rsid w:val="000C291F"/>
    <w:rsid w:val="000C3138"/>
    <w:rsid w:val="000C5000"/>
    <w:rsid w:val="000C5C0D"/>
    <w:rsid w:val="000C5C50"/>
    <w:rsid w:val="000D0215"/>
    <w:rsid w:val="000D145F"/>
    <w:rsid w:val="000D170E"/>
    <w:rsid w:val="000D1C71"/>
    <w:rsid w:val="000D343F"/>
    <w:rsid w:val="000D37F1"/>
    <w:rsid w:val="000D383C"/>
    <w:rsid w:val="000D3DB7"/>
    <w:rsid w:val="000D5D23"/>
    <w:rsid w:val="000D5F34"/>
    <w:rsid w:val="000D62EB"/>
    <w:rsid w:val="000D62F0"/>
    <w:rsid w:val="000D6F76"/>
    <w:rsid w:val="000E00C7"/>
    <w:rsid w:val="000E10B3"/>
    <w:rsid w:val="000E11DF"/>
    <w:rsid w:val="000E13DD"/>
    <w:rsid w:val="000E24AF"/>
    <w:rsid w:val="000E2D18"/>
    <w:rsid w:val="000E2D1B"/>
    <w:rsid w:val="000E3F1E"/>
    <w:rsid w:val="000E44F8"/>
    <w:rsid w:val="000E46BA"/>
    <w:rsid w:val="000E4990"/>
    <w:rsid w:val="000E572B"/>
    <w:rsid w:val="000E5C32"/>
    <w:rsid w:val="000E6319"/>
    <w:rsid w:val="000E6C62"/>
    <w:rsid w:val="000E6E8B"/>
    <w:rsid w:val="000E72A2"/>
    <w:rsid w:val="000E7671"/>
    <w:rsid w:val="000E7B1B"/>
    <w:rsid w:val="000E7B6A"/>
    <w:rsid w:val="000E7C41"/>
    <w:rsid w:val="000F0226"/>
    <w:rsid w:val="000F02B9"/>
    <w:rsid w:val="000F0B48"/>
    <w:rsid w:val="000F14C8"/>
    <w:rsid w:val="000F22F0"/>
    <w:rsid w:val="000F3C73"/>
    <w:rsid w:val="000F4A7D"/>
    <w:rsid w:val="000F4BD2"/>
    <w:rsid w:val="000F4BEC"/>
    <w:rsid w:val="000F5210"/>
    <w:rsid w:val="000F5419"/>
    <w:rsid w:val="000F59A6"/>
    <w:rsid w:val="000F64FA"/>
    <w:rsid w:val="000F6761"/>
    <w:rsid w:val="000F6CB9"/>
    <w:rsid w:val="000F6ED9"/>
    <w:rsid w:val="000F75A8"/>
    <w:rsid w:val="000F7DC3"/>
    <w:rsid w:val="00100918"/>
    <w:rsid w:val="001041B9"/>
    <w:rsid w:val="001048DA"/>
    <w:rsid w:val="0010539D"/>
    <w:rsid w:val="00106328"/>
    <w:rsid w:val="00106CCB"/>
    <w:rsid w:val="0011163A"/>
    <w:rsid w:val="001116AB"/>
    <w:rsid w:val="00111ECD"/>
    <w:rsid w:val="0011206D"/>
    <w:rsid w:val="001127C0"/>
    <w:rsid w:val="001128E0"/>
    <w:rsid w:val="00112CED"/>
    <w:rsid w:val="00113024"/>
    <w:rsid w:val="00113055"/>
    <w:rsid w:val="001139D3"/>
    <w:rsid w:val="00114740"/>
    <w:rsid w:val="00116240"/>
    <w:rsid w:val="00117300"/>
    <w:rsid w:val="00117509"/>
    <w:rsid w:val="0011754A"/>
    <w:rsid w:val="00117B35"/>
    <w:rsid w:val="00117DCB"/>
    <w:rsid w:val="00120517"/>
    <w:rsid w:val="0012109E"/>
    <w:rsid w:val="001210A8"/>
    <w:rsid w:val="00121F6E"/>
    <w:rsid w:val="00122145"/>
    <w:rsid w:val="001222CF"/>
    <w:rsid w:val="001222DF"/>
    <w:rsid w:val="00123D22"/>
    <w:rsid w:val="00124690"/>
    <w:rsid w:val="00124FB0"/>
    <w:rsid w:val="001276F3"/>
    <w:rsid w:val="00130165"/>
    <w:rsid w:val="001304B7"/>
    <w:rsid w:val="00130CDD"/>
    <w:rsid w:val="0013202E"/>
    <w:rsid w:val="001330B1"/>
    <w:rsid w:val="001330F0"/>
    <w:rsid w:val="001340B8"/>
    <w:rsid w:val="001341CB"/>
    <w:rsid w:val="001347AB"/>
    <w:rsid w:val="001354E5"/>
    <w:rsid w:val="001356BE"/>
    <w:rsid w:val="00135A97"/>
    <w:rsid w:val="00135D01"/>
    <w:rsid w:val="001360F3"/>
    <w:rsid w:val="001366EB"/>
    <w:rsid w:val="0013708F"/>
    <w:rsid w:val="00137689"/>
    <w:rsid w:val="00137C39"/>
    <w:rsid w:val="00140155"/>
    <w:rsid w:val="001413D1"/>
    <w:rsid w:val="00141861"/>
    <w:rsid w:val="001418B6"/>
    <w:rsid w:val="00142FF1"/>
    <w:rsid w:val="00143FD2"/>
    <w:rsid w:val="00145525"/>
    <w:rsid w:val="00145685"/>
    <w:rsid w:val="00145AA1"/>
    <w:rsid w:val="00145CCD"/>
    <w:rsid w:val="00145FD1"/>
    <w:rsid w:val="0014638D"/>
    <w:rsid w:val="001470F7"/>
    <w:rsid w:val="00147D49"/>
    <w:rsid w:val="00147D93"/>
    <w:rsid w:val="0015042B"/>
    <w:rsid w:val="001504B2"/>
    <w:rsid w:val="001506F5"/>
    <w:rsid w:val="00151768"/>
    <w:rsid w:val="00151E06"/>
    <w:rsid w:val="001521D5"/>
    <w:rsid w:val="0015246A"/>
    <w:rsid w:val="001533F6"/>
    <w:rsid w:val="00153D7D"/>
    <w:rsid w:val="001540BD"/>
    <w:rsid w:val="00156124"/>
    <w:rsid w:val="00156CEB"/>
    <w:rsid w:val="00157513"/>
    <w:rsid w:val="001579EB"/>
    <w:rsid w:val="0016020E"/>
    <w:rsid w:val="001602E4"/>
    <w:rsid w:val="001607AB"/>
    <w:rsid w:val="001613E7"/>
    <w:rsid w:val="001629CC"/>
    <w:rsid w:val="00162AD8"/>
    <w:rsid w:val="001634B8"/>
    <w:rsid w:val="00163540"/>
    <w:rsid w:val="0016390F"/>
    <w:rsid w:val="00163AAE"/>
    <w:rsid w:val="00164250"/>
    <w:rsid w:val="001649E5"/>
    <w:rsid w:val="001656E4"/>
    <w:rsid w:val="001668F8"/>
    <w:rsid w:val="00166C47"/>
    <w:rsid w:val="0016709A"/>
    <w:rsid w:val="00167108"/>
    <w:rsid w:val="0016766E"/>
    <w:rsid w:val="00167BD8"/>
    <w:rsid w:val="00171083"/>
    <w:rsid w:val="00171156"/>
    <w:rsid w:val="001713F2"/>
    <w:rsid w:val="00171D95"/>
    <w:rsid w:val="00172AD5"/>
    <w:rsid w:val="001732FD"/>
    <w:rsid w:val="001747C7"/>
    <w:rsid w:val="0017490C"/>
    <w:rsid w:val="0017529C"/>
    <w:rsid w:val="00175719"/>
    <w:rsid w:val="0017596C"/>
    <w:rsid w:val="00175FB9"/>
    <w:rsid w:val="00176BA9"/>
    <w:rsid w:val="00176C4D"/>
    <w:rsid w:val="00177F55"/>
    <w:rsid w:val="001803BA"/>
    <w:rsid w:val="001812BC"/>
    <w:rsid w:val="001812E8"/>
    <w:rsid w:val="00181311"/>
    <w:rsid w:val="001813C1"/>
    <w:rsid w:val="00182272"/>
    <w:rsid w:val="00182F36"/>
    <w:rsid w:val="00182FB9"/>
    <w:rsid w:val="001836D7"/>
    <w:rsid w:val="001837B4"/>
    <w:rsid w:val="001839B8"/>
    <w:rsid w:val="00183AD5"/>
    <w:rsid w:val="0018457E"/>
    <w:rsid w:val="00184FB8"/>
    <w:rsid w:val="00185D2F"/>
    <w:rsid w:val="001861AF"/>
    <w:rsid w:val="00186E7A"/>
    <w:rsid w:val="001873C0"/>
    <w:rsid w:val="001904B0"/>
    <w:rsid w:val="001924DE"/>
    <w:rsid w:val="00195759"/>
    <w:rsid w:val="00196DCB"/>
    <w:rsid w:val="001976EC"/>
    <w:rsid w:val="00197D40"/>
    <w:rsid w:val="001A0FEE"/>
    <w:rsid w:val="001A1215"/>
    <w:rsid w:val="001A29F6"/>
    <w:rsid w:val="001A4BEE"/>
    <w:rsid w:val="001A570F"/>
    <w:rsid w:val="001A7942"/>
    <w:rsid w:val="001B03C4"/>
    <w:rsid w:val="001B17FF"/>
    <w:rsid w:val="001B1D8B"/>
    <w:rsid w:val="001B1FEF"/>
    <w:rsid w:val="001B2180"/>
    <w:rsid w:val="001B2E17"/>
    <w:rsid w:val="001B4C30"/>
    <w:rsid w:val="001B5EC2"/>
    <w:rsid w:val="001B5FD8"/>
    <w:rsid w:val="001C05BB"/>
    <w:rsid w:val="001C0878"/>
    <w:rsid w:val="001C0A7A"/>
    <w:rsid w:val="001C0C9A"/>
    <w:rsid w:val="001C12B5"/>
    <w:rsid w:val="001C2921"/>
    <w:rsid w:val="001C3F92"/>
    <w:rsid w:val="001C4367"/>
    <w:rsid w:val="001C5156"/>
    <w:rsid w:val="001C63AC"/>
    <w:rsid w:val="001C66B4"/>
    <w:rsid w:val="001C72BC"/>
    <w:rsid w:val="001C78F0"/>
    <w:rsid w:val="001C790C"/>
    <w:rsid w:val="001D035B"/>
    <w:rsid w:val="001D0385"/>
    <w:rsid w:val="001D1EF3"/>
    <w:rsid w:val="001D2D49"/>
    <w:rsid w:val="001D31C2"/>
    <w:rsid w:val="001D34BC"/>
    <w:rsid w:val="001D363F"/>
    <w:rsid w:val="001D465B"/>
    <w:rsid w:val="001D4A5D"/>
    <w:rsid w:val="001D60A2"/>
    <w:rsid w:val="001E0412"/>
    <w:rsid w:val="001E070C"/>
    <w:rsid w:val="001E0CCC"/>
    <w:rsid w:val="001E1002"/>
    <w:rsid w:val="001E11C5"/>
    <w:rsid w:val="001E248B"/>
    <w:rsid w:val="001E2C82"/>
    <w:rsid w:val="001E307E"/>
    <w:rsid w:val="001E40B1"/>
    <w:rsid w:val="001E43A7"/>
    <w:rsid w:val="001E48CE"/>
    <w:rsid w:val="001E4AB1"/>
    <w:rsid w:val="001E5273"/>
    <w:rsid w:val="001E5CBA"/>
    <w:rsid w:val="001E6D43"/>
    <w:rsid w:val="001E71DA"/>
    <w:rsid w:val="001F09C8"/>
    <w:rsid w:val="001F0E0A"/>
    <w:rsid w:val="001F1964"/>
    <w:rsid w:val="001F28B5"/>
    <w:rsid w:val="001F2CA9"/>
    <w:rsid w:val="001F2E64"/>
    <w:rsid w:val="001F3115"/>
    <w:rsid w:val="001F3840"/>
    <w:rsid w:val="001F497F"/>
    <w:rsid w:val="001F5746"/>
    <w:rsid w:val="001F5F78"/>
    <w:rsid w:val="001F657C"/>
    <w:rsid w:val="001F66BB"/>
    <w:rsid w:val="001F6D24"/>
    <w:rsid w:val="001F7E66"/>
    <w:rsid w:val="002015B8"/>
    <w:rsid w:val="0020340F"/>
    <w:rsid w:val="00203D40"/>
    <w:rsid w:val="00203ED8"/>
    <w:rsid w:val="00204D9E"/>
    <w:rsid w:val="00206227"/>
    <w:rsid w:val="00206482"/>
    <w:rsid w:val="00207C3C"/>
    <w:rsid w:val="00211617"/>
    <w:rsid w:val="0021174A"/>
    <w:rsid w:val="00212E9D"/>
    <w:rsid w:val="002136A9"/>
    <w:rsid w:val="002137FC"/>
    <w:rsid w:val="00213F0D"/>
    <w:rsid w:val="00214215"/>
    <w:rsid w:val="0021450C"/>
    <w:rsid w:val="00214E5C"/>
    <w:rsid w:val="00216A4A"/>
    <w:rsid w:val="00217807"/>
    <w:rsid w:val="0021784B"/>
    <w:rsid w:val="00217BF6"/>
    <w:rsid w:val="002201EE"/>
    <w:rsid w:val="00221149"/>
    <w:rsid w:val="00221836"/>
    <w:rsid w:val="00221B38"/>
    <w:rsid w:val="00221D51"/>
    <w:rsid w:val="002221BB"/>
    <w:rsid w:val="00223414"/>
    <w:rsid w:val="0022347F"/>
    <w:rsid w:val="00223639"/>
    <w:rsid w:val="002245E6"/>
    <w:rsid w:val="002250C2"/>
    <w:rsid w:val="002255AF"/>
    <w:rsid w:val="002258D1"/>
    <w:rsid w:val="00226D7B"/>
    <w:rsid w:val="00227B3E"/>
    <w:rsid w:val="002313B9"/>
    <w:rsid w:val="00232B05"/>
    <w:rsid w:val="00232FA6"/>
    <w:rsid w:val="00233150"/>
    <w:rsid w:val="0023440F"/>
    <w:rsid w:val="002346D2"/>
    <w:rsid w:val="00234F85"/>
    <w:rsid w:val="0023552B"/>
    <w:rsid w:val="00235E70"/>
    <w:rsid w:val="00236A6A"/>
    <w:rsid w:val="00237FE7"/>
    <w:rsid w:val="002421CD"/>
    <w:rsid w:val="00242AD1"/>
    <w:rsid w:val="00244CDA"/>
    <w:rsid w:val="00245565"/>
    <w:rsid w:val="0025024A"/>
    <w:rsid w:val="002503FE"/>
    <w:rsid w:val="00251D77"/>
    <w:rsid w:val="00252ABC"/>
    <w:rsid w:val="00252FE1"/>
    <w:rsid w:val="00253633"/>
    <w:rsid w:val="0025402B"/>
    <w:rsid w:val="00254314"/>
    <w:rsid w:val="0025475E"/>
    <w:rsid w:val="002548B0"/>
    <w:rsid w:val="00254B32"/>
    <w:rsid w:val="00255251"/>
    <w:rsid w:val="00255B58"/>
    <w:rsid w:val="002561F3"/>
    <w:rsid w:val="002564F9"/>
    <w:rsid w:val="002608BB"/>
    <w:rsid w:val="00260990"/>
    <w:rsid w:val="00261CF2"/>
    <w:rsid w:val="002622AA"/>
    <w:rsid w:val="0026257E"/>
    <w:rsid w:val="002630AF"/>
    <w:rsid w:val="002638F5"/>
    <w:rsid w:val="00263BBB"/>
    <w:rsid w:val="00264696"/>
    <w:rsid w:val="00265270"/>
    <w:rsid w:val="002663B4"/>
    <w:rsid w:val="00266F7A"/>
    <w:rsid w:val="00267426"/>
    <w:rsid w:val="00270AE5"/>
    <w:rsid w:val="00270B0D"/>
    <w:rsid w:val="00270BA8"/>
    <w:rsid w:val="00270D09"/>
    <w:rsid w:val="00270FFA"/>
    <w:rsid w:val="00271886"/>
    <w:rsid w:val="00272A6A"/>
    <w:rsid w:val="0027325F"/>
    <w:rsid w:val="002747C0"/>
    <w:rsid w:val="0027547E"/>
    <w:rsid w:val="002766F3"/>
    <w:rsid w:val="002767F5"/>
    <w:rsid w:val="00280660"/>
    <w:rsid w:val="00280D17"/>
    <w:rsid w:val="002822BC"/>
    <w:rsid w:val="00283129"/>
    <w:rsid w:val="002834D3"/>
    <w:rsid w:val="002837F0"/>
    <w:rsid w:val="00283ED2"/>
    <w:rsid w:val="00284E91"/>
    <w:rsid w:val="00286612"/>
    <w:rsid w:val="002900A7"/>
    <w:rsid w:val="00290440"/>
    <w:rsid w:val="00290D9A"/>
    <w:rsid w:val="00290FC6"/>
    <w:rsid w:val="00291765"/>
    <w:rsid w:val="00294D11"/>
    <w:rsid w:val="00295345"/>
    <w:rsid w:val="002966DA"/>
    <w:rsid w:val="00296834"/>
    <w:rsid w:val="002971D1"/>
    <w:rsid w:val="002979B9"/>
    <w:rsid w:val="00297BEC"/>
    <w:rsid w:val="002A03AE"/>
    <w:rsid w:val="002A0C14"/>
    <w:rsid w:val="002A11C7"/>
    <w:rsid w:val="002A17ED"/>
    <w:rsid w:val="002A1F92"/>
    <w:rsid w:val="002A2BC3"/>
    <w:rsid w:val="002A2EFE"/>
    <w:rsid w:val="002A45D7"/>
    <w:rsid w:val="002A56B9"/>
    <w:rsid w:val="002A57B6"/>
    <w:rsid w:val="002A6B46"/>
    <w:rsid w:val="002A6BE8"/>
    <w:rsid w:val="002A7B97"/>
    <w:rsid w:val="002B1312"/>
    <w:rsid w:val="002B1B40"/>
    <w:rsid w:val="002B1E45"/>
    <w:rsid w:val="002B2530"/>
    <w:rsid w:val="002B2887"/>
    <w:rsid w:val="002B3011"/>
    <w:rsid w:val="002B36B9"/>
    <w:rsid w:val="002B3F42"/>
    <w:rsid w:val="002B4B6B"/>
    <w:rsid w:val="002B5A35"/>
    <w:rsid w:val="002B5D41"/>
    <w:rsid w:val="002B614C"/>
    <w:rsid w:val="002B6650"/>
    <w:rsid w:val="002C03C1"/>
    <w:rsid w:val="002C0E0B"/>
    <w:rsid w:val="002C245A"/>
    <w:rsid w:val="002C2616"/>
    <w:rsid w:val="002C2A7B"/>
    <w:rsid w:val="002C2B8E"/>
    <w:rsid w:val="002C317B"/>
    <w:rsid w:val="002C4444"/>
    <w:rsid w:val="002C4D03"/>
    <w:rsid w:val="002C5305"/>
    <w:rsid w:val="002C61D0"/>
    <w:rsid w:val="002C6891"/>
    <w:rsid w:val="002C7A94"/>
    <w:rsid w:val="002C7C8A"/>
    <w:rsid w:val="002D06F8"/>
    <w:rsid w:val="002D0DAC"/>
    <w:rsid w:val="002D10C8"/>
    <w:rsid w:val="002D3109"/>
    <w:rsid w:val="002D3693"/>
    <w:rsid w:val="002D422C"/>
    <w:rsid w:val="002D4673"/>
    <w:rsid w:val="002D5A26"/>
    <w:rsid w:val="002D5C24"/>
    <w:rsid w:val="002D65E2"/>
    <w:rsid w:val="002D6C13"/>
    <w:rsid w:val="002E02D1"/>
    <w:rsid w:val="002E0951"/>
    <w:rsid w:val="002E0B9B"/>
    <w:rsid w:val="002E0F43"/>
    <w:rsid w:val="002E1351"/>
    <w:rsid w:val="002E13D7"/>
    <w:rsid w:val="002E1D3D"/>
    <w:rsid w:val="002E28E0"/>
    <w:rsid w:val="002E45C3"/>
    <w:rsid w:val="002E4A0A"/>
    <w:rsid w:val="002E4B9B"/>
    <w:rsid w:val="002E58CA"/>
    <w:rsid w:val="002E5F41"/>
    <w:rsid w:val="002E695C"/>
    <w:rsid w:val="002E7AF5"/>
    <w:rsid w:val="002F2490"/>
    <w:rsid w:val="002F25D5"/>
    <w:rsid w:val="002F289C"/>
    <w:rsid w:val="002F2E9A"/>
    <w:rsid w:val="002F4E32"/>
    <w:rsid w:val="002F5161"/>
    <w:rsid w:val="002F6365"/>
    <w:rsid w:val="002F75B2"/>
    <w:rsid w:val="002F79BC"/>
    <w:rsid w:val="00301C6A"/>
    <w:rsid w:val="0030367E"/>
    <w:rsid w:val="003036FA"/>
    <w:rsid w:val="00303C85"/>
    <w:rsid w:val="003045F4"/>
    <w:rsid w:val="00304644"/>
    <w:rsid w:val="00305022"/>
    <w:rsid w:val="00305105"/>
    <w:rsid w:val="0030566C"/>
    <w:rsid w:val="003057BE"/>
    <w:rsid w:val="00306442"/>
    <w:rsid w:val="00306479"/>
    <w:rsid w:val="00306FF6"/>
    <w:rsid w:val="00310D04"/>
    <w:rsid w:val="003122BF"/>
    <w:rsid w:val="003124BB"/>
    <w:rsid w:val="0031309C"/>
    <w:rsid w:val="00313329"/>
    <w:rsid w:val="0031380D"/>
    <w:rsid w:val="00314308"/>
    <w:rsid w:val="003145E0"/>
    <w:rsid w:val="00314B3A"/>
    <w:rsid w:val="00315008"/>
    <w:rsid w:val="00316105"/>
    <w:rsid w:val="00317606"/>
    <w:rsid w:val="00320EB9"/>
    <w:rsid w:val="003217CA"/>
    <w:rsid w:val="0032192D"/>
    <w:rsid w:val="00321D06"/>
    <w:rsid w:val="003230A5"/>
    <w:rsid w:val="003245B5"/>
    <w:rsid w:val="00325095"/>
    <w:rsid w:val="00325795"/>
    <w:rsid w:val="00326758"/>
    <w:rsid w:val="003267D4"/>
    <w:rsid w:val="00326D21"/>
    <w:rsid w:val="00326F18"/>
    <w:rsid w:val="00327B38"/>
    <w:rsid w:val="00327C4E"/>
    <w:rsid w:val="00331DB8"/>
    <w:rsid w:val="00333047"/>
    <w:rsid w:val="003334F1"/>
    <w:rsid w:val="00333887"/>
    <w:rsid w:val="00334228"/>
    <w:rsid w:val="00334F06"/>
    <w:rsid w:val="00335507"/>
    <w:rsid w:val="00336A84"/>
    <w:rsid w:val="00337401"/>
    <w:rsid w:val="0033762E"/>
    <w:rsid w:val="00340CC9"/>
    <w:rsid w:val="00341C9B"/>
    <w:rsid w:val="00341D34"/>
    <w:rsid w:val="00342052"/>
    <w:rsid w:val="00342854"/>
    <w:rsid w:val="0034306F"/>
    <w:rsid w:val="0034335E"/>
    <w:rsid w:val="0034348F"/>
    <w:rsid w:val="0034360D"/>
    <w:rsid w:val="00344F71"/>
    <w:rsid w:val="00345064"/>
    <w:rsid w:val="0034555A"/>
    <w:rsid w:val="00345C5A"/>
    <w:rsid w:val="003469BD"/>
    <w:rsid w:val="003473AD"/>
    <w:rsid w:val="003473C2"/>
    <w:rsid w:val="00351031"/>
    <w:rsid w:val="003510D2"/>
    <w:rsid w:val="003514DA"/>
    <w:rsid w:val="00351CF3"/>
    <w:rsid w:val="00351E2B"/>
    <w:rsid w:val="00352182"/>
    <w:rsid w:val="00352866"/>
    <w:rsid w:val="00353612"/>
    <w:rsid w:val="00354859"/>
    <w:rsid w:val="00355050"/>
    <w:rsid w:val="00355219"/>
    <w:rsid w:val="0035658E"/>
    <w:rsid w:val="00356B95"/>
    <w:rsid w:val="003578ED"/>
    <w:rsid w:val="00357C87"/>
    <w:rsid w:val="00357E48"/>
    <w:rsid w:val="003607FD"/>
    <w:rsid w:val="00360D54"/>
    <w:rsid w:val="00361D8D"/>
    <w:rsid w:val="00361F57"/>
    <w:rsid w:val="00362AD9"/>
    <w:rsid w:val="00362BF8"/>
    <w:rsid w:val="00363316"/>
    <w:rsid w:val="00363497"/>
    <w:rsid w:val="00363707"/>
    <w:rsid w:val="003638E2"/>
    <w:rsid w:val="00366A6A"/>
    <w:rsid w:val="003679A8"/>
    <w:rsid w:val="00370222"/>
    <w:rsid w:val="00370C2D"/>
    <w:rsid w:val="00371702"/>
    <w:rsid w:val="003723D1"/>
    <w:rsid w:val="00372814"/>
    <w:rsid w:val="00373007"/>
    <w:rsid w:val="00373866"/>
    <w:rsid w:val="00374A85"/>
    <w:rsid w:val="00374DF1"/>
    <w:rsid w:val="00374F3D"/>
    <w:rsid w:val="00375DAF"/>
    <w:rsid w:val="00376016"/>
    <w:rsid w:val="003764A2"/>
    <w:rsid w:val="0037689C"/>
    <w:rsid w:val="00376901"/>
    <w:rsid w:val="0038023C"/>
    <w:rsid w:val="00380352"/>
    <w:rsid w:val="0038100A"/>
    <w:rsid w:val="00381EF4"/>
    <w:rsid w:val="00382131"/>
    <w:rsid w:val="00382859"/>
    <w:rsid w:val="00382FD1"/>
    <w:rsid w:val="003834B4"/>
    <w:rsid w:val="00383BE5"/>
    <w:rsid w:val="00383F19"/>
    <w:rsid w:val="003845A0"/>
    <w:rsid w:val="00384892"/>
    <w:rsid w:val="003850FA"/>
    <w:rsid w:val="00385173"/>
    <w:rsid w:val="00385B6A"/>
    <w:rsid w:val="00385EC3"/>
    <w:rsid w:val="00386B06"/>
    <w:rsid w:val="00387025"/>
    <w:rsid w:val="00387264"/>
    <w:rsid w:val="003902EF"/>
    <w:rsid w:val="00391A0E"/>
    <w:rsid w:val="003920EB"/>
    <w:rsid w:val="00392B4D"/>
    <w:rsid w:val="003939C5"/>
    <w:rsid w:val="00393FA6"/>
    <w:rsid w:val="0039598C"/>
    <w:rsid w:val="0039666F"/>
    <w:rsid w:val="00396971"/>
    <w:rsid w:val="003969B1"/>
    <w:rsid w:val="00396B9B"/>
    <w:rsid w:val="003973B5"/>
    <w:rsid w:val="00397AC3"/>
    <w:rsid w:val="003A0241"/>
    <w:rsid w:val="003A0D77"/>
    <w:rsid w:val="003A102D"/>
    <w:rsid w:val="003A1292"/>
    <w:rsid w:val="003A1A67"/>
    <w:rsid w:val="003A3166"/>
    <w:rsid w:val="003A39B4"/>
    <w:rsid w:val="003A3B2A"/>
    <w:rsid w:val="003A3FB0"/>
    <w:rsid w:val="003A6582"/>
    <w:rsid w:val="003A6AF4"/>
    <w:rsid w:val="003A72E6"/>
    <w:rsid w:val="003A75B2"/>
    <w:rsid w:val="003A7C8A"/>
    <w:rsid w:val="003B002D"/>
    <w:rsid w:val="003B06CE"/>
    <w:rsid w:val="003B1300"/>
    <w:rsid w:val="003B1E6B"/>
    <w:rsid w:val="003B3158"/>
    <w:rsid w:val="003B3200"/>
    <w:rsid w:val="003B34A4"/>
    <w:rsid w:val="003B3725"/>
    <w:rsid w:val="003B4E85"/>
    <w:rsid w:val="003B5282"/>
    <w:rsid w:val="003B5790"/>
    <w:rsid w:val="003B57AC"/>
    <w:rsid w:val="003B5870"/>
    <w:rsid w:val="003B5A71"/>
    <w:rsid w:val="003B6614"/>
    <w:rsid w:val="003B7485"/>
    <w:rsid w:val="003B764E"/>
    <w:rsid w:val="003B7775"/>
    <w:rsid w:val="003B7AC5"/>
    <w:rsid w:val="003C0140"/>
    <w:rsid w:val="003C0D47"/>
    <w:rsid w:val="003C1090"/>
    <w:rsid w:val="003C1D23"/>
    <w:rsid w:val="003C36FE"/>
    <w:rsid w:val="003C38FB"/>
    <w:rsid w:val="003C4A10"/>
    <w:rsid w:val="003C556A"/>
    <w:rsid w:val="003C58B7"/>
    <w:rsid w:val="003C6812"/>
    <w:rsid w:val="003C6BD1"/>
    <w:rsid w:val="003D0864"/>
    <w:rsid w:val="003D1177"/>
    <w:rsid w:val="003D2194"/>
    <w:rsid w:val="003D29C5"/>
    <w:rsid w:val="003D3351"/>
    <w:rsid w:val="003D3446"/>
    <w:rsid w:val="003D5571"/>
    <w:rsid w:val="003D5FA5"/>
    <w:rsid w:val="003D6CD6"/>
    <w:rsid w:val="003D72AA"/>
    <w:rsid w:val="003D792E"/>
    <w:rsid w:val="003E0323"/>
    <w:rsid w:val="003E0D55"/>
    <w:rsid w:val="003E1352"/>
    <w:rsid w:val="003E1D1E"/>
    <w:rsid w:val="003E264F"/>
    <w:rsid w:val="003E2BC7"/>
    <w:rsid w:val="003E3C3D"/>
    <w:rsid w:val="003E4FC5"/>
    <w:rsid w:val="003E5FC8"/>
    <w:rsid w:val="003E6AE1"/>
    <w:rsid w:val="003E6C95"/>
    <w:rsid w:val="003E6FEA"/>
    <w:rsid w:val="003F0905"/>
    <w:rsid w:val="003F173D"/>
    <w:rsid w:val="003F1FF3"/>
    <w:rsid w:val="003F27D5"/>
    <w:rsid w:val="003F3D6A"/>
    <w:rsid w:val="003F49F1"/>
    <w:rsid w:val="003F4CB1"/>
    <w:rsid w:val="003F5D56"/>
    <w:rsid w:val="003F6860"/>
    <w:rsid w:val="003F754E"/>
    <w:rsid w:val="003F7938"/>
    <w:rsid w:val="003F7FC8"/>
    <w:rsid w:val="004010F4"/>
    <w:rsid w:val="004011F2"/>
    <w:rsid w:val="00401678"/>
    <w:rsid w:val="00401952"/>
    <w:rsid w:val="004026D0"/>
    <w:rsid w:val="0040521A"/>
    <w:rsid w:val="00405318"/>
    <w:rsid w:val="004064A2"/>
    <w:rsid w:val="0040669E"/>
    <w:rsid w:val="00411A1E"/>
    <w:rsid w:val="00411FAA"/>
    <w:rsid w:val="00412590"/>
    <w:rsid w:val="0041319F"/>
    <w:rsid w:val="004133B3"/>
    <w:rsid w:val="0041358E"/>
    <w:rsid w:val="00414594"/>
    <w:rsid w:val="004145F1"/>
    <w:rsid w:val="00416383"/>
    <w:rsid w:val="00416B0D"/>
    <w:rsid w:val="00416DD0"/>
    <w:rsid w:val="00416ECC"/>
    <w:rsid w:val="00417282"/>
    <w:rsid w:val="00421854"/>
    <w:rsid w:val="00421F69"/>
    <w:rsid w:val="00422C90"/>
    <w:rsid w:val="00423282"/>
    <w:rsid w:val="004244B9"/>
    <w:rsid w:val="00424DA2"/>
    <w:rsid w:val="00424DD1"/>
    <w:rsid w:val="00424FBD"/>
    <w:rsid w:val="00427D8D"/>
    <w:rsid w:val="0043022F"/>
    <w:rsid w:val="004323FB"/>
    <w:rsid w:val="004324E1"/>
    <w:rsid w:val="004324EC"/>
    <w:rsid w:val="00432975"/>
    <w:rsid w:val="00433219"/>
    <w:rsid w:val="00433C9F"/>
    <w:rsid w:val="00433DF2"/>
    <w:rsid w:val="00433FB0"/>
    <w:rsid w:val="00434135"/>
    <w:rsid w:val="0043432F"/>
    <w:rsid w:val="00434529"/>
    <w:rsid w:val="00434D55"/>
    <w:rsid w:val="0043563F"/>
    <w:rsid w:val="0043571F"/>
    <w:rsid w:val="00435F5A"/>
    <w:rsid w:val="00436194"/>
    <w:rsid w:val="004361E4"/>
    <w:rsid w:val="00437064"/>
    <w:rsid w:val="004373F6"/>
    <w:rsid w:val="00437584"/>
    <w:rsid w:val="0043759B"/>
    <w:rsid w:val="00440C96"/>
    <w:rsid w:val="004410EA"/>
    <w:rsid w:val="00441EF1"/>
    <w:rsid w:val="0044263A"/>
    <w:rsid w:val="00442B3F"/>
    <w:rsid w:val="00443539"/>
    <w:rsid w:val="00443DBE"/>
    <w:rsid w:val="00443EAA"/>
    <w:rsid w:val="004443D0"/>
    <w:rsid w:val="00444AB8"/>
    <w:rsid w:val="00444EE8"/>
    <w:rsid w:val="0044505E"/>
    <w:rsid w:val="004456C6"/>
    <w:rsid w:val="00445B44"/>
    <w:rsid w:val="00446C54"/>
    <w:rsid w:val="004472CA"/>
    <w:rsid w:val="00447829"/>
    <w:rsid w:val="00447AD0"/>
    <w:rsid w:val="0045083A"/>
    <w:rsid w:val="00450C61"/>
    <w:rsid w:val="0045166D"/>
    <w:rsid w:val="00452B7F"/>
    <w:rsid w:val="00452B98"/>
    <w:rsid w:val="00452F03"/>
    <w:rsid w:val="00452F64"/>
    <w:rsid w:val="00453ACB"/>
    <w:rsid w:val="00453BC3"/>
    <w:rsid w:val="00453C16"/>
    <w:rsid w:val="00454158"/>
    <w:rsid w:val="0045465A"/>
    <w:rsid w:val="00455917"/>
    <w:rsid w:val="00455B93"/>
    <w:rsid w:val="004563E5"/>
    <w:rsid w:val="00456706"/>
    <w:rsid w:val="00456804"/>
    <w:rsid w:val="00460787"/>
    <w:rsid w:val="00460891"/>
    <w:rsid w:val="00460D4C"/>
    <w:rsid w:val="0046118D"/>
    <w:rsid w:val="004615AA"/>
    <w:rsid w:val="00461AD2"/>
    <w:rsid w:val="00462E74"/>
    <w:rsid w:val="00463ACB"/>
    <w:rsid w:val="0046552A"/>
    <w:rsid w:val="0046631C"/>
    <w:rsid w:val="004664F2"/>
    <w:rsid w:val="00466FC7"/>
    <w:rsid w:val="0046715F"/>
    <w:rsid w:val="00470778"/>
    <w:rsid w:val="004711DC"/>
    <w:rsid w:val="00471259"/>
    <w:rsid w:val="00472729"/>
    <w:rsid w:val="0047276F"/>
    <w:rsid w:val="004733C7"/>
    <w:rsid w:val="00473CB9"/>
    <w:rsid w:val="004741C8"/>
    <w:rsid w:val="00477BC3"/>
    <w:rsid w:val="0048014C"/>
    <w:rsid w:val="00480246"/>
    <w:rsid w:val="00481877"/>
    <w:rsid w:val="00481A18"/>
    <w:rsid w:val="004822BC"/>
    <w:rsid w:val="00482C2F"/>
    <w:rsid w:val="004835E9"/>
    <w:rsid w:val="00484186"/>
    <w:rsid w:val="00484CA2"/>
    <w:rsid w:val="00486133"/>
    <w:rsid w:val="0048613E"/>
    <w:rsid w:val="00486195"/>
    <w:rsid w:val="0048676A"/>
    <w:rsid w:val="00487432"/>
    <w:rsid w:val="00487BB2"/>
    <w:rsid w:val="00487F42"/>
    <w:rsid w:val="004903C8"/>
    <w:rsid w:val="004904A4"/>
    <w:rsid w:val="004911E4"/>
    <w:rsid w:val="00491B71"/>
    <w:rsid w:val="00493FA8"/>
    <w:rsid w:val="00494481"/>
    <w:rsid w:val="00494D94"/>
    <w:rsid w:val="004954AF"/>
    <w:rsid w:val="00495DA6"/>
    <w:rsid w:val="004961FA"/>
    <w:rsid w:val="00496D1C"/>
    <w:rsid w:val="00496D3E"/>
    <w:rsid w:val="00497122"/>
    <w:rsid w:val="00497AD0"/>
    <w:rsid w:val="00497ED5"/>
    <w:rsid w:val="004A01BF"/>
    <w:rsid w:val="004A033C"/>
    <w:rsid w:val="004A05C2"/>
    <w:rsid w:val="004A0703"/>
    <w:rsid w:val="004A0A6B"/>
    <w:rsid w:val="004A1280"/>
    <w:rsid w:val="004A12A0"/>
    <w:rsid w:val="004A187C"/>
    <w:rsid w:val="004A1F32"/>
    <w:rsid w:val="004A3F9F"/>
    <w:rsid w:val="004A4287"/>
    <w:rsid w:val="004A5324"/>
    <w:rsid w:val="004A6405"/>
    <w:rsid w:val="004A665A"/>
    <w:rsid w:val="004A6E78"/>
    <w:rsid w:val="004A7BE4"/>
    <w:rsid w:val="004B0E04"/>
    <w:rsid w:val="004B16B4"/>
    <w:rsid w:val="004B2271"/>
    <w:rsid w:val="004B2411"/>
    <w:rsid w:val="004B2DE9"/>
    <w:rsid w:val="004B3C64"/>
    <w:rsid w:val="004B4F85"/>
    <w:rsid w:val="004B6BC1"/>
    <w:rsid w:val="004B7FCA"/>
    <w:rsid w:val="004C0EB6"/>
    <w:rsid w:val="004C1626"/>
    <w:rsid w:val="004C1FD8"/>
    <w:rsid w:val="004C24CB"/>
    <w:rsid w:val="004C27E2"/>
    <w:rsid w:val="004C28EE"/>
    <w:rsid w:val="004C3254"/>
    <w:rsid w:val="004C3A3E"/>
    <w:rsid w:val="004C4539"/>
    <w:rsid w:val="004C4E81"/>
    <w:rsid w:val="004C5140"/>
    <w:rsid w:val="004C5C7D"/>
    <w:rsid w:val="004C5F46"/>
    <w:rsid w:val="004C6197"/>
    <w:rsid w:val="004D01F7"/>
    <w:rsid w:val="004D03C1"/>
    <w:rsid w:val="004D292E"/>
    <w:rsid w:val="004D3D1A"/>
    <w:rsid w:val="004D48A8"/>
    <w:rsid w:val="004D4C7F"/>
    <w:rsid w:val="004D5AF6"/>
    <w:rsid w:val="004D6DBD"/>
    <w:rsid w:val="004D77BE"/>
    <w:rsid w:val="004E15FD"/>
    <w:rsid w:val="004E26A1"/>
    <w:rsid w:val="004E2ADB"/>
    <w:rsid w:val="004E3978"/>
    <w:rsid w:val="004E40F2"/>
    <w:rsid w:val="004E5779"/>
    <w:rsid w:val="004E5B13"/>
    <w:rsid w:val="004E6658"/>
    <w:rsid w:val="004F1484"/>
    <w:rsid w:val="004F150C"/>
    <w:rsid w:val="004F32D6"/>
    <w:rsid w:val="004F4AA0"/>
    <w:rsid w:val="004F5015"/>
    <w:rsid w:val="004F7010"/>
    <w:rsid w:val="004F7739"/>
    <w:rsid w:val="004F7F47"/>
    <w:rsid w:val="00500298"/>
    <w:rsid w:val="005006A1"/>
    <w:rsid w:val="00501DA5"/>
    <w:rsid w:val="00502BB3"/>
    <w:rsid w:val="00503112"/>
    <w:rsid w:val="005035CF"/>
    <w:rsid w:val="00503F12"/>
    <w:rsid w:val="00504BE0"/>
    <w:rsid w:val="00504F4B"/>
    <w:rsid w:val="00505719"/>
    <w:rsid w:val="005062F3"/>
    <w:rsid w:val="0050664B"/>
    <w:rsid w:val="00511F47"/>
    <w:rsid w:val="005120C9"/>
    <w:rsid w:val="00512827"/>
    <w:rsid w:val="00514290"/>
    <w:rsid w:val="00514323"/>
    <w:rsid w:val="005144CF"/>
    <w:rsid w:val="00514E39"/>
    <w:rsid w:val="00514F71"/>
    <w:rsid w:val="005155A2"/>
    <w:rsid w:val="0051566D"/>
    <w:rsid w:val="00515AFD"/>
    <w:rsid w:val="00515D28"/>
    <w:rsid w:val="00516005"/>
    <w:rsid w:val="005204AC"/>
    <w:rsid w:val="00520A87"/>
    <w:rsid w:val="00521BD3"/>
    <w:rsid w:val="00521C06"/>
    <w:rsid w:val="00523DE1"/>
    <w:rsid w:val="00524F19"/>
    <w:rsid w:val="00524F25"/>
    <w:rsid w:val="00526D04"/>
    <w:rsid w:val="00526EAC"/>
    <w:rsid w:val="005277AC"/>
    <w:rsid w:val="00527D2F"/>
    <w:rsid w:val="00527E20"/>
    <w:rsid w:val="00531734"/>
    <w:rsid w:val="00531880"/>
    <w:rsid w:val="00532706"/>
    <w:rsid w:val="00532F04"/>
    <w:rsid w:val="00533155"/>
    <w:rsid w:val="0053404E"/>
    <w:rsid w:val="005344D2"/>
    <w:rsid w:val="00535E06"/>
    <w:rsid w:val="00537EED"/>
    <w:rsid w:val="00540E62"/>
    <w:rsid w:val="0054175C"/>
    <w:rsid w:val="0054190B"/>
    <w:rsid w:val="00542A18"/>
    <w:rsid w:val="00542B1F"/>
    <w:rsid w:val="00542C8F"/>
    <w:rsid w:val="00542EBF"/>
    <w:rsid w:val="00542EFC"/>
    <w:rsid w:val="00543BC8"/>
    <w:rsid w:val="00543CE8"/>
    <w:rsid w:val="00543DC7"/>
    <w:rsid w:val="00544AF0"/>
    <w:rsid w:val="00544AF6"/>
    <w:rsid w:val="0054633D"/>
    <w:rsid w:val="00547135"/>
    <w:rsid w:val="00547C48"/>
    <w:rsid w:val="0055086E"/>
    <w:rsid w:val="0055117C"/>
    <w:rsid w:val="005511E1"/>
    <w:rsid w:val="005543A9"/>
    <w:rsid w:val="00555D5F"/>
    <w:rsid w:val="005574FC"/>
    <w:rsid w:val="005577CD"/>
    <w:rsid w:val="005602DD"/>
    <w:rsid w:val="005607DC"/>
    <w:rsid w:val="00561036"/>
    <w:rsid w:val="005623AA"/>
    <w:rsid w:val="00562613"/>
    <w:rsid w:val="00563E1E"/>
    <w:rsid w:val="00563F6D"/>
    <w:rsid w:val="005640D8"/>
    <w:rsid w:val="005645F9"/>
    <w:rsid w:val="005645FE"/>
    <w:rsid w:val="005646B3"/>
    <w:rsid w:val="00565430"/>
    <w:rsid w:val="005655DF"/>
    <w:rsid w:val="00565C03"/>
    <w:rsid w:val="00565F5D"/>
    <w:rsid w:val="00566121"/>
    <w:rsid w:val="00566412"/>
    <w:rsid w:val="005676F3"/>
    <w:rsid w:val="00567733"/>
    <w:rsid w:val="00570421"/>
    <w:rsid w:val="00570FF8"/>
    <w:rsid w:val="005710FA"/>
    <w:rsid w:val="005713CC"/>
    <w:rsid w:val="005713EC"/>
    <w:rsid w:val="005722F0"/>
    <w:rsid w:val="0057370E"/>
    <w:rsid w:val="00574497"/>
    <w:rsid w:val="00577978"/>
    <w:rsid w:val="005779C6"/>
    <w:rsid w:val="00580F6F"/>
    <w:rsid w:val="00581771"/>
    <w:rsid w:val="005819F5"/>
    <w:rsid w:val="00581D81"/>
    <w:rsid w:val="005823A6"/>
    <w:rsid w:val="00582BF2"/>
    <w:rsid w:val="00583F42"/>
    <w:rsid w:val="005844CE"/>
    <w:rsid w:val="00585334"/>
    <w:rsid w:val="00585755"/>
    <w:rsid w:val="00585B9A"/>
    <w:rsid w:val="00590286"/>
    <w:rsid w:val="00590DBE"/>
    <w:rsid w:val="005918C9"/>
    <w:rsid w:val="00591977"/>
    <w:rsid w:val="0059349C"/>
    <w:rsid w:val="00594646"/>
    <w:rsid w:val="00594698"/>
    <w:rsid w:val="00594D7B"/>
    <w:rsid w:val="00595858"/>
    <w:rsid w:val="00595C6B"/>
    <w:rsid w:val="00595E86"/>
    <w:rsid w:val="005960A3"/>
    <w:rsid w:val="00596844"/>
    <w:rsid w:val="00596874"/>
    <w:rsid w:val="0059717D"/>
    <w:rsid w:val="005973C3"/>
    <w:rsid w:val="0059771B"/>
    <w:rsid w:val="0059775C"/>
    <w:rsid w:val="00597899"/>
    <w:rsid w:val="00597F50"/>
    <w:rsid w:val="005A0113"/>
    <w:rsid w:val="005A1B21"/>
    <w:rsid w:val="005A369F"/>
    <w:rsid w:val="005A387F"/>
    <w:rsid w:val="005A45A5"/>
    <w:rsid w:val="005A68CC"/>
    <w:rsid w:val="005A690E"/>
    <w:rsid w:val="005A73B9"/>
    <w:rsid w:val="005A7472"/>
    <w:rsid w:val="005A7889"/>
    <w:rsid w:val="005B03F2"/>
    <w:rsid w:val="005B0425"/>
    <w:rsid w:val="005B0B2A"/>
    <w:rsid w:val="005B0EFE"/>
    <w:rsid w:val="005B211F"/>
    <w:rsid w:val="005B3C8E"/>
    <w:rsid w:val="005B44CC"/>
    <w:rsid w:val="005B46F3"/>
    <w:rsid w:val="005B4E1B"/>
    <w:rsid w:val="005C03BC"/>
    <w:rsid w:val="005C08E6"/>
    <w:rsid w:val="005C1279"/>
    <w:rsid w:val="005C14E0"/>
    <w:rsid w:val="005C1C47"/>
    <w:rsid w:val="005C1CBC"/>
    <w:rsid w:val="005C3278"/>
    <w:rsid w:val="005C3717"/>
    <w:rsid w:val="005C48A3"/>
    <w:rsid w:val="005C4AAB"/>
    <w:rsid w:val="005C5584"/>
    <w:rsid w:val="005C57C7"/>
    <w:rsid w:val="005C6125"/>
    <w:rsid w:val="005C74BE"/>
    <w:rsid w:val="005C78D5"/>
    <w:rsid w:val="005D02D5"/>
    <w:rsid w:val="005D057E"/>
    <w:rsid w:val="005D1DAC"/>
    <w:rsid w:val="005D333A"/>
    <w:rsid w:val="005D3440"/>
    <w:rsid w:val="005D47D5"/>
    <w:rsid w:val="005D4CB8"/>
    <w:rsid w:val="005D6C65"/>
    <w:rsid w:val="005D6D53"/>
    <w:rsid w:val="005D7D2C"/>
    <w:rsid w:val="005D7DDE"/>
    <w:rsid w:val="005E188E"/>
    <w:rsid w:val="005E1A4A"/>
    <w:rsid w:val="005E1C6A"/>
    <w:rsid w:val="005E2A84"/>
    <w:rsid w:val="005E2C0F"/>
    <w:rsid w:val="005E3607"/>
    <w:rsid w:val="005E3E4F"/>
    <w:rsid w:val="005E4411"/>
    <w:rsid w:val="005E4BD1"/>
    <w:rsid w:val="005E4EA2"/>
    <w:rsid w:val="005E5451"/>
    <w:rsid w:val="005E5566"/>
    <w:rsid w:val="005E5CAF"/>
    <w:rsid w:val="005E5D07"/>
    <w:rsid w:val="005E6322"/>
    <w:rsid w:val="005E646F"/>
    <w:rsid w:val="005E681C"/>
    <w:rsid w:val="005E7B01"/>
    <w:rsid w:val="005F0F6B"/>
    <w:rsid w:val="005F1B88"/>
    <w:rsid w:val="005F2CA0"/>
    <w:rsid w:val="005F2DF2"/>
    <w:rsid w:val="005F3915"/>
    <w:rsid w:val="005F3DBB"/>
    <w:rsid w:val="005F4466"/>
    <w:rsid w:val="005F4480"/>
    <w:rsid w:val="005F5504"/>
    <w:rsid w:val="005F5B03"/>
    <w:rsid w:val="0060052D"/>
    <w:rsid w:val="00601297"/>
    <w:rsid w:val="00601BA4"/>
    <w:rsid w:val="00603784"/>
    <w:rsid w:val="006037F6"/>
    <w:rsid w:val="00603D59"/>
    <w:rsid w:val="0060452C"/>
    <w:rsid w:val="00604DF5"/>
    <w:rsid w:val="00605AD1"/>
    <w:rsid w:val="00605F44"/>
    <w:rsid w:val="0060648D"/>
    <w:rsid w:val="00606DB2"/>
    <w:rsid w:val="006111F4"/>
    <w:rsid w:val="00611B14"/>
    <w:rsid w:val="00612288"/>
    <w:rsid w:val="00612588"/>
    <w:rsid w:val="00612F43"/>
    <w:rsid w:val="00612FB8"/>
    <w:rsid w:val="00613B7C"/>
    <w:rsid w:val="006143E8"/>
    <w:rsid w:val="006147A0"/>
    <w:rsid w:val="00614AFB"/>
    <w:rsid w:val="00615180"/>
    <w:rsid w:val="0061541A"/>
    <w:rsid w:val="00616C09"/>
    <w:rsid w:val="00617412"/>
    <w:rsid w:val="0061796F"/>
    <w:rsid w:val="00617FC4"/>
    <w:rsid w:val="00620F89"/>
    <w:rsid w:val="00623983"/>
    <w:rsid w:val="00624498"/>
    <w:rsid w:val="006255E2"/>
    <w:rsid w:val="00625D44"/>
    <w:rsid w:val="00625D4C"/>
    <w:rsid w:val="00625DFF"/>
    <w:rsid w:val="00626410"/>
    <w:rsid w:val="00627343"/>
    <w:rsid w:val="006304A9"/>
    <w:rsid w:val="00630847"/>
    <w:rsid w:val="006311FC"/>
    <w:rsid w:val="00631593"/>
    <w:rsid w:val="006322E9"/>
    <w:rsid w:val="00632300"/>
    <w:rsid w:val="00633EA0"/>
    <w:rsid w:val="00634074"/>
    <w:rsid w:val="00634C87"/>
    <w:rsid w:val="00634DF6"/>
    <w:rsid w:val="0063505C"/>
    <w:rsid w:val="0063616F"/>
    <w:rsid w:val="0063636A"/>
    <w:rsid w:val="006366CE"/>
    <w:rsid w:val="006378E1"/>
    <w:rsid w:val="00637B20"/>
    <w:rsid w:val="006403FF"/>
    <w:rsid w:val="00641581"/>
    <w:rsid w:val="00641A4E"/>
    <w:rsid w:val="00641F69"/>
    <w:rsid w:val="00643702"/>
    <w:rsid w:val="00643741"/>
    <w:rsid w:val="00643E57"/>
    <w:rsid w:val="00644F9B"/>
    <w:rsid w:val="00645958"/>
    <w:rsid w:val="00646598"/>
    <w:rsid w:val="006478DA"/>
    <w:rsid w:val="00647EC6"/>
    <w:rsid w:val="006517DF"/>
    <w:rsid w:val="00651BD1"/>
    <w:rsid w:val="00652CF3"/>
    <w:rsid w:val="006539A4"/>
    <w:rsid w:val="00654EAB"/>
    <w:rsid w:val="006554E4"/>
    <w:rsid w:val="00656B37"/>
    <w:rsid w:val="006577EF"/>
    <w:rsid w:val="00657A13"/>
    <w:rsid w:val="0066007E"/>
    <w:rsid w:val="00661284"/>
    <w:rsid w:val="00661FD7"/>
    <w:rsid w:val="006623E6"/>
    <w:rsid w:val="006624DC"/>
    <w:rsid w:val="00662E1F"/>
    <w:rsid w:val="006638EB"/>
    <w:rsid w:val="00665BBA"/>
    <w:rsid w:val="00665E30"/>
    <w:rsid w:val="00665F4D"/>
    <w:rsid w:val="0066650F"/>
    <w:rsid w:val="006679E4"/>
    <w:rsid w:val="006706A6"/>
    <w:rsid w:val="00670A7F"/>
    <w:rsid w:val="00670B01"/>
    <w:rsid w:val="006721C2"/>
    <w:rsid w:val="00672344"/>
    <w:rsid w:val="006724C1"/>
    <w:rsid w:val="00672676"/>
    <w:rsid w:val="0067283D"/>
    <w:rsid w:val="00672A01"/>
    <w:rsid w:val="00672B45"/>
    <w:rsid w:val="00676375"/>
    <w:rsid w:val="006766BE"/>
    <w:rsid w:val="00677E71"/>
    <w:rsid w:val="00680063"/>
    <w:rsid w:val="0068035B"/>
    <w:rsid w:val="006806B7"/>
    <w:rsid w:val="00680F0B"/>
    <w:rsid w:val="006811B6"/>
    <w:rsid w:val="006812C1"/>
    <w:rsid w:val="006819B1"/>
    <w:rsid w:val="00681DDF"/>
    <w:rsid w:val="00681EB0"/>
    <w:rsid w:val="00683477"/>
    <w:rsid w:val="00683478"/>
    <w:rsid w:val="00683DD1"/>
    <w:rsid w:val="00684956"/>
    <w:rsid w:val="00684D3D"/>
    <w:rsid w:val="006858A4"/>
    <w:rsid w:val="00685BEA"/>
    <w:rsid w:val="00685F47"/>
    <w:rsid w:val="0068644C"/>
    <w:rsid w:val="0069016E"/>
    <w:rsid w:val="00692EC1"/>
    <w:rsid w:val="00693283"/>
    <w:rsid w:val="006942C5"/>
    <w:rsid w:val="00694C99"/>
    <w:rsid w:val="0069535D"/>
    <w:rsid w:val="0069586C"/>
    <w:rsid w:val="006964E4"/>
    <w:rsid w:val="00696C1D"/>
    <w:rsid w:val="006974DB"/>
    <w:rsid w:val="00697A1C"/>
    <w:rsid w:val="00697CA6"/>
    <w:rsid w:val="006A069A"/>
    <w:rsid w:val="006A183F"/>
    <w:rsid w:val="006A2322"/>
    <w:rsid w:val="006A2897"/>
    <w:rsid w:val="006A2D85"/>
    <w:rsid w:val="006A4AA3"/>
    <w:rsid w:val="006A652C"/>
    <w:rsid w:val="006A70FB"/>
    <w:rsid w:val="006A771A"/>
    <w:rsid w:val="006A7FAA"/>
    <w:rsid w:val="006B2817"/>
    <w:rsid w:val="006B32A4"/>
    <w:rsid w:val="006B3460"/>
    <w:rsid w:val="006B3621"/>
    <w:rsid w:val="006B4674"/>
    <w:rsid w:val="006B484B"/>
    <w:rsid w:val="006B5D57"/>
    <w:rsid w:val="006C0EB4"/>
    <w:rsid w:val="006C1785"/>
    <w:rsid w:val="006C1E55"/>
    <w:rsid w:val="006C1F13"/>
    <w:rsid w:val="006C3C97"/>
    <w:rsid w:val="006C4059"/>
    <w:rsid w:val="006C67AD"/>
    <w:rsid w:val="006C74D9"/>
    <w:rsid w:val="006C760A"/>
    <w:rsid w:val="006D1097"/>
    <w:rsid w:val="006D1D73"/>
    <w:rsid w:val="006D2CBC"/>
    <w:rsid w:val="006D3B3D"/>
    <w:rsid w:val="006D457A"/>
    <w:rsid w:val="006D460F"/>
    <w:rsid w:val="006D5D4E"/>
    <w:rsid w:val="006D627A"/>
    <w:rsid w:val="006D6445"/>
    <w:rsid w:val="006D757C"/>
    <w:rsid w:val="006D76EB"/>
    <w:rsid w:val="006E06A4"/>
    <w:rsid w:val="006E1059"/>
    <w:rsid w:val="006E2801"/>
    <w:rsid w:val="006E2BD5"/>
    <w:rsid w:val="006E2CCC"/>
    <w:rsid w:val="006E305C"/>
    <w:rsid w:val="006E3FFD"/>
    <w:rsid w:val="006E4386"/>
    <w:rsid w:val="006E45BF"/>
    <w:rsid w:val="006E4B80"/>
    <w:rsid w:val="006E4CA9"/>
    <w:rsid w:val="006E4D35"/>
    <w:rsid w:val="006E5A39"/>
    <w:rsid w:val="006E5B78"/>
    <w:rsid w:val="006E5DF6"/>
    <w:rsid w:val="006E7A63"/>
    <w:rsid w:val="006E7F80"/>
    <w:rsid w:val="006F1311"/>
    <w:rsid w:val="006F1E61"/>
    <w:rsid w:val="006F2163"/>
    <w:rsid w:val="006F288B"/>
    <w:rsid w:val="006F444C"/>
    <w:rsid w:val="006F4461"/>
    <w:rsid w:val="006F4D34"/>
    <w:rsid w:val="006F4F0E"/>
    <w:rsid w:val="006F590B"/>
    <w:rsid w:val="006F5ADE"/>
    <w:rsid w:val="006F5C5C"/>
    <w:rsid w:val="006F70A0"/>
    <w:rsid w:val="006F76CE"/>
    <w:rsid w:val="006F7AEF"/>
    <w:rsid w:val="006F7C10"/>
    <w:rsid w:val="0070218B"/>
    <w:rsid w:val="007029F0"/>
    <w:rsid w:val="00703A9D"/>
    <w:rsid w:val="00704102"/>
    <w:rsid w:val="00704B82"/>
    <w:rsid w:val="00705211"/>
    <w:rsid w:val="0070651C"/>
    <w:rsid w:val="00706E5B"/>
    <w:rsid w:val="007071A0"/>
    <w:rsid w:val="00707DA2"/>
    <w:rsid w:val="0071022A"/>
    <w:rsid w:val="00710F3C"/>
    <w:rsid w:val="00710FDC"/>
    <w:rsid w:val="00711590"/>
    <w:rsid w:val="0071204C"/>
    <w:rsid w:val="0071262A"/>
    <w:rsid w:val="007136AB"/>
    <w:rsid w:val="00713D4B"/>
    <w:rsid w:val="00713F67"/>
    <w:rsid w:val="00714784"/>
    <w:rsid w:val="00714E7F"/>
    <w:rsid w:val="00715979"/>
    <w:rsid w:val="00715D45"/>
    <w:rsid w:val="007169BD"/>
    <w:rsid w:val="007200CA"/>
    <w:rsid w:val="0072019A"/>
    <w:rsid w:val="0072024F"/>
    <w:rsid w:val="007207D8"/>
    <w:rsid w:val="00721E11"/>
    <w:rsid w:val="0072237E"/>
    <w:rsid w:val="00722AC0"/>
    <w:rsid w:val="007233FA"/>
    <w:rsid w:val="00723B8E"/>
    <w:rsid w:val="00724741"/>
    <w:rsid w:val="00724EF9"/>
    <w:rsid w:val="00725377"/>
    <w:rsid w:val="00726D94"/>
    <w:rsid w:val="007273A5"/>
    <w:rsid w:val="00727B44"/>
    <w:rsid w:val="00731DEE"/>
    <w:rsid w:val="007326CC"/>
    <w:rsid w:val="007329A8"/>
    <w:rsid w:val="0073382A"/>
    <w:rsid w:val="00735968"/>
    <w:rsid w:val="00736078"/>
    <w:rsid w:val="00737002"/>
    <w:rsid w:val="00737E12"/>
    <w:rsid w:val="00737F18"/>
    <w:rsid w:val="0074079E"/>
    <w:rsid w:val="0074124A"/>
    <w:rsid w:val="00741D25"/>
    <w:rsid w:val="00742AE1"/>
    <w:rsid w:val="00743268"/>
    <w:rsid w:val="00743B96"/>
    <w:rsid w:val="00743D85"/>
    <w:rsid w:val="00745FB7"/>
    <w:rsid w:val="00746518"/>
    <w:rsid w:val="007474C6"/>
    <w:rsid w:val="00747776"/>
    <w:rsid w:val="00747FAC"/>
    <w:rsid w:val="00750C0A"/>
    <w:rsid w:val="007510E8"/>
    <w:rsid w:val="00751140"/>
    <w:rsid w:val="00751C62"/>
    <w:rsid w:val="007529F5"/>
    <w:rsid w:val="0075319B"/>
    <w:rsid w:val="00753B5C"/>
    <w:rsid w:val="00753FC7"/>
    <w:rsid w:val="0075475D"/>
    <w:rsid w:val="00755EB0"/>
    <w:rsid w:val="0075604F"/>
    <w:rsid w:val="00756DE8"/>
    <w:rsid w:val="00760685"/>
    <w:rsid w:val="007607BE"/>
    <w:rsid w:val="0076118F"/>
    <w:rsid w:val="0076273A"/>
    <w:rsid w:val="00762A71"/>
    <w:rsid w:val="00762A9D"/>
    <w:rsid w:val="00763EB8"/>
    <w:rsid w:val="007643B4"/>
    <w:rsid w:val="0076453D"/>
    <w:rsid w:val="0076559D"/>
    <w:rsid w:val="0076640C"/>
    <w:rsid w:val="00767C24"/>
    <w:rsid w:val="00770727"/>
    <w:rsid w:val="00770A94"/>
    <w:rsid w:val="00770DEA"/>
    <w:rsid w:val="0077183A"/>
    <w:rsid w:val="00773DE9"/>
    <w:rsid w:val="00773E72"/>
    <w:rsid w:val="00775AE8"/>
    <w:rsid w:val="007770C8"/>
    <w:rsid w:val="00777560"/>
    <w:rsid w:val="0077770B"/>
    <w:rsid w:val="00777BF3"/>
    <w:rsid w:val="00777D1B"/>
    <w:rsid w:val="00780B4E"/>
    <w:rsid w:val="00783672"/>
    <w:rsid w:val="007838AE"/>
    <w:rsid w:val="007856FC"/>
    <w:rsid w:val="007857EA"/>
    <w:rsid w:val="00785933"/>
    <w:rsid w:val="0078602B"/>
    <w:rsid w:val="00787380"/>
    <w:rsid w:val="00787A4A"/>
    <w:rsid w:val="0079139C"/>
    <w:rsid w:val="00792DD3"/>
    <w:rsid w:val="00792FA9"/>
    <w:rsid w:val="0079373E"/>
    <w:rsid w:val="007953DA"/>
    <w:rsid w:val="00795FC5"/>
    <w:rsid w:val="0079788A"/>
    <w:rsid w:val="007979BD"/>
    <w:rsid w:val="007A052E"/>
    <w:rsid w:val="007A0824"/>
    <w:rsid w:val="007A0AA1"/>
    <w:rsid w:val="007A1080"/>
    <w:rsid w:val="007A212E"/>
    <w:rsid w:val="007A3130"/>
    <w:rsid w:val="007A43B3"/>
    <w:rsid w:val="007A4432"/>
    <w:rsid w:val="007A4AAE"/>
    <w:rsid w:val="007A5E20"/>
    <w:rsid w:val="007A60E6"/>
    <w:rsid w:val="007A675E"/>
    <w:rsid w:val="007A6EF9"/>
    <w:rsid w:val="007A72B8"/>
    <w:rsid w:val="007B1DC9"/>
    <w:rsid w:val="007B20F6"/>
    <w:rsid w:val="007B2E9A"/>
    <w:rsid w:val="007B30C9"/>
    <w:rsid w:val="007B30E7"/>
    <w:rsid w:val="007B311B"/>
    <w:rsid w:val="007B3582"/>
    <w:rsid w:val="007B3868"/>
    <w:rsid w:val="007B4658"/>
    <w:rsid w:val="007B51A9"/>
    <w:rsid w:val="007B53D4"/>
    <w:rsid w:val="007B595F"/>
    <w:rsid w:val="007B632C"/>
    <w:rsid w:val="007B67AE"/>
    <w:rsid w:val="007B698C"/>
    <w:rsid w:val="007B6C99"/>
    <w:rsid w:val="007B76E6"/>
    <w:rsid w:val="007C059A"/>
    <w:rsid w:val="007C0CF8"/>
    <w:rsid w:val="007C0E87"/>
    <w:rsid w:val="007C13C4"/>
    <w:rsid w:val="007C177D"/>
    <w:rsid w:val="007C1B1F"/>
    <w:rsid w:val="007C4470"/>
    <w:rsid w:val="007C4539"/>
    <w:rsid w:val="007C47A4"/>
    <w:rsid w:val="007C4A4A"/>
    <w:rsid w:val="007C6C25"/>
    <w:rsid w:val="007C6DC7"/>
    <w:rsid w:val="007C7375"/>
    <w:rsid w:val="007C7440"/>
    <w:rsid w:val="007C7568"/>
    <w:rsid w:val="007C772C"/>
    <w:rsid w:val="007C7AD2"/>
    <w:rsid w:val="007C7D1E"/>
    <w:rsid w:val="007D120A"/>
    <w:rsid w:val="007D2F4F"/>
    <w:rsid w:val="007D39F9"/>
    <w:rsid w:val="007D4AC6"/>
    <w:rsid w:val="007D69A6"/>
    <w:rsid w:val="007D7628"/>
    <w:rsid w:val="007D7CDE"/>
    <w:rsid w:val="007D7E12"/>
    <w:rsid w:val="007E0502"/>
    <w:rsid w:val="007E0587"/>
    <w:rsid w:val="007E0999"/>
    <w:rsid w:val="007E0F33"/>
    <w:rsid w:val="007E1970"/>
    <w:rsid w:val="007E290C"/>
    <w:rsid w:val="007E2A2B"/>
    <w:rsid w:val="007E3379"/>
    <w:rsid w:val="007E386D"/>
    <w:rsid w:val="007E3933"/>
    <w:rsid w:val="007E48B5"/>
    <w:rsid w:val="007E6651"/>
    <w:rsid w:val="007E6E42"/>
    <w:rsid w:val="007E7C11"/>
    <w:rsid w:val="007F076E"/>
    <w:rsid w:val="007F146C"/>
    <w:rsid w:val="007F1779"/>
    <w:rsid w:val="007F2267"/>
    <w:rsid w:val="007F38C3"/>
    <w:rsid w:val="007F3C59"/>
    <w:rsid w:val="007F4127"/>
    <w:rsid w:val="007F574D"/>
    <w:rsid w:val="007F5985"/>
    <w:rsid w:val="007F5E3D"/>
    <w:rsid w:val="007F62FE"/>
    <w:rsid w:val="007F6639"/>
    <w:rsid w:val="007F68E5"/>
    <w:rsid w:val="007F6C6F"/>
    <w:rsid w:val="007F7B30"/>
    <w:rsid w:val="007F7D0A"/>
    <w:rsid w:val="007F7E71"/>
    <w:rsid w:val="008001FF"/>
    <w:rsid w:val="00800F5C"/>
    <w:rsid w:val="00802387"/>
    <w:rsid w:val="008026C9"/>
    <w:rsid w:val="00802BE4"/>
    <w:rsid w:val="00802D74"/>
    <w:rsid w:val="00803695"/>
    <w:rsid w:val="00803B30"/>
    <w:rsid w:val="008042AD"/>
    <w:rsid w:val="008060E0"/>
    <w:rsid w:val="00806A6F"/>
    <w:rsid w:val="00807C05"/>
    <w:rsid w:val="00807E78"/>
    <w:rsid w:val="00810812"/>
    <w:rsid w:val="00810CB7"/>
    <w:rsid w:val="00810F54"/>
    <w:rsid w:val="00811C37"/>
    <w:rsid w:val="0081230A"/>
    <w:rsid w:val="00812B4C"/>
    <w:rsid w:val="00812C99"/>
    <w:rsid w:val="00814675"/>
    <w:rsid w:val="0081489C"/>
    <w:rsid w:val="00814D87"/>
    <w:rsid w:val="00815D22"/>
    <w:rsid w:val="00815DA6"/>
    <w:rsid w:val="0081624C"/>
    <w:rsid w:val="00817C9C"/>
    <w:rsid w:val="008204CF"/>
    <w:rsid w:val="00821E52"/>
    <w:rsid w:val="00821EC5"/>
    <w:rsid w:val="00822A0A"/>
    <w:rsid w:val="00823001"/>
    <w:rsid w:val="008238C4"/>
    <w:rsid w:val="00823C05"/>
    <w:rsid w:val="00823E26"/>
    <w:rsid w:val="008249BC"/>
    <w:rsid w:val="008249CE"/>
    <w:rsid w:val="00824CA8"/>
    <w:rsid w:val="00825067"/>
    <w:rsid w:val="008252FE"/>
    <w:rsid w:val="0082662F"/>
    <w:rsid w:val="008274B3"/>
    <w:rsid w:val="0083027B"/>
    <w:rsid w:val="00830A2E"/>
    <w:rsid w:val="008317D2"/>
    <w:rsid w:val="0083186A"/>
    <w:rsid w:val="00831A83"/>
    <w:rsid w:val="00831C4D"/>
    <w:rsid w:val="00831EC9"/>
    <w:rsid w:val="0083203A"/>
    <w:rsid w:val="00832CA3"/>
    <w:rsid w:val="00833606"/>
    <w:rsid w:val="00833866"/>
    <w:rsid w:val="00835AF4"/>
    <w:rsid w:val="008360BE"/>
    <w:rsid w:val="00836B54"/>
    <w:rsid w:val="00836EAF"/>
    <w:rsid w:val="00840708"/>
    <w:rsid w:val="00841027"/>
    <w:rsid w:val="008429D5"/>
    <w:rsid w:val="00842D43"/>
    <w:rsid w:val="00843EAA"/>
    <w:rsid w:val="008440C5"/>
    <w:rsid w:val="00845428"/>
    <w:rsid w:val="0084596C"/>
    <w:rsid w:val="00845C4D"/>
    <w:rsid w:val="00846857"/>
    <w:rsid w:val="00847123"/>
    <w:rsid w:val="0084758C"/>
    <w:rsid w:val="008476FE"/>
    <w:rsid w:val="008500C3"/>
    <w:rsid w:val="0085090F"/>
    <w:rsid w:val="00850A44"/>
    <w:rsid w:val="00851AAD"/>
    <w:rsid w:val="00852B64"/>
    <w:rsid w:val="008539D5"/>
    <w:rsid w:val="008552B8"/>
    <w:rsid w:val="0085665F"/>
    <w:rsid w:val="00857246"/>
    <w:rsid w:val="0085726F"/>
    <w:rsid w:val="00857A5D"/>
    <w:rsid w:val="0086017A"/>
    <w:rsid w:val="008608F3"/>
    <w:rsid w:val="00861AD4"/>
    <w:rsid w:val="00861C43"/>
    <w:rsid w:val="00862C11"/>
    <w:rsid w:val="00862ED2"/>
    <w:rsid w:val="00863291"/>
    <w:rsid w:val="008650D4"/>
    <w:rsid w:val="00865C5F"/>
    <w:rsid w:val="0086687F"/>
    <w:rsid w:val="008668C6"/>
    <w:rsid w:val="00867F09"/>
    <w:rsid w:val="00870421"/>
    <w:rsid w:val="00870ED1"/>
    <w:rsid w:val="00872046"/>
    <w:rsid w:val="00873D00"/>
    <w:rsid w:val="00874228"/>
    <w:rsid w:val="00874253"/>
    <w:rsid w:val="00874338"/>
    <w:rsid w:val="008753E7"/>
    <w:rsid w:val="008759AD"/>
    <w:rsid w:val="00875A96"/>
    <w:rsid w:val="00877E0F"/>
    <w:rsid w:val="008800E7"/>
    <w:rsid w:val="00880A7B"/>
    <w:rsid w:val="00880F0F"/>
    <w:rsid w:val="00881945"/>
    <w:rsid w:val="00882B3D"/>
    <w:rsid w:val="0088373F"/>
    <w:rsid w:val="00883E18"/>
    <w:rsid w:val="00884D38"/>
    <w:rsid w:val="0088520F"/>
    <w:rsid w:val="0088596A"/>
    <w:rsid w:val="008869FA"/>
    <w:rsid w:val="00887201"/>
    <w:rsid w:val="00887982"/>
    <w:rsid w:val="0089056E"/>
    <w:rsid w:val="0089058C"/>
    <w:rsid w:val="008920CD"/>
    <w:rsid w:val="0089274E"/>
    <w:rsid w:val="00892C93"/>
    <w:rsid w:val="0089336A"/>
    <w:rsid w:val="00893582"/>
    <w:rsid w:val="008938EB"/>
    <w:rsid w:val="00893CAF"/>
    <w:rsid w:val="00893DB6"/>
    <w:rsid w:val="00894130"/>
    <w:rsid w:val="008951BF"/>
    <w:rsid w:val="008952E7"/>
    <w:rsid w:val="00895B80"/>
    <w:rsid w:val="00895FD6"/>
    <w:rsid w:val="00896BB7"/>
    <w:rsid w:val="0089750A"/>
    <w:rsid w:val="008A2C4C"/>
    <w:rsid w:val="008A36E0"/>
    <w:rsid w:val="008A3E27"/>
    <w:rsid w:val="008A405A"/>
    <w:rsid w:val="008A4882"/>
    <w:rsid w:val="008A4F73"/>
    <w:rsid w:val="008A5D44"/>
    <w:rsid w:val="008A64AF"/>
    <w:rsid w:val="008A6ACA"/>
    <w:rsid w:val="008B0B11"/>
    <w:rsid w:val="008B1606"/>
    <w:rsid w:val="008B2A8A"/>
    <w:rsid w:val="008B41B2"/>
    <w:rsid w:val="008B449C"/>
    <w:rsid w:val="008B5A63"/>
    <w:rsid w:val="008B6779"/>
    <w:rsid w:val="008B78A7"/>
    <w:rsid w:val="008C0F06"/>
    <w:rsid w:val="008C15EA"/>
    <w:rsid w:val="008C1B2F"/>
    <w:rsid w:val="008C1D38"/>
    <w:rsid w:val="008C206B"/>
    <w:rsid w:val="008C23BB"/>
    <w:rsid w:val="008C30EC"/>
    <w:rsid w:val="008C37B9"/>
    <w:rsid w:val="008C3822"/>
    <w:rsid w:val="008C527E"/>
    <w:rsid w:val="008C53E6"/>
    <w:rsid w:val="008C56D5"/>
    <w:rsid w:val="008D096A"/>
    <w:rsid w:val="008D210C"/>
    <w:rsid w:val="008D275A"/>
    <w:rsid w:val="008D2D32"/>
    <w:rsid w:val="008D2E83"/>
    <w:rsid w:val="008D3FFB"/>
    <w:rsid w:val="008D4CE4"/>
    <w:rsid w:val="008D5219"/>
    <w:rsid w:val="008D55B5"/>
    <w:rsid w:val="008D63A5"/>
    <w:rsid w:val="008D6B75"/>
    <w:rsid w:val="008E08F8"/>
    <w:rsid w:val="008E0DEF"/>
    <w:rsid w:val="008E134B"/>
    <w:rsid w:val="008E1D0D"/>
    <w:rsid w:val="008E1F6C"/>
    <w:rsid w:val="008E250F"/>
    <w:rsid w:val="008E2B71"/>
    <w:rsid w:val="008E3228"/>
    <w:rsid w:val="008E4FA6"/>
    <w:rsid w:val="008E5251"/>
    <w:rsid w:val="008E5853"/>
    <w:rsid w:val="008E5965"/>
    <w:rsid w:val="008E61D1"/>
    <w:rsid w:val="008E67E1"/>
    <w:rsid w:val="008E6C93"/>
    <w:rsid w:val="008E6EDE"/>
    <w:rsid w:val="008F0A30"/>
    <w:rsid w:val="008F0E56"/>
    <w:rsid w:val="008F1012"/>
    <w:rsid w:val="008F133A"/>
    <w:rsid w:val="008F18B8"/>
    <w:rsid w:val="008F2291"/>
    <w:rsid w:val="008F240A"/>
    <w:rsid w:val="008F2710"/>
    <w:rsid w:val="008F3145"/>
    <w:rsid w:val="008F346B"/>
    <w:rsid w:val="008F383D"/>
    <w:rsid w:val="008F3CE1"/>
    <w:rsid w:val="008F4D91"/>
    <w:rsid w:val="008F4F4D"/>
    <w:rsid w:val="008F69E9"/>
    <w:rsid w:val="008F7E60"/>
    <w:rsid w:val="009013F7"/>
    <w:rsid w:val="00901927"/>
    <w:rsid w:val="0090267C"/>
    <w:rsid w:val="00902855"/>
    <w:rsid w:val="00903E79"/>
    <w:rsid w:val="00903F0D"/>
    <w:rsid w:val="009045EE"/>
    <w:rsid w:val="00904BA8"/>
    <w:rsid w:val="0090515B"/>
    <w:rsid w:val="00906DA3"/>
    <w:rsid w:val="00907B25"/>
    <w:rsid w:val="009104CF"/>
    <w:rsid w:val="00913049"/>
    <w:rsid w:val="0091388F"/>
    <w:rsid w:val="00914865"/>
    <w:rsid w:val="00914D9E"/>
    <w:rsid w:val="00915162"/>
    <w:rsid w:val="009156B3"/>
    <w:rsid w:val="00920144"/>
    <w:rsid w:val="00920246"/>
    <w:rsid w:val="00920B4F"/>
    <w:rsid w:val="0092129B"/>
    <w:rsid w:val="009221C3"/>
    <w:rsid w:val="009223B0"/>
    <w:rsid w:val="0092368B"/>
    <w:rsid w:val="00924DCB"/>
    <w:rsid w:val="00925164"/>
    <w:rsid w:val="00926788"/>
    <w:rsid w:val="00927139"/>
    <w:rsid w:val="00927B33"/>
    <w:rsid w:val="00927B88"/>
    <w:rsid w:val="009305FC"/>
    <w:rsid w:val="009318ED"/>
    <w:rsid w:val="0093350F"/>
    <w:rsid w:val="00933B08"/>
    <w:rsid w:val="00934E3D"/>
    <w:rsid w:val="00936E5D"/>
    <w:rsid w:val="009374E7"/>
    <w:rsid w:val="009378DF"/>
    <w:rsid w:val="00940F53"/>
    <w:rsid w:val="009416C1"/>
    <w:rsid w:val="00941F84"/>
    <w:rsid w:val="0094234A"/>
    <w:rsid w:val="009445A4"/>
    <w:rsid w:val="0094462F"/>
    <w:rsid w:val="00945F11"/>
    <w:rsid w:val="00946097"/>
    <w:rsid w:val="00947D2E"/>
    <w:rsid w:val="00950007"/>
    <w:rsid w:val="00950240"/>
    <w:rsid w:val="00950AC2"/>
    <w:rsid w:val="0095280B"/>
    <w:rsid w:val="0095300E"/>
    <w:rsid w:val="009533AB"/>
    <w:rsid w:val="00954920"/>
    <w:rsid w:val="009563A7"/>
    <w:rsid w:val="00960188"/>
    <w:rsid w:val="009603EC"/>
    <w:rsid w:val="00962ED1"/>
    <w:rsid w:val="00963654"/>
    <w:rsid w:val="00963C4E"/>
    <w:rsid w:val="00963D67"/>
    <w:rsid w:val="0096569D"/>
    <w:rsid w:val="00965B86"/>
    <w:rsid w:val="009664FC"/>
    <w:rsid w:val="0096723F"/>
    <w:rsid w:val="00967810"/>
    <w:rsid w:val="00970D19"/>
    <w:rsid w:val="0097133B"/>
    <w:rsid w:val="00971527"/>
    <w:rsid w:val="00971C2D"/>
    <w:rsid w:val="00972377"/>
    <w:rsid w:val="00972445"/>
    <w:rsid w:val="00972E9F"/>
    <w:rsid w:val="009739D4"/>
    <w:rsid w:val="00973AB7"/>
    <w:rsid w:val="00973EB7"/>
    <w:rsid w:val="00974828"/>
    <w:rsid w:val="009763A9"/>
    <w:rsid w:val="00976FC4"/>
    <w:rsid w:val="009777C0"/>
    <w:rsid w:val="00977AEC"/>
    <w:rsid w:val="00977C69"/>
    <w:rsid w:val="00977D76"/>
    <w:rsid w:val="009807EC"/>
    <w:rsid w:val="009819DE"/>
    <w:rsid w:val="0098203F"/>
    <w:rsid w:val="00983F13"/>
    <w:rsid w:val="00983FFD"/>
    <w:rsid w:val="009849C0"/>
    <w:rsid w:val="00985AB4"/>
    <w:rsid w:val="00986829"/>
    <w:rsid w:val="00986B10"/>
    <w:rsid w:val="00986CD8"/>
    <w:rsid w:val="009875CC"/>
    <w:rsid w:val="00990FFE"/>
    <w:rsid w:val="00992FB7"/>
    <w:rsid w:val="009951C8"/>
    <w:rsid w:val="00996288"/>
    <w:rsid w:val="009963EF"/>
    <w:rsid w:val="0099757A"/>
    <w:rsid w:val="00997B4B"/>
    <w:rsid w:val="009A0176"/>
    <w:rsid w:val="009A03EC"/>
    <w:rsid w:val="009A0716"/>
    <w:rsid w:val="009A143F"/>
    <w:rsid w:val="009A243F"/>
    <w:rsid w:val="009A2CDA"/>
    <w:rsid w:val="009A4F38"/>
    <w:rsid w:val="009A586B"/>
    <w:rsid w:val="009A6226"/>
    <w:rsid w:val="009A67EF"/>
    <w:rsid w:val="009A7833"/>
    <w:rsid w:val="009B007A"/>
    <w:rsid w:val="009B01B8"/>
    <w:rsid w:val="009B0E76"/>
    <w:rsid w:val="009B1C08"/>
    <w:rsid w:val="009B2414"/>
    <w:rsid w:val="009B27EF"/>
    <w:rsid w:val="009B3202"/>
    <w:rsid w:val="009B344A"/>
    <w:rsid w:val="009B3B3C"/>
    <w:rsid w:val="009B4CFB"/>
    <w:rsid w:val="009B57C8"/>
    <w:rsid w:val="009B5962"/>
    <w:rsid w:val="009B6612"/>
    <w:rsid w:val="009B66AC"/>
    <w:rsid w:val="009B66D1"/>
    <w:rsid w:val="009B6E9B"/>
    <w:rsid w:val="009C3384"/>
    <w:rsid w:val="009C4ADD"/>
    <w:rsid w:val="009C50A4"/>
    <w:rsid w:val="009C5144"/>
    <w:rsid w:val="009C6437"/>
    <w:rsid w:val="009C66FE"/>
    <w:rsid w:val="009C6739"/>
    <w:rsid w:val="009C6B04"/>
    <w:rsid w:val="009C6C1A"/>
    <w:rsid w:val="009C7BC4"/>
    <w:rsid w:val="009C7D51"/>
    <w:rsid w:val="009D0B03"/>
    <w:rsid w:val="009D168F"/>
    <w:rsid w:val="009D1A46"/>
    <w:rsid w:val="009D200A"/>
    <w:rsid w:val="009D2674"/>
    <w:rsid w:val="009D2DD9"/>
    <w:rsid w:val="009D55B1"/>
    <w:rsid w:val="009D61E8"/>
    <w:rsid w:val="009D62C1"/>
    <w:rsid w:val="009D763E"/>
    <w:rsid w:val="009D7D1B"/>
    <w:rsid w:val="009D7F61"/>
    <w:rsid w:val="009E0093"/>
    <w:rsid w:val="009E034A"/>
    <w:rsid w:val="009E0826"/>
    <w:rsid w:val="009E0B08"/>
    <w:rsid w:val="009E18CD"/>
    <w:rsid w:val="009E40C9"/>
    <w:rsid w:val="009E4354"/>
    <w:rsid w:val="009E4F92"/>
    <w:rsid w:val="009E547A"/>
    <w:rsid w:val="009E67C3"/>
    <w:rsid w:val="009E6C9B"/>
    <w:rsid w:val="009E708F"/>
    <w:rsid w:val="009E78F3"/>
    <w:rsid w:val="009F01C4"/>
    <w:rsid w:val="009F0DCA"/>
    <w:rsid w:val="009F0F9D"/>
    <w:rsid w:val="009F1C10"/>
    <w:rsid w:val="009F2091"/>
    <w:rsid w:val="009F236A"/>
    <w:rsid w:val="009F2865"/>
    <w:rsid w:val="009F4FEB"/>
    <w:rsid w:val="009F52DA"/>
    <w:rsid w:val="009F65AC"/>
    <w:rsid w:val="009F6BA8"/>
    <w:rsid w:val="00A011C9"/>
    <w:rsid w:val="00A01423"/>
    <w:rsid w:val="00A01C66"/>
    <w:rsid w:val="00A02A05"/>
    <w:rsid w:val="00A0317C"/>
    <w:rsid w:val="00A03E2D"/>
    <w:rsid w:val="00A04978"/>
    <w:rsid w:val="00A050B8"/>
    <w:rsid w:val="00A05429"/>
    <w:rsid w:val="00A056D9"/>
    <w:rsid w:val="00A061E9"/>
    <w:rsid w:val="00A06856"/>
    <w:rsid w:val="00A06CCE"/>
    <w:rsid w:val="00A07A1A"/>
    <w:rsid w:val="00A07AAC"/>
    <w:rsid w:val="00A11545"/>
    <w:rsid w:val="00A11DEA"/>
    <w:rsid w:val="00A11FBF"/>
    <w:rsid w:val="00A12F1E"/>
    <w:rsid w:val="00A14327"/>
    <w:rsid w:val="00A14451"/>
    <w:rsid w:val="00A1456E"/>
    <w:rsid w:val="00A14D9E"/>
    <w:rsid w:val="00A15133"/>
    <w:rsid w:val="00A15338"/>
    <w:rsid w:val="00A1593D"/>
    <w:rsid w:val="00A15F04"/>
    <w:rsid w:val="00A16A5E"/>
    <w:rsid w:val="00A173B2"/>
    <w:rsid w:val="00A17CA3"/>
    <w:rsid w:val="00A209E2"/>
    <w:rsid w:val="00A21536"/>
    <w:rsid w:val="00A21BE5"/>
    <w:rsid w:val="00A2319F"/>
    <w:rsid w:val="00A231DE"/>
    <w:rsid w:val="00A232E3"/>
    <w:rsid w:val="00A23CF1"/>
    <w:rsid w:val="00A23D43"/>
    <w:rsid w:val="00A24486"/>
    <w:rsid w:val="00A247C5"/>
    <w:rsid w:val="00A24A6B"/>
    <w:rsid w:val="00A2525C"/>
    <w:rsid w:val="00A26730"/>
    <w:rsid w:val="00A27544"/>
    <w:rsid w:val="00A27A51"/>
    <w:rsid w:val="00A30EEC"/>
    <w:rsid w:val="00A32617"/>
    <w:rsid w:val="00A331CE"/>
    <w:rsid w:val="00A34210"/>
    <w:rsid w:val="00A35286"/>
    <w:rsid w:val="00A35D96"/>
    <w:rsid w:val="00A36A27"/>
    <w:rsid w:val="00A40091"/>
    <w:rsid w:val="00A40AD0"/>
    <w:rsid w:val="00A41132"/>
    <w:rsid w:val="00A417E3"/>
    <w:rsid w:val="00A41901"/>
    <w:rsid w:val="00A43722"/>
    <w:rsid w:val="00A438CC"/>
    <w:rsid w:val="00A43CED"/>
    <w:rsid w:val="00A44BBB"/>
    <w:rsid w:val="00A44EEF"/>
    <w:rsid w:val="00A45297"/>
    <w:rsid w:val="00A4564D"/>
    <w:rsid w:val="00A46930"/>
    <w:rsid w:val="00A46EBA"/>
    <w:rsid w:val="00A47355"/>
    <w:rsid w:val="00A47405"/>
    <w:rsid w:val="00A47841"/>
    <w:rsid w:val="00A50609"/>
    <w:rsid w:val="00A51046"/>
    <w:rsid w:val="00A511CA"/>
    <w:rsid w:val="00A53B87"/>
    <w:rsid w:val="00A543C5"/>
    <w:rsid w:val="00A54ACC"/>
    <w:rsid w:val="00A54E8C"/>
    <w:rsid w:val="00A55A72"/>
    <w:rsid w:val="00A56B5D"/>
    <w:rsid w:val="00A56C31"/>
    <w:rsid w:val="00A56E39"/>
    <w:rsid w:val="00A57196"/>
    <w:rsid w:val="00A57484"/>
    <w:rsid w:val="00A579A8"/>
    <w:rsid w:val="00A6050F"/>
    <w:rsid w:val="00A60E82"/>
    <w:rsid w:val="00A614CD"/>
    <w:rsid w:val="00A614CF"/>
    <w:rsid w:val="00A62529"/>
    <w:rsid w:val="00A646D5"/>
    <w:rsid w:val="00A6554E"/>
    <w:rsid w:val="00A655AF"/>
    <w:rsid w:val="00A661F4"/>
    <w:rsid w:val="00A666CF"/>
    <w:rsid w:val="00A667C2"/>
    <w:rsid w:val="00A66970"/>
    <w:rsid w:val="00A66E70"/>
    <w:rsid w:val="00A670CE"/>
    <w:rsid w:val="00A6779D"/>
    <w:rsid w:val="00A7333F"/>
    <w:rsid w:val="00A740FB"/>
    <w:rsid w:val="00A759DA"/>
    <w:rsid w:val="00A75F8E"/>
    <w:rsid w:val="00A761C3"/>
    <w:rsid w:val="00A76265"/>
    <w:rsid w:val="00A7649A"/>
    <w:rsid w:val="00A7747E"/>
    <w:rsid w:val="00A77852"/>
    <w:rsid w:val="00A81448"/>
    <w:rsid w:val="00A81C4D"/>
    <w:rsid w:val="00A83007"/>
    <w:rsid w:val="00A85A9A"/>
    <w:rsid w:val="00A86573"/>
    <w:rsid w:val="00A871CD"/>
    <w:rsid w:val="00A87E75"/>
    <w:rsid w:val="00A90894"/>
    <w:rsid w:val="00A9105E"/>
    <w:rsid w:val="00A914E6"/>
    <w:rsid w:val="00A916FD"/>
    <w:rsid w:val="00A94505"/>
    <w:rsid w:val="00A94D5A"/>
    <w:rsid w:val="00A95D49"/>
    <w:rsid w:val="00AA065A"/>
    <w:rsid w:val="00AA0A3F"/>
    <w:rsid w:val="00AA1610"/>
    <w:rsid w:val="00AA1D80"/>
    <w:rsid w:val="00AA33FC"/>
    <w:rsid w:val="00AA433D"/>
    <w:rsid w:val="00AA4426"/>
    <w:rsid w:val="00AA514C"/>
    <w:rsid w:val="00AA6AD0"/>
    <w:rsid w:val="00AA762A"/>
    <w:rsid w:val="00AB065E"/>
    <w:rsid w:val="00AB07AB"/>
    <w:rsid w:val="00AB0D32"/>
    <w:rsid w:val="00AB1265"/>
    <w:rsid w:val="00AB1B0A"/>
    <w:rsid w:val="00AB225A"/>
    <w:rsid w:val="00AB2520"/>
    <w:rsid w:val="00AB2932"/>
    <w:rsid w:val="00AB32F6"/>
    <w:rsid w:val="00AB4CBE"/>
    <w:rsid w:val="00AB4E72"/>
    <w:rsid w:val="00AB5187"/>
    <w:rsid w:val="00AB5BCF"/>
    <w:rsid w:val="00AB5D4E"/>
    <w:rsid w:val="00AB620F"/>
    <w:rsid w:val="00AB68C8"/>
    <w:rsid w:val="00AB7434"/>
    <w:rsid w:val="00AC032A"/>
    <w:rsid w:val="00AC08CF"/>
    <w:rsid w:val="00AC0C27"/>
    <w:rsid w:val="00AC12C1"/>
    <w:rsid w:val="00AC1EC4"/>
    <w:rsid w:val="00AC3758"/>
    <w:rsid w:val="00AC3E9C"/>
    <w:rsid w:val="00AC407D"/>
    <w:rsid w:val="00AC4A32"/>
    <w:rsid w:val="00AC55A7"/>
    <w:rsid w:val="00AC5AE6"/>
    <w:rsid w:val="00AC5D4D"/>
    <w:rsid w:val="00AC5F89"/>
    <w:rsid w:val="00AC6224"/>
    <w:rsid w:val="00AC717A"/>
    <w:rsid w:val="00AD0BC9"/>
    <w:rsid w:val="00AD0CC0"/>
    <w:rsid w:val="00AD0D93"/>
    <w:rsid w:val="00AD0E06"/>
    <w:rsid w:val="00AD19F8"/>
    <w:rsid w:val="00AD1FB7"/>
    <w:rsid w:val="00AD364E"/>
    <w:rsid w:val="00AD37F5"/>
    <w:rsid w:val="00AD391B"/>
    <w:rsid w:val="00AD4AB3"/>
    <w:rsid w:val="00AD5A3A"/>
    <w:rsid w:val="00AD5B74"/>
    <w:rsid w:val="00AD74AD"/>
    <w:rsid w:val="00AD7A41"/>
    <w:rsid w:val="00AE02DC"/>
    <w:rsid w:val="00AE1190"/>
    <w:rsid w:val="00AE1D07"/>
    <w:rsid w:val="00AE1D17"/>
    <w:rsid w:val="00AE2F88"/>
    <w:rsid w:val="00AE3AEF"/>
    <w:rsid w:val="00AE3BB6"/>
    <w:rsid w:val="00AE449F"/>
    <w:rsid w:val="00AE5F9B"/>
    <w:rsid w:val="00AE6F1F"/>
    <w:rsid w:val="00AE7921"/>
    <w:rsid w:val="00AF0775"/>
    <w:rsid w:val="00AF0DC1"/>
    <w:rsid w:val="00AF0E87"/>
    <w:rsid w:val="00AF1314"/>
    <w:rsid w:val="00AF1432"/>
    <w:rsid w:val="00AF30BA"/>
    <w:rsid w:val="00AF37CD"/>
    <w:rsid w:val="00AF5C4D"/>
    <w:rsid w:val="00AF5C7F"/>
    <w:rsid w:val="00AF5FE0"/>
    <w:rsid w:val="00AF67FF"/>
    <w:rsid w:val="00AF723E"/>
    <w:rsid w:val="00AF78B3"/>
    <w:rsid w:val="00AF7BF4"/>
    <w:rsid w:val="00B002DB"/>
    <w:rsid w:val="00B00643"/>
    <w:rsid w:val="00B00922"/>
    <w:rsid w:val="00B00938"/>
    <w:rsid w:val="00B00D6D"/>
    <w:rsid w:val="00B00F81"/>
    <w:rsid w:val="00B016B7"/>
    <w:rsid w:val="00B0190E"/>
    <w:rsid w:val="00B02B73"/>
    <w:rsid w:val="00B02E4F"/>
    <w:rsid w:val="00B03138"/>
    <w:rsid w:val="00B03348"/>
    <w:rsid w:val="00B03ED6"/>
    <w:rsid w:val="00B03FBD"/>
    <w:rsid w:val="00B04860"/>
    <w:rsid w:val="00B059EC"/>
    <w:rsid w:val="00B066F3"/>
    <w:rsid w:val="00B07218"/>
    <w:rsid w:val="00B073C0"/>
    <w:rsid w:val="00B07532"/>
    <w:rsid w:val="00B07F92"/>
    <w:rsid w:val="00B1050D"/>
    <w:rsid w:val="00B1065F"/>
    <w:rsid w:val="00B10DF6"/>
    <w:rsid w:val="00B144EF"/>
    <w:rsid w:val="00B14C6E"/>
    <w:rsid w:val="00B15D92"/>
    <w:rsid w:val="00B15FD4"/>
    <w:rsid w:val="00B161C7"/>
    <w:rsid w:val="00B17547"/>
    <w:rsid w:val="00B206B6"/>
    <w:rsid w:val="00B2089C"/>
    <w:rsid w:val="00B20D9B"/>
    <w:rsid w:val="00B20FC9"/>
    <w:rsid w:val="00B21B14"/>
    <w:rsid w:val="00B22889"/>
    <w:rsid w:val="00B2297D"/>
    <w:rsid w:val="00B22B8A"/>
    <w:rsid w:val="00B23A70"/>
    <w:rsid w:val="00B2432A"/>
    <w:rsid w:val="00B2433C"/>
    <w:rsid w:val="00B24344"/>
    <w:rsid w:val="00B24537"/>
    <w:rsid w:val="00B24FF8"/>
    <w:rsid w:val="00B25856"/>
    <w:rsid w:val="00B2628F"/>
    <w:rsid w:val="00B26B87"/>
    <w:rsid w:val="00B27440"/>
    <w:rsid w:val="00B274C2"/>
    <w:rsid w:val="00B27A85"/>
    <w:rsid w:val="00B30727"/>
    <w:rsid w:val="00B30CF7"/>
    <w:rsid w:val="00B31067"/>
    <w:rsid w:val="00B31EBC"/>
    <w:rsid w:val="00B328BD"/>
    <w:rsid w:val="00B32B4A"/>
    <w:rsid w:val="00B32DA8"/>
    <w:rsid w:val="00B33DCE"/>
    <w:rsid w:val="00B34E12"/>
    <w:rsid w:val="00B36737"/>
    <w:rsid w:val="00B36F24"/>
    <w:rsid w:val="00B37619"/>
    <w:rsid w:val="00B3769B"/>
    <w:rsid w:val="00B409B8"/>
    <w:rsid w:val="00B423DB"/>
    <w:rsid w:val="00B44529"/>
    <w:rsid w:val="00B45760"/>
    <w:rsid w:val="00B467F3"/>
    <w:rsid w:val="00B469F2"/>
    <w:rsid w:val="00B504F8"/>
    <w:rsid w:val="00B50CBF"/>
    <w:rsid w:val="00B51459"/>
    <w:rsid w:val="00B52618"/>
    <w:rsid w:val="00B528D3"/>
    <w:rsid w:val="00B5345F"/>
    <w:rsid w:val="00B53799"/>
    <w:rsid w:val="00B5386C"/>
    <w:rsid w:val="00B542EB"/>
    <w:rsid w:val="00B555D8"/>
    <w:rsid w:val="00B558A6"/>
    <w:rsid w:val="00B559C9"/>
    <w:rsid w:val="00B56292"/>
    <w:rsid w:val="00B563C5"/>
    <w:rsid w:val="00B56537"/>
    <w:rsid w:val="00B57206"/>
    <w:rsid w:val="00B60C70"/>
    <w:rsid w:val="00B6161D"/>
    <w:rsid w:val="00B624F8"/>
    <w:rsid w:val="00B62A35"/>
    <w:rsid w:val="00B6580E"/>
    <w:rsid w:val="00B65918"/>
    <w:rsid w:val="00B666FC"/>
    <w:rsid w:val="00B714F0"/>
    <w:rsid w:val="00B72B72"/>
    <w:rsid w:val="00B73302"/>
    <w:rsid w:val="00B73A21"/>
    <w:rsid w:val="00B73C80"/>
    <w:rsid w:val="00B74539"/>
    <w:rsid w:val="00B74896"/>
    <w:rsid w:val="00B7619A"/>
    <w:rsid w:val="00B762CB"/>
    <w:rsid w:val="00B76480"/>
    <w:rsid w:val="00B76904"/>
    <w:rsid w:val="00B77EFA"/>
    <w:rsid w:val="00B80001"/>
    <w:rsid w:val="00B80DF1"/>
    <w:rsid w:val="00B8100D"/>
    <w:rsid w:val="00B81C6F"/>
    <w:rsid w:val="00B82CE2"/>
    <w:rsid w:val="00B84083"/>
    <w:rsid w:val="00B843CF"/>
    <w:rsid w:val="00B846B7"/>
    <w:rsid w:val="00B84A39"/>
    <w:rsid w:val="00B858BF"/>
    <w:rsid w:val="00B85B65"/>
    <w:rsid w:val="00B86636"/>
    <w:rsid w:val="00B86EB4"/>
    <w:rsid w:val="00B87881"/>
    <w:rsid w:val="00B902DA"/>
    <w:rsid w:val="00B922C6"/>
    <w:rsid w:val="00B95B1E"/>
    <w:rsid w:val="00B95F09"/>
    <w:rsid w:val="00B9601D"/>
    <w:rsid w:val="00B96106"/>
    <w:rsid w:val="00B9623C"/>
    <w:rsid w:val="00B96BE6"/>
    <w:rsid w:val="00B9702C"/>
    <w:rsid w:val="00B97377"/>
    <w:rsid w:val="00BA075B"/>
    <w:rsid w:val="00BA1930"/>
    <w:rsid w:val="00BA281B"/>
    <w:rsid w:val="00BA3289"/>
    <w:rsid w:val="00BA3639"/>
    <w:rsid w:val="00BA363A"/>
    <w:rsid w:val="00BA3932"/>
    <w:rsid w:val="00BA4603"/>
    <w:rsid w:val="00BA651B"/>
    <w:rsid w:val="00BA748B"/>
    <w:rsid w:val="00BA7495"/>
    <w:rsid w:val="00BB1942"/>
    <w:rsid w:val="00BB1E2C"/>
    <w:rsid w:val="00BB242D"/>
    <w:rsid w:val="00BB2DC1"/>
    <w:rsid w:val="00BB373C"/>
    <w:rsid w:val="00BB465A"/>
    <w:rsid w:val="00BB49C0"/>
    <w:rsid w:val="00BB5390"/>
    <w:rsid w:val="00BB595E"/>
    <w:rsid w:val="00BB5C07"/>
    <w:rsid w:val="00BB65C4"/>
    <w:rsid w:val="00BB6D42"/>
    <w:rsid w:val="00BB6EE0"/>
    <w:rsid w:val="00BB79A2"/>
    <w:rsid w:val="00BC0760"/>
    <w:rsid w:val="00BC098B"/>
    <w:rsid w:val="00BC0DD5"/>
    <w:rsid w:val="00BC1307"/>
    <w:rsid w:val="00BC19A5"/>
    <w:rsid w:val="00BC1F21"/>
    <w:rsid w:val="00BC32B7"/>
    <w:rsid w:val="00BC3CBF"/>
    <w:rsid w:val="00BC5395"/>
    <w:rsid w:val="00BC58C5"/>
    <w:rsid w:val="00BC5B85"/>
    <w:rsid w:val="00BC61F8"/>
    <w:rsid w:val="00BC6BD6"/>
    <w:rsid w:val="00BC7073"/>
    <w:rsid w:val="00BC7BBE"/>
    <w:rsid w:val="00BD1347"/>
    <w:rsid w:val="00BD158F"/>
    <w:rsid w:val="00BD1DC1"/>
    <w:rsid w:val="00BD320A"/>
    <w:rsid w:val="00BD3610"/>
    <w:rsid w:val="00BD451A"/>
    <w:rsid w:val="00BD45A7"/>
    <w:rsid w:val="00BD4CF7"/>
    <w:rsid w:val="00BD6CE4"/>
    <w:rsid w:val="00BD6FDA"/>
    <w:rsid w:val="00BD7762"/>
    <w:rsid w:val="00BE1157"/>
    <w:rsid w:val="00BE1B2B"/>
    <w:rsid w:val="00BE1BB2"/>
    <w:rsid w:val="00BE1DE1"/>
    <w:rsid w:val="00BE29F0"/>
    <w:rsid w:val="00BE2A74"/>
    <w:rsid w:val="00BE2A78"/>
    <w:rsid w:val="00BE3575"/>
    <w:rsid w:val="00BE5407"/>
    <w:rsid w:val="00BE6541"/>
    <w:rsid w:val="00BE726D"/>
    <w:rsid w:val="00BF2024"/>
    <w:rsid w:val="00BF4BD0"/>
    <w:rsid w:val="00BF4D22"/>
    <w:rsid w:val="00BF5580"/>
    <w:rsid w:val="00BF5B0D"/>
    <w:rsid w:val="00BF5F49"/>
    <w:rsid w:val="00BF6F22"/>
    <w:rsid w:val="00BF6F73"/>
    <w:rsid w:val="00BF6FAD"/>
    <w:rsid w:val="00BF7A6F"/>
    <w:rsid w:val="00BF7C27"/>
    <w:rsid w:val="00C029E8"/>
    <w:rsid w:val="00C042BD"/>
    <w:rsid w:val="00C053A8"/>
    <w:rsid w:val="00C05D71"/>
    <w:rsid w:val="00C0653F"/>
    <w:rsid w:val="00C07779"/>
    <w:rsid w:val="00C07DFF"/>
    <w:rsid w:val="00C1066C"/>
    <w:rsid w:val="00C10DFF"/>
    <w:rsid w:val="00C11B51"/>
    <w:rsid w:val="00C1319E"/>
    <w:rsid w:val="00C15E24"/>
    <w:rsid w:val="00C16358"/>
    <w:rsid w:val="00C16900"/>
    <w:rsid w:val="00C1699C"/>
    <w:rsid w:val="00C16F96"/>
    <w:rsid w:val="00C20463"/>
    <w:rsid w:val="00C236BB"/>
    <w:rsid w:val="00C238B1"/>
    <w:rsid w:val="00C239FC"/>
    <w:rsid w:val="00C23EC3"/>
    <w:rsid w:val="00C24940"/>
    <w:rsid w:val="00C24B17"/>
    <w:rsid w:val="00C24C9C"/>
    <w:rsid w:val="00C2550D"/>
    <w:rsid w:val="00C25573"/>
    <w:rsid w:val="00C26CB8"/>
    <w:rsid w:val="00C313CE"/>
    <w:rsid w:val="00C31EA7"/>
    <w:rsid w:val="00C3245F"/>
    <w:rsid w:val="00C32655"/>
    <w:rsid w:val="00C343A0"/>
    <w:rsid w:val="00C351A8"/>
    <w:rsid w:val="00C35655"/>
    <w:rsid w:val="00C364D1"/>
    <w:rsid w:val="00C364F0"/>
    <w:rsid w:val="00C36FB8"/>
    <w:rsid w:val="00C36FE1"/>
    <w:rsid w:val="00C37089"/>
    <w:rsid w:val="00C37502"/>
    <w:rsid w:val="00C379BB"/>
    <w:rsid w:val="00C40428"/>
    <w:rsid w:val="00C407AA"/>
    <w:rsid w:val="00C4087A"/>
    <w:rsid w:val="00C40920"/>
    <w:rsid w:val="00C40A96"/>
    <w:rsid w:val="00C41096"/>
    <w:rsid w:val="00C4130A"/>
    <w:rsid w:val="00C42138"/>
    <w:rsid w:val="00C433EC"/>
    <w:rsid w:val="00C439F8"/>
    <w:rsid w:val="00C43DB2"/>
    <w:rsid w:val="00C45354"/>
    <w:rsid w:val="00C45611"/>
    <w:rsid w:val="00C45676"/>
    <w:rsid w:val="00C464CA"/>
    <w:rsid w:val="00C4672B"/>
    <w:rsid w:val="00C47562"/>
    <w:rsid w:val="00C47ACF"/>
    <w:rsid w:val="00C47F4A"/>
    <w:rsid w:val="00C5049A"/>
    <w:rsid w:val="00C5190E"/>
    <w:rsid w:val="00C52B68"/>
    <w:rsid w:val="00C52D1E"/>
    <w:rsid w:val="00C53366"/>
    <w:rsid w:val="00C53526"/>
    <w:rsid w:val="00C53891"/>
    <w:rsid w:val="00C53F7F"/>
    <w:rsid w:val="00C540E3"/>
    <w:rsid w:val="00C5480C"/>
    <w:rsid w:val="00C553FB"/>
    <w:rsid w:val="00C55B2F"/>
    <w:rsid w:val="00C56E06"/>
    <w:rsid w:val="00C56F14"/>
    <w:rsid w:val="00C5715A"/>
    <w:rsid w:val="00C574B8"/>
    <w:rsid w:val="00C6081B"/>
    <w:rsid w:val="00C60AB8"/>
    <w:rsid w:val="00C621C1"/>
    <w:rsid w:val="00C622B6"/>
    <w:rsid w:val="00C658CA"/>
    <w:rsid w:val="00C65FEB"/>
    <w:rsid w:val="00C66911"/>
    <w:rsid w:val="00C70961"/>
    <w:rsid w:val="00C70CF6"/>
    <w:rsid w:val="00C71AC2"/>
    <w:rsid w:val="00C72220"/>
    <w:rsid w:val="00C72524"/>
    <w:rsid w:val="00C72B3C"/>
    <w:rsid w:val="00C75980"/>
    <w:rsid w:val="00C75A0C"/>
    <w:rsid w:val="00C75BD7"/>
    <w:rsid w:val="00C75E33"/>
    <w:rsid w:val="00C76024"/>
    <w:rsid w:val="00C76B1D"/>
    <w:rsid w:val="00C80049"/>
    <w:rsid w:val="00C81853"/>
    <w:rsid w:val="00C8233E"/>
    <w:rsid w:val="00C843E2"/>
    <w:rsid w:val="00C84465"/>
    <w:rsid w:val="00C84CFD"/>
    <w:rsid w:val="00C85AF4"/>
    <w:rsid w:val="00C8617C"/>
    <w:rsid w:val="00C86722"/>
    <w:rsid w:val="00C86CD0"/>
    <w:rsid w:val="00C879AF"/>
    <w:rsid w:val="00C87FA0"/>
    <w:rsid w:val="00C91511"/>
    <w:rsid w:val="00C91672"/>
    <w:rsid w:val="00C93CEE"/>
    <w:rsid w:val="00C94067"/>
    <w:rsid w:val="00C94F26"/>
    <w:rsid w:val="00C952F6"/>
    <w:rsid w:val="00C9575B"/>
    <w:rsid w:val="00C97930"/>
    <w:rsid w:val="00CA0C3A"/>
    <w:rsid w:val="00CA2368"/>
    <w:rsid w:val="00CA2662"/>
    <w:rsid w:val="00CA26F6"/>
    <w:rsid w:val="00CA26FC"/>
    <w:rsid w:val="00CA36F1"/>
    <w:rsid w:val="00CA5F3F"/>
    <w:rsid w:val="00CA6D82"/>
    <w:rsid w:val="00CA75BC"/>
    <w:rsid w:val="00CB04EB"/>
    <w:rsid w:val="00CB084A"/>
    <w:rsid w:val="00CB291E"/>
    <w:rsid w:val="00CB296C"/>
    <w:rsid w:val="00CB35E7"/>
    <w:rsid w:val="00CB3988"/>
    <w:rsid w:val="00CB4B4A"/>
    <w:rsid w:val="00CB585D"/>
    <w:rsid w:val="00CB5FBA"/>
    <w:rsid w:val="00CB60A9"/>
    <w:rsid w:val="00CB61B4"/>
    <w:rsid w:val="00CB7B43"/>
    <w:rsid w:val="00CB7B8A"/>
    <w:rsid w:val="00CC07BC"/>
    <w:rsid w:val="00CC1263"/>
    <w:rsid w:val="00CC2E62"/>
    <w:rsid w:val="00CC392A"/>
    <w:rsid w:val="00CC3EBF"/>
    <w:rsid w:val="00CC408C"/>
    <w:rsid w:val="00CC43C9"/>
    <w:rsid w:val="00CC47FB"/>
    <w:rsid w:val="00CC4BB2"/>
    <w:rsid w:val="00CC576E"/>
    <w:rsid w:val="00CC636B"/>
    <w:rsid w:val="00CC6A39"/>
    <w:rsid w:val="00CC6B6C"/>
    <w:rsid w:val="00CC70DF"/>
    <w:rsid w:val="00CC766B"/>
    <w:rsid w:val="00CC7E19"/>
    <w:rsid w:val="00CD0259"/>
    <w:rsid w:val="00CD0EEF"/>
    <w:rsid w:val="00CD3DF4"/>
    <w:rsid w:val="00CD6A85"/>
    <w:rsid w:val="00CD70B5"/>
    <w:rsid w:val="00CE0D91"/>
    <w:rsid w:val="00CE153D"/>
    <w:rsid w:val="00CE21D8"/>
    <w:rsid w:val="00CE29C1"/>
    <w:rsid w:val="00CE2E57"/>
    <w:rsid w:val="00CE324D"/>
    <w:rsid w:val="00CE375D"/>
    <w:rsid w:val="00CE4347"/>
    <w:rsid w:val="00CE4DAE"/>
    <w:rsid w:val="00CE5132"/>
    <w:rsid w:val="00CE6A67"/>
    <w:rsid w:val="00CE6BAA"/>
    <w:rsid w:val="00CE6E08"/>
    <w:rsid w:val="00CE7421"/>
    <w:rsid w:val="00CE74AE"/>
    <w:rsid w:val="00CE7BF4"/>
    <w:rsid w:val="00CF0038"/>
    <w:rsid w:val="00CF01BC"/>
    <w:rsid w:val="00CF0557"/>
    <w:rsid w:val="00CF0B76"/>
    <w:rsid w:val="00CF100A"/>
    <w:rsid w:val="00CF10D9"/>
    <w:rsid w:val="00CF1101"/>
    <w:rsid w:val="00CF22C3"/>
    <w:rsid w:val="00CF32AE"/>
    <w:rsid w:val="00CF66F7"/>
    <w:rsid w:val="00CF7079"/>
    <w:rsid w:val="00CF7A93"/>
    <w:rsid w:val="00D0024E"/>
    <w:rsid w:val="00D01CDB"/>
    <w:rsid w:val="00D02660"/>
    <w:rsid w:val="00D02AAA"/>
    <w:rsid w:val="00D03B4B"/>
    <w:rsid w:val="00D03CD4"/>
    <w:rsid w:val="00D03EB7"/>
    <w:rsid w:val="00D041E5"/>
    <w:rsid w:val="00D048A3"/>
    <w:rsid w:val="00D048F4"/>
    <w:rsid w:val="00D04EEE"/>
    <w:rsid w:val="00D051B2"/>
    <w:rsid w:val="00D056FA"/>
    <w:rsid w:val="00D062DC"/>
    <w:rsid w:val="00D072BC"/>
    <w:rsid w:val="00D07B52"/>
    <w:rsid w:val="00D07BF7"/>
    <w:rsid w:val="00D11551"/>
    <w:rsid w:val="00D1177B"/>
    <w:rsid w:val="00D12573"/>
    <w:rsid w:val="00D12B82"/>
    <w:rsid w:val="00D13D24"/>
    <w:rsid w:val="00D1455F"/>
    <w:rsid w:val="00D1478F"/>
    <w:rsid w:val="00D14DB1"/>
    <w:rsid w:val="00D15354"/>
    <w:rsid w:val="00D15A57"/>
    <w:rsid w:val="00D16C59"/>
    <w:rsid w:val="00D170F6"/>
    <w:rsid w:val="00D17981"/>
    <w:rsid w:val="00D17BEA"/>
    <w:rsid w:val="00D21454"/>
    <w:rsid w:val="00D2202A"/>
    <w:rsid w:val="00D2203A"/>
    <w:rsid w:val="00D222BF"/>
    <w:rsid w:val="00D23009"/>
    <w:rsid w:val="00D23996"/>
    <w:rsid w:val="00D23DC4"/>
    <w:rsid w:val="00D240A8"/>
    <w:rsid w:val="00D249F1"/>
    <w:rsid w:val="00D25BEC"/>
    <w:rsid w:val="00D26F9F"/>
    <w:rsid w:val="00D270A5"/>
    <w:rsid w:val="00D270F6"/>
    <w:rsid w:val="00D27280"/>
    <w:rsid w:val="00D30658"/>
    <w:rsid w:val="00D30ECE"/>
    <w:rsid w:val="00D30FDC"/>
    <w:rsid w:val="00D31594"/>
    <w:rsid w:val="00D31FDF"/>
    <w:rsid w:val="00D321F7"/>
    <w:rsid w:val="00D32D36"/>
    <w:rsid w:val="00D3419C"/>
    <w:rsid w:val="00D35782"/>
    <w:rsid w:val="00D36C91"/>
    <w:rsid w:val="00D41AA1"/>
    <w:rsid w:val="00D41D46"/>
    <w:rsid w:val="00D42CE1"/>
    <w:rsid w:val="00D42DCB"/>
    <w:rsid w:val="00D4342E"/>
    <w:rsid w:val="00D4379F"/>
    <w:rsid w:val="00D44261"/>
    <w:rsid w:val="00D44DBA"/>
    <w:rsid w:val="00D44FF1"/>
    <w:rsid w:val="00D4515E"/>
    <w:rsid w:val="00D45274"/>
    <w:rsid w:val="00D468EA"/>
    <w:rsid w:val="00D46AE9"/>
    <w:rsid w:val="00D4707D"/>
    <w:rsid w:val="00D47BBC"/>
    <w:rsid w:val="00D47C77"/>
    <w:rsid w:val="00D51257"/>
    <w:rsid w:val="00D542FF"/>
    <w:rsid w:val="00D5458F"/>
    <w:rsid w:val="00D551AD"/>
    <w:rsid w:val="00D5548A"/>
    <w:rsid w:val="00D55A0F"/>
    <w:rsid w:val="00D562A3"/>
    <w:rsid w:val="00D56476"/>
    <w:rsid w:val="00D57D8A"/>
    <w:rsid w:val="00D6077C"/>
    <w:rsid w:val="00D609EF"/>
    <w:rsid w:val="00D60DE4"/>
    <w:rsid w:val="00D624C5"/>
    <w:rsid w:val="00D632F5"/>
    <w:rsid w:val="00D6381C"/>
    <w:rsid w:val="00D63A29"/>
    <w:rsid w:val="00D652C2"/>
    <w:rsid w:val="00D659D4"/>
    <w:rsid w:val="00D65A89"/>
    <w:rsid w:val="00D703BF"/>
    <w:rsid w:val="00D71268"/>
    <w:rsid w:val="00D71AE4"/>
    <w:rsid w:val="00D731D3"/>
    <w:rsid w:val="00D748A7"/>
    <w:rsid w:val="00D749E3"/>
    <w:rsid w:val="00D74FF8"/>
    <w:rsid w:val="00D75257"/>
    <w:rsid w:val="00D75836"/>
    <w:rsid w:val="00D76619"/>
    <w:rsid w:val="00D8076D"/>
    <w:rsid w:val="00D8167D"/>
    <w:rsid w:val="00D81FA5"/>
    <w:rsid w:val="00D8217A"/>
    <w:rsid w:val="00D82CA5"/>
    <w:rsid w:val="00D84AA8"/>
    <w:rsid w:val="00D85035"/>
    <w:rsid w:val="00D85772"/>
    <w:rsid w:val="00D85EF7"/>
    <w:rsid w:val="00D862F3"/>
    <w:rsid w:val="00D869D2"/>
    <w:rsid w:val="00D907C0"/>
    <w:rsid w:val="00D90B79"/>
    <w:rsid w:val="00D914A6"/>
    <w:rsid w:val="00D91C62"/>
    <w:rsid w:val="00D92891"/>
    <w:rsid w:val="00D92EBD"/>
    <w:rsid w:val="00D9381E"/>
    <w:rsid w:val="00D93E24"/>
    <w:rsid w:val="00D94B29"/>
    <w:rsid w:val="00D9537B"/>
    <w:rsid w:val="00D972D6"/>
    <w:rsid w:val="00D97789"/>
    <w:rsid w:val="00D97C4D"/>
    <w:rsid w:val="00D97DA9"/>
    <w:rsid w:val="00D97EF8"/>
    <w:rsid w:val="00DA0CFC"/>
    <w:rsid w:val="00DA1BDB"/>
    <w:rsid w:val="00DA27D2"/>
    <w:rsid w:val="00DA2B94"/>
    <w:rsid w:val="00DA42E8"/>
    <w:rsid w:val="00DA4F16"/>
    <w:rsid w:val="00DA58F8"/>
    <w:rsid w:val="00DA5D3C"/>
    <w:rsid w:val="00DA5FDF"/>
    <w:rsid w:val="00DA6883"/>
    <w:rsid w:val="00DA773B"/>
    <w:rsid w:val="00DB0052"/>
    <w:rsid w:val="00DB0B69"/>
    <w:rsid w:val="00DB1327"/>
    <w:rsid w:val="00DB1867"/>
    <w:rsid w:val="00DB22B7"/>
    <w:rsid w:val="00DB22CB"/>
    <w:rsid w:val="00DB36BE"/>
    <w:rsid w:val="00DB37AB"/>
    <w:rsid w:val="00DB42AC"/>
    <w:rsid w:val="00DB4662"/>
    <w:rsid w:val="00DB5056"/>
    <w:rsid w:val="00DB61B9"/>
    <w:rsid w:val="00DB6543"/>
    <w:rsid w:val="00DB66C0"/>
    <w:rsid w:val="00DB66CF"/>
    <w:rsid w:val="00DB66FD"/>
    <w:rsid w:val="00DB6F8F"/>
    <w:rsid w:val="00DB71A8"/>
    <w:rsid w:val="00DB7F80"/>
    <w:rsid w:val="00DC073B"/>
    <w:rsid w:val="00DC0947"/>
    <w:rsid w:val="00DC12C8"/>
    <w:rsid w:val="00DC1907"/>
    <w:rsid w:val="00DC1F1C"/>
    <w:rsid w:val="00DC31E7"/>
    <w:rsid w:val="00DC45FF"/>
    <w:rsid w:val="00DC568C"/>
    <w:rsid w:val="00DC5ED6"/>
    <w:rsid w:val="00DC677F"/>
    <w:rsid w:val="00DC6F1E"/>
    <w:rsid w:val="00DD0406"/>
    <w:rsid w:val="00DD0F74"/>
    <w:rsid w:val="00DD256C"/>
    <w:rsid w:val="00DD3A60"/>
    <w:rsid w:val="00DD4629"/>
    <w:rsid w:val="00DD47BD"/>
    <w:rsid w:val="00DD4FF8"/>
    <w:rsid w:val="00DD61BC"/>
    <w:rsid w:val="00DD6CFE"/>
    <w:rsid w:val="00DD7A86"/>
    <w:rsid w:val="00DE027C"/>
    <w:rsid w:val="00DE2342"/>
    <w:rsid w:val="00DE3B83"/>
    <w:rsid w:val="00DE4378"/>
    <w:rsid w:val="00DE53A9"/>
    <w:rsid w:val="00DE5977"/>
    <w:rsid w:val="00DE646C"/>
    <w:rsid w:val="00DE6B08"/>
    <w:rsid w:val="00DE70ED"/>
    <w:rsid w:val="00DF0410"/>
    <w:rsid w:val="00DF1249"/>
    <w:rsid w:val="00DF1685"/>
    <w:rsid w:val="00DF1780"/>
    <w:rsid w:val="00DF1DE2"/>
    <w:rsid w:val="00DF281A"/>
    <w:rsid w:val="00DF3A27"/>
    <w:rsid w:val="00DF41B2"/>
    <w:rsid w:val="00DF43DA"/>
    <w:rsid w:val="00DF47C4"/>
    <w:rsid w:val="00DF6352"/>
    <w:rsid w:val="00E003DB"/>
    <w:rsid w:val="00E00617"/>
    <w:rsid w:val="00E00E15"/>
    <w:rsid w:val="00E01110"/>
    <w:rsid w:val="00E0140F"/>
    <w:rsid w:val="00E0246C"/>
    <w:rsid w:val="00E026F5"/>
    <w:rsid w:val="00E035EA"/>
    <w:rsid w:val="00E04BA7"/>
    <w:rsid w:val="00E04CE6"/>
    <w:rsid w:val="00E04E08"/>
    <w:rsid w:val="00E05785"/>
    <w:rsid w:val="00E06118"/>
    <w:rsid w:val="00E06E39"/>
    <w:rsid w:val="00E07BDA"/>
    <w:rsid w:val="00E07CF4"/>
    <w:rsid w:val="00E112E6"/>
    <w:rsid w:val="00E114D9"/>
    <w:rsid w:val="00E11761"/>
    <w:rsid w:val="00E120D3"/>
    <w:rsid w:val="00E12158"/>
    <w:rsid w:val="00E1344C"/>
    <w:rsid w:val="00E13BC3"/>
    <w:rsid w:val="00E13C58"/>
    <w:rsid w:val="00E16551"/>
    <w:rsid w:val="00E16B1D"/>
    <w:rsid w:val="00E1700F"/>
    <w:rsid w:val="00E20E22"/>
    <w:rsid w:val="00E216E6"/>
    <w:rsid w:val="00E2177B"/>
    <w:rsid w:val="00E21874"/>
    <w:rsid w:val="00E2187F"/>
    <w:rsid w:val="00E21C0B"/>
    <w:rsid w:val="00E22D61"/>
    <w:rsid w:val="00E2333C"/>
    <w:rsid w:val="00E23B14"/>
    <w:rsid w:val="00E23E2B"/>
    <w:rsid w:val="00E24320"/>
    <w:rsid w:val="00E24C76"/>
    <w:rsid w:val="00E250D3"/>
    <w:rsid w:val="00E25B36"/>
    <w:rsid w:val="00E25B43"/>
    <w:rsid w:val="00E25D5D"/>
    <w:rsid w:val="00E2688F"/>
    <w:rsid w:val="00E26899"/>
    <w:rsid w:val="00E26AB9"/>
    <w:rsid w:val="00E3005C"/>
    <w:rsid w:val="00E301E3"/>
    <w:rsid w:val="00E3134A"/>
    <w:rsid w:val="00E31B63"/>
    <w:rsid w:val="00E31BA6"/>
    <w:rsid w:val="00E326B4"/>
    <w:rsid w:val="00E335C1"/>
    <w:rsid w:val="00E33951"/>
    <w:rsid w:val="00E343A6"/>
    <w:rsid w:val="00E346C8"/>
    <w:rsid w:val="00E355EC"/>
    <w:rsid w:val="00E36308"/>
    <w:rsid w:val="00E36944"/>
    <w:rsid w:val="00E369FE"/>
    <w:rsid w:val="00E37591"/>
    <w:rsid w:val="00E404A5"/>
    <w:rsid w:val="00E423F4"/>
    <w:rsid w:val="00E42B6D"/>
    <w:rsid w:val="00E42D55"/>
    <w:rsid w:val="00E44B8C"/>
    <w:rsid w:val="00E4517E"/>
    <w:rsid w:val="00E45C23"/>
    <w:rsid w:val="00E45F3C"/>
    <w:rsid w:val="00E47F9E"/>
    <w:rsid w:val="00E502DF"/>
    <w:rsid w:val="00E51043"/>
    <w:rsid w:val="00E5131D"/>
    <w:rsid w:val="00E51617"/>
    <w:rsid w:val="00E52021"/>
    <w:rsid w:val="00E527A7"/>
    <w:rsid w:val="00E53E92"/>
    <w:rsid w:val="00E54949"/>
    <w:rsid w:val="00E5497B"/>
    <w:rsid w:val="00E5519E"/>
    <w:rsid w:val="00E552EB"/>
    <w:rsid w:val="00E61546"/>
    <w:rsid w:val="00E61E4C"/>
    <w:rsid w:val="00E62615"/>
    <w:rsid w:val="00E62769"/>
    <w:rsid w:val="00E62B6E"/>
    <w:rsid w:val="00E631B4"/>
    <w:rsid w:val="00E6333A"/>
    <w:rsid w:val="00E63905"/>
    <w:rsid w:val="00E64D23"/>
    <w:rsid w:val="00E6598E"/>
    <w:rsid w:val="00E65A4C"/>
    <w:rsid w:val="00E65E18"/>
    <w:rsid w:val="00E65EE5"/>
    <w:rsid w:val="00E662DE"/>
    <w:rsid w:val="00E668A4"/>
    <w:rsid w:val="00E66ADD"/>
    <w:rsid w:val="00E66F48"/>
    <w:rsid w:val="00E67CC0"/>
    <w:rsid w:val="00E70A9B"/>
    <w:rsid w:val="00E70E17"/>
    <w:rsid w:val="00E711D6"/>
    <w:rsid w:val="00E7148D"/>
    <w:rsid w:val="00E7166D"/>
    <w:rsid w:val="00E7195C"/>
    <w:rsid w:val="00E719EE"/>
    <w:rsid w:val="00E7218F"/>
    <w:rsid w:val="00E73969"/>
    <w:rsid w:val="00E74C4F"/>
    <w:rsid w:val="00E74CC8"/>
    <w:rsid w:val="00E74D93"/>
    <w:rsid w:val="00E74E6A"/>
    <w:rsid w:val="00E75CEB"/>
    <w:rsid w:val="00E762EE"/>
    <w:rsid w:val="00E763B5"/>
    <w:rsid w:val="00E764E1"/>
    <w:rsid w:val="00E76615"/>
    <w:rsid w:val="00E8165C"/>
    <w:rsid w:val="00E82302"/>
    <w:rsid w:val="00E825EE"/>
    <w:rsid w:val="00E82C69"/>
    <w:rsid w:val="00E83A57"/>
    <w:rsid w:val="00E84499"/>
    <w:rsid w:val="00E857CD"/>
    <w:rsid w:val="00E85A28"/>
    <w:rsid w:val="00E86482"/>
    <w:rsid w:val="00E86E4B"/>
    <w:rsid w:val="00E8731D"/>
    <w:rsid w:val="00E878DB"/>
    <w:rsid w:val="00E87ABD"/>
    <w:rsid w:val="00E87F7C"/>
    <w:rsid w:val="00E91BC2"/>
    <w:rsid w:val="00E93DA6"/>
    <w:rsid w:val="00E95FF8"/>
    <w:rsid w:val="00E96156"/>
    <w:rsid w:val="00E96684"/>
    <w:rsid w:val="00E96EE7"/>
    <w:rsid w:val="00E9744B"/>
    <w:rsid w:val="00E9762D"/>
    <w:rsid w:val="00E9774E"/>
    <w:rsid w:val="00E97AEC"/>
    <w:rsid w:val="00E97B70"/>
    <w:rsid w:val="00E97CFB"/>
    <w:rsid w:val="00EA03BE"/>
    <w:rsid w:val="00EA2D3D"/>
    <w:rsid w:val="00EA2F63"/>
    <w:rsid w:val="00EA31A6"/>
    <w:rsid w:val="00EA3867"/>
    <w:rsid w:val="00EA49FB"/>
    <w:rsid w:val="00EA6D8A"/>
    <w:rsid w:val="00EA740C"/>
    <w:rsid w:val="00EB0364"/>
    <w:rsid w:val="00EB0FE6"/>
    <w:rsid w:val="00EB2064"/>
    <w:rsid w:val="00EB3DDF"/>
    <w:rsid w:val="00EB48DE"/>
    <w:rsid w:val="00EB529C"/>
    <w:rsid w:val="00EB5CFA"/>
    <w:rsid w:val="00EB7D6E"/>
    <w:rsid w:val="00EB7E1E"/>
    <w:rsid w:val="00EC0490"/>
    <w:rsid w:val="00EC078B"/>
    <w:rsid w:val="00EC0BEC"/>
    <w:rsid w:val="00EC0C1A"/>
    <w:rsid w:val="00EC0D1C"/>
    <w:rsid w:val="00EC0E44"/>
    <w:rsid w:val="00EC1687"/>
    <w:rsid w:val="00EC1A80"/>
    <w:rsid w:val="00EC2900"/>
    <w:rsid w:val="00EC3220"/>
    <w:rsid w:val="00EC362D"/>
    <w:rsid w:val="00EC4226"/>
    <w:rsid w:val="00EC44F7"/>
    <w:rsid w:val="00EC4974"/>
    <w:rsid w:val="00EC4C6B"/>
    <w:rsid w:val="00EC5894"/>
    <w:rsid w:val="00EC6AF5"/>
    <w:rsid w:val="00EC7068"/>
    <w:rsid w:val="00ED0845"/>
    <w:rsid w:val="00ED0B37"/>
    <w:rsid w:val="00ED13E4"/>
    <w:rsid w:val="00ED2189"/>
    <w:rsid w:val="00ED2CAD"/>
    <w:rsid w:val="00ED2E5A"/>
    <w:rsid w:val="00ED30C8"/>
    <w:rsid w:val="00ED37DD"/>
    <w:rsid w:val="00ED3900"/>
    <w:rsid w:val="00ED4369"/>
    <w:rsid w:val="00ED4471"/>
    <w:rsid w:val="00ED4A31"/>
    <w:rsid w:val="00ED54B2"/>
    <w:rsid w:val="00ED5DC0"/>
    <w:rsid w:val="00ED641D"/>
    <w:rsid w:val="00ED78F6"/>
    <w:rsid w:val="00ED7AA6"/>
    <w:rsid w:val="00EE0614"/>
    <w:rsid w:val="00EE0E56"/>
    <w:rsid w:val="00EE138F"/>
    <w:rsid w:val="00EE2624"/>
    <w:rsid w:val="00EE4114"/>
    <w:rsid w:val="00EE47CD"/>
    <w:rsid w:val="00EE50FA"/>
    <w:rsid w:val="00EE6777"/>
    <w:rsid w:val="00EE684D"/>
    <w:rsid w:val="00EE7651"/>
    <w:rsid w:val="00EF02C7"/>
    <w:rsid w:val="00EF0930"/>
    <w:rsid w:val="00EF187C"/>
    <w:rsid w:val="00EF18BE"/>
    <w:rsid w:val="00EF3004"/>
    <w:rsid w:val="00EF5799"/>
    <w:rsid w:val="00EF6187"/>
    <w:rsid w:val="00EF6580"/>
    <w:rsid w:val="00EF7200"/>
    <w:rsid w:val="00EF752C"/>
    <w:rsid w:val="00F001A9"/>
    <w:rsid w:val="00F012FB"/>
    <w:rsid w:val="00F0158A"/>
    <w:rsid w:val="00F01A02"/>
    <w:rsid w:val="00F01BC3"/>
    <w:rsid w:val="00F106B6"/>
    <w:rsid w:val="00F11DAD"/>
    <w:rsid w:val="00F126D6"/>
    <w:rsid w:val="00F130EE"/>
    <w:rsid w:val="00F13DB3"/>
    <w:rsid w:val="00F1447C"/>
    <w:rsid w:val="00F15160"/>
    <w:rsid w:val="00F156CC"/>
    <w:rsid w:val="00F15EC7"/>
    <w:rsid w:val="00F1601A"/>
    <w:rsid w:val="00F20561"/>
    <w:rsid w:val="00F208CE"/>
    <w:rsid w:val="00F21CD8"/>
    <w:rsid w:val="00F22462"/>
    <w:rsid w:val="00F22EC2"/>
    <w:rsid w:val="00F2408A"/>
    <w:rsid w:val="00F27016"/>
    <w:rsid w:val="00F271A9"/>
    <w:rsid w:val="00F274DE"/>
    <w:rsid w:val="00F2760E"/>
    <w:rsid w:val="00F30AA8"/>
    <w:rsid w:val="00F30F9A"/>
    <w:rsid w:val="00F3212F"/>
    <w:rsid w:val="00F32357"/>
    <w:rsid w:val="00F32C44"/>
    <w:rsid w:val="00F3351D"/>
    <w:rsid w:val="00F35371"/>
    <w:rsid w:val="00F35FCE"/>
    <w:rsid w:val="00F37113"/>
    <w:rsid w:val="00F3733D"/>
    <w:rsid w:val="00F40770"/>
    <w:rsid w:val="00F42B1F"/>
    <w:rsid w:val="00F435B2"/>
    <w:rsid w:val="00F43AF8"/>
    <w:rsid w:val="00F43E10"/>
    <w:rsid w:val="00F44511"/>
    <w:rsid w:val="00F44A82"/>
    <w:rsid w:val="00F44AFC"/>
    <w:rsid w:val="00F45D45"/>
    <w:rsid w:val="00F45D8A"/>
    <w:rsid w:val="00F467D9"/>
    <w:rsid w:val="00F4697C"/>
    <w:rsid w:val="00F47C72"/>
    <w:rsid w:val="00F47D40"/>
    <w:rsid w:val="00F50277"/>
    <w:rsid w:val="00F50632"/>
    <w:rsid w:val="00F519A9"/>
    <w:rsid w:val="00F53DF1"/>
    <w:rsid w:val="00F53F76"/>
    <w:rsid w:val="00F55443"/>
    <w:rsid w:val="00F554B3"/>
    <w:rsid w:val="00F55589"/>
    <w:rsid w:val="00F55A79"/>
    <w:rsid w:val="00F55AFE"/>
    <w:rsid w:val="00F55BBF"/>
    <w:rsid w:val="00F57656"/>
    <w:rsid w:val="00F57D77"/>
    <w:rsid w:val="00F57F56"/>
    <w:rsid w:val="00F60962"/>
    <w:rsid w:val="00F6278D"/>
    <w:rsid w:val="00F6282A"/>
    <w:rsid w:val="00F62FB5"/>
    <w:rsid w:val="00F6384E"/>
    <w:rsid w:val="00F63929"/>
    <w:rsid w:val="00F65892"/>
    <w:rsid w:val="00F66477"/>
    <w:rsid w:val="00F66536"/>
    <w:rsid w:val="00F66A22"/>
    <w:rsid w:val="00F66E8A"/>
    <w:rsid w:val="00F70051"/>
    <w:rsid w:val="00F701F0"/>
    <w:rsid w:val="00F70555"/>
    <w:rsid w:val="00F718C5"/>
    <w:rsid w:val="00F7343C"/>
    <w:rsid w:val="00F74774"/>
    <w:rsid w:val="00F756C9"/>
    <w:rsid w:val="00F767BC"/>
    <w:rsid w:val="00F77016"/>
    <w:rsid w:val="00F77417"/>
    <w:rsid w:val="00F77664"/>
    <w:rsid w:val="00F80794"/>
    <w:rsid w:val="00F80E56"/>
    <w:rsid w:val="00F8107D"/>
    <w:rsid w:val="00F8187D"/>
    <w:rsid w:val="00F81B0B"/>
    <w:rsid w:val="00F81B46"/>
    <w:rsid w:val="00F84C1E"/>
    <w:rsid w:val="00F84F27"/>
    <w:rsid w:val="00F85F89"/>
    <w:rsid w:val="00F87527"/>
    <w:rsid w:val="00F9034A"/>
    <w:rsid w:val="00F90702"/>
    <w:rsid w:val="00F907CF"/>
    <w:rsid w:val="00F91343"/>
    <w:rsid w:val="00F92F08"/>
    <w:rsid w:val="00F92FD9"/>
    <w:rsid w:val="00F93375"/>
    <w:rsid w:val="00F93D18"/>
    <w:rsid w:val="00F94C3B"/>
    <w:rsid w:val="00F96E08"/>
    <w:rsid w:val="00F96E86"/>
    <w:rsid w:val="00F97372"/>
    <w:rsid w:val="00F973CC"/>
    <w:rsid w:val="00F978F7"/>
    <w:rsid w:val="00FA0220"/>
    <w:rsid w:val="00FA04DE"/>
    <w:rsid w:val="00FA0BDD"/>
    <w:rsid w:val="00FA0EF5"/>
    <w:rsid w:val="00FA1CA4"/>
    <w:rsid w:val="00FA1E1C"/>
    <w:rsid w:val="00FA26CF"/>
    <w:rsid w:val="00FA2D81"/>
    <w:rsid w:val="00FA34B6"/>
    <w:rsid w:val="00FA36D9"/>
    <w:rsid w:val="00FA4456"/>
    <w:rsid w:val="00FA58A8"/>
    <w:rsid w:val="00FA5B61"/>
    <w:rsid w:val="00FA5D64"/>
    <w:rsid w:val="00FB03D8"/>
    <w:rsid w:val="00FB06C7"/>
    <w:rsid w:val="00FB1895"/>
    <w:rsid w:val="00FB1A29"/>
    <w:rsid w:val="00FB29E9"/>
    <w:rsid w:val="00FB40DF"/>
    <w:rsid w:val="00FB4256"/>
    <w:rsid w:val="00FB4E5A"/>
    <w:rsid w:val="00FB563A"/>
    <w:rsid w:val="00FB6A37"/>
    <w:rsid w:val="00FB6CF1"/>
    <w:rsid w:val="00FB7235"/>
    <w:rsid w:val="00FB734F"/>
    <w:rsid w:val="00FB75DB"/>
    <w:rsid w:val="00FC0E0C"/>
    <w:rsid w:val="00FC1B2E"/>
    <w:rsid w:val="00FC3585"/>
    <w:rsid w:val="00FC36EA"/>
    <w:rsid w:val="00FC5B39"/>
    <w:rsid w:val="00FC64D9"/>
    <w:rsid w:val="00FC6638"/>
    <w:rsid w:val="00FC6BE8"/>
    <w:rsid w:val="00FC7926"/>
    <w:rsid w:val="00FC7F06"/>
    <w:rsid w:val="00FD0D6E"/>
    <w:rsid w:val="00FD2580"/>
    <w:rsid w:val="00FD4BA3"/>
    <w:rsid w:val="00FD5695"/>
    <w:rsid w:val="00FD5704"/>
    <w:rsid w:val="00FD5940"/>
    <w:rsid w:val="00FD5A02"/>
    <w:rsid w:val="00FE0A54"/>
    <w:rsid w:val="00FE0D26"/>
    <w:rsid w:val="00FE2318"/>
    <w:rsid w:val="00FE3A5F"/>
    <w:rsid w:val="00FE3D31"/>
    <w:rsid w:val="00FE3DD7"/>
    <w:rsid w:val="00FE58CB"/>
    <w:rsid w:val="00FE6B72"/>
    <w:rsid w:val="00FF3669"/>
    <w:rsid w:val="00FF38CE"/>
    <w:rsid w:val="00FF4A8A"/>
    <w:rsid w:val="00FF4C86"/>
    <w:rsid w:val="00FF6011"/>
    <w:rsid w:val="00FF6EE1"/>
    <w:rsid w:val="00FF7634"/>
    <w:rsid w:val="00FF7DE3"/>
    <w:rsid w:val="010202F8"/>
    <w:rsid w:val="0103164E"/>
    <w:rsid w:val="012C264B"/>
    <w:rsid w:val="013E2CDD"/>
    <w:rsid w:val="0140183F"/>
    <w:rsid w:val="01436412"/>
    <w:rsid w:val="016104C8"/>
    <w:rsid w:val="01866C80"/>
    <w:rsid w:val="018856AF"/>
    <w:rsid w:val="018927D2"/>
    <w:rsid w:val="01963FF6"/>
    <w:rsid w:val="01A72185"/>
    <w:rsid w:val="01AE3368"/>
    <w:rsid w:val="01B21508"/>
    <w:rsid w:val="01B3097E"/>
    <w:rsid w:val="01BE777F"/>
    <w:rsid w:val="01CE2402"/>
    <w:rsid w:val="01D6466C"/>
    <w:rsid w:val="01E14438"/>
    <w:rsid w:val="01E41B53"/>
    <w:rsid w:val="01E85748"/>
    <w:rsid w:val="02021905"/>
    <w:rsid w:val="0207238A"/>
    <w:rsid w:val="02074FB0"/>
    <w:rsid w:val="020E6F04"/>
    <w:rsid w:val="023E257C"/>
    <w:rsid w:val="023E7286"/>
    <w:rsid w:val="02493090"/>
    <w:rsid w:val="024B6E08"/>
    <w:rsid w:val="024C2C55"/>
    <w:rsid w:val="025276E6"/>
    <w:rsid w:val="02595BF1"/>
    <w:rsid w:val="025A299C"/>
    <w:rsid w:val="0270686F"/>
    <w:rsid w:val="027B748C"/>
    <w:rsid w:val="02810607"/>
    <w:rsid w:val="028E4F47"/>
    <w:rsid w:val="02B03562"/>
    <w:rsid w:val="02D7178C"/>
    <w:rsid w:val="02E216EB"/>
    <w:rsid w:val="02E37DD6"/>
    <w:rsid w:val="02E87BEC"/>
    <w:rsid w:val="02E96621"/>
    <w:rsid w:val="03033868"/>
    <w:rsid w:val="030516AD"/>
    <w:rsid w:val="03062D2F"/>
    <w:rsid w:val="03092820"/>
    <w:rsid w:val="033C541A"/>
    <w:rsid w:val="03503184"/>
    <w:rsid w:val="03586D10"/>
    <w:rsid w:val="03634626"/>
    <w:rsid w:val="036646E1"/>
    <w:rsid w:val="0368460B"/>
    <w:rsid w:val="036D1000"/>
    <w:rsid w:val="036F6365"/>
    <w:rsid w:val="036F6B27"/>
    <w:rsid w:val="03823527"/>
    <w:rsid w:val="038B02AA"/>
    <w:rsid w:val="03AB3FE3"/>
    <w:rsid w:val="03BB7FBE"/>
    <w:rsid w:val="03C861D8"/>
    <w:rsid w:val="03D262FF"/>
    <w:rsid w:val="03D62A1B"/>
    <w:rsid w:val="03DB0660"/>
    <w:rsid w:val="03E84AD5"/>
    <w:rsid w:val="03EF363D"/>
    <w:rsid w:val="040A2CF3"/>
    <w:rsid w:val="040C43CB"/>
    <w:rsid w:val="040D2052"/>
    <w:rsid w:val="04142319"/>
    <w:rsid w:val="041D446B"/>
    <w:rsid w:val="0430699B"/>
    <w:rsid w:val="044F0706"/>
    <w:rsid w:val="045069DA"/>
    <w:rsid w:val="04612003"/>
    <w:rsid w:val="04A33F8E"/>
    <w:rsid w:val="04BC02DB"/>
    <w:rsid w:val="04C410F4"/>
    <w:rsid w:val="04D85C46"/>
    <w:rsid w:val="04DF34F7"/>
    <w:rsid w:val="04E2157A"/>
    <w:rsid w:val="04F96FF0"/>
    <w:rsid w:val="05057298"/>
    <w:rsid w:val="05057A61"/>
    <w:rsid w:val="0515200D"/>
    <w:rsid w:val="0531463C"/>
    <w:rsid w:val="05393118"/>
    <w:rsid w:val="054B78F5"/>
    <w:rsid w:val="056658F0"/>
    <w:rsid w:val="056A57F8"/>
    <w:rsid w:val="057B34FA"/>
    <w:rsid w:val="059531FA"/>
    <w:rsid w:val="05A718E9"/>
    <w:rsid w:val="05AD220A"/>
    <w:rsid w:val="05CC2EF6"/>
    <w:rsid w:val="05CF7D50"/>
    <w:rsid w:val="05E1119E"/>
    <w:rsid w:val="05E54185"/>
    <w:rsid w:val="06014EB1"/>
    <w:rsid w:val="061F2A86"/>
    <w:rsid w:val="06252A3F"/>
    <w:rsid w:val="063F4ED6"/>
    <w:rsid w:val="06491956"/>
    <w:rsid w:val="064C314F"/>
    <w:rsid w:val="0658659E"/>
    <w:rsid w:val="065A3ABE"/>
    <w:rsid w:val="065F2E93"/>
    <w:rsid w:val="06646796"/>
    <w:rsid w:val="066D555B"/>
    <w:rsid w:val="067E2B43"/>
    <w:rsid w:val="06A1355F"/>
    <w:rsid w:val="06A905A2"/>
    <w:rsid w:val="06B01218"/>
    <w:rsid w:val="06B17C3B"/>
    <w:rsid w:val="06DF738E"/>
    <w:rsid w:val="06E27865"/>
    <w:rsid w:val="06E37A2E"/>
    <w:rsid w:val="06E96167"/>
    <w:rsid w:val="06F93B60"/>
    <w:rsid w:val="06FF7B39"/>
    <w:rsid w:val="07030AF6"/>
    <w:rsid w:val="07090A80"/>
    <w:rsid w:val="07106866"/>
    <w:rsid w:val="07145DF3"/>
    <w:rsid w:val="072B3942"/>
    <w:rsid w:val="073207D6"/>
    <w:rsid w:val="073A7E66"/>
    <w:rsid w:val="074258A5"/>
    <w:rsid w:val="0745394C"/>
    <w:rsid w:val="07481B68"/>
    <w:rsid w:val="074E05AE"/>
    <w:rsid w:val="07533C5F"/>
    <w:rsid w:val="07550659"/>
    <w:rsid w:val="07617D4C"/>
    <w:rsid w:val="076D70DD"/>
    <w:rsid w:val="078F0D27"/>
    <w:rsid w:val="07A90455"/>
    <w:rsid w:val="07B436A2"/>
    <w:rsid w:val="07C92425"/>
    <w:rsid w:val="07FA13F7"/>
    <w:rsid w:val="07FD3A06"/>
    <w:rsid w:val="08057E0A"/>
    <w:rsid w:val="080F2686"/>
    <w:rsid w:val="08202A49"/>
    <w:rsid w:val="08251EAA"/>
    <w:rsid w:val="08266638"/>
    <w:rsid w:val="082C15F1"/>
    <w:rsid w:val="08404F36"/>
    <w:rsid w:val="084A5FDC"/>
    <w:rsid w:val="088A6BF7"/>
    <w:rsid w:val="088E3EF3"/>
    <w:rsid w:val="08A24B37"/>
    <w:rsid w:val="08A70B56"/>
    <w:rsid w:val="08B17BE1"/>
    <w:rsid w:val="08C44E94"/>
    <w:rsid w:val="08CB57C7"/>
    <w:rsid w:val="08D04674"/>
    <w:rsid w:val="08E44A94"/>
    <w:rsid w:val="09031FA5"/>
    <w:rsid w:val="090D6731"/>
    <w:rsid w:val="091E3677"/>
    <w:rsid w:val="092A6367"/>
    <w:rsid w:val="092C5BBE"/>
    <w:rsid w:val="09313816"/>
    <w:rsid w:val="09314020"/>
    <w:rsid w:val="0935633D"/>
    <w:rsid w:val="093A1985"/>
    <w:rsid w:val="09570789"/>
    <w:rsid w:val="095D097A"/>
    <w:rsid w:val="096036E4"/>
    <w:rsid w:val="09705534"/>
    <w:rsid w:val="097602F2"/>
    <w:rsid w:val="09983272"/>
    <w:rsid w:val="09B17CDB"/>
    <w:rsid w:val="09CF69B8"/>
    <w:rsid w:val="09E65A73"/>
    <w:rsid w:val="09E77C46"/>
    <w:rsid w:val="09EE3FB5"/>
    <w:rsid w:val="09EF0071"/>
    <w:rsid w:val="09EF5C6A"/>
    <w:rsid w:val="0A0B0B6F"/>
    <w:rsid w:val="0A1879AF"/>
    <w:rsid w:val="0A1942B5"/>
    <w:rsid w:val="0A1C7BE2"/>
    <w:rsid w:val="0A2F3CCC"/>
    <w:rsid w:val="0A321F14"/>
    <w:rsid w:val="0A36214C"/>
    <w:rsid w:val="0A3F08AB"/>
    <w:rsid w:val="0A43433F"/>
    <w:rsid w:val="0A4C23C9"/>
    <w:rsid w:val="0A5702B1"/>
    <w:rsid w:val="0A5E16A3"/>
    <w:rsid w:val="0A5E6342"/>
    <w:rsid w:val="0A64299D"/>
    <w:rsid w:val="0A755A8E"/>
    <w:rsid w:val="0A7E3A38"/>
    <w:rsid w:val="0A7F3862"/>
    <w:rsid w:val="0A8A2B4E"/>
    <w:rsid w:val="0A942A0E"/>
    <w:rsid w:val="0AA03A6A"/>
    <w:rsid w:val="0AA91CD5"/>
    <w:rsid w:val="0AB12CE0"/>
    <w:rsid w:val="0AB46EB3"/>
    <w:rsid w:val="0ABC72BC"/>
    <w:rsid w:val="0AC56362"/>
    <w:rsid w:val="0ACA3D19"/>
    <w:rsid w:val="0ADD0A5F"/>
    <w:rsid w:val="0AEC2A5C"/>
    <w:rsid w:val="0AF85CFC"/>
    <w:rsid w:val="0B0E4E05"/>
    <w:rsid w:val="0B212DFC"/>
    <w:rsid w:val="0B2D019D"/>
    <w:rsid w:val="0B365327"/>
    <w:rsid w:val="0B373F9A"/>
    <w:rsid w:val="0B472B69"/>
    <w:rsid w:val="0B4B586D"/>
    <w:rsid w:val="0B4C599F"/>
    <w:rsid w:val="0B536B61"/>
    <w:rsid w:val="0B5F4D58"/>
    <w:rsid w:val="0B6A5F6D"/>
    <w:rsid w:val="0B7F07E2"/>
    <w:rsid w:val="0B7F0B15"/>
    <w:rsid w:val="0B806092"/>
    <w:rsid w:val="0B88215C"/>
    <w:rsid w:val="0B892036"/>
    <w:rsid w:val="0B9D0DF0"/>
    <w:rsid w:val="0BAF665A"/>
    <w:rsid w:val="0BC83278"/>
    <w:rsid w:val="0BE208BC"/>
    <w:rsid w:val="0BFD6B4E"/>
    <w:rsid w:val="0C0322E9"/>
    <w:rsid w:val="0C06047E"/>
    <w:rsid w:val="0C076B26"/>
    <w:rsid w:val="0C0A0544"/>
    <w:rsid w:val="0C14470F"/>
    <w:rsid w:val="0C1E011F"/>
    <w:rsid w:val="0C34386F"/>
    <w:rsid w:val="0C450D6C"/>
    <w:rsid w:val="0C465C8F"/>
    <w:rsid w:val="0C817E15"/>
    <w:rsid w:val="0C8269AF"/>
    <w:rsid w:val="0C9F6357"/>
    <w:rsid w:val="0CB35CD6"/>
    <w:rsid w:val="0CBC3BE7"/>
    <w:rsid w:val="0CC179F6"/>
    <w:rsid w:val="0CC84A6D"/>
    <w:rsid w:val="0CDD79E6"/>
    <w:rsid w:val="0CE47EDB"/>
    <w:rsid w:val="0D074FED"/>
    <w:rsid w:val="0D110597"/>
    <w:rsid w:val="0D1349D9"/>
    <w:rsid w:val="0D1D0ACF"/>
    <w:rsid w:val="0D2A3A26"/>
    <w:rsid w:val="0D502810"/>
    <w:rsid w:val="0D510501"/>
    <w:rsid w:val="0D642186"/>
    <w:rsid w:val="0D682F64"/>
    <w:rsid w:val="0D7511DD"/>
    <w:rsid w:val="0D7E2A60"/>
    <w:rsid w:val="0D8633EB"/>
    <w:rsid w:val="0D880078"/>
    <w:rsid w:val="0D8E6766"/>
    <w:rsid w:val="0D953916"/>
    <w:rsid w:val="0DA544EC"/>
    <w:rsid w:val="0DA62FCD"/>
    <w:rsid w:val="0DAF6212"/>
    <w:rsid w:val="0DC203C7"/>
    <w:rsid w:val="0DCE0593"/>
    <w:rsid w:val="0DCF4826"/>
    <w:rsid w:val="0DCF5926"/>
    <w:rsid w:val="0DD674AC"/>
    <w:rsid w:val="0DE660EB"/>
    <w:rsid w:val="0DF2282E"/>
    <w:rsid w:val="0E1557C0"/>
    <w:rsid w:val="0E250887"/>
    <w:rsid w:val="0E254AE8"/>
    <w:rsid w:val="0E3D4BDE"/>
    <w:rsid w:val="0E822A14"/>
    <w:rsid w:val="0E8C61B5"/>
    <w:rsid w:val="0E9658AF"/>
    <w:rsid w:val="0E9F1C1B"/>
    <w:rsid w:val="0EBB4FEB"/>
    <w:rsid w:val="0EBB70C4"/>
    <w:rsid w:val="0ED05E16"/>
    <w:rsid w:val="0EDA6769"/>
    <w:rsid w:val="0EDA7121"/>
    <w:rsid w:val="0EE04D7C"/>
    <w:rsid w:val="0F0679F2"/>
    <w:rsid w:val="0F0C791F"/>
    <w:rsid w:val="0F31452F"/>
    <w:rsid w:val="0F3B1D2C"/>
    <w:rsid w:val="0F4D021B"/>
    <w:rsid w:val="0F4E3FAD"/>
    <w:rsid w:val="0F67724C"/>
    <w:rsid w:val="0F6E05DA"/>
    <w:rsid w:val="0F7D2E84"/>
    <w:rsid w:val="0F81030D"/>
    <w:rsid w:val="0F8A41DA"/>
    <w:rsid w:val="0F8B424A"/>
    <w:rsid w:val="0F9E392C"/>
    <w:rsid w:val="0FA05652"/>
    <w:rsid w:val="0FAB5180"/>
    <w:rsid w:val="0FAF0953"/>
    <w:rsid w:val="0FBF0E36"/>
    <w:rsid w:val="0FC82181"/>
    <w:rsid w:val="0FD25755"/>
    <w:rsid w:val="0FD516DA"/>
    <w:rsid w:val="0FD7496E"/>
    <w:rsid w:val="0FE8038D"/>
    <w:rsid w:val="0FF61D33"/>
    <w:rsid w:val="0FFF16BB"/>
    <w:rsid w:val="100131FC"/>
    <w:rsid w:val="100D1E55"/>
    <w:rsid w:val="101C1DE4"/>
    <w:rsid w:val="103450E5"/>
    <w:rsid w:val="10362FED"/>
    <w:rsid w:val="10383328"/>
    <w:rsid w:val="10466E61"/>
    <w:rsid w:val="10467549"/>
    <w:rsid w:val="10577D29"/>
    <w:rsid w:val="108E6781"/>
    <w:rsid w:val="108F0808"/>
    <w:rsid w:val="10944973"/>
    <w:rsid w:val="10A05E71"/>
    <w:rsid w:val="10B8174C"/>
    <w:rsid w:val="10D151BE"/>
    <w:rsid w:val="10FB40F0"/>
    <w:rsid w:val="110D1C65"/>
    <w:rsid w:val="111B209C"/>
    <w:rsid w:val="11220742"/>
    <w:rsid w:val="112E0021"/>
    <w:rsid w:val="113369A6"/>
    <w:rsid w:val="113969C6"/>
    <w:rsid w:val="115C4C84"/>
    <w:rsid w:val="115E6204"/>
    <w:rsid w:val="116A4DD1"/>
    <w:rsid w:val="116F7DCD"/>
    <w:rsid w:val="1172328B"/>
    <w:rsid w:val="117440EA"/>
    <w:rsid w:val="11A01790"/>
    <w:rsid w:val="11A9026D"/>
    <w:rsid w:val="11AA40D6"/>
    <w:rsid w:val="11DA3D05"/>
    <w:rsid w:val="11E06527"/>
    <w:rsid w:val="11EF2C7A"/>
    <w:rsid w:val="120417E1"/>
    <w:rsid w:val="120634C7"/>
    <w:rsid w:val="120B3362"/>
    <w:rsid w:val="12132537"/>
    <w:rsid w:val="121932AB"/>
    <w:rsid w:val="122F22A3"/>
    <w:rsid w:val="12301C47"/>
    <w:rsid w:val="12337055"/>
    <w:rsid w:val="124D68F1"/>
    <w:rsid w:val="12505EC7"/>
    <w:rsid w:val="125D4946"/>
    <w:rsid w:val="12602648"/>
    <w:rsid w:val="1268215F"/>
    <w:rsid w:val="126E3B4A"/>
    <w:rsid w:val="128E1BD6"/>
    <w:rsid w:val="12965543"/>
    <w:rsid w:val="129E4D32"/>
    <w:rsid w:val="12AC38F3"/>
    <w:rsid w:val="12B914AD"/>
    <w:rsid w:val="12B95754"/>
    <w:rsid w:val="12C13A79"/>
    <w:rsid w:val="12DF1530"/>
    <w:rsid w:val="12F2399C"/>
    <w:rsid w:val="12FA73CB"/>
    <w:rsid w:val="130442B0"/>
    <w:rsid w:val="130646EB"/>
    <w:rsid w:val="13141499"/>
    <w:rsid w:val="13144FF5"/>
    <w:rsid w:val="132666F8"/>
    <w:rsid w:val="132A4818"/>
    <w:rsid w:val="133579FA"/>
    <w:rsid w:val="134F24D1"/>
    <w:rsid w:val="135371D9"/>
    <w:rsid w:val="135918B9"/>
    <w:rsid w:val="13631AD8"/>
    <w:rsid w:val="13762695"/>
    <w:rsid w:val="137C0640"/>
    <w:rsid w:val="137D08F7"/>
    <w:rsid w:val="13A01584"/>
    <w:rsid w:val="13AB4B56"/>
    <w:rsid w:val="13AF6DD9"/>
    <w:rsid w:val="13BA5B9C"/>
    <w:rsid w:val="13C133CE"/>
    <w:rsid w:val="13C22CA3"/>
    <w:rsid w:val="13D32F89"/>
    <w:rsid w:val="13F6294C"/>
    <w:rsid w:val="13FE057B"/>
    <w:rsid w:val="141B3433"/>
    <w:rsid w:val="142F11A3"/>
    <w:rsid w:val="14301E8A"/>
    <w:rsid w:val="143B0521"/>
    <w:rsid w:val="144612FD"/>
    <w:rsid w:val="144E6FD6"/>
    <w:rsid w:val="145806EE"/>
    <w:rsid w:val="14631B39"/>
    <w:rsid w:val="146F2B64"/>
    <w:rsid w:val="14851C36"/>
    <w:rsid w:val="149145EF"/>
    <w:rsid w:val="14A61911"/>
    <w:rsid w:val="14A754A9"/>
    <w:rsid w:val="14B64D09"/>
    <w:rsid w:val="14C7354C"/>
    <w:rsid w:val="14CC00DC"/>
    <w:rsid w:val="14CD4D5B"/>
    <w:rsid w:val="14EF5D19"/>
    <w:rsid w:val="15020C8C"/>
    <w:rsid w:val="151140FD"/>
    <w:rsid w:val="1514752E"/>
    <w:rsid w:val="151F75DE"/>
    <w:rsid w:val="152C26A2"/>
    <w:rsid w:val="15311E8E"/>
    <w:rsid w:val="154222ED"/>
    <w:rsid w:val="154B135D"/>
    <w:rsid w:val="15625630"/>
    <w:rsid w:val="157C23C9"/>
    <w:rsid w:val="158266AC"/>
    <w:rsid w:val="15A558BC"/>
    <w:rsid w:val="15AB2FC8"/>
    <w:rsid w:val="15E6711C"/>
    <w:rsid w:val="15FD7FC2"/>
    <w:rsid w:val="16023AA4"/>
    <w:rsid w:val="16154D3D"/>
    <w:rsid w:val="161D3B9E"/>
    <w:rsid w:val="162315F9"/>
    <w:rsid w:val="162437A1"/>
    <w:rsid w:val="16247087"/>
    <w:rsid w:val="16315E35"/>
    <w:rsid w:val="16435558"/>
    <w:rsid w:val="164F0484"/>
    <w:rsid w:val="165412AF"/>
    <w:rsid w:val="1660552D"/>
    <w:rsid w:val="16610D1A"/>
    <w:rsid w:val="16787689"/>
    <w:rsid w:val="167E206D"/>
    <w:rsid w:val="16831B03"/>
    <w:rsid w:val="16897AA8"/>
    <w:rsid w:val="16902F73"/>
    <w:rsid w:val="16A51FB6"/>
    <w:rsid w:val="16AB5C70"/>
    <w:rsid w:val="16CA5935"/>
    <w:rsid w:val="16EB2510"/>
    <w:rsid w:val="16F02D34"/>
    <w:rsid w:val="16FE5EAD"/>
    <w:rsid w:val="1703011C"/>
    <w:rsid w:val="170334A7"/>
    <w:rsid w:val="171952CF"/>
    <w:rsid w:val="172851A0"/>
    <w:rsid w:val="173A0287"/>
    <w:rsid w:val="174617FF"/>
    <w:rsid w:val="174F4DF6"/>
    <w:rsid w:val="175D08CA"/>
    <w:rsid w:val="175F2A72"/>
    <w:rsid w:val="175F761A"/>
    <w:rsid w:val="17752C90"/>
    <w:rsid w:val="1776736B"/>
    <w:rsid w:val="178A2C08"/>
    <w:rsid w:val="17907A38"/>
    <w:rsid w:val="17AB1FB7"/>
    <w:rsid w:val="17B13A04"/>
    <w:rsid w:val="17BC2B74"/>
    <w:rsid w:val="17C9438A"/>
    <w:rsid w:val="17CF598E"/>
    <w:rsid w:val="17E4768B"/>
    <w:rsid w:val="17E700CE"/>
    <w:rsid w:val="17F07EB4"/>
    <w:rsid w:val="17FD1F2F"/>
    <w:rsid w:val="18244DA0"/>
    <w:rsid w:val="182C4B8E"/>
    <w:rsid w:val="18457118"/>
    <w:rsid w:val="185217E9"/>
    <w:rsid w:val="18812A66"/>
    <w:rsid w:val="18A14F8D"/>
    <w:rsid w:val="18B11517"/>
    <w:rsid w:val="18BA4830"/>
    <w:rsid w:val="18FC168C"/>
    <w:rsid w:val="1901601B"/>
    <w:rsid w:val="19085F2A"/>
    <w:rsid w:val="190F6EE5"/>
    <w:rsid w:val="1915556D"/>
    <w:rsid w:val="193B12D7"/>
    <w:rsid w:val="19490291"/>
    <w:rsid w:val="195C64A6"/>
    <w:rsid w:val="19612AD7"/>
    <w:rsid w:val="197278BD"/>
    <w:rsid w:val="197736CF"/>
    <w:rsid w:val="19822E5F"/>
    <w:rsid w:val="19883356"/>
    <w:rsid w:val="198C6E15"/>
    <w:rsid w:val="199A6943"/>
    <w:rsid w:val="19AB1900"/>
    <w:rsid w:val="19B714B4"/>
    <w:rsid w:val="19C55EF7"/>
    <w:rsid w:val="19C61677"/>
    <w:rsid w:val="19CE0546"/>
    <w:rsid w:val="19F135CC"/>
    <w:rsid w:val="1A2C762B"/>
    <w:rsid w:val="1A371C72"/>
    <w:rsid w:val="1A3779FB"/>
    <w:rsid w:val="1A4458C2"/>
    <w:rsid w:val="1A450189"/>
    <w:rsid w:val="1A4652DA"/>
    <w:rsid w:val="1A540086"/>
    <w:rsid w:val="1A5B5BFF"/>
    <w:rsid w:val="1A656529"/>
    <w:rsid w:val="1A766229"/>
    <w:rsid w:val="1A853BD4"/>
    <w:rsid w:val="1A894465"/>
    <w:rsid w:val="1A8D6EC2"/>
    <w:rsid w:val="1A8F4B61"/>
    <w:rsid w:val="1A957A34"/>
    <w:rsid w:val="1ADF05DE"/>
    <w:rsid w:val="1AF7387C"/>
    <w:rsid w:val="1B0F1897"/>
    <w:rsid w:val="1B1F0839"/>
    <w:rsid w:val="1B3041EF"/>
    <w:rsid w:val="1B4E306E"/>
    <w:rsid w:val="1B5314C2"/>
    <w:rsid w:val="1B5F7045"/>
    <w:rsid w:val="1B6D123A"/>
    <w:rsid w:val="1B7E3953"/>
    <w:rsid w:val="1B860A5A"/>
    <w:rsid w:val="1B897B3A"/>
    <w:rsid w:val="1B9118D8"/>
    <w:rsid w:val="1B9358DF"/>
    <w:rsid w:val="1B940DDA"/>
    <w:rsid w:val="1BA2562A"/>
    <w:rsid w:val="1BA80003"/>
    <w:rsid w:val="1BC86D9A"/>
    <w:rsid w:val="1BD918AD"/>
    <w:rsid w:val="1BDB4B25"/>
    <w:rsid w:val="1BE7774A"/>
    <w:rsid w:val="1C033806"/>
    <w:rsid w:val="1C2431CD"/>
    <w:rsid w:val="1C27223D"/>
    <w:rsid w:val="1C2A5BD4"/>
    <w:rsid w:val="1C2A76FC"/>
    <w:rsid w:val="1C2C385B"/>
    <w:rsid w:val="1C3652F8"/>
    <w:rsid w:val="1C386686"/>
    <w:rsid w:val="1C3A02E9"/>
    <w:rsid w:val="1C4658D2"/>
    <w:rsid w:val="1C4B09FB"/>
    <w:rsid w:val="1C500552"/>
    <w:rsid w:val="1C5B3C94"/>
    <w:rsid w:val="1C661530"/>
    <w:rsid w:val="1C662846"/>
    <w:rsid w:val="1C9D156E"/>
    <w:rsid w:val="1C9E3663"/>
    <w:rsid w:val="1CB6711D"/>
    <w:rsid w:val="1CBE4F5D"/>
    <w:rsid w:val="1CD65008"/>
    <w:rsid w:val="1CF75038"/>
    <w:rsid w:val="1D0A5979"/>
    <w:rsid w:val="1D21035C"/>
    <w:rsid w:val="1D286213"/>
    <w:rsid w:val="1D44297A"/>
    <w:rsid w:val="1D50131F"/>
    <w:rsid w:val="1D5232E9"/>
    <w:rsid w:val="1D8B2A4F"/>
    <w:rsid w:val="1D8D4321"/>
    <w:rsid w:val="1D8F7ADC"/>
    <w:rsid w:val="1DA04055"/>
    <w:rsid w:val="1DB418AE"/>
    <w:rsid w:val="1DC075EF"/>
    <w:rsid w:val="1DCC0215"/>
    <w:rsid w:val="1DCD2970"/>
    <w:rsid w:val="1DE2477D"/>
    <w:rsid w:val="1DEF47AC"/>
    <w:rsid w:val="1DF95513"/>
    <w:rsid w:val="1DFC5003"/>
    <w:rsid w:val="1E0D3D0F"/>
    <w:rsid w:val="1E2E78B2"/>
    <w:rsid w:val="1E420E59"/>
    <w:rsid w:val="1E472722"/>
    <w:rsid w:val="1E614503"/>
    <w:rsid w:val="1E7F6281"/>
    <w:rsid w:val="1E85149C"/>
    <w:rsid w:val="1E921EB7"/>
    <w:rsid w:val="1EC27E2C"/>
    <w:rsid w:val="1EE02C94"/>
    <w:rsid w:val="1EFF4DAB"/>
    <w:rsid w:val="1F12081F"/>
    <w:rsid w:val="1F2C2774"/>
    <w:rsid w:val="1F3233D2"/>
    <w:rsid w:val="1F4945D6"/>
    <w:rsid w:val="1F500143"/>
    <w:rsid w:val="1F5E6980"/>
    <w:rsid w:val="1F6D2090"/>
    <w:rsid w:val="1F7B49EC"/>
    <w:rsid w:val="1F8C7FD0"/>
    <w:rsid w:val="1FD2426D"/>
    <w:rsid w:val="1FD863D3"/>
    <w:rsid w:val="1FE35BAD"/>
    <w:rsid w:val="1FEF0036"/>
    <w:rsid w:val="1FF044B0"/>
    <w:rsid w:val="1FF17AEA"/>
    <w:rsid w:val="1FF266BE"/>
    <w:rsid w:val="1FFE72C1"/>
    <w:rsid w:val="200F3743"/>
    <w:rsid w:val="20186B6F"/>
    <w:rsid w:val="201F0586"/>
    <w:rsid w:val="202145FE"/>
    <w:rsid w:val="204A72C7"/>
    <w:rsid w:val="208A4B48"/>
    <w:rsid w:val="209D2ACD"/>
    <w:rsid w:val="20A43E5C"/>
    <w:rsid w:val="20BA224F"/>
    <w:rsid w:val="20D02221"/>
    <w:rsid w:val="20D0725E"/>
    <w:rsid w:val="20FD01D0"/>
    <w:rsid w:val="21005CAC"/>
    <w:rsid w:val="21152268"/>
    <w:rsid w:val="21174F39"/>
    <w:rsid w:val="2123651D"/>
    <w:rsid w:val="21382BEF"/>
    <w:rsid w:val="21396DE5"/>
    <w:rsid w:val="214621B8"/>
    <w:rsid w:val="2148790A"/>
    <w:rsid w:val="214D6769"/>
    <w:rsid w:val="215058E9"/>
    <w:rsid w:val="21536AC8"/>
    <w:rsid w:val="215A59C6"/>
    <w:rsid w:val="21613D6F"/>
    <w:rsid w:val="21725528"/>
    <w:rsid w:val="217557F8"/>
    <w:rsid w:val="219E6E56"/>
    <w:rsid w:val="21C15605"/>
    <w:rsid w:val="21CE287C"/>
    <w:rsid w:val="21D267A7"/>
    <w:rsid w:val="21D62F68"/>
    <w:rsid w:val="22065A04"/>
    <w:rsid w:val="22097CEF"/>
    <w:rsid w:val="220A5F40"/>
    <w:rsid w:val="22181615"/>
    <w:rsid w:val="221B4C80"/>
    <w:rsid w:val="222F013F"/>
    <w:rsid w:val="22325497"/>
    <w:rsid w:val="2234120F"/>
    <w:rsid w:val="22360418"/>
    <w:rsid w:val="2254540E"/>
    <w:rsid w:val="225F7AFE"/>
    <w:rsid w:val="22805EB3"/>
    <w:rsid w:val="228101C4"/>
    <w:rsid w:val="22830B7A"/>
    <w:rsid w:val="228917A1"/>
    <w:rsid w:val="228A448D"/>
    <w:rsid w:val="22913729"/>
    <w:rsid w:val="22A86950"/>
    <w:rsid w:val="22A90607"/>
    <w:rsid w:val="22B166F5"/>
    <w:rsid w:val="22B2557A"/>
    <w:rsid w:val="22B95CF1"/>
    <w:rsid w:val="22BD7457"/>
    <w:rsid w:val="22CE7694"/>
    <w:rsid w:val="22F548CA"/>
    <w:rsid w:val="22F90944"/>
    <w:rsid w:val="23151041"/>
    <w:rsid w:val="231A6657"/>
    <w:rsid w:val="232D1B8F"/>
    <w:rsid w:val="23334BE8"/>
    <w:rsid w:val="23477A2F"/>
    <w:rsid w:val="234C07DB"/>
    <w:rsid w:val="234C4685"/>
    <w:rsid w:val="235E564F"/>
    <w:rsid w:val="2364139D"/>
    <w:rsid w:val="2368349C"/>
    <w:rsid w:val="23767A8C"/>
    <w:rsid w:val="237D2742"/>
    <w:rsid w:val="23914F33"/>
    <w:rsid w:val="2399445A"/>
    <w:rsid w:val="23A0331B"/>
    <w:rsid w:val="23A70CBE"/>
    <w:rsid w:val="23C84B66"/>
    <w:rsid w:val="23D04F68"/>
    <w:rsid w:val="23E42364"/>
    <w:rsid w:val="23E97DD8"/>
    <w:rsid w:val="23EA0FCD"/>
    <w:rsid w:val="23EB1DA2"/>
    <w:rsid w:val="23EE7F42"/>
    <w:rsid w:val="23F04964"/>
    <w:rsid w:val="23F22046"/>
    <w:rsid w:val="24001BF7"/>
    <w:rsid w:val="2406098A"/>
    <w:rsid w:val="24112BA8"/>
    <w:rsid w:val="24191971"/>
    <w:rsid w:val="24207CEC"/>
    <w:rsid w:val="24277AFC"/>
    <w:rsid w:val="24291A13"/>
    <w:rsid w:val="24311EAA"/>
    <w:rsid w:val="24364A66"/>
    <w:rsid w:val="243A1F6F"/>
    <w:rsid w:val="244432B9"/>
    <w:rsid w:val="244A6AC8"/>
    <w:rsid w:val="244D480A"/>
    <w:rsid w:val="246D14CB"/>
    <w:rsid w:val="248144B4"/>
    <w:rsid w:val="248B4053"/>
    <w:rsid w:val="24920EA3"/>
    <w:rsid w:val="249C309C"/>
    <w:rsid w:val="24BD3838"/>
    <w:rsid w:val="24C20CEF"/>
    <w:rsid w:val="24D96CF7"/>
    <w:rsid w:val="24EA2059"/>
    <w:rsid w:val="24EC2C25"/>
    <w:rsid w:val="24F84776"/>
    <w:rsid w:val="2513573E"/>
    <w:rsid w:val="25187804"/>
    <w:rsid w:val="25200942"/>
    <w:rsid w:val="2529236F"/>
    <w:rsid w:val="25421BA7"/>
    <w:rsid w:val="25562C19"/>
    <w:rsid w:val="255A0583"/>
    <w:rsid w:val="255E0351"/>
    <w:rsid w:val="256B12C5"/>
    <w:rsid w:val="258F2039"/>
    <w:rsid w:val="259049AF"/>
    <w:rsid w:val="259D0E7A"/>
    <w:rsid w:val="25A04755"/>
    <w:rsid w:val="25A86598"/>
    <w:rsid w:val="25B726BA"/>
    <w:rsid w:val="25B959ED"/>
    <w:rsid w:val="25CC175F"/>
    <w:rsid w:val="25D24890"/>
    <w:rsid w:val="25D85DCF"/>
    <w:rsid w:val="260C3612"/>
    <w:rsid w:val="2628108B"/>
    <w:rsid w:val="26324450"/>
    <w:rsid w:val="26325ACA"/>
    <w:rsid w:val="26344E72"/>
    <w:rsid w:val="263A491A"/>
    <w:rsid w:val="2648613D"/>
    <w:rsid w:val="26515DB6"/>
    <w:rsid w:val="266B0F78"/>
    <w:rsid w:val="26857BC0"/>
    <w:rsid w:val="26910426"/>
    <w:rsid w:val="26933FC4"/>
    <w:rsid w:val="269B2802"/>
    <w:rsid w:val="269B7AAF"/>
    <w:rsid w:val="26BB071A"/>
    <w:rsid w:val="26C046D3"/>
    <w:rsid w:val="26CB7C19"/>
    <w:rsid w:val="26D024A1"/>
    <w:rsid w:val="26D2775C"/>
    <w:rsid w:val="26D60AE7"/>
    <w:rsid w:val="26E86A6C"/>
    <w:rsid w:val="26F65916"/>
    <w:rsid w:val="27071FD1"/>
    <w:rsid w:val="270B71D6"/>
    <w:rsid w:val="2723214F"/>
    <w:rsid w:val="27294AAE"/>
    <w:rsid w:val="273F778E"/>
    <w:rsid w:val="274A0591"/>
    <w:rsid w:val="275D2FB6"/>
    <w:rsid w:val="2760376C"/>
    <w:rsid w:val="2767173F"/>
    <w:rsid w:val="27693709"/>
    <w:rsid w:val="276E7E48"/>
    <w:rsid w:val="277443B1"/>
    <w:rsid w:val="277A2E02"/>
    <w:rsid w:val="277B1A28"/>
    <w:rsid w:val="27810129"/>
    <w:rsid w:val="2785527A"/>
    <w:rsid w:val="27907600"/>
    <w:rsid w:val="27950D73"/>
    <w:rsid w:val="2795247B"/>
    <w:rsid w:val="27997223"/>
    <w:rsid w:val="27B16E5E"/>
    <w:rsid w:val="27C9700F"/>
    <w:rsid w:val="27CC1508"/>
    <w:rsid w:val="27D04727"/>
    <w:rsid w:val="27F855E8"/>
    <w:rsid w:val="27FA6A57"/>
    <w:rsid w:val="27FD258C"/>
    <w:rsid w:val="28100635"/>
    <w:rsid w:val="282F61F7"/>
    <w:rsid w:val="28346E5E"/>
    <w:rsid w:val="283B1E80"/>
    <w:rsid w:val="28505504"/>
    <w:rsid w:val="28546E92"/>
    <w:rsid w:val="28553A4F"/>
    <w:rsid w:val="285C01CF"/>
    <w:rsid w:val="288A7F86"/>
    <w:rsid w:val="28AD196F"/>
    <w:rsid w:val="28CA01D8"/>
    <w:rsid w:val="28CE22FD"/>
    <w:rsid w:val="28E514B5"/>
    <w:rsid w:val="28FE3CA1"/>
    <w:rsid w:val="290C1C95"/>
    <w:rsid w:val="290D6316"/>
    <w:rsid w:val="291415B3"/>
    <w:rsid w:val="29393A5C"/>
    <w:rsid w:val="29751E36"/>
    <w:rsid w:val="29787B01"/>
    <w:rsid w:val="298A7270"/>
    <w:rsid w:val="29A30A29"/>
    <w:rsid w:val="29AA5E8D"/>
    <w:rsid w:val="29B330BF"/>
    <w:rsid w:val="29B41B75"/>
    <w:rsid w:val="29B46AA5"/>
    <w:rsid w:val="29B66429"/>
    <w:rsid w:val="29C143DC"/>
    <w:rsid w:val="29CB6B35"/>
    <w:rsid w:val="29CC1492"/>
    <w:rsid w:val="29DA08EE"/>
    <w:rsid w:val="29E14159"/>
    <w:rsid w:val="29E610BC"/>
    <w:rsid w:val="29EC23D0"/>
    <w:rsid w:val="29EE495D"/>
    <w:rsid w:val="29F66892"/>
    <w:rsid w:val="2A0011E2"/>
    <w:rsid w:val="2A04596B"/>
    <w:rsid w:val="2A072D67"/>
    <w:rsid w:val="2A0911D4"/>
    <w:rsid w:val="2A420242"/>
    <w:rsid w:val="2A485FB6"/>
    <w:rsid w:val="2A667D24"/>
    <w:rsid w:val="2A6F5427"/>
    <w:rsid w:val="2A7772FA"/>
    <w:rsid w:val="2A7A4012"/>
    <w:rsid w:val="2A834AE2"/>
    <w:rsid w:val="2A8F2107"/>
    <w:rsid w:val="2AAE58D7"/>
    <w:rsid w:val="2AB047F6"/>
    <w:rsid w:val="2ABD1140"/>
    <w:rsid w:val="2AC32ECE"/>
    <w:rsid w:val="2AD90CFD"/>
    <w:rsid w:val="2AF02BE6"/>
    <w:rsid w:val="2AF578E6"/>
    <w:rsid w:val="2AF704F2"/>
    <w:rsid w:val="2AF754D0"/>
    <w:rsid w:val="2B0F6BC1"/>
    <w:rsid w:val="2B331F36"/>
    <w:rsid w:val="2B344A2B"/>
    <w:rsid w:val="2B392DCE"/>
    <w:rsid w:val="2B473D61"/>
    <w:rsid w:val="2B4E0E7E"/>
    <w:rsid w:val="2B5D643F"/>
    <w:rsid w:val="2B5F5175"/>
    <w:rsid w:val="2B7E09CE"/>
    <w:rsid w:val="2B8529C8"/>
    <w:rsid w:val="2B941CC6"/>
    <w:rsid w:val="2B95641F"/>
    <w:rsid w:val="2BA016C4"/>
    <w:rsid w:val="2BA465AF"/>
    <w:rsid w:val="2BA94DCC"/>
    <w:rsid w:val="2BB23EE3"/>
    <w:rsid w:val="2BBD5E27"/>
    <w:rsid w:val="2BDC366E"/>
    <w:rsid w:val="2BE04625"/>
    <w:rsid w:val="2BEC6CCB"/>
    <w:rsid w:val="2C080EE0"/>
    <w:rsid w:val="2C0F762B"/>
    <w:rsid w:val="2C1B38D1"/>
    <w:rsid w:val="2C2475FA"/>
    <w:rsid w:val="2C2D746D"/>
    <w:rsid w:val="2C363C7C"/>
    <w:rsid w:val="2C7023E8"/>
    <w:rsid w:val="2C703257"/>
    <w:rsid w:val="2C8161C3"/>
    <w:rsid w:val="2C844B41"/>
    <w:rsid w:val="2C850B5B"/>
    <w:rsid w:val="2C862667"/>
    <w:rsid w:val="2C8D1C48"/>
    <w:rsid w:val="2C9A15A1"/>
    <w:rsid w:val="2CC20594"/>
    <w:rsid w:val="2CCD27C7"/>
    <w:rsid w:val="2D274585"/>
    <w:rsid w:val="2D2E527E"/>
    <w:rsid w:val="2D5935C3"/>
    <w:rsid w:val="2D647612"/>
    <w:rsid w:val="2D850072"/>
    <w:rsid w:val="2D9A2E7A"/>
    <w:rsid w:val="2DAC07F4"/>
    <w:rsid w:val="2DB651CE"/>
    <w:rsid w:val="2DB65D72"/>
    <w:rsid w:val="2DB66F7C"/>
    <w:rsid w:val="2DBE7695"/>
    <w:rsid w:val="2DC04A9C"/>
    <w:rsid w:val="2DC35B75"/>
    <w:rsid w:val="2DCB136A"/>
    <w:rsid w:val="2E0A72C8"/>
    <w:rsid w:val="2E101528"/>
    <w:rsid w:val="2E123F89"/>
    <w:rsid w:val="2E1923C8"/>
    <w:rsid w:val="2E1C1956"/>
    <w:rsid w:val="2E1D37EF"/>
    <w:rsid w:val="2E29099D"/>
    <w:rsid w:val="2E382087"/>
    <w:rsid w:val="2E3B3EA9"/>
    <w:rsid w:val="2E454AA9"/>
    <w:rsid w:val="2E825AD2"/>
    <w:rsid w:val="2E954DE4"/>
    <w:rsid w:val="2E9C4F24"/>
    <w:rsid w:val="2E9E4F0A"/>
    <w:rsid w:val="2E9E553B"/>
    <w:rsid w:val="2EC022DE"/>
    <w:rsid w:val="2EF4444D"/>
    <w:rsid w:val="2EF96605"/>
    <w:rsid w:val="2F0D7C64"/>
    <w:rsid w:val="2F0F103A"/>
    <w:rsid w:val="2F1C72B3"/>
    <w:rsid w:val="2F291470"/>
    <w:rsid w:val="2F345704"/>
    <w:rsid w:val="2F356D4E"/>
    <w:rsid w:val="2F3C09AB"/>
    <w:rsid w:val="2F42060A"/>
    <w:rsid w:val="2F48454C"/>
    <w:rsid w:val="2F760104"/>
    <w:rsid w:val="2F76584E"/>
    <w:rsid w:val="2F7A7B75"/>
    <w:rsid w:val="2F7E7420"/>
    <w:rsid w:val="2F8C55CF"/>
    <w:rsid w:val="2F970F5F"/>
    <w:rsid w:val="2FAC1181"/>
    <w:rsid w:val="2FC30494"/>
    <w:rsid w:val="2FCA59B2"/>
    <w:rsid w:val="2FD14541"/>
    <w:rsid w:val="2FF21F30"/>
    <w:rsid w:val="30013F05"/>
    <w:rsid w:val="3006760F"/>
    <w:rsid w:val="300C7328"/>
    <w:rsid w:val="3014793C"/>
    <w:rsid w:val="30154685"/>
    <w:rsid w:val="30274304"/>
    <w:rsid w:val="30284443"/>
    <w:rsid w:val="302C0962"/>
    <w:rsid w:val="30300D01"/>
    <w:rsid w:val="30351C8C"/>
    <w:rsid w:val="30361366"/>
    <w:rsid w:val="303643A5"/>
    <w:rsid w:val="3045283A"/>
    <w:rsid w:val="3049232A"/>
    <w:rsid w:val="305A1A89"/>
    <w:rsid w:val="30837AED"/>
    <w:rsid w:val="30843362"/>
    <w:rsid w:val="3094149E"/>
    <w:rsid w:val="309D26B9"/>
    <w:rsid w:val="309F1F4A"/>
    <w:rsid w:val="30AF28CF"/>
    <w:rsid w:val="30BD6874"/>
    <w:rsid w:val="30BE204E"/>
    <w:rsid w:val="30C16364"/>
    <w:rsid w:val="30C3531C"/>
    <w:rsid w:val="30C701DB"/>
    <w:rsid w:val="30E20AF4"/>
    <w:rsid w:val="30E32F8F"/>
    <w:rsid w:val="30E50A09"/>
    <w:rsid w:val="30EB4A5C"/>
    <w:rsid w:val="30F77FD8"/>
    <w:rsid w:val="30F93DA8"/>
    <w:rsid w:val="30FF5616"/>
    <w:rsid w:val="310B75DF"/>
    <w:rsid w:val="311662C4"/>
    <w:rsid w:val="311A7D11"/>
    <w:rsid w:val="31346A2A"/>
    <w:rsid w:val="3142432D"/>
    <w:rsid w:val="314C3B0E"/>
    <w:rsid w:val="316E0043"/>
    <w:rsid w:val="317417AB"/>
    <w:rsid w:val="318B0720"/>
    <w:rsid w:val="31931732"/>
    <w:rsid w:val="319E0E19"/>
    <w:rsid w:val="31E4685C"/>
    <w:rsid w:val="31E46AAB"/>
    <w:rsid w:val="31F22C5A"/>
    <w:rsid w:val="31F82D94"/>
    <w:rsid w:val="32027B7F"/>
    <w:rsid w:val="32095B8B"/>
    <w:rsid w:val="320E214E"/>
    <w:rsid w:val="321418CF"/>
    <w:rsid w:val="32296030"/>
    <w:rsid w:val="322C28A5"/>
    <w:rsid w:val="323B5CA2"/>
    <w:rsid w:val="3243161E"/>
    <w:rsid w:val="324C6101"/>
    <w:rsid w:val="324D17CB"/>
    <w:rsid w:val="326E7E26"/>
    <w:rsid w:val="329706CD"/>
    <w:rsid w:val="329B0E37"/>
    <w:rsid w:val="329F4D04"/>
    <w:rsid w:val="32B44783"/>
    <w:rsid w:val="32C11A61"/>
    <w:rsid w:val="32E41761"/>
    <w:rsid w:val="32ED71B1"/>
    <w:rsid w:val="32F47240"/>
    <w:rsid w:val="32F86004"/>
    <w:rsid w:val="32F86139"/>
    <w:rsid w:val="33020005"/>
    <w:rsid w:val="331E2FF7"/>
    <w:rsid w:val="33327544"/>
    <w:rsid w:val="33415717"/>
    <w:rsid w:val="33432F7A"/>
    <w:rsid w:val="335927F3"/>
    <w:rsid w:val="33661445"/>
    <w:rsid w:val="33743B62"/>
    <w:rsid w:val="337851F0"/>
    <w:rsid w:val="338A6075"/>
    <w:rsid w:val="33911C9E"/>
    <w:rsid w:val="33A53035"/>
    <w:rsid w:val="33AB047D"/>
    <w:rsid w:val="33B41A0C"/>
    <w:rsid w:val="33C543BD"/>
    <w:rsid w:val="33CF2B46"/>
    <w:rsid w:val="33DE0FDB"/>
    <w:rsid w:val="33F7057C"/>
    <w:rsid w:val="33F7193D"/>
    <w:rsid w:val="34030A42"/>
    <w:rsid w:val="340E6C71"/>
    <w:rsid w:val="3415142D"/>
    <w:rsid w:val="341B13BD"/>
    <w:rsid w:val="342143E2"/>
    <w:rsid w:val="342A6E92"/>
    <w:rsid w:val="345C66F0"/>
    <w:rsid w:val="345F1283"/>
    <w:rsid w:val="3460157A"/>
    <w:rsid w:val="346431E7"/>
    <w:rsid w:val="34680270"/>
    <w:rsid w:val="3474098C"/>
    <w:rsid w:val="34880F47"/>
    <w:rsid w:val="34904DB7"/>
    <w:rsid w:val="34A5392C"/>
    <w:rsid w:val="34AF2977"/>
    <w:rsid w:val="34B54432"/>
    <w:rsid w:val="34C2567B"/>
    <w:rsid w:val="34D97EE5"/>
    <w:rsid w:val="34E56399"/>
    <w:rsid w:val="34EE0CD8"/>
    <w:rsid w:val="34F03E59"/>
    <w:rsid w:val="34FA3D16"/>
    <w:rsid w:val="350D6C6E"/>
    <w:rsid w:val="352A7C9F"/>
    <w:rsid w:val="35323C1E"/>
    <w:rsid w:val="35324C61"/>
    <w:rsid w:val="355A2F26"/>
    <w:rsid w:val="355C73BE"/>
    <w:rsid w:val="356532B0"/>
    <w:rsid w:val="35655471"/>
    <w:rsid w:val="35702490"/>
    <w:rsid w:val="35781FD3"/>
    <w:rsid w:val="357A4486"/>
    <w:rsid w:val="358215AA"/>
    <w:rsid w:val="35930382"/>
    <w:rsid w:val="359955FD"/>
    <w:rsid w:val="35A61D8A"/>
    <w:rsid w:val="35AD0C5D"/>
    <w:rsid w:val="35B356DB"/>
    <w:rsid w:val="35BE69E6"/>
    <w:rsid w:val="35C73995"/>
    <w:rsid w:val="35C867DA"/>
    <w:rsid w:val="35E36953"/>
    <w:rsid w:val="35EE7983"/>
    <w:rsid w:val="360463BD"/>
    <w:rsid w:val="361A4CBA"/>
    <w:rsid w:val="361E2340"/>
    <w:rsid w:val="362829E1"/>
    <w:rsid w:val="3628690B"/>
    <w:rsid w:val="36296AC3"/>
    <w:rsid w:val="3635244F"/>
    <w:rsid w:val="36491F9A"/>
    <w:rsid w:val="36737C13"/>
    <w:rsid w:val="3675780A"/>
    <w:rsid w:val="367D0F7F"/>
    <w:rsid w:val="36823824"/>
    <w:rsid w:val="3683672D"/>
    <w:rsid w:val="36853EF7"/>
    <w:rsid w:val="3686006F"/>
    <w:rsid w:val="368F2208"/>
    <w:rsid w:val="369B5F3D"/>
    <w:rsid w:val="36A5721F"/>
    <w:rsid w:val="36C73FA8"/>
    <w:rsid w:val="36CA068A"/>
    <w:rsid w:val="36E462E8"/>
    <w:rsid w:val="36ED01E6"/>
    <w:rsid w:val="36EE59D9"/>
    <w:rsid w:val="36F51061"/>
    <w:rsid w:val="370A1E89"/>
    <w:rsid w:val="37113475"/>
    <w:rsid w:val="371A67CE"/>
    <w:rsid w:val="372323A9"/>
    <w:rsid w:val="372B16AC"/>
    <w:rsid w:val="37530924"/>
    <w:rsid w:val="377305C1"/>
    <w:rsid w:val="37796C4F"/>
    <w:rsid w:val="37917CBC"/>
    <w:rsid w:val="37925AFD"/>
    <w:rsid w:val="37BE35FD"/>
    <w:rsid w:val="37CB6729"/>
    <w:rsid w:val="37CF5330"/>
    <w:rsid w:val="37F14272"/>
    <w:rsid w:val="382449B4"/>
    <w:rsid w:val="383269FD"/>
    <w:rsid w:val="38557469"/>
    <w:rsid w:val="385C4F6A"/>
    <w:rsid w:val="38635F53"/>
    <w:rsid w:val="387947EA"/>
    <w:rsid w:val="387E7C60"/>
    <w:rsid w:val="389538D6"/>
    <w:rsid w:val="389B1C69"/>
    <w:rsid w:val="38AC3520"/>
    <w:rsid w:val="38B07328"/>
    <w:rsid w:val="38C27AB4"/>
    <w:rsid w:val="38DC2304"/>
    <w:rsid w:val="38DD5348"/>
    <w:rsid w:val="38F117B0"/>
    <w:rsid w:val="38F80D91"/>
    <w:rsid w:val="390670FB"/>
    <w:rsid w:val="39186D3D"/>
    <w:rsid w:val="39346276"/>
    <w:rsid w:val="394538AA"/>
    <w:rsid w:val="394D72C0"/>
    <w:rsid w:val="395157A1"/>
    <w:rsid w:val="39542A2B"/>
    <w:rsid w:val="395D2B81"/>
    <w:rsid w:val="39615F9A"/>
    <w:rsid w:val="39677CC5"/>
    <w:rsid w:val="3971469F"/>
    <w:rsid w:val="397A79F8"/>
    <w:rsid w:val="397B107A"/>
    <w:rsid w:val="397F0128"/>
    <w:rsid w:val="39900922"/>
    <w:rsid w:val="39A20D13"/>
    <w:rsid w:val="39A83854"/>
    <w:rsid w:val="39AA4753"/>
    <w:rsid w:val="39B03AC1"/>
    <w:rsid w:val="39D16A55"/>
    <w:rsid w:val="39D44E29"/>
    <w:rsid w:val="39E62B73"/>
    <w:rsid w:val="39EA0B29"/>
    <w:rsid w:val="3A133C3A"/>
    <w:rsid w:val="3A1553DC"/>
    <w:rsid w:val="3A190977"/>
    <w:rsid w:val="3A265CA1"/>
    <w:rsid w:val="3A43702A"/>
    <w:rsid w:val="3A4818A4"/>
    <w:rsid w:val="3A562629"/>
    <w:rsid w:val="3A6512F0"/>
    <w:rsid w:val="3A6F6E31"/>
    <w:rsid w:val="3A744FCF"/>
    <w:rsid w:val="3A802937"/>
    <w:rsid w:val="3A8A166C"/>
    <w:rsid w:val="3A8B353F"/>
    <w:rsid w:val="3A930975"/>
    <w:rsid w:val="3A9C574C"/>
    <w:rsid w:val="3A9F4183"/>
    <w:rsid w:val="3AA54601"/>
    <w:rsid w:val="3AA64710"/>
    <w:rsid w:val="3AAA3C34"/>
    <w:rsid w:val="3ABE6D34"/>
    <w:rsid w:val="3AEF0F5F"/>
    <w:rsid w:val="3AEF1D20"/>
    <w:rsid w:val="3AFD779E"/>
    <w:rsid w:val="3B357576"/>
    <w:rsid w:val="3B373E03"/>
    <w:rsid w:val="3B3B1B01"/>
    <w:rsid w:val="3B421572"/>
    <w:rsid w:val="3B567514"/>
    <w:rsid w:val="3B5B3F0C"/>
    <w:rsid w:val="3B607EC1"/>
    <w:rsid w:val="3B64626A"/>
    <w:rsid w:val="3B8834E9"/>
    <w:rsid w:val="3B8A37F6"/>
    <w:rsid w:val="3B8A53CA"/>
    <w:rsid w:val="3BA777F2"/>
    <w:rsid w:val="3BAB47CF"/>
    <w:rsid w:val="3BAC4273"/>
    <w:rsid w:val="3BAE1BDB"/>
    <w:rsid w:val="3BC9431F"/>
    <w:rsid w:val="3BDA1859"/>
    <w:rsid w:val="3BDF5C0A"/>
    <w:rsid w:val="3BE80327"/>
    <w:rsid w:val="3BEB3490"/>
    <w:rsid w:val="3BF03FA1"/>
    <w:rsid w:val="3BFC46F4"/>
    <w:rsid w:val="3C015CF0"/>
    <w:rsid w:val="3C1028FF"/>
    <w:rsid w:val="3C1E1135"/>
    <w:rsid w:val="3C215F09"/>
    <w:rsid w:val="3C242285"/>
    <w:rsid w:val="3C336EE8"/>
    <w:rsid w:val="3C3E0018"/>
    <w:rsid w:val="3C435010"/>
    <w:rsid w:val="3C446689"/>
    <w:rsid w:val="3C473951"/>
    <w:rsid w:val="3C7700E6"/>
    <w:rsid w:val="3C8C07B4"/>
    <w:rsid w:val="3C8D6FC7"/>
    <w:rsid w:val="3CB47F0E"/>
    <w:rsid w:val="3CC34211"/>
    <w:rsid w:val="3CD459D3"/>
    <w:rsid w:val="3CF90C34"/>
    <w:rsid w:val="3D0636DD"/>
    <w:rsid w:val="3D1C7C49"/>
    <w:rsid w:val="3D1F7288"/>
    <w:rsid w:val="3D385C00"/>
    <w:rsid w:val="3D3D520F"/>
    <w:rsid w:val="3D6069F2"/>
    <w:rsid w:val="3D632551"/>
    <w:rsid w:val="3D70539A"/>
    <w:rsid w:val="3D710C24"/>
    <w:rsid w:val="3D89645B"/>
    <w:rsid w:val="3D8D69B5"/>
    <w:rsid w:val="3DA31C51"/>
    <w:rsid w:val="3DAB4624"/>
    <w:rsid w:val="3DB22C1A"/>
    <w:rsid w:val="3DB35286"/>
    <w:rsid w:val="3DB47D35"/>
    <w:rsid w:val="3DCB1858"/>
    <w:rsid w:val="3DCC4998"/>
    <w:rsid w:val="3DE3064D"/>
    <w:rsid w:val="3DE91642"/>
    <w:rsid w:val="3DEC5D8E"/>
    <w:rsid w:val="3DEE62BF"/>
    <w:rsid w:val="3E077380"/>
    <w:rsid w:val="3E10520C"/>
    <w:rsid w:val="3E282514"/>
    <w:rsid w:val="3E3208E7"/>
    <w:rsid w:val="3E4147A8"/>
    <w:rsid w:val="3E511B38"/>
    <w:rsid w:val="3E517369"/>
    <w:rsid w:val="3E5D51F2"/>
    <w:rsid w:val="3E6A003B"/>
    <w:rsid w:val="3E77738D"/>
    <w:rsid w:val="3E7933E3"/>
    <w:rsid w:val="3E7E5894"/>
    <w:rsid w:val="3EA3333F"/>
    <w:rsid w:val="3EA63449"/>
    <w:rsid w:val="3EC823FF"/>
    <w:rsid w:val="3ED457EE"/>
    <w:rsid w:val="3F004322"/>
    <w:rsid w:val="3F051BD8"/>
    <w:rsid w:val="3F0960B1"/>
    <w:rsid w:val="3F0D1692"/>
    <w:rsid w:val="3F1A268D"/>
    <w:rsid w:val="3F374593"/>
    <w:rsid w:val="3F3D5750"/>
    <w:rsid w:val="3F4867F8"/>
    <w:rsid w:val="3F725E61"/>
    <w:rsid w:val="3F8A18B8"/>
    <w:rsid w:val="3F980BD8"/>
    <w:rsid w:val="3FAB7A14"/>
    <w:rsid w:val="3FB0268C"/>
    <w:rsid w:val="3FC755D5"/>
    <w:rsid w:val="3FCE71D4"/>
    <w:rsid w:val="3FD00372"/>
    <w:rsid w:val="4026168F"/>
    <w:rsid w:val="402E32EA"/>
    <w:rsid w:val="40300EB9"/>
    <w:rsid w:val="40346FDF"/>
    <w:rsid w:val="40382172"/>
    <w:rsid w:val="4044149D"/>
    <w:rsid w:val="406B09C0"/>
    <w:rsid w:val="407070A2"/>
    <w:rsid w:val="40902A75"/>
    <w:rsid w:val="40A4535A"/>
    <w:rsid w:val="40B029D6"/>
    <w:rsid w:val="40BC4452"/>
    <w:rsid w:val="40BE0421"/>
    <w:rsid w:val="40C46040"/>
    <w:rsid w:val="40C61DDD"/>
    <w:rsid w:val="40CE2B22"/>
    <w:rsid w:val="40D618C5"/>
    <w:rsid w:val="40E43639"/>
    <w:rsid w:val="40E55A05"/>
    <w:rsid w:val="40E67721"/>
    <w:rsid w:val="40F938F8"/>
    <w:rsid w:val="40F97454"/>
    <w:rsid w:val="40FF757A"/>
    <w:rsid w:val="410B06E8"/>
    <w:rsid w:val="410D516E"/>
    <w:rsid w:val="411A5144"/>
    <w:rsid w:val="411C75E7"/>
    <w:rsid w:val="412B15D8"/>
    <w:rsid w:val="413A5271"/>
    <w:rsid w:val="41426B72"/>
    <w:rsid w:val="414A3029"/>
    <w:rsid w:val="415150E4"/>
    <w:rsid w:val="4155467D"/>
    <w:rsid w:val="41614FF9"/>
    <w:rsid w:val="4168510F"/>
    <w:rsid w:val="416F7716"/>
    <w:rsid w:val="417B255F"/>
    <w:rsid w:val="417E7959"/>
    <w:rsid w:val="41896578"/>
    <w:rsid w:val="419F1A7D"/>
    <w:rsid w:val="41AE4C6F"/>
    <w:rsid w:val="41B94E35"/>
    <w:rsid w:val="41BE37B6"/>
    <w:rsid w:val="41C222F3"/>
    <w:rsid w:val="41DA4BAC"/>
    <w:rsid w:val="41E51B23"/>
    <w:rsid w:val="41E5643D"/>
    <w:rsid w:val="42020AA7"/>
    <w:rsid w:val="421500C6"/>
    <w:rsid w:val="42154762"/>
    <w:rsid w:val="421E4375"/>
    <w:rsid w:val="423A7959"/>
    <w:rsid w:val="42880F8A"/>
    <w:rsid w:val="429060CC"/>
    <w:rsid w:val="429C453B"/>
    <w:rsid w:val="42B537FA"/>
    <w:rsid w:val="42D761E9"/>
    <w:rsid w:val="42DE4B54"/>
    <w:rsid w:val="42E303BC"/>
    <w:rsid w:val="42E94F03"/>
    <w:rsid w:val="42EF6D61"/>
    <w:rsid w:val="42F75C15"/>
    <w:rsid w:val="430976F7"/>
    <w:rsid w:val="43385080"/>
    <w:rsid w:val="436F39FE"/>
    <w:rsid w:val="437A2F9E"/>
    <w:rsid w:val="437B05F4"/>
    <w:rsid w:val="43842A9F"/>
    <w:rsid w:val="43860A72"/>
    <w:rsid w:val="438E2C19"/>
    <w:rsid w:val="43B21B3C"/>
    <w:rsid w:val="43B27D8E"/>
    <w:rsid w:val="43B348A9"/>
    <w:rsid w:val="43B753A5"/>
    <w:rsid w:val="43BE73F6"/>
    <w:rsid w:val="43BF0E83"/>
    <w:rsid w:val="43DB7805"/>
    <w:rsid w:val="43DC35E5"/>
    <w:rsid w:val="43EA5CD4"/>
    <w:rsid w:val="440A3F43"/>
    <w:rsid w:val="44226CC2"/>
    <w:rsid w:val="442962A2"/>
    <w:rsid w:val="44330ECF"/>
    <w:rsid w:val="44421112"/>
    <w:rsid w:val="44544F95"/>
    <w:rsid w:val="44755DAE"/>
    <w:rsid w:val="447F7A4F"/>
    <w:rsid w:val="448E4517"/>
    <w:rsid w:val="44915457"/>
    <w:rsid w:val="449A2CFC"/>
    <w:rsid w:val="44DD1E19"/>
    <w:rsid w:val="44E27B26"/>
    <w:rsid w:val="44E346A3"/>
    <w:rsid w:val="44E876B9"/>
    <w:rsid w:val="44F81321"/>
    <w:rsid w:val="44FF0DB1"/>
    <w:rsid w:val="450C5B24"/>
    <w:rsid w:val="450C67D3"/>
    <w:rsid w:val="450F48DA"/>
    <w:rsid w:val="452440C6"/>
    <w:rsid w:val="45247A34"/>
    <w:rsid w:val="45277DB3"/>
    <w:rsid w:val="453A6763"/>
    <w:rsid w:val="454C6C1F"/>
    <w:rsid w:val="4553160F"/>
    <w:rsid w:val="45592BB7"/>
    <w:rsid w:val="45667082"/>
    <w:rsid w:val="45675D3D"/>
    <w:rsid w:val="4591525A"/>
    <w:rsid w:val="459534C4"/>
    <w:rsid w:val="45996738"/>
    <w:rsid w:val="45A025F0"/>
    <w:rsid w:val="45A87CFD"/>
    <w:rsid w:val="45B84DDF"/>
    <w:rsid w:val="45BB4D68"/>
    <w:rsid w:val="45C5215E"/>
    <w:rsid w:val="45C52B4B"/>
    <w:rsid w:val="45C61E54"/>
    <w:rsid w:val="45C6486C"/>
    <w:rsid w:val="45CA5863"/>
    <w:rsid w:val="45CA7611"/>
    <w:rsid w:val="45CD0A27"/>
    <w:rsid w:val="45D363E3"/>
    <w:rsid w:val="45DB181E"/>
    <w:rsid w:val="45E209F7"/>
    <w:rsid w:val="45E32481"/>
    <w:rsid w:val="45E626C9"/>
    <w:rsid w:val="45ED1D05"/>
    <w:rsid w:val="460100A8"/>
    <w:rsid w:val="461D054F"/>
    <w:rsid w:val="463F7FFF"/>
    <w:rsid w:val="464A5997"/>
    <w:rsid w:val="464D57D4"/>
    <w:rsid w:val="4654512D"/>
    <w:rsid w:val="46674EA6"/>
    <w:rsid w:val="46736387"/>
    <w:rsid w:val="46805F22"/>
    <w:rsid w:val="46873C6C"/>
    <w:rsid w:val="46B300A5"/>
    <w:rsid w:val="46B80A41"/>
    <w:rsid w:val="46BD331C"/>
    <w:rsid w:val="46C179D0"/>
    <w:rsid w:val="46E04320"/>
    <w:rsid w:val="46E110B6"/>
    <w:rsid w:val="46E2098A"/>
    <w:rsid w:val="46FA3F26"/>
    <w:rsid w:val="470628CB"/>
    <w:rsid w:val="470B7832"/>
    <w:rsid w:val="47220315"/>
    <w:rsid w:val="47237CA6"/>
    <w:rsid w:val="472C44FE"/>
    <w:rsid w:val="475F1FDB"/>
    <w:rsid w:val="47623541"/>
    <w:rsid w:val="47676F2C"/>
    <w:rsid w:val="476A01E1"/>
    <w:rsid w:val="477535AD"/>
    <w:rsid w:val="47794DF5"/>
    <w:rsid w:val="47825A4E"/>
    <w:rsid w:val="479D20B4"/>
    <w:rsid w:val="47B068BA"/>
    <w:rsid w:val="47C10635"/>
    <w:rsid w:val="47C9025C"/>
    <w:rsid w:val="47CD7F51"/>
    <w:rsid w:val="47D15DAC"/>
    <w:rsid w:val="47D32CE8"/>
    <w:rsid w:val="47D97915"/>
    <w:rsid w:val="47E32C0C"/>
    <w:rsid w:val="47FE7B5F"/>
    <w:rsid w:val="480C556E"/>
    <w:rsid w:val="481474AF"/>
    <w:rsid w:val="48162D6D"/>
    <w:rsid w:val="481C3A83"/>
    <w:rsid w:val="482D169E"/>
    <w:rsid w:val="482D7234"/>
    <w:rsid w:val="4840124C"/>
    <w:rsid w:val="4842713F"/>
    <w:rsid w:val="48684123"/>
    <w:rsid w:val="486C49B0"/>
    <w:rsid w:val="486C5F17"/>
    <w:rsid w:val="488E2B78"/>
    <w:rsid w:val="48982F24"/>
    <w:rsid w:val="489F6C75"/>
    <w:rsid w:val="48A12020"/>
    <w:rsid w:val="48AA54D8"/>
    <w:rsid w:val="48AE321A"/>
    <w:rsid w:val="48D8032D"/>
    <w:rsid w:val="48DC39E1"/>
    <w:rsid w:val="48E00EFA"/>
    <w:rsid w:val="48EC4E31"/>
    <w:rsid w:val="49033566"/>
    <w:rsid w:val="490B5DD2"/>
    <w:rsid w:val="49314AD1"/>
    <w:rsid w:val="494B26DD"/>
    <w:rsid w:val="49563B3D"/>
    <w:rsid w:val="495A70E5"/>
    <w:rsid w:val="49666AFD"/>
    <w:rsid w:val="4968786D"/>
    <w:rsid w:val="49714100"/>
    <w:rsid w:val="4982618F"/>
    <w:rsid w:val="4984667E"/>
    <w:rsid w:val="499946E2"/>
    <w:rsid w:val="49AA1CEE"/>
    <w:rsid w:val="49DD74AC"/>
    <w:rsid w:val="49E43B49"/>
    <w:rsid w:val="49F27026"/>
    <w:rsid w:val="4A083C87"/>
    <w:rsid w:val="4A16639B"/>
    <w:rsid w:val="4A195E76"/>
    <w:rsid w:val="4A1D719E"/>
    <w:rsid w:val="4A3239D7"/>
    <w:rsid w:val="4A540D78"/>
    <w:rsid w:val="4A581969"/>
    <w:rsid w:val="4A6A0E4A"/>
    <w:rsid w:val="4A7D2F1F"/>
    <w:rsid w:val="4A91226D"/>
    <w:rsid w:val="4A952C70"/>
    <w:rsid w:val="4AAE1370"/>
    <w:rsid w:val="4AB50890"/>
    <w:rsid w:val="4AC40AD3"/>
    <w:rsid w:val="4AC84946"/>
    <w:rsid w:val="4AEE68F9"/>
    <w:rsid w:val="4AEF6430"/>
    <w:rsid w:val="4B154F82"/>
    <w:rsid w:val="4B292A3A"/>
    <w:rsid w:val="4B681434"/>
    <w:rsid w:val="4B75001F"/>
    <w:rsid w:val="4B755458"/>
    <w:rsid w:val="4BA120AB"/>
    <w:rsid w:val="4BED6239"/>
    <w:rsid w:val="4BFA22D2"/>
    <w:rsid w:val="4C0513A3"/>
    <w:rsid w:val="4C1243BD"/>
    <w:rsid w:val="4C177328"/>
    <w:rsid w:val="4C3103EA"/>
    <w:rsid w:val="4C433C79"/>
    <w:rsid w:val="4C4C0D7A"/>
    <w:rsid w:val="4C503898"/>
    <w:rsid w:val="4C895D35"/>
    <w:rsid w:val="4C8D562B"/>
    <w:rsid w:val="4C8F02D9"/>
    <w:rsid w:val="4C9323B4"/>
    <w:rsid w:val="4C981A36"/>
    <w:rsid w:val="4CA31E46"/>
    <w:rsid w:val="4CA64130"/>
    <w:rsid w:val="4CB22BAD"/>
    <w:rsid w:val="4CF1589A"/>
    <w:rsid w:val="4CF3744D"/>
    <w:rsid w:val="4CF4049F"/>
    <w:rsid w:val="4D0649B1"/>
    <w:rsid w:val="4D0A756A"/>
    <w:rsid w:val="4D22522D"/>
    <w:rsid w:val="4D2A6BE7"/>
    <w:rsid w:val="4D3832BB"/>
    <w:rsid w:val="4D4242D6"/>
    <w:rsid w:val="4D425F2A"/>
    <w:rsid w:val="4D460034"/>
    <w:rsid w:val="4D502A50"/>
    <w:rsid w:val="4D515951"/>
    <w:rsid w:val="4D5D7597"/>
    <w:rsid w:val="4D701627"/>
    <w:rsid w:val="4D7050C4"/>
    <w:rsid w:val="4D7A5DA6"/>
    <w:rsid w:val="4D7E5F48"/>
    <w:rsid w:val="4D891B60"/>
    <w:rsid w:val="4DA370C6"/>
    <w:rsid w:val="4DA92202"/>
    <w:rsid w:val="4DAC0D8B"/>
    <w:rsid w:val="4DB92158"/>
    <w:rsid w:val="4DB926D6"/>
    <w:rsid w:val="4DBC10A9"/>
    <w:rsid w:val="4DBD6EBE"/>
    <w:rsid w:val="4DBF5582"/>
    <w:rsid w:val="4DC20D30"/>
    <w:rsid w:val="4DCD4142"/>
    <w:rsid w:val="4DE91E6B"/>
    <w:rsid w:val="4DF83CA6"/>
    <w:rsid w:val="4DF85FA6"/>
    <w:rsid w:val="4E0A4E55"/>
    <w:rsid w:val="4E191270"/>
    <w:rsid w:val="4E2B23A9"/>
    <w:rsid w:val="4E2C7610"/>
    <w:rsid w:val="4E34792C"/>
    <w:rsid w:val="4E4D2B79"/>
    <w:rsid w:val="4E516B22"/>
    <w:rsid w:val="4E524DC7"/>
    <w:rsid w:val="4E9609D8"/>
    <w:rsid w:val="4E996EE6"/>
    <w:rsid w:val="4EA24DD0"/>
    <w:rsid w:val="4EA367DB"/>
    <w:rsid w:val="4EA52F9A"/>
    <w:rsid w:val="4EA55F7A"/>
    <w:rsid w:val="4EAF55F6"/>
    <w:rsid w:val="4ECA7CCA"/>
    <w:rsid w:val="4ED3244B"/>
    <w:rsid w:val="4EDF4DBB"/>
    <w:rsid w:val="4EE5726A"/>
    <w:rsid w:val="4F00700D"/>
    <w:rsid w:val="4F043FC5"/>
    <w:rsid w:val="4F095D23"/>
    <w:rsid w:val="4F1162B1"/>
    <w:rsid w:val="4F147D00"/>
    <w:rsid w:val="4F1666BD"/>
    <w:rsid w:val="4F244236"/>
    <w:rsid w:val="4F610FE6"/>
    <w:rsid w:val="4F742185"/>
    <w:rsid w:val="4F7D74A2"/>
    <w:rsid w:val="4F8346F1"/>
    <w:rsid w:val="4F917E95"/>
    <w:rsid w:val="4FAB6A19"/>
    <w:rsid w:val="4FAC452B"/>
    <w:rsid w:val="4FB355BA"/>
    <w:rsid w:val="4FBF5290"/>
    <w:rsid w:val="4FBF5A0A"/>
    <w:rsid w:val="4FC45CCC"/>
    <w:rsid w:val="4FD22CA9"/>
    <w:rsid w:val="4FD342A7"/>
    <w:rsid w:val="50031EF1"/>
    <w:rsid w:val="5006393C"/>
    <w:rsid w:val="50194AEC"/>
    <w:rsid w:val="50212524"/>
    <w:rsid w:val="502B5150"/>
    <w:rsid w:val="502B6EFE"/>
    <w:rsid w:val="503378F4"/>
    <w:rsid w:val="503A3C1A"/>
    <w:rsid w:val="503E1327"/>
    <w:rsid w:val="50491BFA"/>
    <w:rsid w:val="504C2D3B"/>
    <w:rsid w:val="504D50C7"/>
    <w:rsid w:val="5060129E"/>
    <w:rsid w:val="50602AFE"/>
    <w:rsid w:val="506E1F1C"/>
    <w:rsid w:val="50771A85"/>
    <w:rsid w:val="507765E7"/>
    <w:rsid w:val="507B6689"/>
    <w:rsid w:val="507F7E19"/>
    <w:rsid w:val="50846528"/>
    <w:rsid w:val="508524AA"/>
    <w:rsid w:val="50A24A00"/>
    <w:rsid w:val="50AB40AB"/>
    <w:rsid w:val="50BF6A89"/>
    <w:rsid w:val="50D02762"/>
    <w:rsid w:val="50FA45D0"/>
    <w:rsid w:val="510C5BAB"/>
    <w:rsid w:val="510F06E4"/>
    <w:rsid w:val="511115F1"/>
    <w:rsid w:val="51167500"/>
    <w:rsid w:val="514722E6"/>
    <w:rsid w:val="515B0F49"/>
    <w:rsid w:val="515D3A2F"/>
    <w:rsid w:val="518067D4"/>
    <w:rsid w:val="518679F1"/>
    <w:rsid w:val="51874608"/>
    <w:rsid w:val="518915B1"/>
    <w:rsid w:val="518A0C9C"/>
    <w:rsid w:val="518D0CFE"/>
    <w:rsid w:val="51B55619"/>
    <w:rsid w:val="51C74169"/>
    <w:rsid w:val="51C84543"/>
    <w:rsid w:val="51F74F5B"/>
    <w:rsid w:val="51F87BC9"/>
    <w:rsid w:val="51FB6271"/>
    <w:rsid w:val="52114CB4"/>
    <w:rsid w:val="521B6EC1"/>
    <w:rsid w:val="52306A4E"/>
    <w:rsid w:val="52397FF8"/>
    <w:rsid w:val="52400770"/>
    <w:rsid w:val="525053F7"/>
    <w:rsid w:val="52666C23"/>
    <w:rsid w:val="52727AD0"/>
    <w:rsid w:val="52757193"/>
    <w:rsid w:val="527903F5"/>
    <w:rsid w:val="527B23BF"/>
    <w:rsid w:val="529061C2"/>
    <w:rsid w:val="529741F3"/>
    <w:rsid w:val="52A66D10"/>
    <w:rsid w:val="52AB7419"/>
    <w:rsid w:val="52B4189C"/>
    <w:rsid w:val="52B95603"/>
    <w:rsid w:val="52BC6534"/>
    <w:rsid w:val="52D81EDC"/>
    <w:rsid w:val="52E83983"/>
    <w:rsid w:val="531D5224"/>
    <w:rsid w:val="53204D14"/>
    <w:rsid w:val="53334A48"/>
    <w:rsid w:val="533C1D2D"/>
    <w:rsid w:val="533C3E75"/>
    <w:rsid w:val="533F3F25"/>
    <w:rsid w:val="534F21C2"/>
    <w:rsid w:val="536645BF"/>
    <w:rsid w:val="538F4DF5"/>
    <w:rsid w:val="53996A05"/>
    <w:rsid w:val="53A06ABC"/>
    <w:rsid w:val="53A8333C"/>
    <w:rsid w:val="53B328F2"/>
    <w:rsid w:val="53B424C5"/>
    <w:rsid w:val="53BB2260"/>
    <w:rsid w:val="53C16164"/>
    <w:rsid w:val="53C30396"/>
    <w:rsid w:val="53C33348"/>
    <w:rsid w:val="53C5200C"/>
    <w:rsid w:val="53C75ED8"/>
    <w:rsid w:val="53D03714"/>
    <w:rsid w:val="53D42FFF"/>
    <w:rsid w:val="53DB43C2"/>
    <w:rsid w:val="53E915AA"/>
    <w:rsid w:val="53EB70D0"/>
    <w:rsid w:val="54040599"/>
    <w:rsid w:val="5426739E"/>
    <w:rsid w:val="54322F51"/>
    <w:rsid w:val="54532EC8"/>
    <w:rsid w:val="546B1FBF"/>
    <w:rsid w:val="54703A7A"/>
    <w:rsid w:val="547A0476"/>
    <w:rsid w:val="547E7373"/>
    <w:rsid w:val="548D3D2D"/>
    <w:rsid w:val="54970F70"/>
    <w:rsid w:val="54996B2C"/>
    <w:rsid w:val="549F43DF"/>
    <w:rsid w:val="54A375E3"/>
    <w:rsid w:val="54AF4B6A"/>
    <w:rsid w:val="54D72B02"/>
    <w:rsid w:val="55103FF9"/>
    <w:rsid w:val="55142657"/>
    <w:rsid w:val="551D59AF"/>
    <w:rsid w:val="5529156B"/>
    <w:rsid w:val="55311CFB"/>
    <w:rsid w:val="554E6F0F"/>
    <w:rsid w:val="55630506"/>
    <w:rsid w:val="55671B4A"/>
    <w:rsid w:val="557650C0"/>
    <w:rsid w:val="55765F7E"/>
    <w:rsid w:val="55911EF9"/>
    <w:rsid w:val="55A00D41"/>
    <w:rsid w:val="55BF7BA4"/>
    <w:rsid w:val="55C217EF"/>
    <w:rsid w:val="55CC4847"/>
    <w:rsid w:val="55D44B4E"/>
    <w:rsid w:val="55D808B0"/>
    <w:rsid w:val="55DB4AE7"/>
    <w:rsid w:val="55E262B1"/>
    <w:rsid w:val="55E57C51"/>
    <w:rsid w:val="55E81237"/>
    <w:rsid w:val="55EC7130"/>
    <w:rsid w:val="55F3226C"/>
    <w:rsid w:val="56087171"/>
    <w:rsid w:val="560D4CD8"/>
    <w:rsid w:val="56343566"/>
    <w:rsid w:val="564231F4"/>
    <w:rsid w:val="56524859"/>
    <w:rsid w:val="569A6B8C"/>
    <w:rsid w:val="56A1616C"/>
    <w:rsid w:val="56C65BD3"/>
    <w:rsid w:val="56CA16BB"/>
    <w:rsid w:val="56D55E16"/>
    <w:rsid w:val="56DB2F61"/>
    <w:rsid w:val="56E1513A"/>
    <w:rsid w:val="56E5748E"/>
    <w:rsid w:val="56EA075D"/>
    <w:rsid w:val="56EE45EC"/>
    <w:rsid w:val="56EF2D80"/>
    <w:rsid w:val="56F94530"/>
    <w:rsid w:val="56FE72CE"/>
    <w:rsid w:val="56FF14E2"/>
    <w:rsid w:val="570E3AB3"/>
    <w:rsid w:val="571855ED"/>
    <w:rsid w:val="57206834"/>
    <w:rsid w:val="57306F54"/>
    <w:rsid w:val="576158FB"/>
    <w:rsid w:val="576C0528"/>
    <w:rsid w:val="576F626A"/>
    <w:rsid w:val="577613A7"/>
    <w:rsid w:val="57787442"/>
    <w:rsid w:val="57B112F2"/>
    <w:rsid w:val="57D5598E"/>
    <w:rsid w:val="57EA3B43"/>
    <w:rsid w:val="57EA51F8"/>
    <w:rsid w:val="57F604FD"/>
    <w:rsid w:val="580E5185"/>
    <w:rsid w:val="58372E65"/>
    <w:rsid w:val="583F5C3D"/>
    <w:rsid w:val="584D343E"/>
    <w:rsid w:val="584F1165"/>
    <w:rsid w:val="58527679"/>
    <w:rsid w:val="58587850"/>
    <w:rsid w:val="585D6988"/>
    <w:rsid w:val="588456B9"/>
    <w:rsid w:val="588F630F"/>
    <w:rsid w:val="588F6FE2"/>
    <w:rsid w:val="58945778"/>
    <w:rsid w:val="58975A79"/>
    <w:rsid w:val="589A10C5"/>
    <w:rsid w:val="58BD3EE8"/>
    <w:rsid w:val="58BD62E2"/>
    <w:rsid w:val="58D451F1"/>
    <w:rsid w:val="58DE5456"/>
    <w:rsid w:val="58EA76E2"/>
    <w:rsid w:val="58EA7EC3"/>
    <w:rsid w:val="58FA40E6"/>
    <w:rsid w:val="59264146"/>
    <w:rsid w:val="59305585"/>
    <w:rsid w:val="5931390E"/>
    <w:rsid w:val="5933349A"/>
    <w:rsid w:val="59385B7E"/>
    <w:rsid w:val="594218FC"/>
    <w:rsid w:val="59427042"/>
    <w:rsid w:val="59586D2A"/>
    <w:rsid w:val="596E3672"/>
    <w:rsid w:val="597605FA"/>
    <w:rsid w:val="5982321A"/>
    <w:rsid w:val="59834D46"/>
    <w:rsid w:val="598A68E5"/>
    <w:rsid w:val="5998599E"/>
    <w:rsid w:val="59A14377"/>
    <w:rsid w:val="59A81413"/>
    <w:rsid w:val="59B96EA6"/>
    <w:rsid w:val="59C06909"/>
    <w:rsid w:val="59E2586D"/>
    <w:rsid w:val="59E75618"/>
    <w:rsid w:val="59F66283"/>
    <w:rsid w:val="5A026F22"/>
    <w:rsid w:val="5A0368DA"/>
    <w:rsid w:val="5A223BA7"/>
    <w:rsid w:val="5A292701"/>
    <w:rsid w:val="5A2C0767"/>
    <w:rsid w:val="5A2C21F1"/>
    <w:rsid w:val="5A2E750B"/>
    <w:rsid w:val="5A3F74A9"/>
    <w:rsid w:val="5A454063"/>
    <w:rsid w:val="5A5A5113"/>
    <w:rsid w:val="5A6B0D60"/>
    <w:rsid w:val="5A7A5346"/>
    <w:rsid w:val="5A892869"/>
    <w:rsid w:val="5A90452E"/>
    <w:rsid w:val="5A982CAE"/>
    <w:rsid w:val="5AAC242A"/>
    <w:rsid w:val="5AAD4FCF"/>
    <w:rsid w:val="5AB20948"/>
    <w:rsid w:val="5AB3646E"/>
    <w:rsid w:val="5AB91A6C"/>
    <w:rsid w:val="5ABF1E79"/>
    <w:rsid w:val="5AC66FA0"/>
    <w:rsid w:val="5ADF1011"/>
    <w:rsid w:val="5B2F3295"/>
    <w:rsid w:val="5B307B16"/>
    <w:rsid w:val="5B3255E5"/>
    <w:rsid w:val="5B3417DC"/>
    <w:rsid w:val="5B3643B3"/>
    <w:rsid w:val="5B3C2019"/>
    <w:rsid w:val="5B436B82"/>
    <w:rsid w:val="5B4F0251"/>
    <w:rsid w:val="5B5273B7"/>
    <w:rsid w:val="5B555777"/>
    <w:rsid w:val="5B59395A"/>
    <w:rsid w:val="5B5B3838"/>
    <w:rsid w:val="5B5E0630"/>
    <w:rsid w:val="5B63428D"/>
    <w:rsid w:val="5B99712F"/>
    <w:rsid w:val="5B9F69D6"/>
    <w:rsid w:val="5BB32055"/>
    <w:rsid w:val="5BB65713"/>
    <w:rsid w:val="5BC326E1"/>
    <w:rsid w:val="5BD46EF6"/>
    <w:rsid w:val="5BED62EF"/>
    <w:rsid w:val="5C021C77"/>
    <w:rsid w:val="5C186ED1"/>
    <w:rsid w:val="5C190DC1"/>
    <w:rsid w:val="5C1D0456"/>
    <w:rsid w:val="5C2869E8"/>
    <w:rsid w:val="5C2E333A"/>
    <w:rsid w:val="5C337866"/>
    <w:rsid w:val="5C4233FC"/>
    <w:rsid w:val="5C432B0B"/>
    <w:rsid w:val="5C471564"/>
    <w:rsid w:val="5C7F0417"/>
    <w:rsid w:val="5C8D2155"/>
    <w:rsid w:val="5C93449A"/>
    <w:rsid w:val="5C9641EF"/>
    <w:rsid w:val="5CA70254"/>
    <w:rsid w:val="5CA838D8"/>
    <w:rsid w:val="5CAC44B7"/>
    <w:rsid w:val="5CD142A6"/>
    <w:rsid w:val="5CDE38C5"/>
    <w:rsid w:val="5CE22072"/>
    <w:rsid w:val="5CE96613"/>
    <w:rsid w:val="5CF53D12"/>
    <w:rsid w:val="5CF619DB"/>
    <w:rsid w:val="5D05575D"/>
    <w:rsid w:val="5D0B3072"/>
    <w:rsid w:val="5D0B3395"/>
    <w:rsid w:val="5D170F36"/>
    <w:rsid w:val="5D1C3741"/>
    <w:rsid w:val="5D1C6C39"/>
    <w:rsid w:val="5D3C7E0A"/>
    <w:rsid w:val="5D4F028D"/>
    <w:rsid w:val="5D4F619D"/>
    <w:rsid w:val="5D5911E0"/>
    <w:rsid w:val="5D5C4B9B"/>
    <w:rsid w:val="5D722C55"/>
    <w:rsid w:val="5D781FF4"/>
    <w:rsid w:val="5D7E0FB5"/>
    <w:rsid w:val="5D902A97"/>
    <w:rsid w:val="5D921077"/>
    <w:rsid w:val="5D943075"/>
    <w:rsid w:val="5D9840D7"/>
    <w:rsid w:val="5DA854AF"/>
    <w:rsid w:val="5DAE7E7F"/>
    <w:rsid w:val="5DB90503"/>
    <w:rsid w:val="5DB93DF1"/>
    <w:rsid w:val="5DBE7604"/>
    <w:rsid w:val="5DC138DD"/>
    <w:rsid w:val="5DC25562"/>
    <w:rsid w:val="5DC70681"/>
    <w:rsid w:val="5DD961EC"/>
    <w:rsid w:val="5DEB50E5"/>
    <w:rsid w:val="5DEC23C3"/>
    <w:rsid w:val="5DF214BE"/>
    <w:rsid w:val="5DF26EE2"/>
    <w:rsid w:val="5DF50F50"/>
    <w:rsid w:val="5DF51C98"/>
    <w:rsid w:val="5E063189"/>
    <w:rsid w:val="5E186B70"/>
    <w:rsid w:val="5E322579"/>
    <w:rsid w:val="5E331DA0"/>
    <w:rsid w:val="5E3648DA"/>
    <w:rsid w:val="5E3A68C0"/>
    <w:rsid w:val="5E44084E"/>
    <w:rsid w:val="5E514ED5"/>
    <w:rsid w:val="5E5D0481"/>
    <w:rsid w:val="5E663676"/>
    <w:rsid w:val="5E757748"/>
    <w:rsid w:val="5E7846E6"/>
    <w:rsid w:val="5EA51047"/>
    <w:rsid w:val="5EA63DA4"/>
    <w:rsid w:val="5EB92A9E"/>
    <w:rsid w:val="5EC42B56"/>
    <w:rsid w:val="5EEE261B"/>
    <w:rsid w:val="5EEF103B"/>
    <w:rsid w:val="5EF74470"/>
    <w:rsid w:val="5EF9147C"/>
    <w:rsid w:val="5F061262"/>
    <w:rsid w:val="5F0674B4"/>
    <w:rsid w:val="5F0A0CBF"/>
    <w:rsid w:val="5F18399C"/>
    <w:rsid w:val="5F266F2E"/>
    <w:rsid w:val="5F2F2C8B"/>
    <w:rsid w:val="5F5168EB"/>
    <w:rsid w:val="5F5571FC"/>
    <w:rsid w:val="5F5C70D4"/>
    <w:rsid w:val="5F624F5D"/>
    <w:rsid w:val="5F673FE6"/>
    <w:rsid w:val="5F724B4A"/>
    <w:rsid w:val="5F993E84"/>
    <w:rsid w:val="5F9C5723"/>
    <w:rsid w:val="5FAE1A35"/>
    <w:rsid w:val="5FAF4C91"/>
    <w:rsid w:val="5FCB0839"/>
    <w:rsid w:val="5FEC5EC8"/>
    <w:rsid w:val="60042BD5"/>
    <w:rsid w:val="600C142F"/>
    <w:rsid w:val="601B473C"/>
    <w:rsid w:val="601C0B60"/>
    <w:rsid w:val="601F43A3"/>
    <w:rsid w:val="60275697"/>
    <w:rsid w:val="60367F2C"/>
    <w:rsid w:val="60383D1D"/>
    <w:rsid w:val="604D57D2"/>
    <w:rsid w:val="60600A26"/>
    <w:rsid w:val="60634D29"/>
    <w:rsid w:val="60AC2AD0"/>
    <w:rsid w:val="60B30F76"/>
    <w:rsid w:val="60B365C5"/>
    <w:rsid w:val="60C1216A"/>
    <w:rsid w:val="60C516C4"/>
    <w:rsid w:val="60CF7652"/>
    <w:rsid w:val="60D330DF"/>
    <w:rsid w:val="60D76538"/>
    <w:rsid w:val="60D97EB3"/>
    <w:rsid w:val="60DB702F"/>
    <w:rsid w:val="60E31EC4"/>
    <w:rsid w:val="60E4521F"/>
    <w:rsid w:val="60EC092C"/>
    <w:rsid w:val="60F06A24"/>
    <w:rsid w:val="61072301"/>
    <w:rsid w:val="610F71F0"/>
    <w:rsid w:val="6110461A"/>
    <w:rsid w:val="61131471"/>
    <w:rsid w:val="611C1313"/>
    <w:rsid w:val="612F6067"/>
    <w:rsid w:val="613F69C8"/>
    <w:rsid w:val="615517AA"/>
    <w:rsid w:val="61686EB3"/>
    <w:rsid w:val="616D381B"/>
    <w:rsid w:val="616D6078"/>
    <w:rsid w:val="617536D4"/>
    <w:rsid w:val="61877220"/>
    <w:rsid w:val="61C01528"/>
    <w:rsid w:val="61C42064"/>
    <w:rsid w:val="61D648A4"/>
    <w:rsid w:val="61F17B26"/>
    <w:rsid w:val="620B49C3"/>
    <w:rsid w:val="620D71A2"/>
    <w:rsid w:val="62153852"/>
    <w:rsid w:val="621617F7"/>
    <w:rsid w:val="622D562D"/>
    <w:rsid w:val="62467BC8"/>
    <w:rsid w:val="62504DB0"/>
    <w:rsid w:val="62571FC8"/>
    <w:rsid w:val="626362B3"/>
    <w:rsid w:val="626C377A"/>
    <w:rsid w:val="628A38F2"/>
    <w:rsid w:val="629040CD"/>
    <w:rsid w:val="62927E2C"/>
    <w:rsid w:val="629575A7"/>
    <w:rsid w:val="62AF7836"/>
    <w:rsid w:val="62B65115"/>
    <w:rsid w:val="62BB22EC"/>
    <w:rsid w:val="62D4419C"/>
    <w:rsid w:val="62E47118"/>
    <w:rsid w:val="62F22374"/>
    <w:rsid w:val="62F34DFD"/>
    <w:rsid w:val="62FE04A2"/>
    <w:rsid w:val="63086B8D"/>
    <w:rsid w:val="631A52DC"/>
    <w:rsid w:val="63462575"/>
    <w:rsid w:val="634A4A1F"/>
    <w:rsid w:val="634E1470"/>
    <w:rsid w:val="63511246"/>
    <w:rsid w:val="6351733D"/>
    <w:rsid w:val="637D11D7"/>
    <w:rsid w:val="638B6556"/>
    <w:rsid w:val="639669CB"/>
    <w:rsid w:val="639A02E9"/>
    <w:rsid w:val="63A20D55"/>
    <w:rsid w:val="63AB23D8"/>
    <w:rsid w:val="63BA261B"/>
    <w:rsid w:val="63C27CF9"/>
    <w:rsid w:val="63EF63DA"/>
    <w:rsid w:val="63F333D7"/>
    <w:rsid w:val="63F560CF"/>
    <w:rsid w:val="63F975E8"/>
    <w:rsid w:val="6401501E"/>
    <w:rsid w:val="64195594"/>
    <w:rsid w:val="64233F72"/>
    <w:rsid w:val="64267C38"/>
    <w:rsid w:val="642C1E32"/>
    <w:rsid w:val="642D54E3"/>
    <w:rsid w:val="643A413C"/>
    <w:rsid w:val="64503AFF"/>
    <w:rsid w:val="647863BD"/>
    <w:rsid w:val="64794284"/>
    <w:rsid w:val="64852C29"/>
    <w:rsid w:val="649303EC"/>
    <w:rsid w:val="64936B77"/>
    <w:rsid w:val="6499282F"/>
    <w:rsid w:val="64A71234"/>
    <w:rsid w:val="64AD1C0F"/>
    <w:rsid w:val="64F32BE9"/>
    <w:rsid w:val="64FC0D83"/>
    <w:rsid w:val="65024C98"/>
    <w:rsid w:val="65091AAC"/>
    <w:rsid w:val="650921B8"/>
    <w:rsid w:val="652349F4"/>
    <w:rsid w:val="653264CF"/>
    <w:rsid w:val="65490C30"/>
    <w:rsid w:val="65554835"/>
    <w:rsid w:val="655B1BDC"/>
    <w:rsid w:val="655B5703"/>
    <w:rsid w:val="656F190F"/>
    <w:rsid w:val="65796741"/>
    <w:rsid w:val="657A02B4"/>
    <w:rsid w:val="65802023"/>
    <w:rsid w:val="658064C1"/>
    <w:rsid w:val="658F725C"/>
    <w:rsid w:val="65A117EB"/>
    <w:rsid w:val="65AC744A"/>
    <w:rsid w:val="65B6061D"/>
    <w:rsid w:val="65CA52F1"/>
    <w:rsid w:val="65D320AF"/>
    <w:rsid w:val="65DD1070"/>
    <w:rsid w:val="65E25E59"/>
    <w:rsid w:val="65F3363E"/>
    <w:rsid w:val="65FF6A0B"/>
    <w:rsid w:val="66107F30"/>
    <w:rsid w:val="6611353E"/>
    <w:rsid w:val="66204EED"/>
    <w:rsid w:val="663228BC"/>
    <w:rsid w:val="663919B1"/>
    <w:rsid w:val="663A3EE7"/>
    <w:rsid w:val="663C59A0"/>
    <w:rsid w:val="66481D8C"/>
    <w:rsid w:val="664E51E0"/>
    <w:rsid w:val="666653E1"/>
    <w:rsid w:val="66680A54"/>
    <w:rsid w:val="66707909"/>
    <w:rsid w:val="667B676C"/>
    <w:rsid w:val="6691079D"/>
    <w:rsid w:val="66996288"/>
    <w:rsid w:val="66B76986"/>
    <w:rsid w:val="66BA7EF9"/>
    <w:rsid w:val="66C36EA9"/>
    <w:rsid w:val="66CA526B"/>
    <w:rsid w:val="66CB78BF"/>
    <w:rsid w:val="66DE06E7"/>
    <w:rsid w:val="66E87CBE"/>
    <w:rsid w:val="66FC2F4B"/>
    <w:rsid w:val="670A7FF7"/>
    <w:rsid w:val="671322CC"/>
    <w:rsid w:val="671E1A5E"/>
    <w:rsid w:val="67301449"/>
    <w:rsid w:val="67463905"/>
    <w:rsid w:val="67497885"/>
    <w:rsid w:val="674F0B98"/>
    <w:rsid w:val="675770F1"/>
    <w:rsid w:val="67743131"/>
    <w:rsid w:val="677F56D4"/>
    <w:rsid w:val="67803924"/>
    <w:rsid w:val="67981CF8"/>
    <w:rsid w:val="67A74033"/>
    <w:rsid w:val="67AE12B8"/>
    <w:rsid w:val="67B62FC4"/>
    <w:rsid w:val="67C82BD8"/>
    <w:rsid w:val="67CD5013"/>
    <w:rsid w:val="67CD5D35"/>
    <w:rsid w:val="67D2646A"/>
    <w:rsid w:val="67D76215"/>
    <w:rsid w:val="67D97DF0"/>
    <w:rsid w:val="67F6636E"/>
    <w:rsid w:val="68113B42"/>
    <w:rsid w:val="682329AA"/>
    <w:rsid w:val="68374674"/>
    <w:rsid w:val="6839186E"/>
    <w:rsid w:val="68413602"/>
    <w:rsid w:val="68624A09"/>
    <w:rsid w:val="686621E0"/>
    <w:rsid w:val="68725C6A"/>
    <w:rsid w:val="68792AA5"/>
    <w:rsid w:val="688B71E1"/>
    <w:rsid w:val="68907DEF"/>
    <w:rsid w:val="68966316"/>
    <w:rsid w:val="68A70E96"/>
    <w:rsid w:val="68AB2A73"/>
    <w:rsid w:val="68B1428D"/>
    <w:rsid w:val="68B97080"/>
    <w:rsid w:val="68EC2C79"/>
    <w:rsid w:val="68F46F95"/>
    <w:rsid w:val="68F55EA4"/>
    <w:rsid w:val="68F62FE4"/>
    <w:rsid w:val="68FD6336"/>
    <w:rsid w:val="69232EFA"/>
    <w:rsid w:val="69242CA8"/>
    <w:rsid w:val="69272501"/>
    <w:rsid w:val="692763AB"/>
    <w:rsid w:val="69337A54"/>
    <w:rsid w:val="694111DC"/>
    <w:rsid w:val="69444A88"/>
    <w:rsid w:val="694F1739"/>
    <w:rsid w:val="694F4502"/>
    <w:rsid w:val="695979B8"/>
    <w:rsid w:val="695C79D2"/>
    <w:rsid w:val="696719A2"/>
    <w:rsid w:val="69681661"/>
    <w:rsid w:val="696F5C56"/>
    <w:rsid w:val="698017F5"/>
    <w:rsid w:val="69904E70"/>
    <w:rsid w:val="699F1505"/>
    <w:rsid w:val="69A73054"/>
    <w:rsid w:val="69B71E97"/>
    <w:rsid w:val="69B8584F"/>
    <w:rsid w:val="69BF36D4"/>
    <w:rsid w:val="69CA7613"/>
    <w:rsid w:val="69ED6D3E"/>
    <w:rsid w:val="69F11A9B"/>
    <w:rsid w:val="69F70D18"/>
    <w:rsid w:val="69FD398F"/>
    <w:rsid w:val="6A16664E"/>
    <w:rsid w:val="6A2B7DCF"/>
    <w:rsid w:val="6A2E78BF"/>
    <w:rsid w:val="6A366774"/>
    <w:rsid w:val="6A5B19FE"/>
    <w:rsid w:val="6A5C3987"/>
    <w:rsid w:val="6A740878"/>
    <w:rsid w:val="6A7A169E"/>
    <w:rsid w:val="6A7F7D88"/>
    <w:rsid w:val="6A841BD5"/>
    <w:rsid w:val="6A903EAB"/>
    <w:rsid w:val="6A930C8B"/>
    <w:rsid w:val="6A9726A4"/>
    <w:rsid w:val="6A99742E"/>
    <w:rsid w:val="6A9A4F55"/>
    <w:rsid w:val="6A9E45B3"/>
    <w:rsid w:val="6AAD1EE4"/>
    <w:rsid w:val="6AAE41E5"/>
    <w:rsid w:val="6ABD2921"/>
    <w:rsid w:val="6ACD6CBC"/>
    <w:rsid w:val="6ADF6AA2"/>
    <w:rsid w:val="6AFB3A24"/>
    <w:rsid w:val="6B057D75"/>
    <w:rsid w:val="6B066491"/>
    <w:rsid w:val="6B135EE9"/>
    <w:rsid w:val="6B1E33E5"/>
    <w:rsid w:val="6B240F89"/>
    <w:rsid w:val="6B2E7D0C"/>
    <w:rsid w:val="6B340AF9"/>
    <w:rsid w:val="6B3A325C"/>
    <w:rsid w:val="6B3C528A"/>
    <w:rsid w:val="6B3E2321"/>
    <w:rsid w:val="6B4C0C13"/>
    <w:rsid w:val="6B5B0D6D"/>
    <w:rsid w:val="6B6F018F"/>
    <w:rsid w:val="6B721D7B"/>
    <w:rsid w:val="6B765258"/>
    <w:rsid w:val="6B777044"/>
    <w:rsid w:val="6B814F0D"/>
    <w:rsid w:val="6B841675"/>
    <w:rsid w:val="6B8C0052"/>
    <w:rsid w:val="6B9B0F84"/>
    <w:rsid w:val="6B9D0B55"/>
    <w:rsid w:val="6BA3610B"/>
    <w:rsid w:val="6BCA3618"/>
    <w:rsid w:val="6BD3270F"/>
    <w:rsid w:val="6BE14687"/>
    <w:rsid w:val="6BE92D89"/>
    <w:rsid w:val="6BE94538"/>
    <w:rsid w:val="6BEA428F"/>
    <w:rsid w:val="6BF43493"/>
    <w:rsid w:val="6C2829C6"/>
    <w:rsid w:val="6C313697"/>
    <w:rsid w:val="6C481AD5"/>
    <w:rsid w:val="6C610657"/>
    <w:rsid w:val="6C622420"/>
    <w:rsid w:val="6C6C0CCC"/>
    <w:rsid w:val="6C6C3C2F"/>
    <w:rsid w:val="6C720B42"/>
    <w:rsid w:val="6C79696B"/>
    <w:rsid w:val="6C8708E5"/>
    <w:rsid w:val="6C89702F"/>
    <w:rsid w:val="6C8C4C6F"/>
    <w:rsid w:val="6CA168A9"/>
    <w:rsid w:val="6CA2244F"/>
    <w:rsid w:val="6CEE5F77"/>
    <w:rsid w:val="6CF17C9C"/>
    <w:rsid w:val="6D20183B"/>
    <w:rsid w:val="6D3308B6"/>
    <w:rsid w:val="6D4608A2"/>
    <w:rsid w:val="6D5A2F24"/>
    <w:rsid w:val="6D61072D"/>
    <w:rsid w:val="6D992B63"/>
    <w:rsid w:val="6D995B04"/>
    <w:rsid w:val="6D9D6CA4"/>
    <w:rsid w:val="6DC95027"/>
    <w:rsid w:val="6DC96A4D"/>
    <w:rsid w:val="6DCA7220"/>
    <w:rsid w:val="6DCC38B7"/>
    <w:rsid w:val="6DDB1D69"/>
    <w:rsid w:val="6DDF0EA1"/>
    <w:rsid w:val="6DEC3E78"/>
    <w:rsid w:val="6DF1132F"/>
    <w:rsid w:val="6DF838A7"/>
    <w:rsid w:val="6E0472B5"/>
    <w:rsid w:val="6E135B90"/>
    <w:rsid w:val="6E30319C"/>
    <w:rsid w:val="6E3763F9"/>
    <w:rsid w:val="6E3A64DC"/>
    <w:rsid w:val="6E4C7D7F"/>
    <w:rsid w:val="6E4E12F7"/>
    <w:rsid w:val="6E544745"/>
    <w:rsid w:val="6E5E51C0"/>
    <w:rsid w:val="6E603047"/>
    <w:rsid w:val="6E7E2C45"/>
    <w:rsid w:val="6E7F385D"/>
    <w:rsid w:val="6E8403F6"/>
    <w:rsid w:val="6E845862"/>
    <w:rsid w:val="6E850E85"/>
    <w:rsid w:val="6E9C129B"/>
    <w:rsid w:val="6EA43CB6"/>
    <w:rsid w:val="6EA634C2"/>
    <w:rsid w:val="6EA72BDE"/>
    <w:rsid w:val="6EAA6506"/>
    <w:rsid w:val="6ECF3FCD"/>
    <w:rsid w:val="6EDC5B3C"/>
    <w:rsid w:val="6EE64C1B"/>
    <w:rsid w:val="6EF57098"/>
    <w:rsid w:val="6EF952AC"/>
    <w:rsid w:val="6F093047"/>
    <w:rsid w:val="6F0B4673"/>
    <w:rsid w:val="6F1C045F"/>
    <w:rsid w:val="6F3B64CA"/>
    <w:rsid w:val="6F4E46E8"/>
    <w:rsid w:val="6F6A3147"/>
    <w:rsid w:val="6F6D4745"/>
    <w:rsid w:val="6F72024E"/>
    <w:rsid w:val="6F733F0B"/>
    <w:rsid w:val="6F791A9D"/>
    <w:rsid w:val="6F9415A7"/>
    <w:rsid w:val="6FAA42D8"/>
    <w:rsid w:val="6FC96DE6"/>
    <w:rsid w:val="6FCA2DF6"/>
    <w:rsid w:val="6FDF4B0C"/>
    <w:rsid w:val="6FF73264"/>
    <w:rsid w:val="6FFF6853"/>
    <w:rsid w:val="70016853"/>
    <w:rsid w:val="700B519B"/>
    <w:rsid w:val="7024775E"/>
    <w:rsid w:val="704A7F74"/>
    <w:rsid w:val="704C75A4"/>
    <w:rsid w:val="70553C87"/>
    <w:rsid w:val="706758D9"/>
    <w:rsid w:val="709C2C5B"/>
    <w:rsid w:val="70A628A5"/>
    <w:rsid w:val="70A82F8E"/>
    <w:rsid w:val="70AA7B3D"/>
    <w:rsid w:val="70B825D8"/>
    <w:rsid w:val="70CB4E7D"/>
    <w:rsid w:val="70CF47F7"/>
    <w:rsid w:val="70DF5EE3"/>
    <w:rsid w:val="71020F9C"/>
    <w:rsid w:val="71072108"/>
    <w:rsid w:val="71157793"/>
    <w:rsid w:val="712437CA"/>
    <w:rsid w:val="714C55C3"/>
    <w:rsid w:val="71557896"/>
    <w:rsid w:val="715A730A"/>
    <w:rsid w:val="715C11B6"/>
    <w:rsid w:val="7164006A"/>
    <w:rsid w:val="716B6DAE"/>
    <w:rsid w:val="717F6C24"/>
    <w:rsid w:val="71A85D2B"/>
    <w:rsid w:val="71BB4C68"/>
    <w:rsid w:val="71D302BD"/>
    <w:rsid w:val="71D53052"/>
    <w:rsid w:val="71D910A7"/>
    <w:rsid w:val="71F41690"/>
    <w:rsid w:val="72231CD3"/>
    <w:rsid w:val="722579FD"/>
    <w:rsid w:val="7228205E"/>
    <w:rsid w:val="7233025A"/>
    <w:rsid w:val="723B53D9"/>
    <w:rsid w:val="724F2C56"/>
    <w:rsid w:val="725B583E"/>
    <w:rsid w:val="72605643"/>
    <w:rsid w:val="727D6B51"/>
    <w:rsid w:val="729055BB"/>
    <w:rsid w:val="729A67F5"/>
    <w:rsid w:val="72B66FE5"/>
    <w:rsid w:val="72C21B37"/>
    <w:rsid w:val="72D34A99"/>
    <w:rsid w:val="72DB2F85"/>
    <w:rsid w:val="72DB51F2"/>
    <w:rsid w:val="72FF1AD4"/>
    <w:rsid w:val="72FF4E4D"/>
    <w:rsid w:val="7302255C"/>
    <w:rsid w:val="730445BD"/>
    <w:rsid w:val="730D3299"/>
    <w:rsid w:val="73214465"/>
    <w:rsid w:val="73341457"/>
    <w:rsid w:val="733E22E7"/>
    <w:rsid w:val="733E56C2"/>
    <w:rsid w:val="734942EB"/>
    <w:rsid w:val="734C5106"/>
    <w:rsid w:val="734F0CE7"/>
    <w:rsid w:val="73514ED4"/>
    <w:rsid w:val="73534A3F"/>
    <w:rsid w:val="73553921"/>
    <w:rsid w:val="736414AF"/>
    <w:rsid w:val="736F3422"/>
    <w:rsid w:val="73830C7C"/>
    <w:rsid w:val="739C1D3D"/>
    <w:rsid w:val="73A66A34"/>
    <w:rsid w:val="73B01345"/>
    <w:rsid w:val="73B2330F"/>
    <w:rsid w:val="73B415A0"/>
    <w:rsid w:val="73C71CB3"/>
    <w:rsid w:val="73C745D4"/>
    <w:rsid w:val="73CD7F53"/>
    <w:rsid w:val="73D4583C"/>
    <w:rsid w:val="73D979ED"/>
    <w:rsid w:val="73E20053"/>
    <w:rsid w:val="7416389E"/>
    <w:rsid w:val="74181243"/>
    <w:rsid w:val="7418733B"/>
    <w:rsid w:val="74203B6E"/>
    <w:rsid w:val="742835D1"/>
    <w:rsid w:val="74393B28"/>
    <w:rsid w:val="74447F58"/>
    <w:rsid w:val="744867B8"/>
    <w:rsid w:val="745E3404"/>
    <w:rsid w:val="746B58B8"/>
    <w:rsid w:val="748C590E"/>
    <w:rsid w:val="74956EB9"/>
    <w:rsid w:val="74BB723C"/>
    <w:rsid w:val="74BD1F6B"/>
    <w:rsid w:val="74C81ECF"/>
    <w:rsid w:val="74CE5F27"/>
    <w:rsid w:val="74E162BD"/>
    <w:rsid w:val="74F273BA"/>
    <w:rsid w:val="74F73FF0"/>
    <w:rsid w:val="75011F63"/>
    <w:rsid w:val="75063912"/>
    <w:rsid w:val="750B47C6"/>
    <w:rsid w:val="75311836"/>
    <w:rsid w:val="754F714B"/>
    <w:rsid w:val="755328D0"/>
    <w:rsid w:val="755D54FC"/>
    <w:rsid w:val="755D72AA"/>
    <w:rsid w:val="755E2EDB"/>
    <w:rsid w:val="75655EC9"/>
    <w:rsid w:val="75741D26"/>
    <w:rsid w:val="757463D7"/>
    <w:rsid w:val="75916A73"/>
    <w:rsid w:val="75951656"/>
    <w:rsid w:val="75AA2A3A"/>
    <w:rsid w:val="75AC6F45"/>
    <w:rsid w:val="75B72E5F"/>
    <w:rsid w:val="75BB5E33"/>
    <w:rsid w:val="75BF20F5"/>
    <w:rsid w:val="75CA2B92"/>
    <w:rsid w:val="75E67B07"/>
    <w:rsid w:val="75F94E0E"/>
    <w:rsid w:val="760A2CA9"/>
    <w:rsid w:val="76116A13"/>
    <w:rsid w:val="76436845"/>
    <w:rsid w:val="76452218"/>
    <w:rsid w:val="76495B54"/>
    <w:rsid w:val="764A0A8F"/>
    <w:rsid w:val="765468FF"/>
    <w:rsid w:val="76724260"/>
    <w:rsid w:val="76796257"/>
    <w:rsid w:val="76A43D54"/>
    <w:rsid w:val="76C03C04"/>
    <w:rsid w:val="76CF6BFC"/>
    <w:rsid w:val="76D2088B"/>
    <w:rsid w:val="76D75A21"/>
    <w:rsid w:val="76EC3433"/>
    <w:rsid w:val="76F0261B"/>
    <w:rsid w:val="77054438"/>
    <w:rsid w:val="77085AB0"/>
    <w:rsid w:val="771C44EA"/>
    <w:rsid w:val="773A2134"/>
    <w:rsid w:val="773A6941"/>
    <w:rsid w:val="774E334F"/>
    <w:rsid w:val="77616C41"/>
    <w:rsid w:val="77664A35"/>
    <w:rsid w:val="776857A9"/>
    <w:rsid w:val="7795166C"/>
    <w:rsid w:val="77974CF6"/>
    <w:rsid w:val="779E00B8"/>
    <w:rsid w:val="77C55DC2"/>
    <w:rsid w:val="77D511EC"/>
    <w:rsid w:val="77E6493B"/>
    <w:rsid w:val="77EA6925"/>
    <w:rsid w:val="77F10005"/>
    <w:rsid w:val="77F9150C"/>
    <w:rsid w:val="78126A72"/>
    <w:rsid w:val="78551163"/>
    <w:rsid w:val="78587E06"/>
    <w:rsid w:val="78715C30"/>
    <w:rsid w:val="78741A08"/>
    <w:rsid w:val="787819D1"/>
    <w:rsid w:val="78791B9F"/>
    <w:rsid w:val="787C3E06"/>
    <w:rsid w:val="788342F6"/>
    <w:rsid w:val="78920C19"/>
    <w:rsid w:val="789A36FA"/>
    <w:rsid w:val="789D23FC"/>
    <w:rsid w:val="78A331E2"/>
    <w:rsid w:val="78A61CA3"/>
    <w:rsid w:val="78A81E4E"/>
    <w:rsid w:val="78DD141D"/>
    <w:rsid w:val="78F27141"/>
    <w:rsid w:val="78FA10DA"/>
    <w:rsid w:val="790324A6"/>
    <w:rsid w:val="790E2D96"/>
    <w:rsid w:val="79154721"/>
    <w:rsid w:val="79294073"/>
    <w:rsid w:val="792C5912"/>
    <w:rsid w:val="793D4E59"/>
    <w:rsid w:val="794851C0"/>
    <w:rsid w:val="795673FC"/>
    <w:rsid w:val="79645244"/>
    <w:rsid w:val="79646E59"/>
    <w:rsid w:val="797A5596"/>
    <w:rsid w:val="797A7EB8"/>
    <w:rsid w:val="797F0D99"/>
    <w:rsid w:val="7985369A"/>
    <w:rsid w:val="79863274"/>
    <w:rsid w:val="79BA0604"/>
    <w:rsid w:val="79C67548"/>
    <w:rsid w:val="79D015DB"/>
    <w:rsid w:val="79D97847"/>
    <w:rsid w:val="79F374C6"/>
    <w:rsid w:val="79F833BF"/>
    <w:rsid w:val="79F929E4"/>
    <w:rsid w:val="7A083C89"/>
    <w:rsid w:val="7A100D8F"/>
    <w:rsid w:val="7A18355F"/>
    <w:rsid w:val="7A37631C"/>
    <w:rsid w:val="7A6C704B"/>
    <w:rsid w:val="7A6E52D7"/>
    <w:rsid w:val="7A812476"/>
    <w:rsid w:val="7A84575C"/>
    <w:rsid w:val="7A9279F6"/>
    <w:rsid w:val="7A9864EA"/>
    <w:rsid w:val="7AAA2F92"/>
    <w:rsid w:val="7ABC574A"/>
    <w:rsid w:val="7AC06311"/>
    <w:rsid w:val="7ACF4419"/>
    <w:rsid w:val="7AD2644D"/>
    <w:rsid w:val="7AD74E61"/>
    <w:rsid w:val="7AF37B92"/>
    <w:rsid w:val="7B0F7299"/>
    <w:rsid w:val="7B1B5C3E"/>
    <w:rsid w:val="7B1D3764"/>
    <w:rsid w:val="7B2831BC"/>
    <w:rsid w:val="7B2F2D5E"/>
    <w:rsid w:val="7B5828E7"/>
    <w:rsid w:val="7B687A0D"/>
    <w:rsid w:val="7B6F732F"/>
    <w:rsid w:val="7B795228"/>
    <w:rsid w:val="7B7D0C51"/>
    <w:rsid w:val="7B8437E3"/>
    <w:rsid w:val="7B8451AD"/>
    <w:rsid w:val="7B8A1C3B"/>
    <w:rsid w:val="7B8C70B9"/>
    <w:rsid w:val="7BA2646E"/>
    <w:rsid w:val="7BA63759"/>
    <w:rsid w:val="7BB827D6"/>
    <w:rsid w:val="7BBC4E33"/>
    <w:rsid w:val="7BC0402D"/>
    <w:rsid w:val="7BC2255D"/>
    <w:rsid w:val="7BCD2610"/>
    <w:rsid w:val="7BCF44AC"/>
    <w:rsid w:val="7BD1454E"/>
    <w:rsid w:val="7BE53122"/>
    <w:rsid w:val="7BEE6EAE"/>
    <w:rsid w:val="7C292ABD"/>
    <w:rsid w:val="7C3C0FAB"/>
    <w:rsid w:val="7C3E1027"/>
    <w:rsid w:val="7C48594F"/>
    <w:rsid w:val="7C4C7D39"/>
    <w:rsid w:val="7C4D1E27"/>
    <w:rsid w:val="7C5E56B5"/>
    <w:rsid w:val="7C5F1E56"/>
    <w:rsid w:val="7C67531D"/>
    <w:rsid w:val="7C692DB1"/>
    <w:rsid w:val="7C7735CC"/>
    <w:rsid w:val="7C7A35A5"/>
    <w:rsid w:val="7C884D0B"/>
    <w:rsid w:val="7C8E2FA6"/>
    <w:rsid w:val="7CB2650A"/>
    <w:rsid w:val="7CBC18AD"/>
    <w:rsid w:val="7CDE7101"/>
    <w:rsid w:val="7CF130FA"/>
    <w:rsid w:val="7CF404F4"/>
    <w:rsid w:val="7CF6426C"/>
    <w:rsid w:val="7D014575"/>
    <w:rsid w:val="7D1963D5"/>
    <w:rsid w:val="7D1F267E"/>
    <w:rsid w:val="7D3D3836"/>
    <w:rsid w:val="7D405BCE"/>
    <w:rsid w:val="7D5A5A42"/>
    <w:rsid w:val="7D605419"/>
    <w:rsid w:val="7D6F401F"/>
    <w:rsid w:val="7D991D8E"/>
    <w:rsid w:val="7DB34B5F"/>
    <w:rsid w:val="7DBE0EFB"/>
    <w:rsid w:val="7DBF3497"/>
    <w:rsid w:val="7DCC76C3"/>
    <w:rsid w:val="7DD409A1"/>
    <w:rsid w:val="7DE501FD"/>
    <w:rsid w:val="7DFA73A0"/>
    <w:rsid w:val="7E02064C"/>
    <w:rsid w:val="7E023B3D"/>
    <w:rsid w:val="7E0B5B0F"/>
    <w:rsid w:val="7E260B81"/>
    <w:rsid w:val="7E43125F"/>
    <w:rsid w:val="7E817E4F"/>
    <w:rsid w:val="7E8F0AEC"/>
    <w:rsid w:val="7EBA3729"/>
    <w:rsid w:val="7ED3425C"/>
    <w:rsid w:val="7ED8110E"/>
    <w:rsid w:val="7EF56EA8"/>
    <w:rsid w:val="7F2F48B7"/>
    <w:rsid w:val="7F3F32D2"/>
    <w:rsid w:val="7F45772D"/>
    <w:rsid w:val="7F4D70F1"/>
    <w:rsid w:val="7F5B32B5"/>
    <w:rsid w:val="7F633D0C"/>
    <w:rsid w:val="7F6C7936"/>
    <w:rsid w:val="7F8A045F"/>
    <w:rsid w:val="7FA170DF"/>
    <w:rsid w:val="7FA32E69"/>
    <w:rsid w:val="7FC5498E"/>
    <w:rsid w:val="7FE42AA2"/>
    <w:rsid w:val="7FEE1B93"/>
    <w:rsid w:val="7FFB0E56"/>
    <w:rsid w:val="FDF9B6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qFormat="1" w:unhideWhenUsed="0" w:uiPriority="0" w:semiHidden="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semiHidden="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99" w:semiHidden="0" w:name="HTML Typewriter"/>
    <w:lsdException w:qFormat="1" w:unhideWhenUsed="0" w:uiPriority="0" w:name="HTML Variable"/>
    <w:lsdException w:qFormat="1" w:uiPriority="99" w:name="Normal Table"/>
    <w:lsdException w:qFormat="1" w:unhideWhenUsed="0"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semiHidden="0" w:name="Balloon Text"/>
    <w:lsdException w:qFormat="1" w:unhideWhenUsed="0" w:uiPriority="0" w:semiHidden="0" w:name="Table Grid"/>
    <w:lsdException w:qFormat="1" w:unhideWhenUsed="0"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jc w:val="both"/>
      <w:textAlignment w:val="baseline"/>
    </w:pPr>
    <w:rPr>
      <w:rFonts w:ascii="宋体" w:hAnsi="Calibri" w:eastAsia="仿宋" w:cs="Times New Roman"/>
      <w:sz w:val="28"/>
      <w:szCs w:val="21"/>
      <w:lang w:val="en-US" w:eastAsia="zh-CN" w:bidi="ar-SA"/>
    </w:rPr>
  </w:style>
  <w:style w:type="paragraph" w:styleId="5">
    <w:name w:val="heading 1"/>
    <w:basedOn w:val="1"/>
    <w:next w:val="1"/>
    <w:link w:val="187"/>
    <w:qFormat/>
    <w:uiPriority w:val="0"/>
    <w:pPr>
      <w:keepNext/>
      <w:keepLines/>
      <w:spacing w:before="340" w:after="330" w:line="578" w:lineRule="atLeast"/>
      <w:outlineLvl w:val="0"/>
    </w:pPr>
    <w:rPr>
      <w:b/>
      <w:bCs/>
      <w:kern w:val="44"/>
      <w:sz w:val="44"/>
      <w:szCs w:val="44"/>
    </w:rPr>
  </w:style>
  <w:style w:type="paragraph" w:styleId="6">
    <w:name w:val="heading 2"/>
    <w:basedOn w:val="1"/>
    <w:next w:val="1"/>
    <w:link w:val="144"/>
    <w:qFormat/>
    <w:uiPriority w:val="0"/>
    <w:pPr>
      <w:keepNext/>
      <w:keepLines/>
      <w:tabs>
        <w:tab w:val="left" w:pos="720"/>
      </w:tabs>
      <w:spacing w:before="260" w:after="260" w:line="416" w:lineRule="atLeast"/>
      <w:outlineLvl w:val="1"/>
    </w:pPr>
    <w:rPr>
      <w:rFonts w:ascii="Arial" w:hAnsi="Arial" w:eastAsia="黑体"/>
      <w:b/>
      <w:bCs/>
      <w:sz w:val="32"/>
      <w:szCs w:val="32"/>
    </w:rPr>
  </w:style>
  <w:style w:type="paragraph" w:styleId="7">
    <w:name w:val="heading 3"/>
    <w:basedOn w:val="1"/>
    <w:next w:val="1"/>
    <w:qFormat/>
    <w:uiPriority w:val="0"/>
    <w:pPr>
      <w:keepNext/>
      <w:keepLines/>
      <w:tabs>
        <w:tab w:val="left" w:pos="720"/>
      </w:tabs>
      <w:spacing w:before="260" w:after="260" w:line="416" w:lineRule="atLeast"/>
      <w:ind w:left="720" w:hanging="432"/>
      <w:outlineLvl w:val="2"/>
    </w:pPr>
    <w:rPr>
      <w:b/>
      <w:bCs/>
      <w:sz w:val="32"/>
      <w:szCs w:val="32"/>
    </w:rPr>
  </w:style>
  <w:style w:type="paragraph" w:styleId="8">
    <w:name w:val="heading 4"/>
    <w:basedOn w:val="1"/>
    <w:next w:val="1"/>
    <w:link w:val="164"/>
    <w:qFormat/>
    <w:uiPriority w:val="0"/>
    <w:pPr>
      <w:keepNext/>
      <w:keepLines/>
      <w:tabs>
        <w:tab w:val="left" w:pos="864"/>
      </w:tabs>
      <w:spacing w:before="280" w:after="290" w:line="376" w:lineRule="atLeast"/>
      <w:ind w:left="864" w:hanging="144"/>
      <w:outlineLvl w:val="3"/>
    </w:pPr>
    <w:rPr>
      <w:rFonts w:ascii="Arial" w:hAnsi="Arial" w:eastAsia="黑体"/>
      <w:b/>
      <w:bCs/>
      <w:szCs w:val="28"/>
    </w:rPr>
  </w:style>
  <w:style w:type="paragraph" w:styleId="9">
    <w:name w:val="heading 5"/>
    <w:basedOn w:val="1"/>
    <w:next w:val="10"/>
    <w:link w:val="146"/>
    <w:qFormat/>
    <w:uiPriority w:val="0"/>
    <w:pPr>
      <w:keepNext/>
      <w:keepLines/>
      <w:tabs>
        <w:tab w:val="left" w:pos="1008"/>
      </w:tabs>
      <w:spacing w:before="280" w:after="290" w:line="376" w:lineRule="atLeast"/>
      <w:ind w:left="1008" w:hanging="432"/>
      <w:outlineLvl w:val="4"/>
    </w:pPr>
    <w:rPr>
      <w:b/>
      <w:bCs/>
      <w:szCs w:val="28"/>
    </w:rPr>
  </w:style>
  <w:style w:type="paragraph" w:styleId="11">
    <w:name w:val="heading 6"/>
    <w:basedOn w:val="1"/>
    <w:next w:val="1"/>
    <w:qFormat/>
    <w:uiPriority w:val="0"/>
    <w:pPr>
      <w:keepNext/>
      <w:keepLines/>
      <w:tabs>
        <w:tab w:val="left" w:pos="1152"/>
      </w:tabs>
      <w:spacing w:before="240" w:after="64" w:line="320" w:lineRule="atLeast"/>
      <w:ind w:left="1152" w:hanging="432"/>
      <w:outlineLvl w:val="5"/>
    </w:pPr>
    <w:rPr>
      <w:rFonts w:ascii="Arial" w:hAnsi="Arial" w:eastAsia="黑体"/>
      <w:b/>
      <w:bCs/>
      <w:sz w:val="24"/>
      <w:szCs w:val="24"/>
    </w:rPr>
  </w:style>
  <w:style w:type="paragraph" w:styleId="12">
    <w:name w:val="heading 7"/>
    <w:basedOn w:val="1"/>
    <w:next w:val="1"/>
    <w:qFormat/>
    <w:uiPriority w:val="0"/>
    <w:pPr>
      <w:keepNext/>
      <w:keepLines/>
      <w:tabs>
        <w:tab w:val="left" w:pos="1296"/>
      </w:tabs>
      <w:spacing w:before="240" w:after="64" w:line="320" w:lineRule="atLeast"/>
      <w:ind w:left="1296" w:hanging="288"/>
      <w:outlineLvl w:val="6"/>
    </w:pPr>
    <w:rPr>
      <w:b/>
      <w:bCs/>
      <w:sz w:val="24"/>
      <w:szCs w:val="24"/>
    </w:rPr>
  </w:style>
  <w:style w:type="paragraph" w:styleId="13">
    <w:name w:val="heading 8"/>
    <w:basedOn w:val="1"/>
    <w:next w:val="1"/>
    <w:qFormat/>
    <w:uiPriority w:val="0"/>
    <w:pPr>
      <w:keepNext/>
      <w:keepLines/>
      <w:tabs>
        <w:tab w:val="left" w:pos="1440"/>
      </w:tabs>
      <w:spacing w:before="240" w:after="64" w:line="320" w:lineRule="atLeast"/>
      <w:ind w:left="1440" w:hanging="432"/>
      <w:outlineLvl w:val="7"/>
    </w:pPr>
    <w:rPr>
      <w:rFonts w:ascii="Arial" w:hAnsi="Arial" w:eastAsia="黑体"/>
      <w:sz w:val="24"/>
      <w:szCs w:val="24"/>
    </w:rPr>
  </w:style>
  <w:style w:type="paragraph" w:styleId="14">
    <w:name w:val="heading 9"/>
    <w:basedOn w:val="1"/>
    <w:next w:val="1"/>
    <w:qFormat/>
    <w:uiPriority w:val="0"/>
    <w:pPr>
      <w:keepNext/>
      <w:keepLines/>
      <w:tabs>
        <w:tab w:val="left" w:pos="1584"/>
      </w:tabs>
      <w:spacing w:before="240" w:after="64" w:line="320" w:lineRule="atLeast"/>
      <w:ind w:left="1584" w:hanging="144"/>
      <w:outlineLvl w:val="8"/>
    </w:pPr>
    <w:rPr>
      <w:rFonts w:ascii="Arial" w:hAnsi="Arial" w:eastAsia="黑体"/>
    </w:rPr>
  </w:style>
  <w:style w:type="character" w:default="1" w:styleId="122">
    <w:name w:val="Default Paragraph Font"/>
    <w:semiHidden/>
    <w:unhideWhenUsed/>
    <w:qFormat/>
    <w:uiPriority w:val="1"/>
  </w:style>
  <w:style w:type="table" w:default="1" w:styleId="7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2"/>
    <w:link w:val="219"/>
    <w:qFormat/>
    <w:uiPriority w:val="0"/>
    <w:pPr>
      <w:spacing w:after="120"/>
    </w:pPr>
    <w:rPr>
      <w:sz w:val="24"/>
    </w:rPr>
  </w:style>
  <w:style w:type="paragraph" w:styleId="4">
    <w:name w:val="toc 6"/>
    <w:basedOn w:val="1"/>
    <w:next w:val="1"/>
    <w:qFormat/>
    <w:uiPriority w:val="0"/>
    <w:pPr>
      <w:ind w:left="1200"/>
      <w:jc w:val="left"/>
    </w:pPr>
    <w:rPr>
      <w:rFonts w:ascii="Calibri"/>
      <w:sz w:val="18"/>
      <w:szCs w:val="18"/>
    </w:rPr>
  </w:style>
  <w:style w:type="paragraph" w:styleId="10">
    <w:name w:val="Normal Indent"/>
    <w:basedOn w:val="1"/>
    <w:link w:val="200"/>
    <w:qFormat/>
    <w:uiPriority w:val="0"/>
    <w:pPr>
      <w:ind w:firstLine="420" w:firstLineChars="200"/>
    </w:pPr>
    <w:rPr>
      <w:sz w:val="24"/>
    </w:rPr>
  </w:style>
  <w:style w:type="paragraph" w:styleId="15">
    <w:name w:val="List 3"/>
    <w:basedOn w:val="1"/>
    <w:qFormat/>
    <w:uiPriority w:val="0"/>
    <w:pPr>
      <w:ind w:left="100" w:leftChars="400" w:hanging="200" w:hangingChars="200"/>
    </w:pPr>
  </w:style>
  <w:style w:type="paragraph" w:styleId="16">
    <w:name w:val="toc 7"/>
    <w:basedOn w:val="1"/>
    <w:next w:val="1"/>
    <w:qFormat/>
    <w:uiPriority w:val="0"/>
    <w:pPr>
      <w:ind w:left="1440"/>
      <w:jc w:val="left"/>
    </w:pPr>
    <w:rPr>
      <w:rFonts w:ascii="Calibri"/>
      <w:sz w:val="18"/>
      <w:szCs w:val="18"/>
    </w:rPr>
  </w:style>
  <w:style w:type="paragraph" w:styleId="17">
    <w:name w:val="List Number 2"/>
    <w:basedOn w:val="1"/>
    <w:qFormat/>
    <w:uiPriority w:val="0"/>
    <w:pPr>
      <w:tabs>
        <w:tab w:val="left" w:pos="780"/>
      </w:tabs>
      <w:ind w:left="780" w:hanging="360"/>
    </w:pPr>
  </w:style>
  <w:style w:type="paragraph" w:styleId="18">
    <w:name w:val="Note Heading"/>
    <w:basedOn w:val="1"/>
    <w:next w:val="1"/>
    <w:semiHidden/>
    <w:qFormat/>
    <w:uiPriority w:val="0"/>
    <w:pPr>
      <w:jc w:val="center"/>
    </w:pPr>
  </w:style>
  <w:style w:type="paragraph" w:styleId="19">
    <w:name w:val="List Bullet 4"/>
    <w:basedOn w:val="1"/>
    <w:semiHidden/>
    <w:qFormat/>
    <w:uiPriority w:val="0"/>
    <w:pPr>
      <w:tabs>
        <w:tab w:val="left" w:pos="1620"/>
      </w:tabs>
      <w:ind w:left="1620" w:hanging="360"/>
    </w:pPr>
  </w:style>
  <w:style w:type="paragraph" w:styleId="20">
    <w:name w:val="E-mail Signature"/>
    <w:basedOn w:val="1"/>
    <w:semiHidden/>
    <w:qFormat/>
    <w:uiPriority w:val="0"/>
  </w:style>
  <w:style w:type="paragraph" w:styleId="21">
    <w:name w:val="List Number"/>
    <w:basedOn w:val="1"/>
    <w:qFormat/>
    <w:uiPriority w:val="0"/>
    <w:pPr>
      <w:tabs>
        <w:tab w:val="left" w:pos="360"/>
      </w:tabs>
      <w:ind w:left="360" w:hanging="360"/>
    </w:pPr>
  </w:style>
  <w:style w:type="paragraph" w:styleId="22">
    <w:name w:val="List Bullet"/>
    <w:basedOn w:val="1"/>
    <w:qFormat/>
    <w:uiPriority w:val="0"/>
    <w:pPr>
      <w:tabs>
        <w:tab w:val="left" w:pos="360"/>
      </w:tabs>
      <w:ind w:left="360" w:hanging="360"/>
    </w:pPr>
  </w:style>
  <w:style w:type="paragraph" w:styleId="23">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Cs w:val="24"/>
    </w:rPr>
  </w:style>
  <w:style w:type="paragraph" w:styleId="24">
    <w:name w:val="Document Map"/>
    <w:basedOn w:val="1"/>
    <w:link w:val="197"/>
    <w:qFormat/>
    <w:uiPriority w:val="0"/>
    <w:pPr>
      <w:shd w:val="clear" w:color="auto" w:fill="000080"/>
    </w:pPr>
    <w:rPr>
      <w:sz w:val="24"/>
    </w:rPr>
  </w:style>
  <w:style w:type="paragraph" w:styleId="25">
    <w:name w:val="annotation text"/>
    <w:basedOn w:val="1"/>
    <w:link w:val="154"/>
    <w:qFormat/>
    <w:uiPriority w:val="0"/>
    <w:pPr>
      <w:adjustRightInd/>
      <w:spacing w:line="240" w:lineRule="auto"/>
      <w:jc w:val="left"/>
      <w:textAlignment w:val="auto"/>
    </w:pPr>
    <w:rPr>
      <w:rFonts w:ascii="Calibri" w:eastAsia="宋体"/>
      <w:kern w:val="2"/>
      <w:sz w:val="21"/>
    </w:rPr>
  </w:style>
  <w:style w:type="paragraph" w:styleId="26">
    <w:name w:val="Salutation"/>
    <w:basedOn w:val="1"/>
    <w:next w:val="1"/>
    <w:link w:val="216"/>
    <w:qFormat/>
    <w:uiPriority w:val="0"/>
    <w:rPr>
      <w:sz w:val="24"/>
    </w:rPr>
  </w:style>
  <w:style w:type="paragraph" w:styleId="27">
    <w:name w:val="Body Text 3"/>
    <w:basedOn w:val="1"/>
    <w:qFormat/>
    <w:uiPriority w:val="0"/>
    <w:pPr>
      <w:spacing w:after="120"/>
    </w:pPr>
    <w:rPr>
      <w:sz w:val="16"/>
      <w:szCs w:val="16"/>
    </w:rPr>
  </w:style>
  <w:style w:type="paragraph" w:styleId="28">
    <w:name w:val="Closing"/>
    <w:basedOn w:val="1"/>
    <w:semiHidden/>
    <w:qFormat/>
    <w:uiPriority w:val="0"/>
    <w:pPr>
      <w:ind w:left="100" w:leftChars="2100"/>
    </w:pPr>
  </w:style>
  <w:style w:type="paragraph" w:styleId="29">
    <w:name w:val="List Bullet 3"/>
    <w:basedOn w:val="1"/>
    <w:semiHidden/>
    <w:qFormat/>
    <w:uiPriority w:val="0"/>
    <w:pPr>
      <w:tabs>
        <w:tab w:val="left" w:pos="1200"/>
      </w:tabs>
      <w:ind w:left="1200" w:hanging="360"/>
    </w:pPr>
  </w:style>
  <w:style w:type="paragraph" w:styleId="30">
    <w:name w:val="Body Text Indent"/>
    <w:basedOn w:val="1"/>
    <w:link w:val="169"/>
    <w:qFormat/>
    <w:uiPriority w:val="99"/>
    <w:pPr>
      <w:spacing w:after="120"/>
      <w:ind w:left="420" w:leftChars="200"/>
    </w:pPr>
    <w:rPr>
      <w:sz w:val="24"/>
    </w:rPr>
  </w:style>
  <w:style w:type="paragraph" w:styleId="31">
    <w:name w:val="List Number 3"/>
    <w:basedOn w:val="1"/>
    <w:semiHidden/>
    <w:qFormat/>
    <w:uiPriority w:val="0"/>
    <w:pPr>
      <w:tabs>
        <w:tab w:val="left" w:pos="1200"/>
      </w:tabs>
      <w:ind w:left="1200" w:hanging="360"/>
    </w:pPr>
  </w:style>
  <w:style w:type="paragraph" w:styleId="32">
    <w:name w:val="List 2"/>
    <w:basedOn w:val="1"/>
    <w:qFormat/>
    <w:uiPriority w:val="0"/>
    <w:pPr>
      <w:ind w:left="100" w:leftChars="200" w:hanging="200" w:hangingChars="200"/>
    </w:pPr>
  </w:style>
  <w:style w:type="paragraph" w:styleId="33">
    <w:name w:val="List Continue"/>
    <w:basedOn w:val="1"/>
    <w:semiHidden/>
    <w:qFormat/>
    <w:uiPriority w:val="0"/>
    <w:pPr>
      <w:spacing w:after="120"/>
      <w:ind w:left="420" w:leftChars="200"/>
    </w:pPr>
  </w:style>
  <w:style w:type="paragraph" w:styleId="34">
    <w:name w:val="Block Text"/>
    <w:basedOn w:val="1"/>
    <w:semiHidden/>
    <w:qFormat/>
    <w:uiPriority w:val="0"/>
    <w:pPr>
      <w:spacing w:after="120"/>
      <w:ind w:left="1440" w:leftChars="700" w:right="1440" w:rightChars="700"/>
    </w:pPr>
  </w:style>
  <w:style w:type="paragraph" w:styleId="35">
    <w:name w:val="List Bullet 2"/>
    <w:basedOn w:val="1"/>
    <w:semiHidden/>
    <w:qFormat/>
    <w:uiPriority w:val="0"/>
    <w:pPr>
      <w:tabs>
        <w:tab w:val="left" w:pos="780"/>
      </w:tabs>
      <w:ind w:left="780" w:hanging="360"/>
    </w:pPr>
  </w:style>
  <w:style w:type="paragraph" w:styleId="36">
    <w:name w:val="HTML Address"/>
    <w:basedOn w:val="1"/>
    <w:semiHidden/>
    <w:qFormat/>
    <w:uiPriority w:val="0"/>
    <w:rPr>
      <w:i/>
      <w:iCs/>
    </w:rPr>
  </w:style>
  <w:style w:type="paragraph" w:styleId="37">
    <w:name w:val="toc 5"/>
    <w:basedOn w:val="1"/>
    <w:next w:val="1"/>
    <w:qFormat/>
    <w:uiPriority w:val="0"/>
    <w:pPr>
      <w:ind w:left="960"/>
      <w:jc w:val="left"/>
    </w:pPr>
    <w:rPr>
      <w:rFonts w:ascii="Calibri"/>
      <w:sz w:val="18"/>
      <w:szCs w:val="18"/>
    </w:rPr>
  </w:style>
  <w:style w:type="paragraph" w:styleId="38">
    <w:name w:val="toc 3"/>
    <w:basedOn w:val="1"/>
    <w:next w:val="1"/>
    <w:qFormat/>
    <w:uiPriority w:val="39"/>
    <w:pPr>
      <w:ind w:left="480"/>
      <w:jc w:val="left"/>
    </w:pPr>
    <w:rPr>
      <w:rFonts w:ascii="Calibri"/>
      <w:i/>
      <w:iCs/>
      <w:sz w:val="20"/>
      <w:szCs w:val="20"/>
    </w:rPr>
  </w:style>
  <w:style w:type="paragraph" w:styleId="39">
    <w:name w:val="Plain Text"/>
    <w:basedOn w:val="1"/>
    <w:next w:val="40"/>
    <w:link w:val="211"/>
    <w:qFormat/>
    <w:uiPriority w:val="0"/>
    <w:rPr>
      <w:rFonts w:hAnsi="Courier New"/>
      <w:sz w:val="21"/>
    </w:rPr>
  </w:style>
  <w:style w:type="paragraph" w:styleId="40">
    <w:name w:val="toc 2"/>
    <w:basedOn w:val="1"/>
    <w:next w:val="1"/>
    <w:qFormat/>
    <w:uiPriority w:val="39"/>
    <w:pPr>
      <w:ind w:left="240"/>
      <w:jc w:val="left"/>
    </w:pPr>
    <w:rPr>
      <w:rFonts w:ascii="Calibri"/>
      <w:smallCaps/>
      <w:sz w:val="20"/>
      <w:szCs w:val="20"/>
    </w:rPr>
  </w:style>
  <w:style w:type="paragraph" w:styleId="41">
    <w:name w:val="List Bullet 5"/>
    <w:basedOn w:val="1"/>
    <w:semiHidden/>
    <w:qFormat/>
    <w:uiPriority w:val="0"/>
    <w:pPr>
      <w:tabs>
        <w:tab w:val="left" w:pos="2040"/>
      </w:tabs>
      <w:ind w:left="2040" w:hanging="360"/>
    </w:pPr>
  </w:style>
  <w:style w:type="paragraph" w:styleId="42">
    <w:name w:val="List Number 4"/>
    <w:basedOn w:val="1"/>
    <w:semiHidden/>
    <w:qFormat/>
    <w:uiPriority w:val="0"/>
    <w:pPr>
      <w:tabs>
        <w:tab w:val="left" w:pos="1620"/>
      </w:tabs>
      <w:ind w:left="1620" w:hanging="360"/>
    </w:pPr>
  </w:style>
  <w:style w:type="paragraph" w:styleId="43">
    <w:name w:val="toc 8"/>
    <w:basedOn w:val="1"/>
    <w:next w:val="1"/>
    <w:qFormat/>
    <w:uiPriority w:val="0"/>
    <w:pPr>
      <w:ind w:left="1680"/>
      <w:jc w:val="left"/>
    </w:pPr>
    <w:rPr>
      <w:rFonts w:ascii="Calibri"/>
      <w:sz w:val="18"/>
      <w:szCs w:val="18"/>
    </w:rPr>
  </w:style>
  <w:style w:type="paragraph" w:styleId="44">
    <w:name w:val="index 3"/>
    <w:basedOn w:val="1"/>
    <w:next w:val="1"/>
    <w:qFormat/>
    <w:uiPriority w:val="0"/>
    <w:pPr>
      <w:adjustRightInd/>
      <w:spacing w:line="240" w:lineRule="auto"/>
      <w:ind w:left="840"/>
      <w:textAlignment w:val="auto"/>
    </w:pPr>
    <w:rPr>
      <w:rFonts w:ascii="Times New Roman" w:eastAsia="宋体"/>
      <w:kern w:val="2"/>
      <w:sz w:val="21"/>
      <w:szCs w:val="20"/>
    </w:rPr>
  </w:style>
  <w:style w:type="paragraph" w:styleId="45">
    <w:name w:val="Date"/>
    <w:basedOn w:val="1"/>
    <w:next w:val="1"/>
    <w:link w:val="199"/>
    <w:qFormat/>
    <w:uiPriority w:val="0"/>
    <w:pPr>
      <w:ind w:left="100" w:leftChars="2500"/>
    </w:pPr>
    <w:rPr>
      <w:sz w:val="24"/>
    </w:rPr>
  </w:style>
  <w:style w:type="paragraph" w:styleId="46">
    <w:name w:val="Body Text Indent 2"/>
    <w:basedOn w:val="1"/>
    <w:link w:val="195"/>
    <w:qFormat/>
    <w:uiPriority w:val="0"/>
    <w:pPr>
      <w:spacing w:after="120" w:line="480" w:lineRule="auto"/>
      <w:ind w:left="420" w:leftChars="200"/>
    </w:pPr>
    <w:rPr>
      <w:sz w:val="24"/>
    </w:rPr>
  </w:style>
  <w:style w:type="paragraph" w:styleId="47">
    <w:name w:val="endnote text"/>
    <w:basedOn w:val="1"/>
    <w:semiHidden/>
    <w:qFormat/>
    <w:uiPriority w:val="0"/>
    <w:pPr>
      <w:snapToGrid w:val="0"/>
      <w:jc w:val="left"/>
    </w:pPr>
  </w:style>
  <w:style w:type="paragraph" w:styleId="48">
    <w:name w:val="List Continue 5"/>
    <w:basedOn w:val="1"/>
    <w:semiHidden/>
    <w:qFormat/>
    <w:uiPriority w:val="0"/>
    <w:pPr>
      <w:spacing w:after="120"/>
      <w:ind w:left="2100" w:leftChars="1000"/>
    </w:pPr>
  </w:style>
  <w:style w:type="paragraph" w:styleId="49">
    <w:name w:val="Balloon Text"/>
    <w:basedOn w:val="1"/>
    <w:link w:val="213"/>
    <w:qFormat/>
    <w:uiPriority w:val="0"/>
    <w:rPr>
      <w:sz w:val="18"/>
      <w:szCs w:val="18"/>
    </w:rPr>
  </w:style>
  <w:style w:type="paragraph" w:styleId="50">
    <w:name w:val="footer"/>
    <w:basedOn w:val="1"/>
    <w:link w:val="191"/>
    <w:qFormat/>
    <w:uiPriority w:val="99"/>
    <w:pPr>
      <w:tabs>
        <w:tab w:val="center" w:pos="4153"/>
        <w:tab w:val="right" w:pos="8306"/>
      </w:tabs>
      <w:snapToGrid w:val="0"/>
      <w:spacing w:line="240" w:lineRule="atLeast"/>
      <w:jc w:val="left"/>
    </w:pPr>
    <w:rPr>
      <w:sz w:val="18"/>
      <w:szCs w:val="18"/>
    </w:rPr>
  </w:style>
  <w:style w:type="paragraph" w:styleId="51">
    <w:name w:val="envelope return"/>
    <w:basedOn w:val="1"/>
    <w:semiHidden/>
    <w:qFormat/>
    <w:uiPriority w:val="0"/>
    <w:pPr>
      <w:snapToGrid w:val="0"/>
    </w:pPr>
    <w:rPr>
      <w:rFonts w:ascii="Arial" w:hAnsi="Arial" w:cs="Arial"/>
    </w:rPr>
  </w:style>
  <w:style w:type="paragraph" w:styleId="52">
    <w:name w:val="header"/>
    <w:basedOn w:val="1"/>
    <w:link w:val="158"/>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3">
    <w:name w:val="Signature"/>
    <w:basedOn w:val="1"/>
    <w:link w:val="161"/>
    <w:qFormat/>
    <w:uiPriority w:val="0"/>
    <w:pPr>
      <w:ind w:left="100" w:leftChars="2100"/>
    </w:pPr>
    <w:rPr>
      <w:sz w:val="24"/>
    </w:rPr>
  </w:style>
  <w:style w:type="paragraph" w:styleId="54">
    <w:name w:val="toc 1"/>
    <w:basedOn w:val="1"/>
    <w:next w:val="1"/>
    <w:qFormat/>
    <w:uiPriority w:val="0"/>
    <w:pPr>
      <w:spacing w:before="120" w:after="120"/>
      <w:jc w:val="left"/>
    </w:pPr>
    <w:rPr>
      <w:rFonts w:ascii="Calibri"/>
      <w:b/>
      <w:bCs/>
      <w:caps/>
      <w:szCs w:val="20"/>
    </w:rPr>
  </w:style>
  <w:style w:type="paragraph" w:styleId="55">
    <w:name w:val="List Continue 4"/>
    <w:basedOn w:val="1"/>
    <w:semiHidden/>
    <w:qFormat/>
    <w:uiPriority w:val="0"/>
    <w:pPr>
      <w:spacing w:after="120"/>
      <w:ind w:left="1680" w:leftChars="800"/>
    </w:pPr>
  </w:style>
  <w:style w:type="paragraph" w:styleId="56">
    <w:name w:val="toc 4"/>
    <w:basedOn w:val="1"/>
    <w:next w:val="1"/>
    <w:qFormat/>
    <w:uiPriority w:val="0"/>
    <w:pPr>
      <w:ind w:left="720"/>
      <w:jc w:val="left"/>
    </w:pPr>
    <w:rPr>
      <w:rFonts w:ascii="Calibri"/>
      <w:sz w:val="18"/>
      <w:szCs w:val="18"/>
    </w:rPr>
  </w:style>
  <w:style w:type="paragraph" w:styleId="57">
    <w:name w:val="index heading"/>
    <w:basedOn w:val="1"/>
    <w:next w:val="58"/>
    <w:qFormat/>
    <w:uiPriority w:val="0"/>
    <w:pPr>
      <w:adjustRightInd/>
      <w:spacing w:line="240" w:lineRule="auto"/>
      <w:textAlignment w:val="auto"/>
    </w:pPr>
    <w:rPr>
      <w:rFonts w:ascii="Times New Roman" w:eastAsia="宋体"/>
      <w:kern w:val="2"/>
      <w:sz w:val="21"/>
      <w:szCs w:val="20"/>
    </w:rPr>
  </w:style>
  <w:style w:type="paragraph" w:styleId="58">
    <w:name w:val="index 1"/>
    <w:basedOn w:val="1"/>
    <w:next w:val="1"/>
    <w:qFormat/>
    <w:uiPriority w:val="0"/>
  </w:style>
  <w:style w:type="paragraph" w:styleId="59">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60">
    <w:name w:val="List Number 5"/>
    <w:basedOn w:val="1"/>
    <w:semiHidden/>
    <w:qFormat/>
    <w:uiPriority w:val="0"/>
    <w:pPr>
      <w:tabs>
        <w:tab w:val="left" w:pos="2040"/>
      </w:tabs>
      <w:ind w:left="2040" w:hanging="360"/>
    </w:pPr>
  </w:style>
  <w:style w:type="paragraph" w:styleId="61">
    <w:name w:val="List"/>
    <w:basedOn w:val="1"/>
    <w:qFormat/>
    <w:uiPriority w:val="0"/>
    <w:pPr>
      <w:ind w:left="200" w:hanging="200" w:hangingChars="200"/>
    </w:pPr>
  </w:style>
  <w:style w:type="paragraph" w:styleId="62">
    <w:name w:val="footnote text"/>
    <w:basedOn w:val="1"/>
    <w:link w:val="176"/>
    <w:qFormat/>
    <w:uiPriority w:val="0"/>
    <w:pPr>
      <w:snapToGrid w:val="0"/>
      <w:jc w:val="left"/>
    </w:pPr>
    <w:rPr>
      <w:sz w:val="18"/>
      <w:szCs w:val="18"/>
    </w:rPr>
  </w:style>
  <w:style w:type="paragraph" w:styleId="63">
    <w:name w:val="List 5"/>
    <w:basedOn w:val="1"/>
    <w:semiHidden/>
    <w:qFormat/>
    <w:uiPriority w:val="0"/>
    <w:pPr>
      <w:ind w:left="100" w:leftChars="800" w:hanging="200" w:hangingChars="200"/>
    </w:pPr>
  </w:style>
  <w:style w:type="paragraph" w:styleId="64">
    <w:name w:val="Body Text Indent 3"/>
    <w:basedOn w:val="1"/>
    <w:link w:val="215"/>
    <w:qFormat/>
    <w:uiPriority w:val="0"/>
    <w:pPr>
      <w:spacing w:after="120"/>
      <w:ind w:left="420" w:leftChars="200"/>
    </w:pPr>
    <w:rPr>
      <w:sz w:val="16"/>
      <w:szCs w:val="16"/>
    </w:rPr>
  </w:style>
  <w:style w:type="paragraph" w:styleId="65">
    <w:name w:val="table of figures"/>
    <w:basedOn w:val="1"/>
    <w:next w:val="1"/>
    <w:qFormat/>
    <w:uiPriority w:val="0"/>
    <w:pPr>
      <w:adjustRightInd/>
      <w:spacing w:line="240" w:lineRule="auto"/>
      <w:ind w:left="840" w:hanging="420"/>
      <w:textAlignment w:val="auto"/>
    </w:pPr>
    <w:rPr>
      <w:rFonts w:ascii="Times New Roman" w:eastAsia="宋体"/>
      <w:kern w:val="2"/>
      <w:sz w:val="21"/>
    </w:rPr>
  </w:style>
  <w:style w:type="paragraph" w:styleId="66">
    <w:name w:val="toc 9"/>
    <w:basedOn w:val="1"/>
    <w:next w:val="1"/>
    <w:qFormat/>
    <w:uiPriority w:val="0"/>
    <w:pPr>
      <w:ind w:left="1920"/>
      <w:jc w:val="left"/>
    </w:pPr>
    <w:rPr>
      <w:rFonts w:ascii="Calibri"/>
      <w:sz w:val="18"/>
      <w:szCs w:val="18"/>
    </w:rPr>
  </w:style>
  <w:style w:type="paragraph" w:styleId="67">
    <w:name w:val="Body Text 2"/>
    <w:basedOn w:val="1"/>
    <w:qFormat/>
    <w:uiPriority w:val="0"/>
    <w:pPr>
      <w:spacing w:after="120" w:line="480" w:lineRule="auto"/>
    </w:pPr>
  </w:style>
  <w:style w:type="paragraph" w:styleId="68">
    <w:name w:val="List 4"/>
    <w:basedOn w:val="1"/>
    <w:semiHidden/>
    <w:qFormat/>
    <w:uiPriority w:val="0"/>
    <w:pPr>
      <w:ind w:left="100" w:leftChars="600" w:hanging="200" w:hangingChars="200"/>
    </w:pPr>
  </w:style>
  <w:style w:type="paragraph" w:styleId="69">
    <w:name w:val="List Continue 2"/>
    <w:basedOn w:val="1"/>
    <w:semiHidden/>
    <w:qFormat/>
    <w:uiPriority w:val="0"/>
    <w:pPr>
      <w:spacing w:after="120"/>
      <w:ind w:left="840" w:leftChars="400"/>
    </w:pPr>
  </w:style>
  <w:style w:type="paragraph" w:styleId="70">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71">
    <w:name w:val="HTML Preformatted"/>
    <w:basedOn w:val="1"/>
    <w:link w:val="206"/>
    <w:qFormat/>
    <w:uiPriority w:val="0"/>
    <w:rPr>
      <w:rFonts w:ascii="Courier New" w:hAnsi="Courier New"/>
      <w:sz w:val="20"/>
      <w:szCs w:val="20"/>
    </w:rPr>
  </w:style>
  <w:style w:type="paragraph" w:styleId="72">
    <w:name w:val="Normal (Web)"/>
    <w:basedOn w:val="1"/>
    <w:qFormat/>
    <w:uiPriority w:val="0"/>
    <w:rPr>
      <w:rFonts w:ascii="Times New Roman"/>
      <w:szCs w:val="24"/>
    </w:rPr>
  </w:style>
  <w:style w:type="paragraph" w:styleId="73">
    <w:name w:val="List Continue 3"/>
    <w:basedOn w:val="1"/>
    <w:semiHidden/>
    <w:qFormat/>
    <w:uiPriority w:val="0"/>
    <w:pPr>
      <w:spacing w:after="120"/>
      <w:ind w:left="1260" w:leftChars="600"/>
    </w:pPr>
  </w:style>
  <w:style w:type="paragraph" w:styleId="74">
    <w:name w:val="Title"/>
    <w:basedOn w:val="1"/>
    <w:link w:val="198"/>
    <w:qFormat/>
    <w:uiPriority w:val="0"/>
    <w:pPr>
      <w:spacing w:before="240" w:after="60"/>
      <w:jc w:val="center"/>
      <w:outlineLvl w:val="0"/>
    </w:pPr>
    <w:rPr>
      <w:rFonts w:ascii="Arial" w:hAnsi="Arial"/>
      <w:b/>
      <w:bCs/>
      <w:sz w:val="32"/>
      <w:szCs w:val="32"/>
    </w:rPr>
  </w:style>
  <w:style w:type="paragraph" w:styleId="75">
    <w:name w:val="annotation subject"/>
    <w:basedOn w:val="25"/>
    <w:next w:val="25"/>
    <w:link w:val="165"/>
    <w:qFormat/>
    <w:uiPriority w:val="0"/>
    <w:rPr>
      <w:b/>
      <w:bCs/>
    </w:rPr>
  </w:style>
  <w:style w:type="paragraph" w:styleId="76">
    <w:name w:val="Body Text First Indent 2"/>
    <w:basedOn w:val="30"/>
    <w:next w:val="1"/>
    <w:qFormat/>
    <w:uiPriority w:val="0"/>
    <w:pPr>
      <w:ind w:firstLine="420" w:firstLineChars="200"/>
    </w:pPr>
  </w:style>
  <w:style w:type="table" w:styleId="78">
    <w:name w:val="Table Grid"/>
    <w:basedOn w:val="77"/>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Theme"/>
    <w:basedOn w:val="77"/>
    <w:semiHidden/>
    <w:qFormat/>
    <w:uiPriority w:val="0"/>
    <w:pPr>
      <w:widowControl w:val="0"/>
      <w:adjustRightInd w:val="0"/>
      <w:spacing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0">
    <w:name w:val="Table Colorful 1"/>
    <w:basedOn w:val="77"/>
    <w:semiHidden/>
    <w:qFormat/>
    <w:uiPriority w:val="0"/>
    <w:pPr>
      <w:widowControl w:val="0"/>
      <w:adjustRightInd w:val="0"/>
      <w:spacing w:line="360" w:lineRule="auto"/>
      <w:jc w:val="both"/>
      <w:textAlignment w:val="baseline"/>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semiHidden/>
    <w:qFormat/>
    <w:uiPriority w:val="0"/>
    <w:pPr>
      <w:widowControl w:val="0"/>
      <w:adjustRightInd w:val="0"/>
      <w:spacing w:line="360" w:lineRule="auto"/>
      <w:jc w:val="both"/>
      <w:textAlignment w:val="baseline"/>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semiHidden/>
    <w:qFormat/>
    <w:uiPriority w:val="0"/>
    <w:pPr>
      <w:widowControl w:val="0"/>
      <w:adjustRightInd w:val="0"/>
      <w:spacing w:line="360" w:lineRule="auto"/>
      <w:jc w:val="both"/>
      <w:textAlignment w:val="baseline"/>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semiHidden/>
    <w:qFormat/>
    <w:uiPriority w:val="0"/>
    <w:pPr>
      <w:widowControl w:val="0"/>
      <w:adjustRightInd w:val="0"/>
      <w:spacing w:line="360" w:lineRule="auto"/>
      <w:jc w:val="both"/>
      <w:textAlignment w:val="baseline"/>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semiHidden/>
    <w:qFormat/>
    <w:uiPriority w:val="0"/>
    <w:pPr>
      <w:widowControl w:val="0"/>
      <w:adjustRightInd w:val="0"/>
      <w:spacing w:line="360" w:lineRule="auto"/>
      <w:jc w:val="both"/>
      <w:textAlignment w:val="baseline"/>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5">
    <w:name w:val="Table Classic 2"/>
    <w:basedOn w:val="77"/>
    <w:semiHidden/>
    <w:qFormat/>
    <w:uiPriority w:val="0"/>
    <w:pPr>
      <w:widowControl w:val="0"/>
      <w:adjustRightInd w:val="0"/>
      <w:spacing w:line="312" w:lineRule="atLeast"/>
      <w:jc w:val="both"/>
      <w:textAlignment w:val="baseline"/>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6">
    <w:name w:val="Table Classic 3"/>
    <w:basedOn w:val="77"/>
    <w:semiHidden/>
    <w:qFormat/>
    <w:uiPriority w:val="0"/>
    <w:pPr>
      <w:widowControl w:val="0"/>
      <w:adjustRightInd w:val="0"/>
      <w:spacing w:line="360" w:lineRule="auto"/>
      <w:jc w:val="both"/>
      <w:textAlignment w:val="baseline"/>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semiHidden/>
    <w:qFormat/>
    <w:uiPriority w:val="0"/>
    <w:pPr>
      <w:widowControl w:val="0"/>
      <w:adjustRightInd w:val="0"/>
      <w:spacing w:line="360" w:lineRule="auto"/>
      <w:jc w:val="both"/>
      <w:textAlignment w:val="baseline"/>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8">
    <w:name w:val="Table Simple 1"/>
    <w:basedOn w:val="77"/>
    <w:semiHidden/>
    <w:qFormat/>
    <w:uiPriority w:val="0"/>
    <w:pPr>
      <w:widowControl w:val="0"/>
      <w:adjustRightInd w:val="0"/>
      <w:spacing w:line="360" w:lineRule="auto"/>
      <w:jc w:val="both"/>
      <w:textAlignment w:val="baseline"/>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0">
    <w:name w:val="Table Simple 3"/>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2">
    <w:name w:val="Table Subtle 2"/>
    <w:basedOn w:val="77"/>
    <w:semiHidden/>
    <w:qFormat/>
    <w:uiPriority w:val="0"/>
    <w:pPr>
      <w:widowControl w:val="0"/>
      <w:adjustRightInd w:val="0"/>
      <w:spacing w:line="360" w:lineRule="auto"/>
      <w:jc w:val="both"/>
      <w:textAlignment w:val="baseline"/>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3D effects 1"/>
    <w:basedOn w:val="77"/>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semiHidden/>
    <w:qFormat/>
    <w:uiPriority w:val="0"/>
    <w:pPr>
      <w:widowControl w:val="0"/>
      <w:adjustRightInd w:val="0"/>
      <w:spacing w:line="312" w:lineRule="atLeast"/>
      <w:jc w:val="both"/>
      <w:textAlignment w:val="baseline"/>
    </w:p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3D effects 3"/>
    <w:basedOn w:val="77"/>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List 1"/>
    <w:basedOn w:val="77"/>
    <w:semiHidden/>
    <w:qFormat/>
    <w:uiPriority w:val="0"/>
    <w:pPr>
      <w:widowControl w:val="0"/>
      <w:adjustRightInd w:val="0"/>
      <w:spacing w:line="360" w:lineRule="auto"/>
      <w:jc w:val="both"/>
      <w:textAlignment w:val="baseline"/>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2"/>
    <w:basedOn w:val="77"/>
    <w:semiHidden/>
    <w:qFormat/>
    <w:uiPriority w:val="0"/>
    <w:pPr>
      <w:widowControl w:val="0"/>
      <w:adjustRightInd w:val="0"/>
      <w:spacing w:line="360" w:lineRule="auto"/>
      <w:jc w:val="both"/>
      <w:textAlignment w:val="baseline"/>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3"/>
    <w:basedOn w:val="77"/>
    <w:semiHidden/>
    <w:qFormat/>
    <w:uiPriority w:val="0"/>
    <w:pPr>
      <w:widowControl w:val="0"/>
      <w:adjustRightInd w:val="0"/>
      <w:spacing w:line="360" w:lineRule="auto"/>
      <w:jc w:val="both"/>
      <w:textAlignment w:val="baseline"/>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0">
    <w:name w:val="Table List 5"/>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1">
    <w:name w:val="Table List 6"/>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semiHidden/>
    <w:qFormat/>
    <w:uiPriority w:val="0"/>
    <w:pPr>
      <w:widowControl w:val="0"/>
      <w:adjustRightInd w:val="0"/>
      <w:spacing w:line="360" w:lineRule="auto"/>
      <w:jc w:val="both"/>
      <w:textAlignment w:val="baseline"/>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semiHidden/>
    <w:qFormat/>
    <w:uiPriority w:val="0"/>
    <w:pPr>
      <w:widowControl w:val="0"/>
      <w:adjustRightInd w:val="0"/>
      <w:spacing w:line="360" w:lineRule="auto"/>
      <w:jc w:val="both"/>
      <w:textAlignment w:val="baseline"/>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semiHidden/>
    <w:qFormat/>
    <w:uiPriority w:val="0"/>
    <w:pPr>
      <w:widowControl w:val="0"/>
      <w:adjustRightInd w:val="0"/>
      <w:spacing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Columns 2"/>
    <w:basedOn w:val="77"/>
    <w:semiHidden/>
    <w:qFormat/>
    <w:uiPriority w:val="0"/>
    <w:pPr>
      <w:widowControl w:val="0"/>
      <w:adjustRightInd w:val="0"/>
      <w:spacing w:line="360" w:lineRule="auto"/>
      <w:jc w:val="both"/>
      <w:textAlignment w:val="baseline"/>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Columns 3"/>
    <w:basedOn w:val="77"/>
    <w:semiHidden/>
    <w:qFormat/>
    <w:uiPriority w:val="0"/>
    <w:pPr>
      <w:widowControl w:val="0"/>
      <w:adjustRightInd w:val="0"/>
      <w:spacing w:line="360" w:lineRule="auto"/>
      <w:jc w:val="both"/>
      <w:textAlignment w:val="baseline"/>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8">
    <w:name w:val="Table Columns 4"/>
    <w:basedOn w:val="77"/>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9">
    <w:name w:val="Table Columns 5"/>
    <w:basedOn w:val="77"/>
    <w:semiHidden/>
    <w:qFormat/>
    <w:uiPriority w:val="0"/>
    <w:pPr>
      <w:widowControl w:val="0"/>
      <w:adjustRightInd w:val="0"/>
      <w:spacing w:line="360" w:lineRule="auto"/>
      <w:jc w:val="both"/>
      <w:textAlignment w:val="baseline"/>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0">
    <w:name w:val="Table Grid 1"/>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semiHidden/>
    <w:qFormat/>
    <w:uiPriority w:val="0"/>
    <w:pPr>
      <w:widowControl w:val="0"/>
      <w:adjustRightInd w:val="0"/>
      <w:spacing w:line="360" w:lineRule="auto"/>
      <w:jc w:val="both"/>
      <w:textAlignment w:val="baseline"/>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2">
    <w:name w:val="Table Grid 3"/>
    <w:basedOn w:val="77"/>
    <w:semiHidden/>
    <w:qFormat/>
    <w:uiPriority w:val="0"/>
    <w:pPr>
      <w:widowControl w:val="0"/>
      <w:adjustRightInd w:val="0"/>
      <w:spacing w:line="360" w:lineRule="auto"/>
      <w:jc w:val="both"/>
      <w:textAlignment w:val="baseline"/>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semiHidden/>
    <w:qFormat/>
    <w:uiPriority w:val="0"/>
    <w:pPr>
      <w:widowControl w:val="0"/>
      <w:adjustRightInd w:val="0"/>
      <w:spacing w:line="360" w:lineRule="auto"/>
      <w:jc w:val="both"/>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semiHidden/>
    <w:qFormat/>
    <w:uiPriority w:val="0"/>
    <w:pPr>
      <w:widowControl w:val="0"/>
      <w:adjustRightInd w:val="0"/>
      <w:spacing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semiHidden/>
    <w:qFormat/>
    <w:uiPriority w:val="0"/>
    <w:pPr>
      <w:widowControl w:val="0"/>
      <w:adjustRightInd w:val="0"/>
      <w:spacing w:line="360" w:lineRule="auto"/>
      <w:jc w:val="both"/>
      <w:textAlignment w:val="baseline"/>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semiHidden/>
    <w:qFormat/>
    <w:uiPriority w:val="0"/>
    <w:pPr>
      <w:widowControl w:val="0"/>
      <w:adjustRightInd w:val="0"/>
      <w:spacing w:line="360" w:lineRule="auto"/>
      <w:jc w:val="both"/>
      <w:textAlignment w:val="baseline"/>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9">
    <w:name w:val="Table Web 2"/>
    <w:basedOn w:val="77"/>
    <w:semiHidden/>
    <w:qFormat/>
    <w:uiPriority w:val="0"/>
    <w:pPr>
      <w:widowControl w:val="0"/>
      <w:adjustRightInd w:val="0"/>
      <w:spacing w:line="360" w:lineRule="auto"/>
      <w:jc w:val="both"/>
      <w:textAlignment w:val="baseline"/>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Web 3"/>
    <w:basedOn w:val="77"/>
    <w:semiHidden/>
    <w:qFormat/>
    <w:uiPriority w:val="0"/>
    <w:pPr>
      <w:widowControl w:val="0"/>
      <w:adjustRightInd w:val="0"/>
      <w:spacing w:line="360" w:lineRule="auto"/>
      <w:jc w:val="both"/>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semiHidden/>
    <w:qFormat/>
    <w:uiPriority w:val="0"/>
    <w:pPr>
      <w:widowControl w:val="0"/>
      <w:adjustRightInd w:val="0"/>
      <w:spacing w:line="312" w:lineRule="atLeast"/>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qFormat/>
    <w:uiPriority w:val="0"/>
    <w:rPr>
      <w:b/>
      <w:bCs/>
    </w:rPr>
  </w:style>
  <w:style w:type="character" w:styleId="124">
    <w:name w:val="endnote reference"/>
    <w:semiHidden/>
    <w:qFormat/>
    <w:uiPriority w:val="0"/>
    <w:rPr>
      <w:vertAlign w:val="superscript"/>
    </w:rPr>
  </w:style>
  <w:style w:type="character" w:styleId="125">
    <w:name w:val="page number"/>
    <w:basedOn w:val="122"/>
    <w:qFormat/>
    <w:uiPriority w:val="0"/>
  </w:style>
  <w:style w:type="character" w:styleId="126">
    <w:name w:val="FollowedHyperlink"/>
    <w:qFormat/>
    <w:uiPriority w:val="99"/>
    <w:rPr>
      <w:color w:val="800080"/>
      <w:u w:val="single"/>
    </w:rPr>
  </w:style>
  <w:style w:type="character" w:styleId="127">
    <w:name w:val="Emphasis"/>
    <w:qFormat/>
    <w:uiPriority w:val="0"/>
    <w:rPr>
      <w:i/>
      <w:iCs/>
    </w:rPr>
  </w:style>
  <w:style w:type="character" w:styleId="128">
    <w:name w:val="line number"/>
    <w:basedOn w:val="122"/>
    <w:qFormat/>
    <w:uiPriority w:val="0"/>
  </w:style>
  <w:style w:type="character" w:styleId="129">
    <w:name w:val="HTML Definition"/>
    <w:semiHidden/>
    <w:qFormat/>
    <w:uiPriority w:val="0"/>
    <w:rPr>
      <w:i/>
      <w:iCs/>
    </w:rPr>
  </w:style>
  <w:style w:type="character" w:styleId="130">
    <w:name w:val="HTML Typewriter"/>
    <w:qFormat/>
    <w:uiPriority w:val="99"/>
    <w:rPr>
      <w:rFonts w:ascii="Courier New" w:hAnsi="Courier New" w:cs="Courier New"/>
      <w:sz w:val="20"/>
      <w:szCs w:val="20"/>
    </w:rPr>
  </w:style>
  <w:style w:type="character" w:styleId="131">
    <w:name w:val="HTML Acronym"/>
    <w:basedOn w:val="122"/>
    <w:semiHidden/>
    <w:qFormat/>
    <w:uiPriority w:val="0"/>
  </w:style>
  <w:style w:type="character" w:styleId="132">
    <w:name w:val="HTML Variable"/>
    <w:semiHidden/>
    <w:qFormat/>
    <w:uiPriority w:val="0"/>
    <w:rPr>
      <w:i/>
      <w:iCs/>
    </w:rPr>
  </w:style>
  <w:style w:type="character" w:styleId="133">
    <w:name w:val="Hyperlink"/>
    <w:qFormat/>
    <w:uiPriority w:val="0"/>
    <w:rPr>
      <w:color w:val="0000FF"/>
      <w:u w:val="single"/>
    </w:rPr>
  </w:style>
  <w:style w:type="character" w:styleId="134">
    <w:name w:val="HTML Code"/>
    <w:semiHidden/>
    <w:qFormat/>
    <w:uiPriority w:val="0"/>
    <w:rPr>
      <w:rFonts w:ascii="Courier New" w:hAnsi="Courier New" w:cs="Courier New"/>
      <w:sz w:val="20"/>
      <w:szCs w:val="20"/>
    </w:rPr>
  </w:style>
  <w:style w:type="character" w:styleId="135">
    <w:name w:val="annotation reference"/>
    <w:qFormat/>
    <w:uiPriority w:val="0"/>
    <w:rPr>
      <w:sz w:val="21"/>
      <w:szCs w:val="21"/>
    </w:rPr>
  </w:style>
  <w:style w:type="character" w:styleId="136">
    <w:name w:val="HTML Cite"/>
    <w:semiHidden/>
    <w:qFormat/>
    <w:uiPriority w:val="0"/>
    <w:rPr>
      <w:i/>
      <w:iCs/>
    </w:rPr>
  </w:style>
  <w:style w:type="character" w:styleId="137">
    <w:name w:val="footnote reference"/>
    <w:qFormat/>
    <w:uiPriority w:val="0"/>
    <w:rPr>
      <w:vertAlign w:val="superscript"/>
    </w:rPr>
  </w:style>
  <w:style w:type="character" w:styleId="138">
    <w:name w:val="HTML Keyboard"/>
    <w:semiHidden/>
    <w:qFormat/>
    <w:uiPriority w:val="0"/>
    <w:rPr>
      <w:rFonts w:ascii="Courier New" w:hAnsi="Courier New" w:cs="Courier New"/>
      <w:sz w:val="20"/>
      <w:szCs w:val="20"/>
    </w:rPr>
  </w:style>
  <w:style w:type="character" w:styleId="139">
    <w:name w:val="HTML Sample"/>
    <w:semiHidden/>
    <w:qFormat/>
    <w:uiPriority w:val="0"/>
    <w:rPr>
      <w:rFonts w:ascii="Courier New" w:hAnsi="Courier New" w:cs="Courier New"/>
    </w:rPr>
  </w:style>
  <w:style w:type="paragraph" w:customStyle="1" w:styleId="14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1">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2">
    <w:name w:val="标题 2 Char"/>
    <w:qFormat/>
    <w:uiPriority w:val="0"/>
    <w:rPr>
      <w:rFonts w:ascii="Cambria" w:hAnsi="Cambria" w:eastAsia="宋体" w:cs="Times New Roman"/>
      <w:b/>
      <w:bCs/>
      <w:sz w:val="32"/>
      <w:szCs w:val="32"/>
    </w:rPr>
  </w:style>
  <w:style w:type="character" w:customStyle="1" w:styleId="143">
    <w:name w:val="标题 3 Char"/>
    <w:qFormat/>
    <w:uiPriority w:val="0"/>
    <w:rPr>
      <w:rFonts w:eastAsia="宋体"/>
      <w:b/>
      <w:bCs/>
      <w:kern w:val="2"/>
      <w:sz w:val="32"/>
      <w:szCs w:val="32"/>
      <w:lang w:val="en-US" w:eastAsia="zh-CN" w:bidi="ar-SA"/>
    </w:rPr>
  </w:style>
  <w:style w:type="character" w:customStyle="1" w:styleId="144">
    <w:name w:val="标题 2 Char1"/>
    <w:link w:val="6"/>
    <w:qFormat/>
    <w:uiPriority w:val="0"/>
    <w:rPr>
      <w:rFonts w:ascii="Arial" w:hAnsi="Arial" w:eastAsia="黑体"/>
      <w:b/>
      <w:bCs/>
      <w:sz w:val="32"/>
      <w:szCs w:val="32"/>
    </w:rPr>
  </w:style>
  <w:style w:type="character" w:customStyle="1" w:styleId="145">
    <w:name w:val="标准文本 Char"/>
    <w:qFormat/>
    <w:uiPriority w:val="0"/>
    <w:rPr>
      <w:rFonts w:eastAsia="宋体" w:cs="宋体"/>
      <w:kern w:val="2"/>
      <w:sz w:val="24"/>
      <w:szCs w:val="24"/>
      <w:lang w:val="en-US" w:eastAsia="zh-CN" w:bidi="ar-SA"/>
    </w:rPr>
  </w:style>
  <w:style w:type="character" w:customStyle="1" w:styleId="146">
    <w:name w:val="标题 5 Char"/>
    <w:link w:val="9"/>
    <w:qFormat/>
    <w:uiPriority w:val="0"/>
    <w:rPr>
      <w:rFonts w:ascii="宋体" w:eastAsia="仿宋"/>
      <w:b/>
      <w:bCs/>
      <w:sz w:val="28"/>
      <w:szCs w:val="28"/>
    </w:rPr>
  </w:style>
  <w:style w:type="character" w:customStyle="1" w:styleId="147">
    <w:name w:val="标准小四 Char"/>
    <w:qFormat/>
    <w:uiPriority w:val="0"/>
    <w:rPr>
      <w:rFonts w:ascii="Arial" w:hAnsi="Arial" w:eastAsia="宋体"/>
      <w:kern w:val="2"/>
      <w:sz w:val="24"/>
      <w:szCs w:val="21"/>
      <w:lang w:val="en-US" w:eastAsia="zh-CN" w:bidi="ar-SA"/>
    </w:rPr>
  </w:style>
  <w:style w:type="character" w:customStyle="1" w:styleId="148">
    <w:name w:val="Char Char8"/>
    <w:qFormat/>
    <w:uiPriority w:val="0"/>
    <w:rPr>
      <w:b/>
      <w:bCs/>
      <w:kern w:val="44"/>
      <w:sz w:val="44"/>
      <w:szCs w:val="44"/>
    </w:rPr>
  </w:style>
  <w:style w:type="character" w:customStyle="1" w:styleId="149">
    <w:name w:val="textcontents"/>
    <w:basedOn w:val="122"/>
    <w:qFormat/>
    <w:uiPriority w:val="0"/>
  </w:style>
  <w:style w:type="character" w:customStyle="1" w:styleId="150">
    <w:name w:val="Char Char5"/>
    <w:qFormat/>
    <w:uiPriority w:val="0"/>
    <w:rPr>
      <w:sz w:val="18"/>
      <w:szCs w:val="18"/>
    </w:rPr>
  </w:style>
  <w:style w:type="character" w:customStyle="1" w:styleId="151">
    <w:name w:val="华宇段落1 Char Char"/>
    <w:qFormat/>
    <w:uiPriority w:val="0"/>
    <w:rPr>
      <w:rFonts w:eastAsia="宋体"/>
      <w:bCs/>
      <w:kern w:val="2"/>
      <w:sz w:val="24"/>
      <w:szCs w:val="24"/>
      <w:lang w:val="en-US" w:eastAsia="zh-CN" w:bidi="ar-SA"/>
    </w:rPr>
  </w:style>
  <w:style w:type="character" w:customStyle="1" w:styleId="152">
    <w:name w:val="正文缩进2格 Char"/>
    <w:link w:val="153"/>
    <w:qFormat/>
    <w:locked/>
    <w:uiPriority w:val="0"/>
    <w:rPr>
      <w:rFonts w:ascii="仿宋_GB2312" w:hAnsi="宋体" w:eastAsia="仿宋_GB2312"/>
      <w:kern w:val="2"/>
      <w:sz w:val="31"/>
      <w:szCs w:val="28"/>
    </w:rPr>
  </w:style>
  <w:style w:type="paragraph" w:customStyle="1" w:styleId="153">
    <w:name w:val="正文缩进2格"/>
    <w:basedOn w:val="1"/>
    <w:link w:val="152"/>
    <w:qFormat/>
    <w:uiPriority w:val="0"/>
    <w:pPr>
      <w:adjustRightInd/>
      <w:spacing w:line="600" w:lineRule="exact"/>
      <w:ind w:firstLine="639" w:firstLineChars="206"/>
      <w:textAlignment w:val="auto"/>
    </w:pPr>
    <w:rPr>
      <w:rFonts w:ascii="仿宋_GB2312" w:hAnsi="宋体" w:eastAsia="仿宋_GB2312"/>
      <w:kern w:val="2"/>
      <w:sz w:val="31"/>
      <w:szCs w:val="28"/>
    </w:rPr>
  </w:style>
  <w:style w:type="character" w:customStyle="1" w:styleId="154">
    <w:name w:val="批注文字 Char"/>
    <w:link w:val="25"/>
    <w:qFormat/>
    <w:uiPriority w:val="0"/>
    <w:rPr>
      <w:kern w:val="2"/>
      <w:sz w:val="21"/>
      <w:szCs w:val="21"/>
    </w:rPr>
  </w:style>
  <w:style w:type="character" w:customStyle="1" w:styleId="155">
    <w:name w:val="style31"/>
    <w:qFormat/>
    <w:uiPriority w:val="0"/>
    <w:rPr>
      <w:rFonts w:cs="Times New Roman"/>
      <w:b/>
      <w:bCs/>
      <w:color w:val="auto"/>
    </w:rPr>
  </w:style>
  <w:style w:type="character" w:customStyle="1" w:styleId="156">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7">
    <w:name w:val="样式 宋体 小四"/>
    <w:qFormat/>
    <w:uiPriority w:val="0"/>
    <w:rPr>
      <w:rFonts w:ascii="宋体" w:hAnsi="宋体"/>
      <w:sz w:val="24"/>
    </w:rPr>
  </w:style>
  <w:style w:type="character" w:customStyle="1" w:styleId="158">
    <w:name w:val="页眉 Char"/>
    <w:link w:val="52"/>
    <w:qFormat/>
    <w:uiPriority w:val="0"/>
    <w:rPr>
      <w:rFonts w:ascii="宋体" w:eastAsia="仿宋"/>
      <w:sz w:val="18"/>
      <w:szCs w:val="18"/>
    </w:rPr>
  </w:style>
  <w:style w:type="character" w:customStyle="1" w:styleId="159">
    <w:name w:val="font31"/>
    <w:basedOn w:val="122"/>
    <w:qFormat/>
    <w:uiPriority w:val="0"/>
    <w:rPr>
      <w:rFonts w:hint="default" w:ascii="Times New Roman" w:hAnsi="Times New Roman" w:cs="Times New Roman"/>
      <w:color w:val="000000"/>
      <w:sz w:val="24"/>
      <w:szCs w:val="24"/>
      <w:u w:val="none"/>
    </w:rPr>
  </w:style>
  <w:style w:type="character" w:customStyle="1" w:styleId="160">
    <w:name w:val="apple-converted-space"/>
    <w:basedOn w:val="122"/>
    <w:qFormat/>
    <w:uiPriority w:val="0"/>
  </w:style>
  <w:style w:type="character" w:customStyle="1" w:styleId="161">
    <w:name w:val="签名 Char"/>
    <w:link w:val="53"/>
    <w:qFormat/>
    <w:uiPriority w:val="0"/>
    <w:rPr>
      <w:rFonts w:ascii="宋体" w:eastAsia="仿宋"/>
      <w:sz w:val="24"/>
      <w:szCs w:val="21"/>
    </w:rPr>
  </w:style>
  <w:style w:type="character" w:customStyle="1" w:styleId="162">
    <w:name w:val="列出段落 Char"/>
    <w:link w:val="163"/>
    <w:qFormat/>
    <w:locked/>
    <w:uiPriority w:val="0"/>
    <w:rPr>
      <w:rFonts w:ascii="宋体" w:eastAsia="仿宋"/>
      <w:sz w:val="24"/>
      <w:szCs w:val="21"/>
    </w:rPr>
  </w:style>
  <w:style w:type="paragraph" w:styleId="163">
    <w:name w:val="List Paragraph"/>
    <w:basedOn w:val="1"/>
    <w:next w:val="1"/>
    <w:link w:val="162"/>
    <w:qFormat/>
    <w:uiPriority w:val="0"/>
    <w:pPr>
      <w:ind w:firstLine="420" w:firstLineChars="200"/>
    </w:pPr>
    <w:rPr>
      <w:sz w:val="24"/>
    </w:rPr>
  </w:style>
  <w:style w:type="character" w:customStyle="1" w:styleId="164">
    <w:name w:val="标题 4 Char"/>
    <w:link w:val="8"/>
    <w:qFormat/>
    <w:uiPriority w:val="0"/>
    <w:rPr>
      <w:rFonts w:ascii="Arial" w:hAnsi="Arial" w:eastAsia="黑体"/>
      <w:b/>
      <w:bCs/>
      <w:sz w:val="28"/>
      <w:szCs w:val="28"/>
    </w:rPr>
  </w:style>
  <w:style w:type="character" w:customStyle="1" w:styleId="165">
    <w:name w:val="批注主题 Char"/>
    <w:link w:val="75"/>
    <w:qFormat/>
    <w:uiPriority w:val="0"/>
    <w:rPr>
      <w:b/>
      <w:bCs/>
      <w:kern w:val="2"/>
      <w:sz w:val="21"/>
      <w:szCs w:val="21"/>
    </w:rPr>
  </w:style>
  <w:style w:type="character" w:customStyle="1" w:styleId="166">
    <w:name w:val="apple-style-span"/>
    <w:basedOn w:val="122"/>
    <w:qFormat/>
    <w:uiPriority w:val="0"/>
  </w:style>
  <w:style w:type="character" w:customStyle="1" w:styleId="167">
    <w:name w:val="subtitle1"/>
    <w:qFormat/>
    <w:uiPriority w:val="0"/>
    <w:rPr>
      <w:rFonts w:hint="default" w:ascii="Georgia" w:hAnsi="Georgia"/>
      <w:b/>
      <w:bCs/>
      <w:color w:val="666666"/>
      <w:sz w:val="18"/>
      <w:szCs w:val="18"/>
    </w:rPr>
  </w:style>
  <w:style w:type="character" w:customStyle="1" w:styleId="168">
    <w:name w:val="小四 段落 宋体 Char1"/>
    <w:qFormat/>
    <w:uiPriority w:val="0"/>
    <w:rPr>
      <w:rFonts w:eastAsia="宋体"/>
      <w:kern w:val="2"/>
      <w:sz w:val="24"/>
      <w:szCs w:val="24"/>
      <w:lang w:val="en-US" w:eastAsia="zh-CN" w:bidi="ar-SA"/>
    </w:rPr>
  </w:style>
  <w:style w:type="character" w:customStyle="1" w:styleId="169">
    <w:name w:val="正文文本缩进 Char"/>
    <w:link w:val="30"/>
    <w:qFormat/>
    <w:uiPriority w:val="99"/>
    <w:rPr>
      <w:rFonts w:ascii="宋体" w:eastAsia="仿宋"/>
      <w:sz w:val="24"/>
      <w:szCs w:val="21"/>
    </w:rPr>
  </w:style>
  <w:style w:type="character" w:customStyle="1" w:styleId="170">
    <w:name w:val="content_lineheight1"/>
    <w:basedOn w:val="122"/>
    <w:qFormat/>
    <w:uiPriority w:val="0"/>
  </w:style>
  <w:style w:type="character" w:customStyle="1" w:styleId="171">
    <w:name w:val="第四级 Char"/>
    <w:link w:val="172"/>
    <w:qFormat/>
    <w:uiPriority w:val="0"/>
    <w:rPr>
      <w:rFonts w:ascii="宋体" w:hAnsi="宋体" w:eastAsia="仿宋"/>
      <w:sz w:val="28"/>
      <w:szCs w:val="21"/>
    </w:rPr>
  </w:style>
  <w:style w:type="paragraph" w:customStyle="1" w:styleId="172">
    <w:name w:val="第四级"/>
    <w:basedOn w:val="1"/>
    <w:next w:val="173"/>
    <w:link w:val="171"/>
    <w:qFormat/>
    <w:uiPriority w:val="0"/>
    <w:pPr>
      <w:tabs>
        <w:tab w:val="left" w:pos="1134"/>
      </w:tabs>
    </w:pPr>
    <w:rPr>
      <w:rFonts w:hAnsi="宋体"/>
    </w:rPr>
  </w:style>
  <w:style w:type="paragraph" w:customStyle="1" w:styleId="173">
    <w:name w:val="正文空2格  1."/>
    <w:basedOn w:val="1"/>
    <w:qFormat/>
    <w:uiPriority w:val="0"/>
    <w:pPr>
      <w:ind w:firstLine="480" w:firstLineChars="200"/>
    </w:pPr>
    <w:rPr>
      <w:rFonts w:cs="宋体"/>
      <w:szCs w:val="20"/>
    </w:rPr>
  </w:style>
  <w:style w:type="character" w:customStyle="1" w:styleId="174">
    <w:name w:val="小四 段落 宋体 Char Char Char Char Char"/>
    <w:qFormat/>
    <w:uiPriority w:val="0"/>
    <w:rPr>
      <w:rFonts w:eastAsia="宋体"/>
      <w:kern w:val="2"/>
      <w:sz w:val="24"/>
      <w:szCs w:val="24"/>
      <w:lang w:val="en-US" w:eastAsia="zh-CN" w:bidi="ar-SA"/>
    </w:rPr>
  </w:style>
  <w:style w:type="character" w:customStyle="1" w:styleId="175">
    <w:name w:val="小四 段落 宋体 Char Char Char Char1"/>
    <w:qFormat/>
    <w:uiPriority w:val="0"/>
    <w:rPr>
      <w:rFonts w:eastAsia="宋体"/>
      <w:kern w:val="2"/>
      <w:sz w:val="24"/>
      <w:szCs w:val="24"/>
      <w:lang w:val="en-US" w:eastAsia="zh-CN" w:bidi="ar-SA"/>
    </w:rPr>
  </w:style>
  <w:style w:type="character" w:customStyle="1" w:styleId="176">
    <w:name w:val="脚注文本 Char"/>
    <w:link w:val="62"/>
    <w:qFormat/>
    <w:uiPriority w:val="0"/>
    <w:rPr>
      <w:rFonts w:ascii="宋体" w:eastAsia="仿宋"/>
      <w:sz w:val="18"/>
      <w:szCs w:val="18"/>
    </w:rPr>
  </w:style>
  <w:style w:type="character" w:customStyle="1" w:styleId="177">
    <w:name w:val="样式 标题 2h2sect 1.2H2UNDERRUBRIK 1-2hhHeading TwoProphead 2... Char Char"/>
    <w:link w:val="178"/>
    <w:qFormat/>
    <w:uiPriority w:val="0"/>
    <w:rPr>
      <w:rFonts w:ascii="黑体" w:hAnsi="黑体" w:eastAsia="黑体"/>
      <w:b/>
      <w:bCs/>
      <w:kern w:val="2"/>
      <w:sz w:val="32"/>
      <w:szCs w:val="32"/>
    </w:rPr>
  </w:style>
  <w:style w:type="paragraph" w:customStyle="1" w:styleId="178">
    <w:name w:val="样式 标题 2h2sect 1.2H2UNDERRUBRIK 1-2hhHeading TwoProphead 2..."/>
    <w:basedOn w:val="6"/>
    <w:link w:val="177"/>
    <w:qFormat/>
    <w:uiPriority w:val="0"/>
    <w:pPr>
      <w:keepNext w:val="0"/>
      <w:tabs>
        <w:tab w:val="left" w:pos="1681"/>
      </w:tabs>
      <w:adjustRightInd/>
      <w:spacing w:beforeLines="100" w:after="0" w:line="360" w:lineRule="auto"/>
      <w:ind w:left="1681" w:hanging="420"/>
      <w:jc w:val="left"/>
      <w:textAlignment w:val="auto"/>
    </w:pPr>
    <w:rPr>
      <w:rFonts w:ascii="黑体" w:hAnsi="黑体"/>
      <w:kern w:val="2"/>
    </w:rPr>
  </w:style>
  <w:style w:type="character" w:customStyle="1" w:styleId="179">
    <w:name w:val="小四 段落 宋体 Char Char Char1"/>
    <w:qFormat/>
    <w:uiPriority w:val="0"/>
    <w:rPr>
      <w:rFonts w:ascii="宋体" w:hAnsi="宋体" w:eastAsia="宋体"/>
      <w:kern w:val="2"/>
      <w:sz w:val="24"/>
      <w:szCs w:val="24"/>
      <w:lang w:val="en-US" w:eastAsia="zh-CN" w:bidi="ar-SA"/>
    </w:rPr>
  </w:style>
  <w:style w:type="character" w:customStyle="1" w:styleId="180">
    <w:name w:val="3zw"/>
    <w:basedOn w:val="122"/>
    <w:qFormat/>
    <w:uiPriority w:val="0"/>
  </w:style>
  <w:style w:type="character" w:customStyle="1" w:styleId="181">
    <w:name w:val="文档正文 Char"/>
    <w:link w:val="182"/>
    <w:qFormat/>
    <w:uiPriority w:val="0"/>
    <w:rPr>
      <w:rFonts w:ascii="宋体" w:hAnsi="宋体" w:eastAsia="宋体"/>
      <w:kern w:val="2"/>
      <w:sz w:val="24"/>
      <w:szCs w:val="24"/>
      <w:lang w:val="en-US" w:eastAsia="zh-CN" w:bidi="ar-SA"/>
    </w:rPr>
  </w:style>
  <w:style w:type="paragraph" w:customStyle="1" w:styleId="182">
    <w:name w:val="文档正文"/>
    <w:basedOn w:val="1"/>
    <w:link w:val="181"/>
    <w:qFormat/>
    <w:uiPriority w:val="0"/>
    <w:pPr>
      <w:adjustRightInd/>
      <w:spacing w:line="240" w:lineRule="auto"/>
      <w:ind w:firstLine="480" w:firstLineChars="200"/>
      <w:textAlignment w:val="auto"/>
    </w:pPr>
    <w:rPr>
      <w:rFonts w:hAnsi="宋体" w:eastAsia="宋体"/>
      <w:kern w:val="2"/>
      <w:sz w:val="24"/>
      <w:szCs w:val="24"/>
    </w:rPr>
  </w:style>
  <w:style w:type="character" w:customStyle="1" w:styleId="183">
    <w:name w:val="text1 Char Char"/>
    <w:link w:val="184"/>
    <w:qFormat/>
    <w:uiPriority w:val="0"/>
    <w:rPr>
      <w:sz w:val="24"/>
      <w:szCs w:val="24"/>
    </w:rPr>
  </w:style>
  <w:style w:type="paragraph" w:customStyle="1" w:styleId="184">
    <w:name w:val="text1"/>
    <w:basedOn w:val="1"/>
    <w:link w:val="183"/>
    <w:qFormat/>
    <w:uiPriority w:val="0"/>
    <w:pPr>
      <w:adjustRightInd/>
      <w:ind w:firstLine="480" w:firstLineChars="200"/>
      <w:textAlignment w:val="auto"/>
    </w:pPr>
    <w:rPr>
      <w:rFonts w:ascii="Calibri" w:eastAsia="宋体"/>
      <w:sz w:val="24"/>
      <w:szCs w:val="24"/>
    </w:rPr>
  </w:style>
  <w:style w:type="character" w:customStyle="1" w:styleId="185">
    <w:name w:val="2nd level Char"/>
    <w:qFormat/>
    <w:uiPriority w:val="0"/>
    <w:rPr>
      <w:rFonts w:ascii="Arial" w:hAnsi="Arial" w:eastAsia="黑体"/>
      <w:b/>
      <w:bCs/>
      <w:kern w:val="2"/>
      <w:sz w:val="32"/>
      <w:szCs w:val="32"/>
      <w:lang w:val="en-US" w:eastAsia="zh-CN" w:bidi="ar-SA"/>
    </w:rPr>
  </w:style>
  <w:style w:type="character" w:customStyle="1" w:styleId="186">
    <w:name w:val="标题 1 Char Char"/>
    <w:qFormat/>
    <w:uiPriority w:val="0"/>
    <w:rPr>
      <w:rFonts w:eastAsia="宋体"/>
      <w:b/>
      <w:spacing w:val="-2"/>
      <w:sz w:val="24"/>
      <w:lang w:val="en-US" w:eastAsia="zh-CN" w:bidi="ar-SA"/>
    </w:rPr>
  </w:style>
  <w:style w:type="character" w:customStyle="1" w:styleId="187">
    <w:name w:val="标题 1 Char"/>
    <w:link w:val="5"/>
    <w:qFormat/>
    <w:uiPriority w:val="0"/>
    <w:rPr>
      <w:rFonts w:ascii="宋体" w:eastAsia="仿宋"/>
      <w:b/>
      <w:bCs/>
      <w:kern w:val="44"/>
      <w:sz w:val="44"/>
      <w:szCs w:val="44"/>
    </w:rPr>
  </w:style>
  <w:style w:type="character" w:customStyle="1" w:styleId="188">
    <w:name w:val="wenhua"/>
    <w:qFormat/>
    <w:uiPriority w:val="0"/>
    <w:rPr>
      <w:rFonts w:cs="Times New Roman"/>
    </w:rPr>
  </w:style>
  <w:style w:type="character" w:customStyle="1" w:styleId="189">
    <w:name w:val="hps alt-edited"/>
    <w:basedOn w:val="122"/>
    <w:qFormat/>
    <w:uiPriority w:val="0"/>
  </w:style>
  <w:style w:type="character" w:customStyle="1" w:styleId="190">
    <w:name w:val="Char Char2"/>
    <w:qFormat/>
    <w:uiPriority w:val="0"/>
    <w:rPr>
      <w:rFonts w:ascii="宋体" w:hAnsi="Courier New" w:eastAsia="宋体"/>
      <w:kern w:val="2"/>
      <w:sz w:val="21"/>
      <w:szCs w:val="21"/>
      <w:lang w:val="en-US" w:eastAsia="zh-CN" w:bidi="ar-SA"/>
    </w:rPr>
  </w:style>
  <w:style w:type="character" w:customStyle="1" w:styleId="191">
    <w:name w:val="页脚 Char"/>
    <w:link w:val="50"/>
    <w:qFormat/>
    <w:uiPriority w:val="99"/>
    <w:rPr>
      <w:rFonts w:ascii="宋体" w:eastAsia="仿宋"/>
      <w:sz w:val="18"/>
      <w:szCs w:val="18"/>
    </w:rPr>
  </w:style>
  <w:style w:type="character" w:customStyle="1" w:styleId="192">
    <w:name w:val="正文 第五章 中间"/>
    <w:qFormat/>
    <w:uiPriority w:val="0"/>
    <w:rPr>
      <w:b/>
      <w:bCs/>
      <w:color w:val="000000"/>
      <w:sz w:val="32"/>
    </w:rPr>
  </w:style>
  <w:style w:type="character" w:customStyle="1" w:styleId="193">
    <w:name w:val="font5 Char"/>
    <w:qFormat/>
    <w:uiPriority w:val="0"/>
    <w:rPr>
      <w:rFonts w:ascii="宋体" w:hAnsi="宋体" w:eastAsia="宋体"/>
      <w:sz w:val="28"/>
      <w:szCs w:val="28"/>
      <w:lang w:val="en-US" w:eastAsia="zh-CN" w:bidi="ar-SA"/>
    </w:rPr>
  </w:style>
  <w:style w:type="character" w:customStyle="1" w:styleId="194">
    <w:name w:val="hps"/>
    <w:basedOn w:val="122"/>
    <w:qFormat/>
    <w:uiPriority w:val="0"/>
  </w:style>
  <w:style w:type="character" w:customStyle="1" w:styleId="195">
    <w:name w:val="正文文本缩进 2 Char"/>
    <w:link w:val="46"/>
    <w:qFormat/>
    <w:uiPriority w:val="0"/>
    <w:rPr>
      <w:rFonts w:ascii="宋体" w:eastAsia="仿宋"/>
      <w:sz w:val="24"/>
      <w:szCs w:val="21"/>
    </w:rPr>
  </w:style>
  <w:style w:type="character" w:customStyle="1" w:styleId="196">
    <w:name w:val="ih151"/>
    <w:qFormat/>
    <w:uiPriority w:val="0"/>
    <w:rPr>
      <w:color w:val="666666"/>
      <w:sz w:val="18"/>
      <w:szCs w:val="18"/>
      <w:u w:val="none"/>
    </w:rPr>
  </w:style>
  <w:style w:type="character" w:customStyle="1" w:styleId="197">
    <w:name w:val="文档结构图 Char"/>
    <w:link w:val="24"/>
    <w:qFormat/>
    <w:uiPriority w:val="0"/>
    <w:rPr>
      <w:rFonts w:ascii="宋体" w:eastAsia="仿宋"/>
      <w:sz w:val="24"/>
      <w:szCs w:val="21"/>
      <w:shd w:val="clear" w:color="auto" w:fill="000080"/>
    </w:rPr>
  </w:style>
  <w:style w:type="character" w:customStyle="1" w:styleId="198">
    <w:name w:val="标题 Char"/>
    <w:link w:val="74"/>
    <w:qFormat/>
    <w:uiPriority w:val="0"/>
    <w:rPr>
      <w:rFonts w:ascii="Arial" w:hAnsi="Arial" w:eastAsia="仿宋" w:cs="Arial"/>
      <w:b/>
      <w:bCs/>
      <w:sz w:val="32"/>
      <w:szCs w:val="32"/>
    </w:rPr>
  </w:style>
  <w:style w:type="character" w:customStyle="1" w:styleId="199">
    <w:name w:val="日期 Char"/>
    <w:link w:val="45"/>
    <w:qFormat/>
    <w:uiPriority w:val="0"/>
    <w:rPr>
      <w:rFonts w:ascii="宋体" w:eastAsia="仿宋"/>
      <w:sz w:val="24"/>
      <w:szCs w:val="21"/>
    </w:rPr>
  </w:style>
  <w:style w:type="character" w:customStyle="1" w:styleId="200">
    <w:name w:val="正文缩进 Char"/>
    <w:link w:val="10"/>
    <w:qFormat/>
    <w:uiPriority w:val="0"/>
    <w:rPr>
      <w:rFonts w:ascii="宋体" w:eastAsia="仿宋"/>
      <w:sz w:val="24"/>
      <w:szCs w:val="21"/>
    </w:rPr>
  </w:style>
  <w:style w:type="character" w:customStyle="1" w:styleId="201">
    <w:name w:val="font21"/>
    <w:basedOn w:val="122"/>
    <w:qFormat/>
    <w:uiPriority w:val="0"/>
    <w:rPr>
      <w:rFonts w:hint="default" w:ascii="Times New Roman" w:hAnsi="Times New Roman" w:cs="Times New Roman"/>
      <w:color w:val="000000"/>
      <w:sz w:val="24"/>
      <w:szCs w:val="24"/>
      <w:u w:val="none"/>
    </w:rPr>
  </w:style>
  <w:style w:type="character" w:customStyle="1" w:styleId="202">
    <w:name w:val="style131"/>
    <w:qFormat/>
    <w:uiPriority w:val="0"/>
    <w:rPr>
      <w:rFonts w:cs="Times New Roman"/>
      <w:sz w:val="18"/>
      <w:szCs w:val="18"/>
    </w:rPr>
  </w:style>
  <w:style w:type="character" w:customStyle="1" w:styleId="203">
    <w:name w:val="Char Char7"/>
    <w:qFormat/>
    <w:uiPriority w:val="0"/>
    <w:rPr>
      <w:b/>
      <w:bCs/>
      <w:kern w:val="44"/>
      <w:sz w:val="44"/>
      <w:szCs w:val="44"/>
    </w:rPr>
  </w:style>
  <w:style w:type="character" w:customStyle="1" w:styleId="204">
    <w:name w:val="t_tag"/>
    <w:qFormat/>
    <w:uiPriority w:val="0"/>
  </w:style>
  <w:style w:type="character" w:customStyle="1" w:styleId="205">
    <w:name w:val="Title1 Char"/>
    <w:qFormat/>
    <w:uiPriority w:val="0"/>
    <w:rPr>
      <w:rFonts w:eastAsia="宋体"/>
      <w:b/>
      <w:bCs/>
      <w:kern w:val="44"/>
      <w:sz w:val="44"/>
      <w:szCs w:val="44"/>
      <w:lang w:val="en-US" w:eastAsia="zh-CN" w:bidi="ar-SA"/>
    </w:rPr>
  </w:style>
  <w:style w:type="character" w:customStyle="1" w:styleId="206">
    <w:name w:val="HTML 预设格式 Char"/>
    <w:link w:val="71"/>
    <w:qFormat/>
    <w:uiPriority w:val="0"/>
    <w:rPr>
      <w:rFonts w:ascii="Courier New" w:hAnsi="Courier New" w:eastAsia="仿宋" w:cs="Courier New"/>
    </w:rPr>
  </w:style>
  <w:style w:type="character" w:customStyle="1" w:styleId="207">
    <w:name w:val="oblog_text"/>
    <w:qFormat/>
    <w:uiPriority w:val="0"/>
  </w:style>
  <w:style w:type="character" w:customStyle="1" w:styleId="208">
    <w:name w:val="访问过的超链接1"/>
    <w:qFormat/>
    <w:uiPriority w:val="0"/>
    <w:rPr>
      <w:color w:val="800080"/>
      <w:u w:val="single"/>
    </w:rPr>
  </w:style>
  <w:style w:type="character" w:customStyle="1" w:styleId="209">
    <w:name w:val="FA正文 Char"/>
    <w:link w:val="210"/>
    <w:qFormat/>
    <w:uiPriority w:val="0"/>
    <w:rPr>
      <w:rFonts w:ascii="宋体" w:hAnsi="宋体"/>
      <w:spacing w:val="10"/>
      <w:kern w:val="2"/>
      <w:sz w:val="21"/>
      <w:szCs w:val="21"/>
    </w:rPr>
  </w:style>
  <w:style w:type="paragraph" w:customStyle="1" w:styleId="210">
    <w:name w:val="FA正文"/>
    <w:basedOn w:val="1"/>
    <w:link w:val="209"/>
    <w:qFormat/>
    <w:uiPriority w:val="0"/>
    <w:pPr>
      <w:tabs>
        <w:tab w:val="left" w:pos="426"/>
      </w:tabs>
      <w:adjustRightInd/>
      <w:ind w:left="420" w:firstLine="6"/>
      <w:textAlignment w:val="auto"/>
    </w:pPr>
    <w:rPr>
      <w:rFonts w:hAnsi="宋体" w:eastAsia="宋体"/>
      <w:spacing w:val="10"/>
      <w:kern w:val="2"/>
      <w:sz w:val="21"/>
    </w:rPr>
  </w:style>
  <w:style w:type="character" w:customStyle="1" w:styleId="211">
    <w:name w:val="纯文本 Char"/>
    <w:link w:val="39"/>
    <w:qFormat/>
    <w:uiPriority w:val="0"/>
    <w:rPr>
      <w:rFonts w:ascii="宋体" w:hAnsi="Courier New" w:eastAsia="仿宋" w:cs="Courier New"/>
      <w:sz w:val="21"/>
      <w:szCs w:val="21"/>
    </w:rPr>
  </w:style>
  <w:style w:type="character" w:customStyle="1" w:styleId="212">
    <w:name w:val="normalfont1"/>
    <w:qFormat/>
    <w:uiPriority w:val="0"/>
    <w:rPr>
      <w:rFonts w:hint="default" w:ascii="ˎ̥" w:hAnsi="ˎ̥"/>
      <w:sz w:val="18"/>
      <w:szCs w:val="18"/>
      <w:u w:val="none"/>
    </w:rPr>
  </w:style>
  <w:style w:type="character" w:customStyle="1" w:styleId="213">
    <w:name w:val="批注框文本 Char"/>
    <w:link w:val="49"/>
    <w:qFormat/>
    <w:uiPriority w:val="0"/>
    <w:rPr>
      <w:rFonts w:ascii="宋体" w:eastAsia="仿宋"/>
      <w:sz w:val="18"/>
      <w:szCs w:val="18"/>
    </w:rPr>
  </w:style>
  <w:style w:type="character" w:customStyle="1" w:styleId="214">
    <w:name w:val="font51"/>
    <w:basedOn w:val="122"/>
    <w:qFormat/>
    <w:uiPriority w:val="0"/>
    <w:rPr>
      <w:rFonts w:hint="eastAsia" w:ascii="宋体" w:hAnsi="宋体" w:eastAsia="宋体" w:cs="宋体"/>
      <w:color w:val="000000"/>
      <w:sz w:val="24"/>
      <w:szCs w:val="24"/>
      <w:u w:val="none"/>
    </w:rPr>
  </w:style>
  <w:style w:type="character" w:customStyle="1" w:styleId="215">
    <w:name w:val="正文文本缩进 3 Char"/>
    <w:link w:val="64"/>
    <w:qFormat/>
    <w:uiPriority w:val="0"/>
    <w:rPr>
      <w:rFonts w:ascii="宋体" w:eastAsia="仿宋"/>
      <w:sz w:val="16"/>
      <w:szCs w:val="16"/>
    </w:rPr>
  </w:style>
  <w:style w:type="character" w:customStyle="1" w:styleId="216">
    <w:name w:val="称呼 Char"/>
    <w:link w:val="26"/>
    <w:qFormat/>
    <w:uiPriority w:val="0"/>
    <w:rPr>
      <w:rFonts w:ascii="宋体" w:eastAsia="仿宋"/>
      <w:sz w:val="24"/>
      <w:szCs w:val="21"/>
    </w:rPr>
  </w:style>
  <w:style w:type="character" w:customStyle="1" w:styleId="217">
    <w:name w:val="Indent Normal Char"/>
    <w:link w:val="218"/>
    <w:qFormat/>
    <w:uiPriority w:val="0"/>
    <w:rPr>
      <w:kern w:val="2"/>
      <w:sz w:val="24"/>
      <w:szCs w:val="24"/>
    </w:rPr>
  </w:style>
  <w:style w:type="paragraph" w:customStyle="1" w:styleId="218">
    <w:name w:val="Indent Normal"/>
    <w:basedOn w:val="1"/>
    <w:link w:val="217"/>
    <w:qFormat/>
    <w:uiPriority w:val="0"/>
    <w:pPr>
      <w:adjustRightInd/>
      <w:spacing w:line="240" w:lineRule="auto"/>
      <w:ind w:firstLine="150" w:firstLineChars="150"/>
      <w:textAlignment w:val="auto"/>
    </w:pPr>
    <w:rPr>
      <w:rFonts w:ascii="Calibri" w:eastAsia="宋体"/>
      <w:kern w:val="2"/>
      <w:sz w:val="24"/>
      <w:szCs w:val="24"/>
    </w:rPr>
  </w:style>
  <w:style w:type="character" w:customStyle="1" w:styleId="219">
    <w:name w:val="正文文本 Char"/>
    <w:link w:val="3"/>
    <w:qFormat/>
    <w:uiPriority w:val="0"/>
    <w:rPr>
      <w:rFonts w:ascii="宋体" w:eastAsia="仿宋"/>
      <w:sz w:val="24"/>
      <w:szCs w:val="21"/>
    </w:rPr>
  </w:style>
  <w:style w:type="paragraph" w:customStyle="1" w:styleId="220">
    <w:name w:val="xl88"/>
    <w:basedOn w:val="1"/>
    <w:qFormat/>
    <w:uiPriority w:val="0"/>
    <w:pPr>
      <w:widowControl/>
      <w:pBdr>
        <w:top w:val="single" w:color="000000" w:sz="4" w:space="0"/>
        <w:left w:val="single" w:color="000000" w:sz="4" w:space="0"/>
        <w:bottom w:val="single" w:color="auto" w:sz="4" w:space="0"/>
        <w:right w:val="single" w:color="000000" w:sz="4" w:space="0"/>
      </w:pBdr>
      <w:adjustRightInd/>
      <w:spacing w:before="100" w:beforeAutospacing="1" w:after="100" w:afterAutospacing="1" w:line="240" w:lineRule="auto"/>
      <w:jc w:val="left"/>
      <w:textAlignment w:val="center"/>
    </w:pPr>
    <w:rPr>
      <w:rFonts w:hAnsi="宋体" w:eastAsia="宋体" w:cs="宋体"/>
      <w:color w:val="000000"/>
      <w:sz w:val="20"/>
      <w:szCs w:val="20"/>
    </w:rPr>
  </w:style>
  <w:style w:type="paragraph" w:customStyle="1" w:styleId="221">
    <w:name w:val="a0"/>
    <w:basedOn w:val="1"/>
    <w:qFormat/>
    <w:uiPriority w:val="0"/>
    <w:pPr>
      <w:widowControl/>
      <w:adjustRightInd/>
      <w:spacing w:before="100" w:beforeAutospacing="1" w:after="100" w:afterAutospacing="1" w:line="240" w:lineRule="auto"/>
      <w:textAlignment w:val="auto"/>
    </w:pPr>
    <w:rPr>
      <w:rFonts w:hAnsi="宋体" w:eastAsia="宋体" w:cs="宋体"/>
      <w:szCs w:val="24"/>
    </w:rPr>
  </w:style>
  <w:style w:type="paragraph" w:customStyle="1" w:styleId="222">
    <w:name w:val="符号与编号 Char"/>
    <w:basedOn w:val="1"/>
    <w:qFormat/>
    <w:uiPriority w:val="0"/>
    <w:pPr>
      <w:tabs>
        <w:tab w:val="left" w:pos="720"/>
      </w:tabs>
      <w:adjustRightInd/>
      <w:spacing w:afterLines="50" w:line="400" w:lineRule="atLeast"/>
      <w:ind w:left="720"/>
      <w:textAlignment w:val="auto"/>
    </w:pPr>
    <w:rPr>
      <w:rFonts w:ascii="Times New Roman" w:eastAsia="宋体"/>
      <w:kern w:val="2"/>
      <w:szCs w:val="24"/>
    </w:rPr>
  </w:style>
  <w:style w:type="paragraph" w:customStyle="1" w:styleId="223">
    <w:name w:val="（一）"/>
    <w:basedOn w:val="163"/>
    <w:qFormat/>
    <w:uiPriority w:val="0"/>
    <w:pPr>
      <w:tabs>
        <w:tab w:val="left" w:pos="360"/>
      </w:tabs>
      <w:adjustRightInd/>
      <w:spacing w:line="240" w:lineRule="auto"/>
      <w:ind w:left="350" w:leftChars="200" w:hanging="150" w:hangingChars="150"/>
      <w:textAlignment w:val="auto"/>
    </w:pPr>
    <w:rPr>
      <w:rFonts w:hAnsi="宋体"/>
      <w:kern w:val="2"/>
      <w:sz w:val="28"/>
      <w:szCs w:val="28"/>
    </w:rPr>
  </w:style>
  <w:style w:type="paragraph" w:customStyle="1" w:styleId="224">
    <w:name w:val="小四 段落 宋体 Char"/>
    <w:basedOn w:val="21"/>
    <w:qFormat/>
    <w:uiPriority w:val="0"/>
    <w:pPr>
      <w:adjustRightInd/>
      <w:spacing w:line="240" w:lineRule="auto"/>
      <w:ind w:left="0" w:right="-33" w:firstLine="600" w:firstLineChars="200"/>
      <w:jc w:val="left"/>
      <w:textAlignment w:val="auto"/>
    </w:pPr>
    <w:rPr>
      <w:rFonts w:ascii="仿宋_GB2312" w:eastAsia="仿宋_GB2312"/>
      <w:kern w:val="2"/>
      <w:sz w:val="30"/>
      <w:szCs w:val="30"/>
    </w:rPr>
  </w:style>
  <w:style w:type="paragraph" w:customStyle="1" w:styleId="225">
    <w:name w:val="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226">
    <w:name w:val="正文2"/>
    <w:basedOn w:val="1"/>
    <w:qFormat/>
    <w:uiPriority w:val="0"/>
    <w:pPr>
      <w:adjustRightInd/>
      <w:spacing w:before="156"/>
      <w:ind w:firstLine="510" w:firstLineChars="200"/>
      <w:textAlignment w:val="auto"/>
    </w:pPr>
    <w:rPr>
      <w:rFonts w:ascii="Times New Roman" w:eastAsia="宋体"/>
      <w:kern w:val="2"/>
      <w:szCs w:val="20"/>
    </w:rPr>
  </w:style>
  <w:style w:type="paragraph" w:customStyle="1" w:styleId="227">
    <w:name w:val="xl87"/>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jc w:val="center"/>
      <w:textAlignment w:val="center"/>
    </w:pPr>
    <w:rPr>
      <w:rFonts w:hAnsi="宋体" w:eastAsia="宋体" w:cs="宋体"/>
      <w:color w:val="000000"/>
      <w:sz w:val="20"/>
      <w:szCs w:val="20"/>
    </w:rPr>
  </w:style>
  <w:style w:type="paragraph" w:customStyle="1" w:styleId="228">
    <w:name w:val="Char Char Char Char Char Char Char Char2"/>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229">
    <w:name w:val="样式"/>
    <w:basedOn w:val="1"/>
    <w:qFormat/>
    <w:uiPriority w:val="0"/>
    <w:pPr>
      <w:autoSpaceDE w:val="0"/>
      <w:autoSpaceDN w:val="0"/>
      <w:adjustRightInd/>
      <w:snapToGrid w:val="0"/>
      <w:spacing w:before="120" w:after="120"/>
      <w:textAlignment w:val="auto"/>
    </w:pPr>
    <w:rPr>
      <w:rFonts w:eastAsia="宋体"/>
      <w:kern w:val="2"/>
      <w:szCs w:val="20"/>
    </w:rPr>
  </w:style>
  <w:style w:type="paragraph" w:customStyle="1" w:styleId="230">
    <w:name w:val="表头_5"/>
    <w:basedOn w:val="1"/>
    <w:qFormat/>
    <w:uiPriority w:val="0"/>
    <w:rPr>
      <w:rFonts w:ascii="Times New Roman" w:eastAsia="宋体"/>
      <w:b/>
      <w:bCs/>
      <w:kern w:val="2"/>
    </w:rPr>
  </w:style>
  <w:style w:type="paragraph" w:customStyle="1" w:styleId="231">
    <w:name w:val="样式4 Char"/>
    <w:basedOn w:val="1"/>
    <w:qFormat/>
    <w:uiPriority w:val="0"/>
    <w:pPr>
      <w:widowControl/>
      <w:adjustRightInd/>
      <w:ind w:firstLine="480"/>
      <w:jc w:val="left"/>
      <w:textAlignment w:val="auto"/>
    </w:pPr>
    <w:rPr>
      <w:rFonts w:ascii="Times New Roman" w:eastAsia="宋体" w:cs="宋体"/>
      <w:color w:val="000000"/>
      <w:szCs w:val="24"/>
    </w:rPr>
  </w:style>
  <w:style w:type="paragraph" w:customStyle="1" w:styleId="232">
    <w:name w:val="上标"/>
    <w:basedOn w:val="173"/>
    <w:qFormat/>
    <w:uiPriority w:val="0"/>
    <w:rPr>
      <w:szCs w:val="24"/>
      <w:vertAlign w:val="superscript"/>
    </w:rPr>
  </w:style>
  <w:style w:type="paragraph" w:customStyle="1" w:styleId="233">
    <w:name w:val="仿宋五号"/>
    <w:basedOn w:val="1"/>
    <w:qFormat/>
    <w:uiPriority w:val="0"/>
    <w:pPr>
      <w:jc w:val="center"/>
    </w:pPr>
    <w:rPr>
      <w:rFonts w:hAnsi="宋体" w:cs="宋体"/>
      <w:sz w:val="21"/>
      <w:szCs w:val="20"/>
    </w:rPr>
  </w:style>
  <w:style w:type="paragraph" w:customStyle="1" w:styleId="234">
    <w:name w:val="Char Char Char Char Char Char Char"/>
    <w:basedOn w:val="1"/>
    <w:qFormat/>
    <w:uiPriority w:val="0"/>
    <w:pPr>
      <w:tabs>
        <w:tab w:val="left" w:pos="432"/>
      </w:tabs>
      <w:adjustRightInd/>
      <w:spacing w:line="240" w:lineRule="auto"/>
      <w:ind w:left="432" w:hanging="432"/>
      <w:textAlignment w:val="auto"/>
    </w:pPr>
    <w:rPr>
      <w:rFonts w:ascii="Tahoma" w:hAnsi="Tahoma" w:eastAsia="宋体"/>
      <w:kern w:val="2"/>
      <w:sz w:val="24"/>
      <w:szCs w:val="20"/>
    </w:rPr>
  </w:style>
  <w:style w:type="paragraph" w:customStyle="1" w:styleId="235">
    <w:name w:val="Char Char1"/>
    <w:basedOn w:val="1"/>
    <w:qFormat/>
    <w:uiPriority w:val="0"/>
    <w:pPr>
      <w:adjustRightInd/>
      <w:spacing w:line="240" w:lineRule="auto"/>
      <w:textAlignment w:val="auto"/>
    </w:pPr>
    <w:rPr>
      <w:rFonts w:ascii="Tahoma" w:hAnsi="Tahoma" w:eastAsia="宋体"/>
      <w:kern w:val="2"/>
      <w:szCs w:val="20"/>
    </w:rPr>
  </w:style>
  <w:style w:type="paragraph" w:customStyle="1" w:styleId="236">
    <w:name w:val="flName"/>
    <w:basedOn w:val="237"/>
    <w:qFormat/>
    <w:uiPriority w:val="0"/>
    <w:pPr>
      <w:spacing w:before="0" w:line="113" w:lineRule="atLeast"/>
    </w:pPr>
  </w:style>
  <w:style w:type="paragraph" w:customStyle="1" w:styleId="237">
    <w:name w:val="flNote"/>
    <w:basedOn w:val="1"/>
    <w:qFormat/>
    <w:uiPriority w:val="0"/>
    <w:pPr>
      <w:spacing w:before="567" w:line="360" w:lineRule="atLeast"/>
      <w:jc w:val="center"/>
    </w:pPr>
    <w:rPr>
      <w:rFonts w:ascii="Times New Roman" w:eastAsia="黑体"/>
      <w:b/>
      <w:szCs w:val="20"/>
    </w:rPr>
  </w:style>
  <w:style w:type="paragraph" w:customStyle="1" w:styleId="238">
    <w:name w:val="样式 【自定义】正文缩进2字符 + 底端: (单实线 自动设置  1.5 磅 行宽)"/>
    <w:basedOn w:val="173"/>
    <w:qFormat/>
    <w:uiPriority w:val="0"/>
    <w:pPr>
      <w:pBdr>
        <w:bottom w:val="single" w:color="auto" w:sz="12" w:space="1"/>
      </w:pBdr>
    </w:pPr>
  </w:style>
  <w:style w:type="paragraph" w:customStyle="1" w:styleId="239">
    <w:name w:val="表蕊"/>
    <w:basedOn w:val="1"/>
    <w:qFormat/>
    <w:uiPriority w:val="0"/>
    <w:pPr>
      <w:spacing w:line="320" w:lineRule="atLeast"/>
      <w:jc w:val="left"/>
    </w:pPr>
    <w:rPr>
      <w:rFonts w:ascii="Times New Roman" w:eastAsia="楷体_GB2312"/>
      <w:spacing w:val="-10"/>
      <w:sz w:val="21"/>
      <w:szCs w:val="20"/>
    </w:rPr>
  </w:style>
  <w:style w:type="paragraph" w:customStyle="1" w:styleId="240">
    <w:name w:val="Char Char Char Char Char Char Char Char Char"/>
    <w:basedOn w:val="1"/>
    <w:qFormat/>
    <w:uiPriority w:val="0"/>
    <w:pPr>
      <w:tabs>
        <w:tab w:val="left" w:pos="360"/>
      </w:tabs>
      <w:adjustRightInd/>
      <w:spacing w:line="240" w:lineRule="auto"/>
      <w:ind w:left="360" w:hanging="360" w:hangingChars="200"/>
      <w:textAlignment w:val="auto"/>
    </w:pPr>
    <w:rPr>
      <w:rFonts w:ascii="Times New Roman" w:eastAsia="宋体"/>
      <w:kern w:val="2"/>
      <w:szCs w:val="24"/>
    </w:rPr>
  </w:style>
  <w:style w:type="paragraph" w:customStyle="1" w:styleId="241">
    <w:name w:val="一、投标人资质"/>
    <w:basedOn w:val="163"/>
    <w:qFormat/>
    <w:uiPriority w:val="0"/>
    <w:pPr>
      <w:tabs>
        <w:tab w:val="left" w:pos="680"/>
      </w:tabs>
      <w:adjustRightInd/>
      <w:spacing w:line="240" w:lineRule="auto"/>
      <w:ind w:left="567" w:hanging="567" w:firstLineChars="0"/>
      <w:textAlignment w:val="auto"/>
    </w:pPr>
    <w:rPr>
      <w:rFonts w:hAnsi="宋体"/>
      <w:kern w:val="2"/>
      <w:sz w:val="28"/>
      <w:szCs w:val="28"/>
    </w:rPr>
  </w:style>
  <w:style w:type="paragraph" w:customStyle="1" w:styleId="242">
    <w:name w:val="正文空6格  a）"/>
    <w:basedOn w:val="1"/>
    <w:qFormat/>
    <w:uiPriority w:val="0"/>
    <w:pPr>
      <w:ind w:firstLine="1680" w:firstLineChars="600"/>
    </w:pPr>
    <w:rPr>
      <w:rFonts w:cs="宋体"/>
      <w:szCs w:val="20"/>
    </w:rPr>
  </w:style>
  <w:style w:type="paragraph" w:customStyle="1" w:styleId="243">
    <w:name w:val="GP正文(无首行缩进)"/>
    <w:qFormat/>
    <w:uiPriority w:val="0"/>
    <w:pPr>
      <w:widowControl w:val="0"/>
      <w:spacing w:line="360" w:lineRule="auto"/>
    </w:pPr>
    <w:rPr>
      <w:rFonts w:ascii="Calibri" w:hAnsi="Calibri" w:eastAsia="宋体" w:cs="Times New Roman"/>
      <w:kern w:val="2"/>
      <w:sz w:val="24"/>
      <w:szCs w:val="21"/>
      <w:lang w:val="en-US" w:eastAsia="zh-CN" w:bidi="ar-SA"/>
    </w:rPr>
  </w:style>
  <w:style w:type="paragraph" w:customStyle="1" w:styleId="244">
    <w:name w:val="标题2"/>
    <w:basedOn w:val="6"/>
    <w:qFormat/>
    <w:uiPriority w:val="0"/>
    <w:pPr>
      <w:keepNext w:val="0"/>
      <w:keepLines w:val="0"/>
      <w:tabs>
        <w:tab w:val="left" w:pos="0"/>
      </w:tabs>
      <w:adjustRightInd/>
      <w:spacing w:before="0" w:after="0" w:line="360" w:lineRule="auto"/>
      <w:textAlignment w:val="auto"/>
    </w:pPr>
    <w:rPr>
      <w:rFonts w:eastAsia="仿宋_GB2312"/>
      <w:b w:val="0"/>
      <w:kern w:val="2"/>
      <w:sz w:val="30"/>
    </w:rPr>
  </w:style>
  <w:style w:type="paragraph" w:customStyle="1" w:styleId="245">
    <w:name w:val="Char Char Char Char2"/>
    <w:basedOn w:val="24"/>
    <w:qFormat/>
    <w:uiPriority w:val="0"/>
    <w:pPr>
      <w:snapToGrid w:val="0"/>
      <w:textAlignment w:val="auto"/>
    </w:pPr>
    <w:rPr>
      <w:rFonts w:ascii="Tahoma" w:hAnsi="Tahoma" w:eastAsia="宋体"/>
      <w:kern w:val="2"/>
      <w:szCs w:val="24"/>
    </w:rPr>
  </w:style>
  <w:style w:type="paragraph" w:customStyle="1" w:styleId="246">
    <w:name w:val="公文正文"/>
    <w:basedOn w:val="30"/>
    <w:qFormat/>
    <w:uiPriority w:val="0"/>
    <w:pPr>
      <w:adjustRightInd/>
      <w:spacing w:after="0" w:line="240" w:lineRule="auto"/>
      <w:ind w:left="0" w:leftChars="0" w:firstLine="200" w:firstLineChars="200"/>
      <w:textAlignment w:val="auto"/>
    </w:pPr>
    <w:rPr>
      <w:rFonts w:ascii="仿宋_GB2312" w:hAnsi="宋体" w:eastAsia="仿宋_GB2312"/>
      <w:kern w:val="28"/>
      <w:sz w:val="28"/>
      <w:szCs w:val="24"/>
    </w:rPr>
  </w:style>
  <w:style w:type="paragraph" w:customStyle="1" w:styleId="247">
    <w:name w:val="马刚标题4"/>
    <w:basedOn w:val="248"/>
    <w:next w:val="1"/>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qFormat/>
    <w:uiPriority w:val="0"/>
    <w:pPr>
      <w:keepNext/>
      <w:keepLines/>
      <w:tabs>
        <w:tab w:val="left" w:pos="567"/>
        <w:tab w:val="left" w:pos="735"/>
      </w:tabs>
      <w:adjustRightInd/>
      <w:spacing w:before="120" w:after="60" w:line="413" w:lineRule="auto"/>
      <w:ind w:left="567" w:hanging="567"/>
      <w:jc w:val="left"/>
      <w:textAlignment w:val="auto"/>
      <w:outlineLvl w:val="2"/>
    </w:pPr>
    <w:rPr>
      <w:rFonts w:ascii="黑体" w:hAnsi="Arial" w:eastAsia="黑体"/>
      <w:b/>
      <w:bCs/>
      <w:kern w:val="2"/>
      <w:szCs w:val="20"/>
    </w:rPr>
  </w:style>
  <w:style w:type="paragraph" w:customStyle="1" w:styleId="249">
    <w:name w:val="xl89"/>
    <w:basedOn w:val="1"/>
    <w:qFormat/>
    <w:uiPriority w:val="0"/>
    <w:pPr>
      <w:widowControl/>
      <w:pBdr>
        <w:top w:val="single" w:color="000000" w:sz="4" w:space="0"/>
        <w:left w:val="single" w:color="000000" w:sz="4" w:space="0"/>
        <w:bottom w:val="single" w:color="auto" w:sz="4" w:space="0"/>
        <w:right w:val="single" w:color="000000" w:sz="4" w:space="0"/>
      </w:pBdr>
      <w:adjustRightInd/>
      <w:spacing w:before="100" w:beforeAutospacing="1" w:after="100" w:afterAutospacing="1" w:line="240" w:lineRule="auto"/>
      <w:jc w:val="center"/>
      <w:textAlignment w:val="center"/>
    </w:pPr>
    <w:rPr>
      <w:rFonts w:hAnsi="宋体" w:eastAsia="宋体" w:cs="宋体"/>
      <w:color w:val="000000"/>
      <w:sz w:val="20"/>
      <w:szCs w:val="20"/>
    </w:rPr>
  </w:style>
  <w:style w:type="paragraph" w:customStyle="1" w:styleId="250">
    <w:name w:val="Char Char Char Char Char Char Char1"/>
    <w:basedOn w:val="1"/>
    <w:qFormat/>
    <w:uiPriority w:val="0"/>
    <w:pPr>
      <w:adjustRightInd/>
      <w:spacing w:line="240" w:lineRule="auto"/>
      <w:textAlignment w:val="auto"/>
    </w:pPr>
    <w:rPr>
      <w:rFonts w:ascii="Tahoma" w:hAnsi="Tahoma" w:eastAsia="宋体"/>
      <w:kern w:val="2"/>
      <w:szCs w:val="20"/>
    </w:rPr>
  </w:style>
  <w:style w:type="paragraph" w:customStyle="1" w:styleId="251">
    <w:name w:val="7"/>
    <w:basedOn w:val="1"/>
    <w:next w:val="72"/>
    <w:qFormat/>
    <w:uiPriority w:val="0"/>
    <w:pPr>
      <w:widowControl/>
      <w:adjustRightInd/>
      <w:spacing w:before="100" w:beforeAutospacing="1" w:after="100" w:afterAutospacing="1" w:line="240" w:lineRule="auto"/>
      <w:jc w:val="left"/>
      <w:textAlignment w:val="auto"/>
    </w:pPr>
    <w:rPr>
      <w:rFonts w:hAnsi="宋体" w:eastAsia="宋体"/>
      <w:szCs w:val="20"/>
    </w:rPr>
  </w:style>
  <w:style w:type="paragraph" w:customStyle="1" w:styleId="25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253">
    <w:name w:val="标题1，章节第一层"/>
    <w:basedOn w:val="254"/>
    <w:next w:val="254"/>
    <w:qFormat/>
    <w:uiPriority w:val="0"/>
    <w:pPr>
      <w:tabs>
        <w:tab w:val="left" w:pos="693"/>
      </w:tabs>
      <w:spacing w:beforeLines="0"/>
      <w:ind w:left="482"/>
      <w:outlineLvl w:val="0"/>
    </w:pPr>
    <w:rPr>
      <w:color w:val="000000"/>
      <w:sz w:val="24"/>
      <w:szCs w:val="24"/>
    </w:rPr>
  </w:style>
  <w:style w:type="paragraph" w:customStyle="1" w:styleId="254">
    <w:name w:val="正文格式"/>
    <w:basedOn w:val="1"/>
    <w:qFormat/>
    <w:uiPriority w:val="0"/>
    <w:pPr>
      <w:widowControl/>
      <w:snapToGrid w:val="0"/>
      <w:spacing w:beforeLines="25"/>
      <w:ind w:left="178" w:right="44" w:rightChars="21" w:hanging="178" w:hangingChars="85"/>
      <w:jc w:val="left"/>
    </w:pPr>
    <w:rPr>
      <w:rFonts w:hAnsi="宋体" w:eastAsia="宋体"/>
      <w:bCs/>
      <w:sz w:val="21"/>
    </w:rPr>
  </w:style>
  <w:style w:type="paragraph" w:customStyle="1" w:styleId="255">
    <w:name w:val="table_lines"/>
    <w:basedOn w:val="1"/>
    <w:qFormat/>
    <w:uiPriority w:val="0"/>
    <w:pPr>
      <w:widowControl/>
      <w:adjustRightInd/>
      <w:spacing w:line="240" w:lineRule="auto"/>
      <w:jc w:val="left"/>
      <w:textAlignment w:val="auto"/>
    </w:pPr>
    <w:rPr>
      <w:rFonts w:ascii="Times New Roman" w:eastAsia="宋体"/>
      <w:sz w:val="20"/>
      <w:szCs w:val="20"/>
      <w:lang w:val="de-DE" w:eastAsia="de-DE"/>
    </w:rPr>
  </w:style>
  <w:style w:type="paragraph" w:customStyle="1" w:styleId="256">
    <w:name w:val="7.10表格"/>
    <w:basedOn w:val="1"/>
    <w:qFormat/>
    <w:uiPriority w:val="0"/>
    <w:pPr>
      <w:spacing w:line="240" w:lineRule="auto"/>
      <w:jc w:val="center"/>
    </w:pPr>
    <w:rPr>
      <w:rFonts w:hAnsi="宋体" w:cs="宋体"/>
      <w:szCs w:val="20"/>
    </w:rPr>
  </w:style>
  <w:style w:type="paragraph" w:customStyle="1" w:styleId="257">
    <w:name w:val="普通 (Web)"/>
    <w:basedOn w:val="1"/>
    <w:qFormat/>
    <w:uiPriority w:val="0"/>
    <w:pPr>
      <w:widowControl/>
      <w:adjustRightInd/>
      <w:spacing w:before="100" w:beforeAutospacing="1" w:after="100" w:afterAutospacing="1" w:line="240" w:lineRule="auto"/>
      <w:jc w:val="left"/>
      <w:textAlignment w:val="auto"/>
    </w:pPr>
    <w:rPr>
      <w:rFonts w:hAnsi="宋体" w:eastAsia="宋体"/>
      <w:szCs w:val="24"/>
    </w:rPr>
  </w:style>
  <w:style w:type="paragraph" w:customStyle="1" w:styleId="258">
    <w:name w:val="标题3，章节第三层"/>
    <w:basedOn w:val="1"/>
    <w:next w:val="254"/>
    <w:qFormat/>
    <w:uiPriority w:val="0"/>
    <w:pPr>
      <w:snapToGrid w:val="0"/>
      <w:spacing w:before="78" w:line="300" w:lineRule="auto"/>
      <w:textAlignment w:val="auto"/>
      <w:outlineLvl w:val="2"/>
    </w:pPr>
    <w:rPr>
      <w:rFonts w:ascii="Arial" w:hAnsi="Arial" w:eastAsia="华文细黑"/>
      <w:kern w:val="2"/>
      <w:sz w:val="30"/>
      <w:szCs w:val="24"/>
    </w:rPr>
  </w:style>
  <w:style w:type="paragraph" w:customStyle="1" w:styleId="259">
    <w:name w:val="xl24"/>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bottom"/>
    </w:pPr>
    <w:rPr>
      <w:rFonts w:hAnsi="宋体" w:eastAsia="宋体"/>
      <w:szCs w:val="24"/>
    </w:rPr>
  </w:style>
  <w:style w:type="paragraph" w:customStyle="1" w:styleId="260">
    <w:name w:val="样式 标题 1 + 四号 居中 段前: 12 磅 段后: 12 磅 行距: 单倍行距"/>
    <w:basedOn w:val="5"/>
    <w:qFormat/>
    <w:uiPriority w:val="0"/>
    <w:pPr>
      <w:tabs>
        <w:tab w:val="left" w:pos="851"/>
      </w:tabs>
      <w:spacing w:before="240" w:after="240" w:line="240" w:lineRule="auto"/>
      <w:jc w:val="center"/>
    </w:pPr>
    <w:rPr>
      <w:rFonts w:ascii="Times New Roman" w:eastAsia="宋体" w:cs="宋体"/>
      <w:sz w:val="28"/>
      <w:szCs w:val="20"/>
    </w:rPr>
  </w:style>
  <w:style w:type="paragraph" w:customStyle="1" w:styleId="261">
    <w:name w:val="font6"/>
    <w:basedOn w:val="1"/>
    <w:qFormat/>
    <w:uiPriority w:val="0"/>
    <w:pPr>
      <w:widowControl/>
      <w:adjustRightInd/>
      <w:spacing w:before="100" w:beforeAutospacing="1" w:after="100" w:afterAutospacing="1" w:line="240" w:lineRule="auto"/>
      <w:jc w:val="left"/>
      <w:textAlignment w:val="auto"/>
    </w:pPr>
    <w:rPr>
      <w:rFonts w:hint="eastAsia" w:hAnsi="宋体" w:eastAsia="宋体"/>
      <w:szCs w:val="28"/>
      <w:u w:val="single"/>
    </w:rPr>
  </w:style>
  <w:style w:type="paragraph" w:customStyle="1" w:styleId="26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263">
    <w:name w:val="4"/>
    <w:basedOn w:val="1"/>
    <w:next w:val="64"/>
    <w:qFormat/>
    <w:uiPriority w:val="0"/>
    <w:pPr>
      <w:adjustRightInd/>
      <w:ind w:firstLine="420"/>
      <w:textAlignment w:val="auto"/>
    </w:pPr>
    <w:rPr>
      <w:rFonts w:ascii="Times New Roman" w:eastAsia="宋体"/>
      <w:color w:val="FF0000"/>
      <w:kern w:val="2"/>
      <w:szCs w:val="24"/>
    </w:rPr>
  </w:style>
  <w:style w:type="paragraph" w:customStyle="1" w:styleId="264">
    <w:name w:val="条1"/>
    <w:basedOn w:val="1"/>
    <w:qFormat/>
    <w:uiPriority w:val="0"/>
    <w:pPr>
      <w:tabs>
        <w:tab w:val="left" w:pos="780"/>
      </w:tabs>
      <w:adjustRightInd/>
      <w:spacing w:before="156"/>
      <w:ind w:left="780" w:hanging="360"/>
      <w:textAlignment w:val="auto"/>
    </w:pPr>
    <w:rPr>
      <w:rFonts w:ascii="Times New Roman" w:eastAsia="黑体"/>
      <w:kern w:val="2"/>
      <w:szCs w:val="20"/>
    </w:rPr>
  </w:style>
  <w:style w:type="paragraph" w:customStyle="1" w:styleId="265">
    <w:name w:val="样式 正文缩进2字符 + 五号 居中"/>
    <w:basedOn w:val="173"/>
    <w:qFormat/>
    <w:uiPriority w:val="0"/>
    <w:pPr>
      <w:spacing w:line="100" w:lineRule="atLeast"/>
      <w:ind w:firstLine="0" w:firstLineChars="0"/>
      <w:jc w:val="center"/>
    </w:pPr>
    <w:rPr>
      <w:sz w:val="21"/>
    </w:rPr>
  </w:style>
  <w:style w:type="paragraph" w:customStyle="1" w:styleId="266">
    <w:name w:val="Char Char Char Char Char Char Char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267">
    <w:name w:val="标题4，章节第四层"/>
    <w:basedOn w:val="1"/>
    <w:next w:val="1"/>
    <w:qFormat/>
    <w:uiPriority w:val="0"/>
    <w:pPr>
      <w:tabs>
        <w:tab w:val="left" w:pos="0"/>
      </w:tabs>
      <w:adjustRightInd/>
      <w:textAlignment w:val="auto"/>
      <w:outlineLvl w:val="3"/>
    </w:pPr>
    <w:rPr>
      <w:rFonts w:hAnsi="宋体" w:eastAsia="宋体"/>
      <w:b/>
      <w:kern w:val="2"/>
      <w:szCs w:val="24"/>
    </w:rPr>
  </w:style>
  <w:style w:type="paragraph" w:customStyle="1" w:styleId="268">
    <w:name w:val="1.1.1.1"/>
    <w:basedOn w:val="269"/>
    <w:next w:val="173"/>
    <w:qFormat/>
    <w:uiPriority w:val="0"/>
    <w:pPr>
      <w:tabs>
        <w:tab w:val="left" w:pos="851"/>
      </w:tabs>
    </w:pPr>
  </w:style>
  <w:style w:type="paragraph" w:customStyle="1" w:styleId="269">
    <w:name w:val="正文 1.1.1"/>
    <w:basedOn w:val="1"/>
    <w:next w:val="1"/>
    <w:qFormat/>
    <w:uiPriority w:val="0"/>
    <w:pPr>
      <w:tabs>
        <w:tab w:val="left" w:pos="851"/>
      </w:tabs>
      <w:outlineLvl w:val="2"/>
    </w:pPr>
    <w:rPr>
      <w:rFonts w:hAnsi="宋体" w:eastAsia="宋体"/>
      <w:color w:val="FF0000"/>
    </w:rPr>
  </w:style>
  <w:style w:type="paragraph" w:customStyle="1" w:styleId="270">
    <w:name w:val="正文表标题"/>
    <w:next w:val="271"/>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7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72">
    <w:name w:val="Char Char Char Char"/>
    <w:basedOn w:val="24"/>
    <w:qFormat/>
    <w:uiPriority w:val="0"/>
    <w:pPr>
      <w:snapToGrid w:val="0"/>
      <w:textAlignment w:val="auto"/>
    </w:pPr>
    <w:rPr>
      <w:rFonts w:ascii="Tahoma" w:hAnsi="Tahoma" w:eastAsia="宋体"/>
      <w:kern w:val="2"/>
      <w:szCs w:val="24"/>
    </w:rPr>
  </w:style>
  <w:style w:type="paragraph" w:customStyle="1" w:styleId="273">
    <w:name w:val="附录1"/>
    <w:qFormat/>
    <w:uiPriority w:val="0"/>
    <w:pPr>
      <w:tabs>
        <w:tab w:val="left" w:pos="907"/>
      </w:tabs>
      <w:snapToGrid w:val="0"/>
      <w:spacing w:before="240" w:line="600" w:lineRule="atLeast"/>
      <w:ind w:left="907" w:hanging="907"/>
    </w:pPr>
    <w:rPr>
      <w:rFonts w:ascii="Calibri" w:hAnsi="Calibri" w:eastAsia="宋体" w:cs="Times New Roman"/>
      <w:b/>
      <w:i/>
      <w:sz w:val="28"/>
      <w:lang w:val="en-US" w:eastAsia="zh-CN" w:bidi="ar-SA"/>
    </w:rPr>
  </w:style>
  <w:style w:type="paragraph" w:customStyle="1" w:styleId="274">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5">
    <w:name w:val="正文1"/>
    <w:basedOn w:val="1"/>
    <w:next w:val="1"/>
    <w:qFormat/>
    <w:uiPriority w:val="0"/>
    <w:pPr>
      <w:adjustRightInd/>
      <w:spacing w:before="156"/>
      <w:ind w:firstLine="510" w:firstLineChars="200"/>
      <w:textAlignment w:val="auto"/>
    </w:pPr>
    <w:rPr>
      <w:rFonts w:ascii="Times New Roman" w:eastAsia="宋体"/>
      <w:kern w:val="2"/>
      <w:szCs w:val="20"/>
    </w:rPr>
  </w:style>
  <w:style w:type="paragraph" w:customStyle="1" w:styleId="276">
    <w:name w:val="Char1 Char Char Char"/>
    <w:basedOn w:val="1"/>
    <w:qFormat/>
    <w:uiPriority w:val="0"/>
    <w:pPr>
      <w:adjustRightInd/>
      <w:spacing w:line="240" w:lineRule="auto"/>
      <w:textAlignment w:val="auto"/>
    </w:pPr>
    <w:rPr>
      <w:rFonts w:ascii="Tahoma" w:hAnsi="Tahoma" w:eastAsia="宋体"/>
      <w:kern w:val="2"/>
      <w:szCs w:val="20"/>
    </w:rPr>
  </w:style>
  <w:style w:type="paragraph" w:customStyle="1" w:styleId="277">
    <w:name w:val="正文字缩2字"/>
    <w:basedOn w:val="1"/>
    <w:qFormat/>
    <w:uiPriority w:val="0"/>
    <w:pPr>
      <w:adjustRightInd/>
      <w:spacing w:before="60" w:after="60"/>
      <w:ind w:left="200" w:leftChars="200" w:firstLine="200" w:firstLineChars="200"/>
      <w:textAlignment w:val="auto"/>
    </w:pPr>
    <w:rPr>
      <w:rFonts w:ascii="Times New Roman" w:eastAsia="宋体"/>
      <w:kern w:val="2"/>
      <w:szCs w:val="24"/>
    </w:rPr>
  </w:style>
  <w:style w:type="paragraph" w:customStyle="1" w:styleId="278">
    <w:name w:val="样式 标题 3H3sect1.2.3BOD 0Heading 3 - oldh3l3CTLevel 3 Head..."/>
    <w:basedOn w:val="7"/>
    <w:qFormat/>
    <w:uiPriority w:val="0"/>
    <w:pPr>
      <w:adjustRightInd/>
      <w:spacing w:beforeLines="50" w:afterLines="50" w:line="240" w:lineRule="auto"/>
      <w:ind w:left="0" w:firstLine="0"/>
      <w:jc w:val="left"/>
      <w:textAlignment w:val="auto"/>
    </w:pPr>
    <w:rPr>
      <w:rFonts w:ascii="Times New Roman" w:eastAsia="宋体" w:cs="宋体"/>
      <w:kern w:val="2"/>
      <w:sz w:val="30"/>
      <w:szCs w:val="20"/>
    </w:rPr>
  </w:style>
  <w:style w:type="paragraph" w:customStyle="1" w:styleId="279">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280">
    <w:name w:val="封面"/>
    <w:basedOn w:val="281"/>
    <w:qFormat/>
    <w:uiPriority w:val="0"/>
    <w:pPr>
      <w:spacing w:line="480" w:lineRule="auto"/>
    </w:pPr>
    <w:rPr>
      <w:rFonts w:eastAsia="楷体"/>
      <w:bCs/>
    </w:rPr>
  </w:style>
  <w:style w:type="paragraph" w:customStyle="1" w:styleId="281">
    <w:name w:val="封面大字"/>
    <w:basedOn w:val="282"/>
    <w:qFormat/>
    <w:uiPriority w:val="0"/>
    <w:pPr>
      <w:jc w:val="center"/>
    </w:pPr>
    <w:rPr>
      <w:rFonts w:eastAsia="方正姚体"/>
      <w:b/>
      <w:sz w:val="52"/>
    </w:rPr>
  </w:style>
  <w:style w:type="paragraph" w:customStyle="1" w:styleId="282">
    <w:name w:val="封面打字"/>
    <w:basedOn w:val="1"/>
    <w:qFormat/>
    <w:uiPriority w:val="0"/>
    <w:pPr>
      <w:jc w:val="left"/>
    </w:pPr>
    <w:rPr>
      <w:rFonts w:ascii="黑体" w:hAnsi="黑体" w:eastAsia="黑体" w:cs="宋体"/>
      <w:sz w:val="48"/>
      <w:szCs w:val="20"/>
    </w:rPr>
  </w:style>
  <w:style w:type="paragraph" w:customStyle="1" w:styleId="283">
    <w:name w:val="纯文本3"/>
    <w:basedOn w:val="1"/>
    <w:qFormat/>
    <w:uiPriority w:val="0"/>
    <w:pPr>
      <w:spacing w:line="240" w:lineRule="auto"/>
    </w:pPr>
    <w:rPr>
      <w:rFonts w:hAnsi="Courier New" w:eastAsia="楷体_GB2312"/>
      <w:kern w:val="2"/>
      <w:szCs w:val="20"/>
    </w:rPr>
  </w:style>
  <w:style w:type="paragraph" w:customStyle="1" w:styleId="284">
    <w:name w:val="列出段落1"/>
    <w:basedOn w:val="1"/>
    <w:qFormat/>
    <w:uiPriority w:val="0"/>
    <w:pPr>
      <w:adjustRightInd/>
      <w:spacing w:line="240" w:lineRule="auto"/>
      <w:ind w:firstLine="420" w:firstLineChars="200"/>
      <w:textAlignment w:val="auto"/>
    </w:pPr>
    <w:rPr>
      <w:rFonts w:ascii="Calibri" w:eastAsia="宋体" w:cs="Calibri"/>
      <w:kern w:val="2"/>
      <w:sz w:val="21"/>
    </w:rPr>
  </w:style>
  <w:style w:type="paragraph" w:customStyle="1" w:styleId="285">
    <w:name w:val="正文斜下划线"/>
    <w:basedOn w:val="173"/>
    <w:qFormat/>
    <w:uiPriority w:val="0"/>
    <w:pPr>
      <w:ind w:firstLine="560"/>
    </w:pPr>
    <w:rPr>
      <w:i/>
      <w:iCs/>
      <w:u w:val="single"/>
    </w:rPr>
  </w:style>
  <w:style w:type="paragraph" w:customStyle="1" w:styleId="28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hAnsi="宋体" w:eastAsia="宋体"/>
      <w:szCs w:val="24"/>
    </w:rPr>
  </w:style>
  <w:style w:type="paragraph" w:customStyle="1" w:styleId="287">
    <w:name w:val="xl104"/>
    <w:basedOn w:val="1"/>
    <w:qFormat/>
    <w:uiPriority w:val="0"/>
    <w:pPr>
      <w:widowControl/>
      <w:pBdr>
        <w:bottom w:val="single" w:color="auto" w:sz="4" w:space="0"/>
      </w:pBdr>
      <w:adjustRightInd/>
      <w:spacing w:before="100" w:beforeAutospacing="1" w:after="100" w:afterAutospacing="1" w:line="240" w:lineRule="auto"/>
      <w:jc w:val="center"/>
      <w:textAlignment w:val="center"/>
    </w:pPr>
    <w:rPr>
      <w:rFonts w:hAnsi="宋体" w:eastAsia="宋体" w:cs="宋体"/>
      <w:b/>
      <w:bCs/>
      <w:sz w:val="32"/>
      <w:szCs w:val="32"/>
    </w:rPr>
  </w:style>
  <w:style w:type="paragraph" w:customStyle="1" w:styleId="288">
    <w:name w:val="默认段落字体 Para Char Char Char Char Char Char Char Char Char1 Char Char Char Char"/>
    <w:basedOn w:val="1"/>
    <w:qFormat/>
    <w:uiPriority w:val="0"/>
    <w:rPr>
      <w:rFonts w:ascii="Tahoma" w:hAnsi="Tahoma"/>
      <w:sz w:val="24"/>
      <w:szCs w:val="20"/>
    </w:rPr>
  </w:style>
  <w:style w:type="paragraph" w:customStyle="1" w:styleId="289">
    <w:name w:val="Char2"/>
    <w:basedOn w:val="1"/>
    <w:qFormat/>
    <w:uiPriority w:val="0"/>
    <w:pPr>
      <w:adjustRightInd/>
      <w:spacing w:afterLines="50"/>
      <w:textAlignment w:val="auto"/>
    </w:pPr>
    <w:rPr>
      <w:rFonts w:ascii="Tahoma" w:hAnsi="Tahoma" w:eastAsia="宋体"/>
      <w:kern w:val="2"/>
      <w:szCs w:val="20"/>
    </w:rPr>
  </w:style>
  <w:style w:type="paragraph" w:customStyle="1" w:styleId="290">
    <w:name w:val="小四 段落 宋体 Char Char"/>
    <w:basedOn w:val="1"/>
    <w:qFormat/>
    <w:uiPriority w:val="0"/>
    <w:pPr>
      <w:adjustRightInd/>
      <w:ind w:firstLine="480" w:firstLineChars="200"/>
      <w:textAlignment w:val="auto"/>
    </w:pPr>
    <w:rPr>
      <w:rFonts w:hAnsi="宋体" w:eastAsia="宋体"/>
      <w:kern w:val="2"/>
      <w:szCs w:val="24"/>
    </w:rPr>
  </w:style>
  <w:style w:type="paragraph" w:customStyle="1" w:styleId="291">
    <w:name w:val="样式 样式 标题 3H3sect1.2.3BOD 0Heading 3 - oldh3l3CTLevel 3 Head... +..."/>
    <w:basedOn w:val="1"/>
    <w:qFormat/>
    <w:uiPriority w:val="0"/>
    <w:pPr>
      <w:keepNext/>
      <w:keepLines/>
      <w:adjustRightInd/>
      <w:spacing w:beforeLines="50" w:afterLines="50" w:line="240" w:lineRule="auto"/>
      <w:jc w:val="left"/>
      <w:textAlignment w:val="auto"/>
      <w:outlineLvl w:val="2"/>
    </w:pPr>
    <w:rPr>
      <w:rFonts w:ascii="Times New Roman" w:eastAsia="宋体" w:cs="宋体"/>
      <w:b/>
      <w:bCs/>
      <w:kern w:val="2"/>
      <w:szCs w:val="20"/>
    </w:rPr>
  </w:style>
  <w:style w:type="paragraph" w:customStyle="1" w:styleId="292">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djustRightInd/>
      <w:spacing w:before="100" w:beforeAutospacing="1" w:after="100" w:afterAutospacing="1" w:line="240" w:lineRule="auto"/>
      <w:jc w:val="center"/>
      <w:textAlignment w:val="center"/>
    </w:pPr>
    <w:rPr>
      <w:rFonts w:hAnsi="宋体" w:eastAsia="宋体" w:cs="宋体"/>
      <w:color w:val="000000"/>
      <w:sz w:val="20"/>
      <w:szCs w:val="20"/>
    </w:rPr>
  </w:style>
  <w:style w:type="paragraph" w:customStyle="1" w:styleId="293">
    <w:name w:val="xl7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294">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Cs w:val="24"/>
    </w:rPr>
  </w:style>
  <w:style w:type="paragraph" w:customStyle="1" w:styleId="295">
    <w:name w:val="Test2"/>
    <w:basedOn w:val="6"/>
    <w:qFormat/>
    <w:uiPriority w:val="0"/>
    <w:pPr>
      <w:widowControl/>
      <w:snapToGrid w:val="0"/>
      <w:spacing w:beforeLines="50" w:afterLines="50" w:line="480" w:lineRule="exact"/>
      <w:jc w:val="center"/>
      <w:textAlignment w:val="auto"/>
    </w:pPr>
    <w:rPr>
      <w:rFonts w:ascii="黑体"/>
      <w:snapToGrid w:val="0"/>
      <w:sz w:val="24"/>
      <w:szCs w:val="24"/>
    </w:rPr>
  </w:style>
  <w:style w:type="paragraph" w:customStyle="1" w:styleId="296">
    <w:name w:val="丁华正文"/>
    <w:basedOn w:val="64"/>
    <w:qFormat/>
    <w:uiPriority w:val="0"/>
    <w:pPr>
      <w:autoSpaceDE w:val="0"/>
      <w:autoSpaceDN w:val="0"/>
      <w:snapToGrid w:val="0"/>
      <w:spacing w:after="0"/>
      <w:ind w:left="0" w:leftChars="0" w:firstLine="510"/>
      <w:textAlignment w:val="auto"/>
    </w:pPr>
    <w:rPr>
      <w:rFonts w:hAnsi="Arial" w:eastAsia="宋体"/>
      <w:b/>
      <w:color w:val="000000"/>
      <w:kern w:val="2"/>
      <w:sz w:val="24"/>
    </w:rPr>
  </w:style>
  <w:style w:type="paragraph" w:customStyle="1" w:styleId="297">
    <w:name w:val="tableau"/>
    <w:basedOn w:val="1"/>
    <w:qFormat/>
    <w:uiPriority w:val="0"/>
    <w:pPr>
      <w:widowControl/>
      <w:adjustRightInd/>
      <w:spacing w:before="20" w:after="20" w:line="240" w:lineRule="auto"/>
      <w:jc w:val="center"/>
      <w:textAlignment w:val="auto"/>
    </w:pPr>
    <w:rPr>
      <w:rFonts w:ascii="Arial" w:hAnsi="Arial" w:eastAsia="宋体"/>
      <w:sz w:val="16"/>
      <w:szCs w:val="20"/>
      <w:lang w:val="en-GB" w:eastAsia="en-US"/>
    </w:rPr>
  </w:style>
  <w:style w:type="paragraph" w:customStyle="1" w:styleId="298">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Cs w:val="24"/>
    </w:rPr>
  </w:style>
  <w:style w:type="paragraph" w:customStyle="1" w:styleId="299">
    <w:name w:val="xl8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b/>
      <w:bCs/>
      <w:sz w:val="22"/>
      <w:szCs w:val="22"/>
    </w:rPr>
  </w:style>
  <w:style w:type="paragraph" w:customStyle="1" w:styleId="300">
    <w:name w:val="默认段落字体 Para Char Char Char Char Char Char Char Char Char1 Char Char Char Char Char Char Char"/>
    <w:basedOn w:val="24"/>
    <w:qFormat/>
    <w:uiPriority w:val="0"/>
    <w:pPr>
      <w:adjustRightInd/>
      <w:spacing w:line="240" w:lineRule="auto"/>
      <w:textAlignment w:val="auto"/>
    </w:pPr>
    <w:rPr>
      <w:rFonts w:ascii="Times New Roman" w:eastAsia="宋体"/>
      <w:kern w:val="2"/>
      <w:sz w:val="21"/>
      <w:szCs w:val="20"/>
    </w:rPr>
  </w:style>
  <w:style w:type="paragraph" w:customStyle="1" w:styleId="301">
    <w:name w:val="Char Char Char Char Char Char Char Char"/>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302">
    <w:name w:val="_Style 40"/>
    <w:basedOn w:val="1"/>
    <w:qFormat/>
    <w:uiPriority w:val="0"/>
    <w:pPr>
      <w:adjustRightInd/>
      <w:spacing w:line="240" w:lineRule="auto"/>
      <w:textAlignment w:val="auto"/>
    </w:pPr>
    <w:rPr>
      <w:rFonts w:ascii="Times New Roman" w:eastAsia="宋体"/>
      <w:kern w:val="2"/>
      <w:sz w:val="21"/>
      <w:szCs w:val="20"/>
    </w:rPr>
  </w:style>
  <w:style w:type="paragraph" w:customStyle="1" w:styleId="303">
    <w:name w:val="xl7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b/>
      <w:bCs/>
      <w:sz w:val="20"/>
      <w:szCs w:val="20"/>
    </w:rPr>
  </w:style>
  <w:style w:type="paragraph" w:customStyle="1" w:styleId="304">
    <w:name w:val="TOC 标题1"/>
    <w:basedOn w:val="5"/>
    <w:next w:val="1"/>
    <w:qFormat/>
    <w:uiPriority w:val="39"/>
    <w:pPr>
      <w:widowControl/>
      <w:adjustRightInd/>
      <w:spacing w:before="480" w:after="0" w:line="276" w:lineRule="auto"/>
      <w:jc w:val="left"/>
      <w:textAlignment w:val="auto"/>
      <w:outlineLvl w:val="9"/>
    </w:pPr>
    <w:rPr>
      <w:rFonts w:ascii="Cambria" w:hAnsi="Cambria" w:eastAsia="宋体"/>
      <w:color w:val="365F91"/>
      <w:kern w:val="0"/>
      <w:sz w:val="28"/>
      <w:szCs w:val="28"/>
    </w:rPr>
  </w:style>
  <w:style w:type="paragraph" w:customStyle="1" w:styleId="305">
    <w:name w:val="列出段落2"/>
    <w:basedOn w:val="1"/>
    <w:qFormat/>
    <w:uiPriority w:val="34"/>
    <w:pPr>
      <w:ind w:firstLine="420" w:firstLineChars="200"/>
    </w:pPr>
  </w:style>
  <w:style w:type="paragraph" w:customStyle="1" w:styleId="306">
    <w:name w:val="公文标题 2"/>
    <w:basedOn w:val="1"/>
    <w:next w:val="246"/>
    <w:qFormat/>
    <w:uiPriority w:val="0"/>
    <w:pPr>
      <w:adjustRightInd/>
      <w:spacing w:line="240" w:lineRule="auto"/>
      <w:textAlignment w:val="auto"/>
      <w:outlineLvl w:val="1"/>
    </w:pPr>
    <w:rPr>
      <w:rFonts w:ascii="仿宋_GB2312" w:hAnsi="宋体" w:eastAsia="仿宋_GB2312"/>
      <w:kern w:val="28"/>
      <w:szCs w:val="24"/>
    </w:rPr>
  </w:style>
  <w:style w:type="paragraph" w:customStyle="1" w:styleId="307">
    <w:name w:val="Char Char Char Char Char Char Char Char1"/>
    <w:basedOn w:val="1"/>
    <w:qFormat/>
    <w:uiPriority w:val="0"/>
    <w:pPr>
      <w:adjustRightInd/>
      <w:spacing w:line="240" w:lineRule="auto"/>
      <w:textAlignment w:val="auto"/>
    </w:pPr>
    <w:rPr>
      <w:rFonts w:ascii="Tahoma" w:hAnsi="Tahoma" w:eastAsia="宋体"/>
      <w:kern w:val="2"/>
      <w:szCs w:val="20"/>
    </w:rPr>
  </w:style>
  <w:style w:type="paragraph" w:customStyle="1" w:styleId="308">
    <w:name w:val="正文缩进2格 New"/>
    <w:basedOn w:val="274"/>
    <w:qFormat/>
    <w:uiPriority w:val="0"/>
    <w:pPr>
      <w:spacing w:line="600" w:lineRule="exact"/>
      <w:ind w:firstLine="639" w:firstLineChars="206"/>
    </w:pPr>
    <w:rPr>
      <w:rFonts w:ascii="仿宋_GB2312" w:hAnsi="宋体" w:eastAsia="仿宋_GB2312"/>
      <w:sz w:val="31"/>
      <w:szCs w:val="28"/>
    </w:rPr>
  </w:style>
  <w:style w:type="paragraph" w:customStyle="1" w:styleId="309">
    <w:name w:val="符号与编号 Char Char"/>
    <w:basedOn w:val="1"/>
    <w:qFormat/>
    <w:uiPriority w:val="0"/>
    <w:pPr>
      <w:tabs>
        <w:tab w:val="left" w:pos="840"/>
      </w:tabs>
      <w:adjustRightInd/>
      <w:spacing w:afterLines="50" w:line="400" w:lineRule="atLeast"/>
      <w:ind w:left="839" w:hanging="419"/>
      <w:textAlignment w:val="auto"/>
    </w:pPr>
    <w:rPr>
      <w:rFonts w:ascii="Times New Roman" w:eastAsia="宋体"/>
      <w:kern w:val="2"/>
      <w:szCs w:val="24"/>
    </w:rPr>
  </w:style>
  <w:style w:type="paragraph" w:customStyle="1" w:styleId="310">
    <w:name w:val="Char Char"/>
    <w:basedOn w:val="1"/>
    <w:qFormat/>
    <w:uiPriority w:val="0"/>
    <w:pPr>
      <w:adjustRightInd/>
      <w:spacing w:line="240" w:lineRule="auto"/>
      <w:textAlignment w:val="auto"/>
    </w:pPr>
    <w:rPr>
      <w:rFonts w:ascii="Tahoma" w:hAnsi="Tahoma" w:eastAsia="宋体"/>
      <w:kern w:val="2"/>
      <w:szCs w:val="20"/>
    </w:rPr>
  </w:style>
  <w:style w:type="paragraph" w:customStyle="1" w:styleId="311">
    <w:name w:val="font5"/>
    <w:basedOn w:val="1"/>
    <w:qFormat/>
    <w:uiPriority w:val="0"/>
    <w:pPr>
      <w:widowControl/>
      <w:adjustRightInd/>
      <w:spacing w:before="100" w:beforeAutospacing="1" w:after="100" w:afterAutospacing="1" w:line="240" w:lineRule="auto"/>
      <w:jc w:val="left"/>
      <w:textAlignment w:val="auto"/>
    </w:pPr>
    <w:rPr>
      <w:rFonts w:hint="eastAsia" w:hAnsi="宋体" w:eastAsia="宋体"/>
      <w:szCs w:val="28"/>
    </w:rPr>
  </w:style>
  <w:style w:type="paragraph" w:customStyle="1" w:styleId="312">
    <w:name w:val="Char Char Char Char1"/>
    <w:basedOn w:val="1"/>
    <w:qFormat/>
    <w:uiPriority w:val="0"/>
    <w:pPr>
      <w:widowControl/>
      <w:adjustRightInd/>
      <w:spacing w:after="160" w:line="240" w:lineRule="exact"/>
      <w:jc w:val="center"/>
      <w:textAlignment w:val="auto"/>
    </w:pPr>
    <w:rPr>
      <w:rFonts w:ascii="黑体" w:hAnsi="Verdana" w:eastAsia="黑体"/>
      <w:sz w:val="32"/>
      <w:szCs w:val="32"/>
      <w:lang w:eastAsia="en-US"/>
    </w:rPr>
  </w:style>
  <w:style w:type="paragraph" w:customStyle="1" w:styleId="313">
    <w:name w:val="图标"/>
    <w:basedOn w:val="1"/>
    <w:next w:val="1"/>
    <w:qFormat/>
    <w:uiPriority w:val="0"/>
    <w:pPr>
      <w:tabs>
        <w:tab w:val="left" w:pos="567"/>
        <w:tab w:val="left" w:pos="840"/>
      </w:tabs>
      <w:autoSpaceDE w:val="0"/>
      <w:autoSpaceDN w:val="0"/>
      <w:snapToGrid w:val="0"/>
      <w:spacing w:before="120" w:after="120" w:line="320" w:lineRule="atLeast"/>
      <w:ind w:left="840" w:hanging="420"/>
      <w:jc w:val="center"/>
    </w:pPr>
    <w:rPr>
      <w:rFonts w:ascii="Times New Roman" w:eastAsia="仿宋_GB2312"/>
      <w:szCs w:val="20"/>
    </w:rPr>
  </w:style>
  <w:style w:type="paragraph" w:customStyle="1" w:styleId="314">
    <w:name w:val="纯文本1"/>
    <w:basedOn w:val="1"/>
    <w:qFormat/>
    <w:uiPriority w:val="0"/>
    <w:pPr>
      <w:spacing w:line="240" w:lineRule="auto"/>
    </w:pPr>
    <w:rPr>
      <w:rFonts w:hAnsi="Courier New" w:eastAsia="楷体_GB2312"/>
      <w:kern w:val="2"/>
      <w:szCs w:val="20"/>
    </w:rPr>
  </w:style>
  <w:style w:type="paragraph" w:customStyle="1" w:styleId="315">
    <w:name w:val="xl8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Cs w:val="24"/>
    </w:rPr>
  </w:style>
  <w:style w:type="paragraph" w:customStyle="1" w:styleId="31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317">
    <w:name w:val="xl71"/>
    <w:basedOn w:val="1"/>
    <w:qFormat/>
    <w:uiPriority w:val="0"/>
    <w:pPr>
      <w:widowControl/>
      <w:adjustRightInd/>
      <w:spacing w:before="100" w:beforeAutospacing="1" w:after="100" w:afterAutospacing="1" w:line="240" w:lineRule="auto"/>
      <w:jc w:val="left"/>
      <w:textAlignment w:val="auto"/>
    </w:pPr>
    <w:rPr>
      <w:rFonts w:hAnsi="宋体" w:eastAsia="宋体" w:cs="宋体"/>
      <w:color w:val="000000"/>
      <w:szCs w:val="24"/>
    </w:rPr>
  </w:style>
  <w:style w:type="paragraph" w:customStyle="1" w:styleId="318">
    <w:name w:val="列出段落3"/>
    <w:basedOn w:val="1"/>
    <w:qFormat/>
    <w:uiPriority w:val="0"/>
    <w:pPr>
      <w:widowControl/>
      <w:adjustRightInd/>
      <w:spacing w:line="240" w:lineRule="auto"/>
      <w:ind w:left="720"/>
      <w:contextualSpacing/>
      <w:jc w:val="left"/>
      <w:textAlignment w:val="auto"/>
    </w:pPr>
    <w:rPr>
      <w:rFonts w:ascii="Arial" w:hAnsi="Arial" w:eastAsia="黑体"/>
      <w:szCs w:val="24"/>
      <w:lang w:eastAsia="en-US"/>
    </w:rPr>
  </w:style>
  <w:style w:type="paragraph" w:customStyle="1" w:styleId="319">
    <w:name w:val="表格内行距"/>
    <w:basedOn w:val="320"/>
    <w:qFormat/>
    <w:uiPriority w:val="0"/>
    <w:pPr>
      <w:jc w:val="center"/>
    </w:pPr>
    <w:rPr>
      <w:rFonts w:ascii="Verdana" w:hAnsi="宋体"/>
    </w:rPr>
  </w:style>
  <w:style w:type="paragraph" w:customStyle="1" w:styleId="320">
    <w:name w:val="样式 正文缩进2字符 + 五号"/>
    <w:basedOn w:val="173"/>
    <w:qFormat/>
    <w:uiPriority w:val="0"/>
    <w:pPr>
      <w:spacing w:line="240" w:lineRule="auto"/>
      <w:ind w:firstLine="0" w:firstLineChars="0"/>
    </w:pPr>
    <w:rPr>
      <w:sz w:val="21"/>
    </w:rPr>
  </w:style>
  <w:style w:type="paragraph" w:customStyle="1" w:styleId="321">
    <w:name w:val="样式 表格正文 + 两端对齐"/>
    <w:basedOn w:val="1"/>
    <w:qFormat/>
    <w:uiPriority w:val="0"/>
    <w:pPr>
      <w:spacing w:line="300" w:lineRule="auto"/>
    </w:pPr>
    <w:rPr>
      <w:sz w:val="24"/>
    </w:rPr>
  </w:style>
  <w:style w:type="paragraph" w:customStyle="1" w:styleId="322">
    <w:name w:val="符号与编号"/>
    <w:basedOn w:val="1"/>
    <w:qFormat/>
    <w:uiPriority w:val="0"/>
    <w:pPr>
      <w:tabs>
        <w:tab w:val="left" w:pos="900"/>
      </w:tabs>
      <w:adjustRightInd/>
      <w:spacing w:afterLines="50" w:line="400" w:lineRule="atLeast"/>
      <w:ind w:left="900" w:hanging="420"/>
      <w:textAlignment w:val="auto"/>
    </w:pPr>
    <w:rPr>
      <w:rFonts w:ascii="Times New Roman" w:eastAsia="宋体"/>
      <w:kern w:val="2"/>
      <w:szCs w:val="24"/>
    </w:rPr>
  </w:style>
  <w:style w:type="paragraph" w:customStyle="1" w:styleId="323">
    <w:name w:val="正文lzq"/>
    <w:basedOn w:val="1"/>
    <w:qFormat/>
    <w:uiPriority w:val="0"/>
    <w:pPr>
      <w:ind w:firstLine="480"/>
    </w:pPr>
    <w:rPr>
      <w:rFonts w:ascii="Times New Roman" w:eastAsia="宋体"/>
      <w:szCs w:val="20"/>
    </w:rPr>
  </w:style>
  <w:style w:type="paragraph" w:customStyle="1" w:styleId="324">
    <w:name w:val="普通(网站)1"/>
    <w:basedOn w:val="1"/>
    <w:unhideWhenUsed/>
    <w:qFormat/>
    <w:uiPriority w:val="0"/>
    <w:pPr>
      <w:widowControl/>
      <w:spacing w:before="100" w:beforeAutospacing="1" w:after="100" w:afterAutospacing="1"/>
      <w:jc w:val="left"/>
    </w:pPr>
    <w:rPr>
      <w:rFonts w:hint="eastAsia" w:hAnsi="宋体" w:eastAsia="宋体"/>
      <w:sz w:val="24"/>
    </w:rPr>
  </w:style>
  <w:style w:type="paragraph" w:customStyle="1" w:styleId="325">
    <w:name w:val="正文段"/>
    <w:basedOn w:val="1"/>
    <w:qFormat/>
    <w:uiPriority w:val="0"/>
    <w:pPr>
      <w:widowControl/>
      <w:adjustRightInd/>
      <w:snapToGrid w:val="0"/>
      <w:spacing w:afterLines="50" w:line="240" w:lineRule="auto"/>
      <w:ind w:firstLine="200" w:firstLineChars="200"/>
      <w:textAlignment w:val="auto"/>
    </w:pPr>
    <w:rPr>
      <w:rFonts w:ascii="Times New Roman" w:eastAsia="宋体"/>
      <w:sz w:val="24"/>
      <w:szCs w:val="20"/>
    </w:rPr>
  </w:style>
  <w:style w:type="paragraph" w:customStyle="1" w:styleId="326">
    <w:name w:val="table_1stline"/>
    <w:basedOn w:val="1"/>
    <w:qFormat/>
    <w:uiPriority w:val="0"/>
    <w:pPr>
      <w:widowControl/>
      <w:adjustRightInd/>
      <w:spacing w:before="120" w:line="240" w:lineRule="auto"/>
      <w:jc w:val="left"/>
      <w:textAlignment w:val="auto"/>
    </w:pPr>
    <w:rPr>
      <w:rFonts w:ascii="Times New Roman" w:eastAsia="宋体"/>
      <w:bCs/>
      <w:sz w:val="20"/>
      <w:szCs w:val="20"/>
      <w:lang w:val="de-DE" w:eastAsia="de-DE"/>
    </w:rPr>
  </w:style>
  <w:style w:type="paragraph" w:customStyle="1" w:styleId="327">
    <w:name w:val="样式1"/>
    <w:basedOn w:val="1"/>
    <w:qFormat/>
    <w:uiPriority w:val="0"/>
    <w:pPr>
      <w:tabs>
        <w:tab w:val="left" w:pos="709"/>
      </w:tabs>
      <w:spacing w:line="240" w:lineRule="auto"/>
      <w:ind w:left="709" w:hanging="709"/>
    </w:pPr>
    <w:rPr>
      <w:rFonts w:hAnsi="宋体" w:eastAsia="宋体"/>
      <w:sz w:val="21"/>
    </w:rPr>
  </w:style>
  <w:style w:type="paragraph" w:customStyle="1" w:styleId="328">
    <w:name w:val="Char Char Char Char Char Char Char Char Char Char Char Char Char Char Char Char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329">
    <w:name w:val="标题 4宋体"/>
    <w:basedOn w:val="8"/>
    <w:qFormat/>
    <w:uiPriority w:val="0"/>
    <w:pPr>
      <w:keepLines w:val="0"/>
      <w:autoSpaceDE w:val="0"/>
      <w:autoSpaceDN w:val="0"/>
      <w:spacing w:before="0" w:after="0" w:line="360" w:lineRule="auto"/>
      <w:ind w:left="0" w:firstLine="0"/>
      <w:jc w:val="left"/>
      <w:textAlignment w:val="auto"/>
    </w:pPr>
    <w:rPr>
      <w:rFonts w:ascii="宋体" w:hAnsi="宋体" w:eastAsia="宋体"/>
      <w:color w:val="000000"/>
      <w:sz w:val="24"/>
      <w:szCs w:val="20"/>
    </w:rPr>
  </w:style>
  <w:style w:type="paragraph" w:customStyle="1" w:styleId="330">
    <w:name w:val="样式 标题 2第一章 标题 2Heading 2 HiddenHeading 2 CCBSheading 2H2h2..."/>
    <w:basedOn w:val="6"/>
    <w:qFormat/>
    <w:uiPriority w:val="0"/>
    <w:pPr>
      <w:keepLines w:val="0"/>
      <w:tabs>
        <w:tab w:val="left" w:pos="360"/>
      </w:tabs>
      <w:spacing w:beforeLines="50" w:afterLines="50" w:line="240" w:lineRule="auto"/>
      <w:ind w:left="360" w:hanging="360"/>
      <w:jc w:val="center"/>
    </w:pPr>
    <w:rPr>
      <w:rFonts w:ascii="黑体" w:hAnsi="Times New Roman" w:cs="宋体"/>
      <w:b w:val="0"/>
      <w:bCs w:val="0"/>
      <w:szCs w:val="20"/>
    </w:rPr>
  </w:style>
  <w:style w:type="paragraph" w:customStyle="1" w:styleId="331">
    <w:name w:val="flType"/>
    <w:basedOn w:val="236"/>
    <w:qFormat/>
    <w:uiPriority w:val="0"/>
    <w:pPr>
      <w:spacing w:after="284"/>
    </w:pPr>
    <w:rPr>
      <w:rFonts w:eastAsia="宋体"/>
      <w:b w:val="0"/>
    </w:rPr>
  </w:style>
  <w:style w:type="paragraph" w:customStyle="1" w:styleId="332">
    <w:name w:val="content_lineheight"/>
    <w:basedOn w:val="1"/>
    <w:qFormat/>
    <w:uiPriority w:val="0"/>
    <w:pPr>
      <w:widowControl/>
      <w:adjustRightInd/>
      <w:spacing w:before="100" w:beforeAutospacing="1" w:after="100" w:afterAutospacing="1" w:line="240" w:lineRule="auto"/>
      <w:jc w:val="left"/>
      <w:textAlignment w:val="auto"/>
    </w:pPr>
    <w:rPr>
      <w:rFonts w:hAnsi="宋体" w:eastAsia="宋体"/>
      <w:szCs w:val="24"/>
    </w:rPr>
  </w:style>
  <w:style w:type="paragraph" w:customStyle="1" w:styleId="333">
    <w:name w:val="日期 目录"/>
    <w:basedOn w:val="334"/>
    <w:qFormat/>
    <w:uiPriority w:val="0"/>
    <w:pPr>
      <w:jc w:val="center"/>
    </w:pPr>
  </w:style>
  <w:style w:type="paragraph" w:customStyle="1" w:styleId="334">
    <w:name w:val="样式 黑体 四号 左 左侧:  0.99 厘米"/>
    <w:basedOn w:val="1"/>
    <w:qFormat/>
    <w:uiPriority w:val="0"/>
    <w:pPr>
      <w:jc w:val="left"/>
    </w:pPr>
    <w:rPr>
      <w:rFonts w:ascii="黑体" w:hAnsi="黑体" w:eastAsia="黑体" w:cs="宋体"/>
      <w:szCs w:val="20"/>
    </w:rPr>
  </w:style>
  <w:style w:type="paragraph" w:customStyle="1" w:styleId="335">
    <w:name w:val="tgt2"/>
    <w:basedOn w:val="1"/>
    <w:qFormat/>
    <w:uiPriority w:val="0"/>
    <w:pPr>
      <w:widowControl/>
      <w:adjustRightInd/>
      <w:spacing w:after="150"/>
      <w:jc w:val="left"/>
      <w:textAlignment w:val="auto"/>
    </w:pPr>
    <w:rPr>
      <w:rFonts w:hAnsi="宋体" w:cs="宋体"/>
      <w:b/>
      <w:bCs/>
      <w:sz w:val="36"/>
      <w:szCs w:val="36"/>
    </w:rPr>
  </w:style>
  <w:style w:type="paragraph" w:customStyle="1" w:styleId="336">
    <w:name w:val="标题1"/>
    <w:basedOn w:val="1"/>
    <w:next w:val="1"/>
    <w:qFormat/>
    <w:uiPriority w:val="0"/>
    <w:pPr>
      <w:tabs>
        <w:tab w:val="left" w:pos="9193"/>
        <w:tab w:val="left" w:pos="9827"/>
      </w:tabs>
      <w:autoSpaceDE w:val="0"/>
      <w:autoSpaceDN w:val="0"/>
      <w:adjustRightInd/>
      <w:snapToGrid w:val="0"/>
      <w:spacing w:line="700" w:lineRule="atLeast"/>
      <w:jc w:val="center"/>
      <w:textAlignment w:val="auto"/>
    </w:pPr>
    <w:rPr>
      <w:rFonts w:ascii="方正小标宋_GBK" w:eastAsia="方正小标宋_GBK"/>
      <w:snapToGrid w:val="0"/>
      <w:sz w:val="44"/>
      <w:szCs w:val="20"/>
    </w:rPr>
  </w:style>
  <w:style w:type="paragraph" w:customStyle="1" w:styleId="337">
    <w:name w:val="Char Char1 Char1"/>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338">
    <w:name w:val="正文 居中"/>
    <w:basedOn w:val="1"/>
    <w:qFormat/>
    <w:uiPriority w:val="0"/>
    <w:pPr>
      <w:adjustRightInd/>
      <w:jc w:val="center"/>
      <w:textAlignment w:val="auto"/>
    </w:pPr>
    <w:rPr>
      <w:rFonts w:ascii="Times New Roman" w:eastAsia="宋体"/>
      <w:kern w:val="2"/>
      <w:szCs w:val="20"/>
    </w:rPr>
  </w:style>
  <w:style w:type="paragraph" w:customStyle="1" w:styleId="339">
    <w:name w:val="样式3"/>
    <w:basedOn w:val="39"/>
    <w:next w:val="1"/>
    <w:qFormat/>
    <w:uiPriority w:val="0"/>
    <w:pPr>
      <w:adjustRightInd/>
      <w:textAlignment w:val="auto"/>
    </w:pPr>
    <w:rPr>
      <w:rFonts w:ascii="Times New Roman" w:eastAsia="宋体"/>
      <w:kern w:val="2"/>
      <w:szCs w:val="20"/>
    </w:rPr>
  </w:style>
  <w:style w:type="paragraph" w:customStyle="1" w:styleId="340">
    <w:name w:val="二级条标题"/>
    <w:basedOn w:val="1"/>
    <w:next w:val="271"/>
    <w:qFormat/>
    <w:uiPriority w:val="0"/>
    <w:pPr>
      <w:widowControl/>
      <w:tabs>
        <w:tab w:val="left" w:pos="2240"/>
      </w:tabs>
      <w:adjustRightInd/>
      <w:spacing w:line="240" w:lineRule="auto"/>
      <w:ind w:hanging="420"/>
      <w:textAlignment w:val="auto"/>
      <w:outlineLvl w:val="3"/>
    </w:pPr>
    <w:rPr>
      <w:rFonts w:ascii="Times New Roman" w:eastAsia="黑体"/>
      <w:sz w:val="21"/>
      <w:szCs w:val="20"/>
    </w:rPr>
  </w:style>
  <w:style w:type="paragraph" w:customStyle="1" w:styleId="341">
    <w:name w:val="xl101"/>
    <w:basedOn w:val="1"/>
    <w:qFormat/>
    <w:uiPriority w:val="0"/>
    <w:pPr>
      <w:widowControl/>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342">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343">
    <w:name w:val="xl102"/>
    <w:basedOn w:val="1"/>
    <w:qFormat/>
    <w:uiPriority w:val="0"/>
    <w:pPr>
      <w:widowControl/>
      <w:pBdr>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344">
    <w:name w:val="默认段落字体 Para Char"/>
    <w:basedOn w:val="1"/>
    <w:qFormat/>
    <w:uiPriority w:val="0"/>
    <w:pPr>
      <w:textAlignment w:val="auto"/>
    </w:pPr>
    <w:rPr>
      <w:rFonts w:ascii="Times New Roman" w:eastAsia="宋体"/>
      <w:szCs w:val="24"/>
    </w:rPr>
  </w:style>
  <w:style w:type="paragraph" w:customStyle="1" w:styleId="345">
    <w:name w:val="Char Char Char"/>
    <w:basedOn w:val="1"/>
    <w:qFormat/>
    <w:uiPriority w:val="0"/>
    <w:pPr>
      <w:adjustRightInd/>
      <w:spacing w:line="240" w:lineRule="auto"/>
      <w:textAlignment w:val="auto"/>
    </w:pPr>
    <w:rPr>
      <w:rFonts w:ascii="Tahoma" w:hAnsi="Tahoma" w:eastAsia="宋体"/>
      <w:kern w:val="2"/>
      <w:szCs w:val="20"/>
    </w:rPr>
  </w:style>
  <w:style w:type="paragraph" w:customStyle="1" w:styleId="34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347">
    <w:name w:val="xl27"/>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hAnsi="宋体" w:eastAsia="宋体"/>
      <w:szCs w:val="24"/>
    </w:rPr>
  </w:style>
  <w:style w:type="paragraph" w:customStyle="1" w:styleId="348">
    <w:name w:val="正文首行缩进2字符"/>
    <w:basedOn w:val="1"/>
    <w:semiHidden/>
    <w:qFormat/>
    <w:uiPriority w:val="0"/>
    <w:pPr>
      <w:ind w:left="200" w:leftChars="200"/>
    </w:pPr>
  </w:style>
  <w:style w:type="paragraph" w:customStyle="1" w:styleId="349">
    <w:name w:val="Char Char Char Char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350">
    <w:name w:val="标准文本"/>
    <w:basedOn w:val="1"/>
    <w:qFormat/>
    <w:uiPriority w:val="0"/>
    <w:pPr>
      <w:adjustRightInd/>
      <w:ind w:firstLine="480" w:firstLineChars="200"/>
      <w:textAlignment w:val="auto"/>
    </w:pPr>
    <w:rPr>
      <w:rFonts w:ascii="Times New Roman" w:eastAsia="宋体" w:cs="宋体"/>
      <w:kern w:val="2"/>
      <w:szCs w:val="24"/>
    </w:rPr>
  </w:style>
  <w:style w:type="paragraph" w:customStyle="1" w:styleId="351">
    <w:name w:val="_Style 7"/>
    <w:basedOn w:val="1"/>
    <w:qFormat/>
    <w:uiPriority w:val="0"/>
    <w:rPr>
      <w:sz w:val="24"/>
      <w:szCs w:val="24"/>
    </w:rPr>
  </w:style>
  <w:style w:type="paragraph" w:customStyle="1" w:styleId="352">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b/>
      <w:bCs/>
      <w:sz w:val="20"/>
      <w:szCs w:val="20"/>
    </w:rPr>
  </w:style>
  <w:style w:type="paragraph" w:customStyle="1" w:styleId="353">
    <w:name w:val="马刚标题1"/>
    <w:basedOn w:val="5"/>
    <w:next w:val="1"/>
    <w:qFormat/>
    <w:uiPriority w:val="0"/>
    <w:pPr>
      <w:tabs>
        <w:tab w:val="left" w:pos="315"/>
        <w:tab w:val="left" w:pos="567"/>
      </w:tabs>
      <w:adjustRightInd/>
      <w:spacing w:before="400" w:after="120" w:line="576" w:lineRule="auto"/>
      <w:ind w:left="567" w:hanging="567"/>
      <w:jc w:val="left"/>
      <w:textAlignment w:val="auto"/>
    </w:pPr>
    <w:rPr>
      <w:rFonts w:ascii="Times New Roman" w:eastAsia="黑体"/>
      <w:b w:val="0"/>
      <w:bCs w:val="0"/>
      <w:sz w:val="32"/>
      <w:szCs w:val="20"/>
    </w:rPr>
  </w:style>
  <w:style w:type="paragraph" w:customStyle="1" w:styleId="354">
    <w:name w:val="正文文本 21"/>
    <w:basedOn w:val="1"/>
    <w:qFormat/>
    <w:uiPriority w:val="0"/>
    <w:pPr>
      <w:widowControl/>
      <w:overflowPunct w:val="0"/>
      <w:autoSpaceDE w:val="0"/>
      <w:autoSpaceDN w:val="0"/>
      <w:spacing w:line="240" w:lineRule="auto"/>
      <w:ind w:left="720" w:hanging="720"/>
    </w:pPr>
    <w:rPr>
      <w:rFonts w:ascii="Times New Roman" w:eastAsia="宋体"/>
      <w:szCs w:val="20"/>
      <w:lang w:val="en-GB"/>
    </w:rPr>
  </w:style>
  <w:style w:type="paragraph" w:customStyle="1" w:styleId="355">
    <w:name w:val="样式 加点正文 + 段前: 0.5 行 段后: 0.5 行1"/>
    <w:basedOn w:val="1"/>
    <w:qFormat/>
    <w:uiPriority w:val="0"/>
    <w:pPr>
      <w:tabs>
        <w:tab w:val="left" w:pos="1050"/>
        <w:tab w:val="left" w:pos="1268"/>
      </w:tabs>
      <w:adjustRightInd/>
      <w:spacing w:beforeLines="50" w:afterLines="50" w:line="300" w:lineRule="auto"/>
      <w:ind w:left="1268" w:hanging="720"/>
      <w:textAlignment w:val="auto"/>
    </w:pPr>
    <w:rPr>
      <w:rFonts w:ascii="Times New Roman" w:eastAsia="宋体"/>
      <w:kern w:val="2"/>
      <w:szCs w:val="20"/>
    </w:rPr>
  </w:style>
  <w:style w:type="paragraph" w:customStyle="1" w:styleId="356">
    <w:name w:val="正文 1.1"/>
    <w:basedOn w:val="1"/>
    <w:next w:val="269"/>
    <w:qFormat/>
    <w:uiPriority w:val="0"/>
    <w:pPr>
      <w:ind w:left="980" w:hanging="980" w:hangingChars="350"/>
      <w:outlineLvl w:val="1"/>
    </w:pPr>
    <w:rPr>
      <w:rFonts w:ascii="仿宋" w:hAnsi="仿宋"/>
      <w:b/>
    </w:rPr>
  </w:style>
  <w:style w:type="paragraph" w:customStyle="1" w:styleId="357">
    <w:name w:val="样式 样式 首行缩进:  0.74 厘米 行距: 1.5 倍行距 + 段后: 0.5 行"/>
    <w:basedOn w:val="1"/>
    <w:qFormat/>
    <w:uiPriority w:val="0"/>
    <w:pPr>
      <w:adjustRightInd/>
      <w:ind w:firstLine="420"/>
      <w:textAlignment w:val="auto"/>
    </w:pPr>
    <w:rPr>
      <w:rFonts w:ascii="楷体_GB2312" w:eastAsia="楷体_GB2312"/>
      <w:bCs/>
      <w:kern w:val="2"/>
      <w:szCs w:val="20"/>
    </w:rPr>
  </w:style>
  <w:style w:type="paragraph" w:customStyle="1" w:styleId="358">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59">
    <w:name w:val="小四 段落 宋体"/>
    <w:basedOn w:val="21"/>
    <w:qFormat/>
    <w:uiPriority w:val="0"/>
    <w:pPr>
      <w:adjustRightInd/>
      <w:ind w:left="113" w:right="113" w:firstLine="425"/>
      <w:jc w:val="left"/>
      <w:textAlignment w:val="auto"/>
    </w:pPr>
    <w:rPr>
      <w:rFonts w:ascii="Times New Roman" w:eastAsia="宋体"/>
      <w:kern w:val="2"/>
      <w:szCs w:val="24"/>
    </w:rPr>
  </w:style>
  <w:style w:type="paragraph" w:customStyle="1" w:styleId="360">
    <w:name w:val="Char Char1 Char"/>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361">
    <w:name w:val="列出段落21"/>
    <w:basedOn w:val="1"/>
    <w:qFormat/>
    <w:uiPriority w:val="0"/>
    <w:pPr>
      <w:widowControl/>
      <w:adjustRightInd/>
      <w:spacing w:line="240" w:lineRule="auto"/>
      <w:ind w:left="720"/>
      <w:contextualSpacing/>
      <w:jc w:val="left"/>
      <w:textAlignment w:val="auto"/>
    </w:pPr>
    <w:rPr>
      <w:rFonts w:ascii="Arial" w:hAnsi="Arial" w:eastAsia="黑体"/>
      <w:szCs w:val="24"/>
      <w:lang w:eastAsia="en-US"/>
    </w:rPr>
  </w:style>
  <w:style w:type="paragraph" w:customStyle="1" w:styleId="362">
    <w:name w:val="三级标题"/>
    <w:basedOn w:val="1"/>
    <w:qFormat/>
    <w:uiPriority w:val="0"/>
    <w:pPr>
      <w:keepNext/>
      <w:keepLines/>
      <w:tabs>
        <w:tab w:val="left" w:pos="420"/>
        <w:tab w:val="left" w:pos="1304"/>
      </w:tabs>
      <w:snapToGrid w:val="0"/>
      <w:spacing w:line="300" w:lineRule="auto"/>
      <w:outlineLvl w:val="2"/>
    </w:pPr>
    <w:rPr>
      <w:rFonts w:ascii="仿宋_GB2312" w:hAnsi="Arial" w:eastAsia="仿宋_GB2312"/>
      <w:b/>
      <w:bCs/>
      <w:szCs w:val="28"/>
    </w:rPr>
  </w:style>
  <w:style w:type="paragraph" w:customStyle="1" w:styleId="363">
    <w:name w:val="Char Char Char Char Char Char"/>
    <w:basedOn w:val="1"/>
    <w:qFormat/>
    <w:uiPriority w:val="0"/>
    <w:pPr>
      <w:adjustRightInd/>
      <w:spacing w:line="240" w:lineRule="auto"/>
      <w:textAlignment w:val="auto"/>
    </w:pPr>
    <w:rPr>
      <w:rFonts w:ascii="Times New Roman" w:eastAsia="宋体"/>
      <w:kern w:val="2"/>
      <w:sz w:val="21"/>
    </w:rPr>
  </w:style>
  <w:style w:type="paragraph" w:customStyle="1" w:styleId="364">
    <w:name w:val="插图"/>
    <w:basedOn w:val="1"/>
    <w:qFormat/>
    <w:uiPriority w:val="0"/>
    <w:pPr>
      <w:tabs>
        <w:tab w:val="left" w:pos="1620"/>
      </w:tabs>
      <w:spacing w:line="240" w:lineRule="auto"/>
      <w:jc w:val="center"/>
      <w:textAlignment w:val="auto"/>
    </w:pPr>
    <w:rPr>
      <w:rFonts w:ascii="Times New Roman" w:eastAsia="宋体"/>
      <w:bCs/>
      <w:color w:val="000000"/>
      <w:kern w:val="2"/>
      <w:sz w:val="21"/>
      <w:szCs w:val="22"/>
    </w:rPr>
  </w:style>
  <w:style w:type="paragraph" w:customStyle="1" w:styleId="365">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6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367">
    <w:name w:val="样式 正文缩进2字符 + 五号 居中1"/>
    <w:basedOn w:val="173"/>
    <w:qFormat/>
    <w:uiPriority w:val="0"/>
    <w:pPr>
      <w:spacing w:line="240" w:lineRule="auto"/>
      <w:ind w:firstLine="0" w:firstLineChars="0"/>
      <w:jc w:val="center"/>
    </w:pPr>
    <w:rPr>
      <w:sz w:val="21"/>
    </w:rPr>
  </w:style>
  <w:style w:type="paragraph" w:customStyle="1" w:styleId="368">
    <w:name w:val="二级标题"/>
    <w:basedOn w:val="6"/>
    <w:qFormat/>
    <w:uiPriority w:val="0"/>
    <w:pPr>
      <w:tabs>
        <w:tab w:val="left" w:pos="567"/>
      </w:tabs>
      <w:snapToGrid w:val="0"/>
      <w:spacing w:before="0" w:after="0" w:line="300" w:lineRule="auto"/>
      <w:ind w:left="567" w:hanging="567"/>
    </w:pPr>
    <w:rPr>
      <w:rFonts w:ascii="仿宋_GB2312" w:hAnsi="Times New Roman" w:eastAsia="仿宋_GB2312"/>
      <w:bCs w:val="0"/>
    </w:rPr>
  </w:style>
  <w:style w:type="paragraph" w:customStyle="1" w:styleId="369">
    <w:name w:val="标准小四"/>
    <w:basedOn w:val="1"/>
    <w:qFormat/>
    <w:uiPriority w:val="0"/>
    <w:pPr>
      <w:adjustRightInd/>
      <w:ind w:firstLine="480" w:firstLineChars="200"/>
      <w:textAlignment w:val="auto"/>
    </w:pPr>
    <w:rPr>
      <w:rFonts w:ascii="Arial" w:hAnsi="Arial" w:eastAsia="宋体"/>
      <w:kern w:val="2"/>
    </w:rPr>
  </w:style>
  <w:style w:type="paragraph" w:customStyle="1" w:styleId="370">
    <w:name w:val="项目符号：一级"/>
    <w:basedOn w:val="254"/>
    <w:next w:val="254"/>
    <w:qFormat/>
    <w:uiPriority w:val="0"/>
    <w:pPr>
      <w:ind w:right="-134" w:rightChars="-64"/>
    </w:pPr>
    <w:rPr>
      <w:bCs w:val="0"/>
    </w:rPr>
  </w:style>
  <w:style w:type="paragraph" w:customStyle="1" w:styleId="371">
    <w:name w:val="段落"/>
    <w:qFormat/>
    <w:uiPriority w:val="0"/>
    <w:pPr>
      <w:adjustRightInd w:val="0"/>
      <w:snapToGrid w:val="0"/>
      <w:spacing w:before="120" w:after="120" w:line="36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372">
    <w:name w:val="font7"/>
    <w:basedOn w:val="1"/>
    <w:qFormat/>
    <w:uiPriority w:val="0"/>
    <w:pPr>
      <w:widowControl/>
      <w:adjustRightInd/>
      <w:spacing w:before="100" w:beforeAutospacing="1" w:after="100" w:afterAutospacing="1" w:line="240" w:lineRule="auto"/>
      <w:jc w:val="left"/>
      <w:textAlignment w:val="auto"/>
    </w:pPr>
    <w:rPr>
      <w:rFonts w:hint="eastAsia" w:hAnsi="宋体" w:eastAsia="宋体"/>
      <w:sz w:val="18"/>
      <w:szCs w:val="18"/>
    </w:rPr>
  </w:style>
  <w:style w:type="paragraph" w:customStyle="1" w:styleId="373">
    <w:name w:val="修订1"/>
    <w:semiHidden/>
    <w:qFormat/>
    <w:uiPriority w:val="99"/>
    <w:rPr>
      <w:rFonts w:ascii="华文楷体" w:hAnsi="华文楷体" w:eastAsia="华文楷体" w:cs="Times New Roman"/>
      <w:snapToGrid w:val="0"/>
      <w:sz w:val="21"/>
      <w:lang w:val="en-US" w:eastAsia="zh-CN" w:bidi="ar-SA"/>
    </w:rPr>
  </w:style>
  <w:style w:type="paragraph" w:customStyle="1" w:styleId="374">
    <w:name w:val="Char Char Char Char Char Char Char Char Char1 Char"/>
    <w:basedOn w:val="24"/>
    <w:qFormat/>
    <w:uiPriority w:val="0"/>
    <w:pPr>
      <w:snapToGrid w:val="0"/>
      <w:textAlignment w:val="auto"/>
    </w:pPr>
    <w:rPr>
      <w:rFonts w:ascii="Times New Roman" w:eastAsia="楷体_GB2312"/>
      <w:kern w:val="2"/>
      <w:sz w:val="28"/>
      <w:szCs w:val="20"/>
    </w:rPr>
  </w:style>
  <w:style w:type="paragraph" w:customStyle="1" w:styleId="375">
    <w:name w:val="正文--表格内正文"/>
    <w:basedOn w:val="1"/>
    <w:qFormat/>
    <w:uiPriority w:val="0"/>
    <w:pPr>
      <w:adjustRightInd/>
      <w:spacing w:beforeLines="50" w:line="0" w:lineRule="atLeast"/>
      <w:jc w:val="center"/>
      <w:textAlignment w:val="auto"/>
    </w:pPr>
    <w:rPr>
      <w:rFonts w:hAnsi="宋体" w:eastAsia="宋体"/>
      <w:color w:val="000000"/>
      <w:kern w:val="2"/>
      <w:szCs w:val="24"/>
    </w:rPr>
  </w:style>
  <w:style w:type="paragraph" w:customStyle="1" w:styleId="376">
    <w:name w:val="p0"/>
    <w:basedOn w:val="1"/>
    <w:qFormat/>
    <w:uiPriority w:val="0"/>
    <w:pPr>
      <w:widowControl/>
      <w:adjustRightInd/>
      <w:spacing w:line="240" w:lineRule="auto"/>
      <w:textAlignment w:val="auto"/>
    </w:pPr>
    <w:rPr>
      <w:rFonts w:ascii="Times New Roman" w:eastAsia="宋体"/>
      <w:sz w:val="21"/>
    </w:rPr>
  </w:style>
  <w:style w:type="paragraph" w:customStyle="1" w:styleId="377">
    <w:name w:val="表格内容"/>
    <w:basedOn w:val="1"/>
    <w:qFormat/>
    <w:uiPriority w:val="0"/>
    <w:pPr>
      <w:spacing w:line="240" w:lineRule="auto"/>
      <w:jc w:val="center"/>
    </w:pPr>
    <w:rPr>
      <w:sz w:val="21"/>
    </w:rPr>
  </w:style>
  <w:style w:type="paragraph" w:customStyle="1" w:styleId="378">
    <w:name w:val="摘要"/>
    <w:basedOn w:val="1"/>
    <w:qFormat/>
    <w:uiPriority w:val="0"/>
    <w:pPr>
      <w:jc w:val="center"/>
    </w:pPr>
    <w:rPr>
      <w:rFonts w:ascii="黑体" w:eastAsia="黑体" w:cs="宋体"/>
      <w:sz w:val="30"/>
      <w:szCs w:val="20"/>
    </w:rPr>
  </w:style>
  <w:style w:type="paragraph" w:customStyle="1" w:styleId="379">
    <w:name w:val="xl25"/>
    <w:basedOn w:val="1"/>
    <w:qFormat/>
    <w:uiPriority w:val="0"/>
    <w:pPr>
      <w:widowControl/>
      <w:adjustRightInd/>
      <w:spacing w:before="100" w:beforeAutospacing="1" w:after="100" w:afterAutospacing="1" w:line="240" w:lineRule="auto"/>
      <w:jc w:val="center"/>
      <w:textAlignment w:val="center"/>
    </w:pPr>
    <w:rPr>
      <w:rFonts w:ascii="Arial Unicode MS" w:hAnsi="Arial Unicode MS" w:eastAsia="Arial Unicode MS" w:cs="Arial Unicode MS"/>
      <w:szCs w:val="24"/>
    </w:rPr>
  </w:style>
  <w:style w:type="paragraph" w:customStyle="1" w:styleId="380">
    <w:name w:val="新的内文"/>
    <w:basedOn w:val="1"/>
    <w:qFormat/>
    <w:uiPriority w:val="0"/>
    <w:pPr>
      <w:adjustRightInd/>
      <w:snapToGrid w:val="0"/>
      <w:spacing w:line="300" w:lineRule="auto"/>
      <w:ind w:firstLine="518" w:firstLineChars="200"/>
      <w:textAlignment w:val="auto"/>
    </w:pPr>
    <w:rPr>
      <w:rFonts w:ascii="仿宋_GB2312" w:eastAsia="仿宋_GB2312" w:cs="宋体"/>
      <w:kern w:val="2"/>
      <w:szCs w:val="28"/>
    </w:rPr>
  </w:style>
  <w:style w:type="paragraph" w:customStyle="1" w:styleId="381">
    <w:name w:val="大标题"/>
    <w:basedOn w:val="1"/>
    <w:next w:val="1"/>
    <w:qFormat/>
    <w:uiPriority w:val="0"/>
    <w:pPr>
      <w:pageBreakBefore/>
      <w:spacing w:line="720" w:lineRule="auto"/>
      <w:jc w:val="center"/>
      <w:outlineLvl w:val="0"/>
    </w:pPr>
    <w:rPr>
      <w:rFonts w:ascii="黑体" w:eastAsia="黑体"/>
      <w:sz w:val="32"/>
      <w:szCs w:val="30"/>
    </w:rPr>
  </w:style>
  <w:style w:type="paragraph" w:customStyle="1" w:styleId="382">
    <w:name w:val="正文缩进2字符"/>
    <w:basedOn w:val="1"/>
    <w:qFormat/>
    <w:uiPriority w:val="0"/>
    <w:pPr>
      <w:snapToGrid w:val="0"/>
      <w:spacing w:line="300" w:lineRule="auto"/>
      <w:ind w:firstLine="200" w:firstLineChars="200"/>
      <w:textAlignment w:val="auto"/>
    </w:pPr>
    <w:rPr>
      <w:rFonts w:ascii="仿宋_GB2312" w:eastAsia="仿宋_GB2312"/>
      <w:kern w:val="2"/>
      <w:sz w:val="32"/>
      <w:szCs w:val="32"/>
    </w:rPr>
  </w:style>
  <w:style w:type="paragraph" w:customStyle="1" w:styleId="383">
    <w:name w:val="样式 样式 首行缩进:  2 字符 + 行距: 1.5 倍行距"/>
    <w:basedOn w:val="1"/>
    <w:qFormat/>
    <w:uiPriority w:val="0"/>
    <w:pPr>
      <w:adjustRightInd/>
      <w:ind w:firstLine="470" w:firstLineChars="196"/>
      <w:textAlignment w:val="auto"/>
    </w:pPr>
    <w:rPr>
      <w:rFonts w:ascii="Times New Roman" w:eastAsia="宋体"/>
      <w:kern w:val="2"/>
      <w:szCs w:val="20"/>
    </w:rPr>
  </w:style>
  <w:style w:type="paragraph" w:customStyle="1" w:styleId="38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385">
    <w:name w:val="正文空4格  1）"/>
    <w:basedOn w:val="1"/>
    <w:qFormat/>
    <w:uiPriority w:val="0"/>
    <w:pPr>
      <w:ind w:firstLine="1120" w:firstLineChars="400"/>
    </w:pPr>
    <w:rPr>
      <w:rFonts w:cs="宋体"/>
      <w:szCs w:val="20"/>
    </w:rPr>
  </w:style>
  <w:style w:type="paragraph" w:customStyle="1" w:styleId="386">
    <w:name w:val="retrait3"/>
    <w:basedOn w:val="1"/>
    <w:qFormat/>
    <w:uiPriority w:val="0"/>
    <w:pPr>
      <w:widowControl/>
      <w:adjustRightInd/>
      <w:spacing w:before="20" w:after="20" w:line="240" w:lineRule="auto"/>
      <w:ind w:left="851"/>
      <w:jc w:val="left"/>
      <w:textAlignment w:val="auto"/>
    </w:pPr>
    <w:rPr>
      <w:rFonts w:ascii="Arial" w:hAnsi="Arial" w:eastAsia="宋体"/>
      <w:szCs w:val="20"/>
      <w:lang w:val="en-GB"/>
    </w:rPr>
  </w:style>
  <w:style w:type="paragraph" w:customStyle="1" w:styleId="387">
    <w:name w:val="Char3"/>
    <w:basedOn w:val="24"/>
    <w:qFormat/>
    <w:uiPriority w:val="0"/>
    <w:pPr>
      <w:adjustRightInd/>
      <w:spacing w:line="240" w:lineRule="auto"/>
      <w:textAlignment w:val="auto"/>
    </w:pPr>
    <w:rPr>
      <w:rFonts w:ascii="Tahoma" w:hAnsi="Tahoma" w:eastAsia="宋体"/>
      <w:kern w:val="2"/>
      <w:szCs w:val="24"/>
    </w:rPr>
  </w:style>
  <w:style w:type="paragraph" w:customStyle="1" w:styleId="388">
    <w:name w:val="正文 + 宋体"/>
    <w:basedOn w:val="1"/>
    <w:qFormat/>
    <w:uiPriority w:val="0"/>
    <w:pPr>
      <w:adjustRightInd/>
      <w:ind w:firstLine="420" w:firstLineChars="200"/>
      <w:textAlignment w:val="auto"/>
    </w:pPr>
    <w:rPr>
      <w:rFonts w:ascii="Times New Roman" w:eastAsia="宋体"/>
      <w:kern w:val="2"/>
      <w:sz w:val="21"/>
      <w:szCs w:val="24"/>
    </w:rPr>
  </w:style>
  <w:style w:type="paragraph" w:customStyle="1" w:styleId="389">
    <w:name w:val="样式 样式 (符号) 宋体 小四 首行缩进:  0.85 厘米 段后: 6 磅 行距: 固定值 20 磅 + 首行缩进:  2 ..."/>
    <w:basedOn w:val="1"/>
    <w:qFormat/>
    <w:uiPriority w:val="0"/>
    <w:pPr>
      <w:ind w:firstLine="566" w:firstLineChars="236"/>
      <w:jc w:val="left"/>
    </w:pPr>
    <w:rPr>
      <w:rFonts w:ascii="仿宋_GB2312" w:hAnsi="宋体" w:eastAsia="仿宋_GB2312" w:cs="宋体"/>
      <w:kern w:val="2"/>
      <w:szCs w:val="24"/>
    </w:rPr>
  </w:style>
  <w:style w:type="paragraph" w:customStyle="1" w:styleId="390">
    <w:name w:val="zw"/>
    <w:basedOn w:val="1"/>
    <w:qFormat/>
    <w:uiPriority w:val="0"/>
    <w:pPr>
      <w:widowControl/>
      <w:adjustRightInd/>
      <w:ind w:firstLine="480" w:firstLineChars="200"/>
      <w:jc w:val="left"/>
      <w:textAlignment w:val="auto"/>
    </w:pPr>
    <w:rPr>
      <w:rFonts w:hAnsi="宋体" w:eastAsia="宋体"/>
      <w:bCs/>
      <w:szCs w:val="20"/>
    </w:rPr>
  </w:style>
  <w:style w:type="paragraph" w:customStyle="1" w:styleId="391">
    <w:name w:val="xl30"/>
    <w:basedOn w:val="1"/>
    <w:qFormat/>
    <w:uiPriority w:val="0"/>
    <w:pPr>
      <w:widowControl/>
      <w:adjustRightInd/>
      <w:spacing w:before="100" w:beforeAutospacing="1" w:after="100" w:afterAutospacing="1" w:line="240" w:lineRule="auto"/>
      <w:jc w:val="center"/>
      <w:textAlignment w:val="auto"/>
    </w:pPr>
    <w:rPr>
      <w:rFonts w:hAnsi="宋体" w:eastAsia="宋体"/>
      <w:b/>
      <w:bCs/>
      <w:sz w:val="36"/>
      <w:szCs w:val="36"/>
    </w:rPr>
  </w:style>
  <w:style w:type="paragraph" w:customStyle="1" w:styleId="39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393">
    <w:name w:val="Char Char Char Char Char Char Char2"/>
    <w:basedOn w:val="1"/>
    <w:qFormat/>
    <w:uiPriority w:val="0"/>
    <w:pPr>
      <w:adjustRightInd/>
      <w:spacing w:line="240" w:lineRule="auto"/>
      <w:jc w:val="left"/>
      <w:textAlignment w:val="auto"/>
    </w:pPr>
    <w:rPr>
      <w:rFonts w:ascii="Tahoma" w:hAnsi="Tahoma" w:eastAsia="宋体"/>
      <w:kern w:val="2"/>
      <w:szCs w:val="20"/>
    </w:rPr>
  </w:style>
  <w:style w:type="paragraph" w:customStyle="1" w:styleId="394">
    <w:name w:val="xl9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djustRightInd/>
      <w:spacing w:before="100" w:beforeAutospacing="1" w:after="100" w:afterAutospacing="1" w:line="240" w:lineRule="auto"/>
      <w:jc w:val="left"/>
      <w:textAlignment w:val="center"/>
    </w:pPr>
    <w:rPr>
      <w:rFonts w:hAnsi="宋体" w:eastAsia="宋体" w:cs="宋体"/>
      <w:color w:val="000000"/>
      <w:sz w:val="20"/>
      <w:szCs w:val="20"/>
    </w:rPr>
  </w:style>
  <w:style w:type="paragraph" w:customStyle="1" w:styleId="395">
    <w:name w:val="样式 正文缩进2字符 + 小五 居中"/>
    <w:basedOn w:val="173"/>
    <w:qFormat/>
    <w:uiPriority w:val="0"/>
    <w:pPr>
      <w:spacing w:line="100" w:lineRule="atLeast"/>
      <w:ind w:firstLine="0" w:firstLineChars="0"/>
      <w:jc w:val="center"/>
    </w:pPr>
    <w:rPr>
      <w:sz w:val="18"/>
    </w:rPr>
  </w:style>
  <w:style w:type="paragraph" w:customStyle="1" w:styleId="396">
    <w:name w:val="方案正文"/>
    <w:basedOn w:val="1"/>
    <w:qFormat/>
    <w:uiPriority w:val="0"/>
    <w:pPr>
      <w:adjustRightInd/>
      <w:spacing w:before="156"/>
      <w:ind w:firstLine="359" w:firstLineChars="171"/>
      <w:jc w:val="left"/>
      <w:textAlignment w:val="auto"/>
    </w:pPr>
    <w:rPr>
      <w:rFonts w:ascii="Arial" w:hAnsi="Arial" w:eastAsia="宋体" w:cs="宋体"/>
      <w:kern w:val="2"/>
    </w:rPr>
  </w:style>
  <w:style w:type="paragraph" w:customStyle="1" w:styleId="397">
    <w:name w:val="xl29"/>
    <w:basedOn w:val="1"/>
    <w:qFormat/>
    <w:uiPriority w:val="0"/>
    <w:pPr>
      <w:widowControl/>
      <w:pBdr>
        <w:left w:val="single" w:color="auto" w:sz="4" w:space="0"/>
        <w:bottom w:val="single" w:color="auto" w:sz="4" w:space="0"/>
      </w:pBdr>
      <w:adjustRightInd/>
      <w:spacing w:before="100" w:beforeAutospacing="1" w:after="100" w:afterAutospacing="1" w:line="240" w:lineRule="auto"/>
      <w:jc w:val="left"/>
      <w:textAlignment w:val="auto"/>
    </w:pPr>
    <w:rPr>
      <w:rFonts w:hAnsi="宋体" w:eastAsia="宋体"/>
      <w:szCs w:val="24"/>
    </w:rPr>
  </w:style>
  <w:style w:type="paragraph" w:customStyle="1" w:styleId="398">
    <w:name w:val="Char"/>
    <w:basedOn w:val="1"/>
    <w:qFormat/>
    <w:uiPriority w:val="0"/>
    <w:pPr>
      <w:tabs>
        <w:tab w:val="left" w:pos="360"/>
      </w:tabs>
      <w:adjustRightInd/>
      <w:spacing w:line="240" w:lineRule="auto"/>
      <w:textAlignment w:val="auto"/>
    </w:pPr>
    <w:rPr>
      <w:rFonts w:ascii="Times New Roman" w:eastAsia="宋体"/>
      <w:kern w:val="2"/>
      <w:szCs w:val="24"/>
    </w:rPr>
  </w:style>
  <w:style w:type="paragraph" w:customStyle="1" w:styleId="399">
    <w:name w:val="Char Char Char Char Char Char Char Char Char Char"/>
    <w:basedOn w:val="1"/>
    <w:qFormat/>
    <w:uiPriority w:val="0"/>
    <w:pPr>
      <w:textAlignment w:val="auto"/>
    </w:pPr>
    <w:rPr>
      <w:rFonts w:ascii="Times New Roman" w:eastAsia="宋体"/>
      <w:szCs w:val="20"/>
    </w:rPr>
  </w:style>
  <w:style w:type="paragraph" w:customStyle="1" w:styleId="400">
    <w:name w:val="正文 首行缩进:  2 字符 Char"/>
    <w:basedOn w:val="1"/>
    <w:qFormat/>
    <w:uiPriority w:val="0"/>
    <w:pPr>
      <w:adjustRightInd/>
      <w:ind w:firstLine="480"/>
      <w:textAlignment w:val="auto"/>
    </w:pPr>
    <w:rPr>
      <w:rFonts w:ascii="Times New Roman" w:eastAsia="宋体" w:cs="宋体"/>
      <w:kern w:val="2"/>
      <w:szCs w:val="20"/>
    </w:rPr>
  </w:style>
  <w:style w:type="paragraph" w:customStyle="1" w:styleId="401">
    <w:name w:val="小四 段落 宋体 Char Char Char Char"/>
    <w:basedOn w:val="1"/>
    <w:qFormat/>
    <w:uiPriority w:val="0"/>
    <w:pPr>
      <w:adjustRightInd/>
      <w:ind w:right="-33" w:firstLine="480" w:firstLineChars="200"/>
      <w:jc w:val="left"/>
      <w:textAlignment w:val="auto"/>
    </w:pPr>
    <w:rPr>
      <w:rFonts w:ascii="Times New Roman" w:eastAsia="宋体"/>
      <w:kern w:val="2"/>
      <w:szCs w:val="24"/>
    </w:rPr>
  </w:style>
  <w:style w:type="paragraph" w:customStyle="1" w:styleId="402">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403">
    <w:name w:val="Plain Text1"/>
    <w:basedOn w:val="1"/>
    <w:qFormat/>
    <w:uiPriority w:val="0"/>
    <w:pPr>
      <w:spacing w:line="240" w:lineRule="auto"/>
    </w:pPr>
    <w:rPr>
      <w:rFonts w:hAnsi="Courier New" w:eastAsia="楷体_GB2312"/>
      <w:kern w:val="2"/>
      <w:szCs w:val="20"/>
    </w:rPr>
  </w:style>
  <w:style w:type="paragraph" w:customStyle="1" w:styleId="404">
    <w:name w:val="样式2"/>
    <w:basedOn w:val="1"/>
    <w:qFormat/>
    <w:uiPriority w:val="0"/>
    <w:pPr>
      <w:adjustRightInd/>
      <w:ind w:left="200" w:leftChars="200"/>
      <w:textAlignment w:val="auto"/>
    </w:pPr>
    <w:rPr>
      <w:rFonts w:hAnsi="宋体" w:eastAsia="宋体"/>
      <w:b/>
      <w:kern w:val="2"/>
      <w:szCs w:val="24"/>
    </w:rPr>
  </w:style>
  <w:style w:type="paragraph" w:customStyle="1" w:styleId="405">
    <w:name w:val="xl10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hAnsi="宋体" w:eastAsia="宋体" w:cs="宋体"/>
      <w:szCs w:val="24"/>
    </w:rPr>
  </w:style>
  <w:style w:type="paragraph" w:customStyle="1" w:styleId="406">
    <w:name w:val="部分1"/>
    <w:basedOn w:val="1"/>
    <w:qFormat/>
    <w:uiPriority w:val="0"/>
    <w:pPr>
      <w:keepNext/>
      <w:pageBreakBefore/>
      <w:tabs>
        <w:tab w:val="left" w:pos="360"/>
      </w:tabs>
      <w:adjustRightInd/>
      <w:jc w:val="center"/>
      <w:textAlignment w:val="auto"/>
      <w:outlineLvl w:val="0"/>
    </w:pPr>
    <w:rPr>
      <w:rFonts w:ascii="Times New Roman" w:eastAsia="黑体"/>
      <w:b/>
      <w:kern w:val="44"/>
      <w:sz w:val="36"/>
      <w:szCs w:val="20"/>
    </w:rPr>
  </w:style>
  <w:style w:type="paragraph" w:customStyle="1" w:styleId="407">
    <w:name w:val="项目符号，一级"/>
    <w:basedOn w:val="254"/>
    <w:next w:val="254"/>
    <w:qFormat/>
    <w:uiPriority w:val="0"/>
    <w:pPr>
      <w:tabs>
        <w:tab w:val="left" w:pos="1320"/>
      </w:tabs>
      <w:spacing w:line="240" w:lineRule="atLeast"/>
      <w:ind w:left="376" w:leftChars="179" w:firstLine="0"/>
    </w:pPr>
    <w:rPr>
      <w:bCs w:val="0"/>
      <w:color w:val="000000"/>
      <w:szCs w:val="24"/>
    </w:rPr>
  </w:style>
  <w:style w:type="paragraph" w:customStyle="1" w:styleId="408">
    <w:name w:val="华宇段落1 Char"/>
    <w:basedOn w:val="1"/>
    <w:qFormat/>
    <w:uiPriority w:val="0"/>
    <w:pPr>
      <w:adjustRightInd/>
      <w:ind w:firstLine="200" w:firstLineChars="200"/>
      <w:textAlignment w:val="auto"/>
    </w:pPr>
    <w:rPr>
      <w:rFonts w:ascii="Times New Roman" w:eastAsia="宋体"/>
      <w:bCs/>
      <w:kern w:val="2"/>
      <w:szCs w:val="24"/>
    </w:rPr>
  </w:style>
  <w:style w:type="paragraph" w:customStyle="1" w:styleId="409">
    <w:name w:val="表格内文字"/>
    <w:basedOn w:val="1"/>
    <w:qFormat/>
    <w:uiPriority w:val="0"/>
    <w:pPr>
      <w:adjustRightInd/>
      <w:spacing w:line="300" w:lineRule="atLeast"/>
      <w:textAlignment w:val="auto"/>
    </w:pPr>
    <w:rPr>
      <w:rFonts w:ascii="Times New Roman" w:eastAsia="宋体"/>
      <w:kern w:val="2"/>
      <w:sz w:val="18"/>
      <w:szCs w:val="24"/>
    </w:rPr>
  </w:style>
  <w:style w:type="paragraph" w:customStyle="1" w:styleId="410">
    <w:name w:val="标题2，章节第二层"/>
    <w:basedOn w:val="1"/>
    <w:next w:val="254"/>
    <w:qFormat/>
    <w:uiPriority w:val="0"/>
    <w:pPr>
      <w:tabs>
        <w:tab w:val="left" w:pos="630"/>
        <w:tab w:val="left" w:pos="992"/>
        <w:tab w:val="left" w:pos="1440"/>
      </w:tabs>
      <w:snapToGrid w:val="0"/>
      <w:spacing w:beforeLines="100" w:afterLines="100" w:line="300" w:lineRule="auto"/>
      <w:ind w:left="992" w:hanging="567"/>
      <w:textAlignment w:val="auto"/>
      <w:outlineLvl w:val="1"/>
    </w:pPr>
    <w:rPr>
      <w:rFonts w:ascii="Arial" w:hAnsi="Arial" w:eastAsia="黑体"/>
      <w:kern w:val="2"/>
      <w:sz w:val="32"/>
      <w:szCs w:val="24"/>
    </w:rPr>
  </w:style>
  <w:style w:type="paragraph" w:customStyle="1" w:styleId="411">
    <w:name w:val="xl8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412">
    <w:name w:val="xl8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413">
    <w:name w:val="小四 段落 宋体 Char Char Char"/>
    <w:basedOn w:val="21"/>
    <w:qFormat/>
    <w:uiPriority w:val="0"/>
    <w:pPr>
      <w:adjustRightInd/>
      <w:ind w:left="0" w:right="-33" w:firstLine="545" w:firstLineChars="227"/>
      <w:jc w:val="left"/>
      <w:textAlignment w:val="auto"/>
    </w:pPr>
    <w:rPr>
      <w:rFonts w:ascii="Times New Roman" w:eastAsia="宋体"/>
      <w:kern w:val="2"/>
      <w:szCs w:val="24"/>
    </w:rPr>
  </w:style>
  <w:style w:type="paragraph" w:customStyle="1" w:styleId="414">
    <w:name w:val="xl8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415">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416">
    <w:name w:val="标题3"/>
    <w:basedOn w:val="1"/>
    <w:next w:val="1"/>
    <w:qFormat/>
    <w:uiPriority w:val="0"/>
    <w:pPr>
      <w:autoSpaceDE w:val="0"/>
      <w:autoSpaceDN w:val="0"/>
      <w:adjustRightInd/>
      <w:snapToGrid w:val="0"/>
      <w:spacing w:line="590" w:lineRule="atLeast"/>
      <w:ind w:firstLine="624"/>
      <w:textAlignment w:val="auto"/>
    </w:pPr>
    <w:rPr>
      <w:rFonts w:ascii="方正黑体_GBK" w:eastAsia="方正黑体_GBK"/>
      <w:snapToGrid w:val="0"/>
      <w:sz w:val="32"/>
      <w:szCs w:val="32"/>
    </w:rPr>
  </w:style>
  <w:style w:type="paragraph" w:customStyle="1" w:styleId="417">
    <w:name w:val="正文格式（小四）"/>
    <w:basedOn w:val="1"/>
    <w:qFormat/>
    <w:uiPriority w:val="0"/>
    <w:pPr>
      <w:widowControl/>
      <w:snapToGrid w:val="0"/>
      <w:ind w:firstLine="482"/>
      <w:jc w:val="left"/>
    </w:pPr>
    <w:rPr>
      <w:rFonts w:ascii="Times New Roman" w:eastAsia="宋体"/>
      <w:kern w:val="24"/>
      <w:szCs w:val="24"/>
    </w:rPr>
  </w:style>
  <w:style w:type="paragraph" w:customStyle="1" w:styleId="418">
    <w:name w:val="默认段落字体 Para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419">
    <w:name w:val="普通正文"/>
    <w:basedOn w:val="1"/>
    <w:qFormat/>
    <w:uiPriority w:val="0"/>
    <w:pPr>
      <w:spacing w:before="120" w:after="120"/>
      <w:ind w:firstLine="480"/>
      <w:jc w:val="left"/>
    </w:pPr>
    <w:rPr>
      <w:rFonts w:ascii="Arial" w:hAnsi="Arial" w:eastAsia="宋体"/>
      <w:szCs w:val="24"/>
    </w:rPr>
  </w:style>
  <w:style w:type="paragraph" w:customStyle="1" w:styleId="420">
    <w:name w:val="xl7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b/>
      <w:bCs/>
      <w:sz w:val="20"/>
      <w:szCs w:val="20"/>
    </w:rPr>
  </w:style>
  <w:style w:type="paragraph" w:styleId="421">
    <w:name w:val="No Spacing"/>
    <w:qFormat/>
    <w:uiPriority w:val="1"/>
    <w:pPr>
      <w:widowControl w:val="0"/>
      <w:jc w:val="both"/>
    </w:pPr>
    <w:rPr>
      <w:rFonts w:ascii="Calibri" w:hAnsi="Calibri" w:eastAsia="宋体" w:cs="System"/>
      <w:sz w:val="28"/>
      <w:lang w:val="en-US" w:eastAsia="zh-CN" w:bidi="ar-SA"/>
    </w:rPr>
  </w:style>
  <w:style w:type="paragraph" w:customStyle="1" w:styleId="422">
    <w:name w:val="参考文献"/>
    <w:basedOn w:val="1"/>
    <w:qFormat/>
    <w:uiPriority w:val="0"/>
    <w:pPr>
      <w:tabs>
        <w:tab w:val="left" w:pos="567"/>
      </w:tabs>
      <w:ind w:left="567" w:hanging="567"/>
    </w:pPr>
    <w:rPr>
      <w:sz w:val="24"/>
    </w:rPr>
  </w:style>
  <w:style w:type="paragraph" w:customStyle="1" w:styleId="423">
    <w:name w:val="xl86"/>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jc w:val="left"/>
      <w:textAlignment w:val="center"/>
    </w:pPr>
    <w:rPr>
      <w:rFonts w:hAnsi="宋体" w:eastAsia="宋体" w:cs="宋体"/>
      <w:color w:val="000000"/>
      <w:sz w:val="20"/>
      <w:szCs w:val="20"/>
    </w:rPr>
  </w:style>
  <w:style w:type="paragraph" w:customStyle="1" w:styleId="424">
    <w:name w:val="Char Char Char Char Char Char Char Char Char Char Char1 Char Char Char1"/>
    <w:basedOn w:val="1"/>
    <w:qFormat/>
    <w:uiPriority w:val="0"/>
    <w:pPr>
      <w:adjustRightInd/>
      <w:spacing w:line="240" w:lineRule="auto"/>
      <w:ind w:firstLine="200" w:firstLineChars="200"/>
      <w:jc w:val="left"/>
      <w:textAlignment w:val="auto"/>
    </w:pPr>
    <w:rPr>
      <w:rFonts w:ascii="Times New Roman" w:eastAsia="宋体"/>
      <w:kern w:val="2"/>
      <w:sz w:val="21"/>
    </w:rPr>
  </w:style>
  <w:style w:type="paragraph" w:customStyle="1" w:styleId="425">
    <w:name w:val="章标题"/>
    <w:next w:val="271"/>
    <w:qFormat/>
    <w:uiPriority w:val="0"/>
    <w:pPr>
      <w:spacing w:beforeLines="50" w:afterLines="50"/>
      <w:jc w:val="both"/>
      <w:outlineLvl w:val="1"/>
    </w:pPr>
    <w:rPr>
      <w:rFonts w:ascii="Calibri" w:hAnsi="Calibri" w:eastAsia="黑体" w:cs="Times New Roman"/>
      <w:sz w:val="21"/>
      <w:lang w:val="en-US" w:eastAsia="zh-CN" w:bidi="ar-SA"/>
    </w:rPr>
  </w:style>
  <w:style w:type="paragraph" w:customStyle="1" w:styleId="426">
    <w:name w:val="纯文本2"/>
    <w:basedOn w:val="1"/>
    <w:qFormat/>
    <w:uiPriority w:val="0"/>
    <w:pPr>
      <w:spacing w:line="240" w:lineRule="auto"/>
    </w:pPr>
    <w:rPr>
      <w:rFonts w:hAnsi="Courier New" w:eastAsia="楷体_GB2312"/>
      <w:kern w:val="2"/>
      <w:szCs w:val="20"/>
    </w:rPr>
  </w:style>
  <w:style w:type="paragraph" w:customStyle="1" w:styleId="427">
    <w:name w:val="xl28"/>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auto"/>
    </w:pPr>
    <w:rPr>
      <w:rFonts w:hAnsi="宋体" w:eastAsia="宋体"/>
      <w:szCs w:val="24"/>
    </w:rPr>
  </w:style>
  <w:style w:type="paragraph" w:customStyle="1" w:styleId="42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429">
    <w:name w:val="项目符号，二级"/>
    <w:basedOn w:val="254"/>
    <w:next w:val="254"/>
    <w:qFormat/>
    <w:uiPriority w:val="0"/>
    <w:pPr>
      <w:tabs>
        <w:tab w:val="left" w:pos="1211"/>
        <w:tab w:val="left" w:pos="1337"/>
      </w:tabs>
      <w:ind w:left="1337" w:right="-27" w:firstLine="480"/>
    </w:pPr>
    <w:rPr>
      <w:bCs w:val="0"/>
      <w:color w:val="000000"/>
      <w:sz w:val="24"/>
      <w:szCs w:val="24"/>
    </w:rPr>
  </w:style>
  <w:style w:type="paragraph" w:customStyle="1" w:styleId="430">
    <w:name w:val="正文 第一章"/>
    <w:basedOn w:val="1"/>
    <w:next w:val="356"/>
    <w:qFormat/>
    <w:uiPriority w:val="0"/>
    <w:pPr>
      <w:pageBreakBefore/>
      <w:spacing w:before="240" w:after="240" w:line="480" w:lineRule="auto"/>
      <w:ind w:left="300" w:hanging="420"/>
      <w:jc w:val="center"/>
      <w:outlineLvl w:val="0"/>
    </w:pPr>
    <w:rPr>
      <w:rFonts w:ascii="黑体" w:hAnsi="宋体" w:eastAsia="黑体"/>
      <w:sz w:val="36"/>
    </w:rPr>
  </w:style>
  <w:style w:type="paragraph" w:customStyle="1" w:styleId="431">
    <w:name w:val="Char Char Char Char Char Char Char Char Char Char Char Char Char Char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43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433">
    <w:name w:val="正文 首行缩进:  2 字符 Char Char"/>
    <w:basedOn w:val="1"/>
    <w:qFormat/>
    <w:uiPriority w:val="0"/>
    <w:pPr>
      <w:adjustRightInd/>
      <w:ind w:firstLine="480"/>
      <w:textAlignment w:val="auto"/>
    </w:pPr>
    <w:rPr>
      <w:rFonts w:ascii="楷体_GB2312" w:eastAsia="楷体_GB2312"/>
      <w:bCs/>
      <w:kern w:val="2"/>
      <w:szCs w:val="24"/>
    </w:rPr>
  </w:style>
  <w:style w:type="paragraph" w:customStyle="1" w:styleId="434">
    <w:name w:val="仿宋"/>
    <w:basedOn w:val="1"/>
    <w:qFormat/>
    <w:uiPriority w:val="0"/>
    <w:pPr>
      <w:jc w:val="center"/>
    </w:pPr>
    <w:rPr>
      <w:rFonts w:hAnsi="宋体" w:cs="宋体"/>
      <w:sz w:val="21"/>
      <w:szCs w:val="20"/>
    </w:rPr>
  </w:style>
  <w:style w:type="paragraph" w:customStyle="1" w:styleId="435">
    <w:name w:val="a"/>
    <w:basedOn w:val="1"/>
    <w:qFormat/>
    <w:uiPriority w:val="0"/>
    <w:pPr>
      <w:widowControl/>
      <w:adjustRightInd/>
      <w:spacing w:before="100" w:beforeAutospacing="1" w:after="100" w:afterAutospacing="1" w:line="240" w:lineRule="auto"/>
      <w:textAlignment w:val="auto"/>
    </w:pPr>
    <w:rPr>
      <w:rFonts w:hAnsi="宋体" w:eastAsia="宋体" w:cs="宋体"/>
      <w:szCs w:val="24"/>
    </w:rPr>
  </w:style>
  <w:style w:type="paragraph" w:customStyle="1" w:styleId="436">
    <w:name w:val="Table Text--F10"/>
    <w:qFormat/>
    <w:uiPriority w:val="0"/>
    <w:pPr>
      <w:snapToGrid w:val="0"/>
      <w:spacing w:before="80" w:after="80"/>
    </w:pPr>
    <w:rPr>
      <w:rFonts w:ascii="Arial" w:hAnsi="Arial" w:eastAsia="宋体" w:cs="Times New Roman"/>
      <w:sz w:val="18"/>
      <w:lang w:val="en-US" w:eastAsia="zh-CN" w:bidi="ar-SA"/>
    </w:rPr>
  </w:style>
  <w:style w:type="paragraph" w:customStyle="1" w:styleId="437">
    <w:name w:val="丁华标题2"/>
    <w:basedOn w:val="6"/>
    <w:next w:val="296"/>
    <w:qFormat/>
    <w:uiPriority w:val="0"/>
    <w:pPr>
      <w:tabs>
        <w:tab w:val="left" w:pos="567"/>
      </w:tabs>
      <w:autoSpaceDE w:val="0"/>
      <w:autoSpaceDN w:val="0"/>
      <w:spacing w:before="120" w:after="120" w:line="413" w:lineRule="auto"/>
      <w:ind w:left="567" w:hanging="567"/>
      <w:jc w:val="left"/>
      <w:textAlignment w:val="auto"/>
    </w:pPr>
    <w:rPr>
      <w:color w:val="000000"/>
      <w:kern w:val="2"/>
      <w:sz w:val="28"/>
      <w:szCs w:val="20"/>
    </w:rPr>
  </w:style>
  <w:style w:type="paragraph" w:customStyle="1" w:styleId="438">
    <w:name w:val="Char1"/>
    <w:basedOn w:val="1"/>
    <w:qFormat/>
    <w:uiPriority w:val="0"/>
    <w:pPr>
      <w:adjustRightInd/>
      <w:spacing w:line="240" w:lineRule="auto"/>
      <w:textAlignment w:val="auto"/>
    </w:pPr>
    <w:rPr>
      <w:rFonts w:ascii="仿宋_GB2312" w:eastAsia="仿宋_GB2312"/>
      <w:b/>
      <w:kern w:val="2"/>
      <w:sz w:val="32"/>
      <w:szCs w:val="32"/>
    </w:rPr>
  </w:style>
  <w:style w:type="paragraph" w:customStyle="1" w:styleId="43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440">
    <w:name w:val="标题5，章节第五层"/>
    <w:basedOn w:val="1"/>
    <w:next w:val="1"/>
    <w:qFormat/>
    <w:uiPriority w:val="0"/>
    <w:pPr>
      <w:tabs>
        <w:tab w:val="left" w:pos="1050"/>
        <w:tab w:val="left" w:pos="2100"/>
      </w:tabs>
      <w:adjustRightInd/>
      <w:spacing w:before="78" w:line="240" w:lineRule="auto"/>
      <w:ind w:left="2100" w:hanging="420"/>
      <w:textAlignment w:val="auto"/>
      <w:outlineLvl w:val="4"/>
    </w:pPr>
    <w:rPr>
      <w:rFonts w:ascii="Arial" w:hAnsi="Arial" w:eastAsia="华文细黑"/>
      <w:kern w:val="2"/>
      <w:sz w:val="30"/>
      <w:szCs w:val="24"/>
    </w:rPr>
  </w:style>
  <w:style w:type="paragraph" w:customStyle="1" w:styleId="441">
    <w:name w:val="xl100"/>
    <w:basedOn w:val="1"/>
    <w:qFormat/>
    <w:uiPriority w:val="0"/>
    <w:pPr>
      <w:widowControl/>
      <w:pBdr>
        <w:lef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442">
    <w:name w:val="Body Text(ch)"/>
    <w:basedOn w:val="1"/>
    <w:next w:val="3"/>
    <w:qFormat/>
    <w:uiPriority w:val="0"/>
    <w:pPr>
      <w:adjustRightInd/>
      <w:spacing w:after="120" w:line="240" w:lineRule="auto"/>
      <w:textAlignment w:val="auto"/>
    </w:pPr>
    <w:rPr>
      <w:rFonts w:hAnsi="Arial" w:eastAsia="宋体"/>
      <w:bCs/>
      <w:iCs/>
      <w:kern w:val="2"/>
      <w:sz w:val="21"/>
      <w:szCs w:val="24"/>
    </w:rPr>
  </w:style>
  <w:style w:type="character" w:customStyle="1" w:styleId="443">
    <w:name w:val="font101"/>
    <w:basedOn w:val="122"/>
    <w:qFormat/>
    <w:uiPriority w:val="0"/>
    <w:rPr>
      <w:rFonts w:hint="eastAsia" w:ascii="宋体" w:hAnsi="宋体" w:eastAsia="宋体" w:cs="宋体"/>
      <w:color w:val="000000"/>
      <w:sz w:val="20"/>
      <w:szCs w:val="20"/>
      <w:u w:val="none"/>
    </w:rPr>
  </w:style>
  <w:style w:type="paragraph" w:customStyle="1" w:styleId="44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45">
    <w:name w:val="Body text|2"/>
    <w:basedOn w:val="1"/>
    <w:qFormat/>
    <w:uiPriority w:val="0"/>
    <w:pPr>
      <w:spacing w:line="352" w:lineRule="exact"/>
      <w:ind w:left="820" w:firstLine="20"/>
    </w:pPr>
    <w:rPr>
      <w:rFonts w:ascii="MingLiU" w:hAnsi="MingLiU" w:eastAsia="MingLiU" w:cs="MingLiU"/>
      <w:sz w:val="18"/>
      <w:szCs w:val="18"/>
      <w:shd w:val="clear" w:color="auto" w:fill="FFFFFF"/>
      <w:lang w:val="zh-TW" w:eastAsia="zh-TW" w:bidi="zh-TW"/>
    </w:rPr>
  </w:style>
  <w:style w:type="paragraph" w:customStyle="1" w:styleId="446">
    <w:name w:val="技术标题3"/>
    <w:basedOn w:val="9"/>
    <w:qFormat/>
    <w:uiPriority w:val="0"/>
    <w:pPr>
      <w:keepNext w:val="0"/>
      <w:keepLines w:val="0"/>
      <w:snapToGrid w:val="0"/>
      <w:spacing w:before="0" w:after="0" w:line="360" w:lineRule="auto"/>
      <w:ind w:left="815" w:leftChars="213" w:hanging="368" w:hangingChars="131"/>
      <w:outlineLvl w:val="2"/>
    </w:pPr>
    <w:rPr>
      <w:rFonts w:hAnsi="宋体"/>
      <w:color w:val="000000"/>
      <w:kern w:val="2"/>
    </w:rPr>
  </w:style>
  <w:style w:type="character" w:customStyle="1" w:styleId="447">
    <w:name w:val="NormalCharacter"/>
    <w:qFormat/>
    <w:uiPriority w:val="0"/>
  </w:style>
  <w:style w:type="paragraph" w:customStyle="1" w:styleId="448">
    <w:name w:val="0正文"/>
    <w:basedOn w:val="1"/>
    <w:qFormat/>
    <w:uiPriority w:val="0"/>
    <w:pPr>
      <w:spacing w:line="560" w:lineRule="exact"/>
      <w:ind w:firstLine="200" w:firstLineChars="200"/>
    </w:pPr>
  </w:style>
  <w:style w:type="paragraph" w:customStyle="1" w:styleId="44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450">
    <w:name w:val="Table Normal"/>
    <w:semiHidden/>
    <w:unhideWhenUsed/>
    <w:qFormat/>
    <w:uiPriority w:val="0"/>
    <w:tblPr>
      <w:tblCellMar>
        <w:top w:w="0" w:type="dxa"/>
        <w:left w:w="0" w:type="dxa"/>
        <w:bottom w:w="0" w:type="dxa"/>
        <w:right w:w="0" w:type="dxa"/>
      </w:tblCellMar>
    </w:tblPr>
  </w:style>
  <w:style w:type="paragraph" w:customStyle="1" w:styleId="451">
    <w:name w:val="正文3"/>
    <w:basedOn w:val="1"/>
    <w:qFormat/>
    <w:uiPriority w:val="0"/>
    <w:pPr>
      <w:spacing w:line="318" w:lineRule="atLeast"/>
      <w:ind w:left="369" w:firstLine="369"/>
    </w:pPr>
    <w:rPr>
      <w:sz w:val="21"/>
      <w:szCs w:val="20"/>
    </w:rPr>
  </w:style>
  <w:style w:type="character" w:customStyle="1" w:styleId="452">
    <w:name w:val="font41"/>
    <w:qFormat/>
    <w:uiPriority w:val="0"/>
    <w:rPr>
      <w:rFonts w:hint="eastAsia" w:ascii="宋体" w:hAnsi="宋体" w:eastAsia="宋体" w:cs="宋体"/>
      <w:b/>
      <w:bCs/>
      <w:color w:val="000000"/>
      <w:sz w:val="24"/>
      <w:szCs w:val="24"/>
      <w:u w:val="none"/>
    </w:rPr>
  </w:style>
  <w:style w:type="paragraph" w:customStyle="1" w:styleId="453">
    <w:name w:val="bg正文"/>
    <w:basedOn w:val="1"/>
    <w:qFormat/>
    <w:uiPriority w:val="0"/>
    <w:pPr>
      <w:jc w:val="center"/>
    </w:pPr>
    <w:rPr>
      <w:rFonts w:eastAsia="等线"/>
      <w:szCs w:val="24"/>
    </w:rPr>
  </w:style>
  <w:style w:type="paragraph" w:customStyle="1" w:styleId="454">
    <w:name w:val="Normal_0"/>
    <w:qFormat/>
    <w:uiPriority w:val="0"/>
    <w:pPr>
      <w:spacing w:before="120" w:after="240"/>
      <w:jc w:val="both"/>
    </w:pPr>
    <w:rPr>
      <w:rFonts w:ascii="Calibri" w:hAnsi="Calibri" w:eastAsia="Calibri" w:cs="Times New Roman"/>
      <w:sz w:val="22"/>
      <w:szCs w:val="22"/>
      <w:lang w:val="en-US" w:eastAsia="en-US" w:bidi="ar-SA"/>
    </w:rPr>
  </w:style>
  <w:style w:type="paragraph" w:customStyle="1" w:styleId="455">
    <w:name w:val="Normal_1"/>
    <w:qFormat/>
    <w:uiPriority w:val="0"/>
    <w:pPr>
      <w:spacing w:before="120" w:after="240"/>
      <w:jc w:val="both"/>
    </w:pPr>
    <w:rPr>
      <w:rFonts w:ascii="Calibri" w:hAnsi="Calibri" w:eastAsia="Calibri" w:cs="Times New Roman"/>
      <w:sz w:val="22"/>
      <w:szCs w:val="22"/>
      <w:lang w:val="en-US" w:eastAsia="en-US" w:bidi="ar-SA"/>
    </w:rPr>
  </w:style>
  <w:style w:type="paragraph" w:customStyle="1" w:styleId="456">
    <w:name w:val="Normal_2"/>
    <w:qFormat/>
    <w:uiPriority w:val="0"/>
    <w:pPr>
      <w:spacing w:before="120" w:after="240"/>
      <w:jc w:val="both"/>
    </w:pPr>
    <w:rPr>
      <w:rFonts w:ascii="Calibri" w:hAnsi="Calibri" w:eastAsia="Calibri" w:cs="Times New Roman"/>
      <w:sz w:val="22"/>
      <w:szCs w:val="22"/>
      <w:lang w:val="en-US" w:eastAsia="en-US" w:bidi="ar-SA"/>
    </w:rPr>
  </w:style>
  <w:style w:type="paragraph" w:customStyle="1" w:styleId="457">
    <w:name w:val="Normal_3"/>
    <w:qFormat/>
    <w:uiPriority w:val="0"/>
    <w:pPr>
      <w:spacing w:before="120" w:after="240"/>
      <w:jc w:val="both"/>
    </w:pPr>
    <w:rPr>
      <w:rFonts w:ascii="Calibri" w:hAnsi="Calibri" w:eastAsia="Calibri" w:cs="Times New Roman"/>
      <w:sz w:val="22"/>
      <w:szCs w:val="22"/>
      <w:lang w:val="en-US" w:eastAsia="en-US" w:bidi="ar-SA"/>
    </w:rPr>
  </w:style>
  <w:style w:type="paragraph" w:customStyle="1" w:styleId="458">
    <w:name w:val="Normal_4"/>
    <w:qFormat/>
    <w:uiPriority w:val="0"/>
    <w:pPr>
      <w:spacing w:before="120" w:after="240"/>
      <w:jc w:val="both"/>
    </w:pPr>
    <w:rPr>
      <w:rFonts w:ascii="Calibri" w:hAnsi="Calibri" w:eastAsia="Calibri" w:cs="Times New Roman"/>
      <w:sz w:val="22"/>
      <w:szCs w:val="22"/>
      <w:lang w:val="en-US" w:eastAsia="en-US" w:bidi="ar-SA"/>
    </w:rPr>
  </w:style>
  <w:style w:type="paragraph" w:customStyle="1" w:styleId="459">
    <w:name w:val="Normal_6"/>
    <w:qFormat/>
    <w:uiPriority w:val="0"/>
    <w:pPr>
      <w:spacing w:before="120" w:after="240"/>
      <w:jc w:val="both"/>
    </w:pPr>
    <w:rPr>
      <w:rFonts w:ascii="Calibri" w:hAnsi="Calibri" w:eastAsia="Calibri" w:cs="Times New Roman"/>
      <w:sz w:val="22"/>
      <w:szCs w:val="22"/>
      <w:lang w:val="en-US" w:eastAsia="en-US" w:bidi="ar-SA"/>
    </w:rPr>
  </w:style>
  <w:style w:type="paragraph" w:customStyle="1" w:styleId="460">
    <w:name w:val="Normal_7"/>
    <w:qFormat/>
    <w:uiPriority w:val="0"/>
    <w:pPr>
      <w:spacing w:before="120" w:after="240"/>
      <w:jc w:val="both"/>
    </w:pPr>
    <w:rPr>
      <w:rFonts w:ascii="Calibri" w:hAnsi="Calibri" w:eastAsia="Calibri" w:cs="Times New Roman"/>
      <w:sz w:val="22"/>
      <w:szCs w:val="22"/>
      <w:lang w:val="en-US" w:eastAsia="en-US" w:bidi="ar-SA"/>
    </w:rPr>
  </w:style>
  <w:style w:type="paragraph" w:customStyle="1" w:styleId="461">
    <w:name w:val="Normal_8"/>
    <w:qFormat/>
    <w:uiPriority w:val="0"/>
    <w:pPr>
      <w:spacing w:before="120" w:after="240"/>
      <w:jc w:val="both"/>
    </w:pPr>
    <w:rPr>
      <w:rFonts w:ascii="Calibri" w:hAnsi="Calibri" w:eastAsia="Calibri" w:cs="Times New Roman"/>
      <w:sz w:val="22"/>
      <w:szCs w:val="22"/>
      <w:lang w:val="en-US" w:eastAsia="en-US" w:bidi="ar-SA"/>
    </w:rPr>
  </w:style>
  <w:style w:type="paragraph" w:customStyle="1" w:styleId="462">
    <w:name w:val="Normal_9"/>
    <w:qFormat/>
    <w:uiPriority w:val="0"/>
    <w:pPr>
      <w:spacing w:before="120" w:after="240"/>
      <w:jc w:val="both"/>
    </w:pPr>
    <w:rPr>
      <w:rFonts w:ascii="Calibri" w:hAnsi="Calibri" w:eastAsia="Calibri" w:cs="Times New Roman"/>
      <w:sz w:val="22"/>
      <w:szCs w:val="22"/>
      <w:lang w:val="en-US" w:eastAsia="en-US" w:bidi="ar-SA"/>
    </w:rPr>
  </w:style>
  <w:style w:type="paragraph" w:customStyle="1" w:styleId="463">
    <w:name w:val="普通(网站)11"/>
    <w:qFormat/>
    <w:uiPriority w:val="0"/>
    <w:pPr>
      <w:framePr w:wrap="around" w:vAnchor="margin" w:hAnchor="text" w:y="1"/>
      <w:spacing w:before="100" w:after="100"/>
    </w:pPr>
    <w:rPr>
      <w:rFonts w:ascii="Calibri" w:hAnsi="Calibri" w:eastAsia="Arial Unicode MS" w:cs="Arial Unicode MS"/>
      <w:color w:val="000000"/>
      <w:sz w:val="24"/>
      <w:szCs w:val="24"/>
      <w:lang w:val="en-US" w:eastAsia="zh-CN" w:bidi="ar-SA"/>
    </w:rPr>
  </w:style>
  <w:style w:type="paragraph" w:customStyle="1" w:styleId="464">
    <w:name w:val="公告正文"/>
    <w:basedOn w:val="1"/>
    <w:qFormat/>
    <w:uiPriority w:val="0"/>
    <w:pPr>
      <w:snapToGrid w:val="0"/>
      <w:ind w:firstLine="420" w:firstLineChars="200"/>
    </w:pPr>
    <w:rPr>
      <w:rFonts w:hAnsi="宋体"/>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6BC6B-ADB1-4411-BF0D-42A9903C46E1}">
  <ds:schemaRefs/>
</ds:datastoreItem>
</file>

<file path=docProps/app.xml><?xml version="1.0" encoding="utf-8"?>
<Properties xmlns="http://schemas.openxmlformats.org/officeDocument/2006/extended-properties" xmlns:vt="http://schemas.openxmlformats.org/officeDocument/2006/docPropsVTypes">
  <Template>Normal</Template>
  <Company>BK</Company>
  <Pages>61</Pages>
  <Words>35038</Words>
  <Characters>36351</Characters>
  <Lines>280</Lines>
  <Paragraphs>78</Paragraphs>
  <TotalTime>438</TotalTime>
  <ScaleCrop>false</ScaleCrop>
  <LinksUpToDate>false</LinksUpToDate>
  <CharactersWithSpaces>37681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2020-07-07T08:39:00Z</dcterms:created>
  <dc:creator>微软用户</dc:creator>
  <cp:lastModifiedBy>杜鱼乐_Dzh</cp:lastModifiedBy>
  <cp:lastPrinted>2024-06-11T07:52:00Z</cp:lastPrinted>
  <dcterms:modified xsi:type="dcterms:W3CDTF">2024-06-26T03:36:39Z</dcterms:modified>
  <dc:title>摘要</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086C4B9D63DC4BDBA17E611EE98A8ED7_13</vt:lpwstr>
  </property>
</Properties>
</file>