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E8C5D">
      <w:pPr>
        <w:spacing w:line="360" w:lineRule="auto"/>
        <w:jc w:val="center"/>
        <w:rPr>
          <w:rFonts w:ascii="仿宋" w:hAnsi="仿宋" w:eastAsia="仿宋" w:cs="仿宋_GB2312"/>
          <w:b/>
          <w:sz w:val="24"/>
        </w:rPr>
      </w:pPr>
    </w:p>
    <w:p w14:paraId="4B5C8E12">
      <w:pPr>
        <w:spacing w:line="360" w:lineRule="auto"/>
        <w:jc w:val="center"/>
        <w:rPr>
          <w:rFonts w:ascii="仿宋" w:hAnsi="仿宋" w:eastAsia="仿宋" w:cs="仿宋_GB2312"/>
          <w:b/>
          <w:sz w:val="44"/>
          <w:szCs w:val="44"/>
        </w:rPr>
      </w:pPr>
    </w:p>
    <w:p w14:paraId="49367AEB">
      <w:pPr>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宁波市急救中心北仑分中心救护车采购项目</w:t>
      </w:r>
    </w:p>
    <w:p w14:paraId="1AAE000A">
      <w:pPr>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招标文件</w:t>
      </w:r>
    </w:p>
    <w:p w14:paraId="6FE291EA">
      <w:pPr>
        <w:pStyle w:val="44"/>
        <w:ind w:firstLine="560"/>
        <w:rPr>
          <w:rFonts w:hint="eastAsia" w:ascii="仿宋" w:hAnsi="仿宋" w:eastAsia="仿宋"/>
        </w:rPr>
      </w:pPr>
    </w:p>
    <w:p w14:paraId="3B9DD8DA">
      <w:pPr>
        <w:pStyle w:val="44"/>
        <w:ind w:firstLine="560"/>
        <w:rPr>
          <w:rFonts w:ascii="仿宋" w:hAnsi="仿宋" w:eastAsia="仿宋"/>
        </w:rPr>
      </w:pPr>
    </w:p>
    <w:p w14:paraId="6E8E42D6">
      <w:pPr>
        <w:pStyle w:val="44"/>
        <w:ind w:firstLine="560"/>
        <w:rPr>
          <w:rFonts w:ascii="仿宋" w:hAnsi="仿宋" w:eastAsia="仿宋"/>
        </w:rPr>
      </w:pPr>
    </w:p>
    <w:p w14:paraId="2C5CC234">
      <w:pPr>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4808D0A6">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eastAsia="zh-CN"/>
        </w:rPr>
        <w:t>NBJX2024334G</w:t>
      </w:r>
    </w:p>
    <w:p w14:paraId="15CA13B1">
      <w:pPr>
        <w:spacing w:line="360" w:lineRule="auto"/>
        <w:rPr>
          <w:rFonts w:ascii="仿宋" w:hAnsi="仿宋" w:eastAsia="仿宋" w:cs="仿宋_GB2312"/>
          <w:sz w:val="28"/>
          <w:szCs w:val="20"/>
        </w:rPr>
      </w:pPr>
    </w:p>
    <w:p w14:paraId="43BC5676">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5D296012">
      <w:pPr>
        <w:spacing w:line="360" w:lineRule="auto"/>
        <w:jc w:val="center"/>
        <w:rPr>
          <w:rFonts w:ascii="仿宋" w:hAnsi="仿宋" w:eastAsia="仿宋" w:cs="仿宋_GB2312"/>
          <w:sz w:val="24"/>
        </w:rPr>
      </w:pPr>
    </w:p>
    <w:p w14:paraId="3F730F0E">
      <w:pPr>
        <w:spacing w:line="360" w:lineRule="auto"/>
        <w:jc w:val="center"/>
        <w:rPr>
          <w:rFonts w:ascii="仿宋" w:hAnsi="仿宋" w:eastAsia="仿宋" w:cs="仿宋_GB2312"/>
          <w:sz w:val="24"/>
        </w:rPr>
      </w:pPr>
    </w:p>
    <w:p w14:paraId="1DD0B7C6">
      <w:pPr>
        <w:spacing w:line="360" w:lineRule="auto"/>
        <w:rPr>
          <w:rFonts w:ascii="仿宋" w:hAnsi="仿宋" w:eastAsia="仿宋" w:cs="仿宋_GB2312"/>
          <w:sz w:val="32"/>
          <w:szCs w:val="32"/>
        </w:rPr>
      </w:pPr>
    </w:p>
    <w:p w14:paraId="25102C8B">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宁波市急救中心北仑分中心</w:t>
      </w:r>
    </w:p>
    <w:p w14:paraId="6FFD2BC5">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宁波建兴招标有限公司</w:t>
      </w:r>
    </w:p>
    <w:p w14:paraId="1B0D872C">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四</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十一</w:t>
      </w:r>
      <w:r>
        <w:rPr>
          <w:rFonts w:hint="eastAsia" w:ascii="仿宋" w:hAnsi="仿宋" w:eastAsia="仿宋" w:cs="仿宋_GB2312"/>
          <w:bCs/>
          <w:sz w:val="32"/>
          <w:szCs w:val="32"/>
        </w:rPr>
        <w:t>月</w:t>
      </w:r>
    </w:p>
    <w:p w14:paraId="12FECD7B">
      <w:pPr>
        <w:spacing w:line="360" w:lineRule="auto"/>
        <w:jc w:val="center"/>
      </w:pPr>
      <w:r>
        <w:rPr>
          <w:rFonts w:ascii="仿宋" w:hAnsi="仿宋" w:eastAsia="仿宋" w:cs="仿宋_GB2312"/>
          <w:sz w:val="24"/>
        </w:rPr>
        <w:br w:type="page"/>
      </w:r>
      <w:bookmarkStart w:id="0" w:name="_Hlt67893495"/>
      <w:bookmarkEnd w:id="0"/>
    </w:p>
    <w:p w14:paraId="77729A1B">
      <w:pPr>
        <w:jc w:val="center"/>
        <w:rPr>
          <w:sz w:val="32"/>
          <w:szCs w:val="32"/>
        </w:rPr>
      </w:pPr>
      <w:r>
        <w:rPr>
          <w:sz w:val="32"/>
          <w:szCs w:val="32"/>
        </w:rPr>
        <w:t>目录</w:t>
      </w:r>
    </w:p>
    <w:p w14:paraId="37F7FBDD">
      <w:pPr>
        <w:pStyle w:val="21"/>
        <w:spacing w:line="500" w:lineRule="exact"/>
        <w:rPr>
          <w:rFonts w:ascii="仿宋" w:hAnsi="仿宋" w:eastAsia="仿宋"/>
        </w:rPr>
      </w:pPr>
      <w:r>
        <w:fldChar w:fldCharType="begin"/>
      </w:r>
      <w:r>
        <w:instrText xml:space="preserve"> TOC \o "1-3" \h \z \u </w:instrText>
      </w:r>
      <w:r>
        <w:fldChar w:fldCharType="separate"/>
      </w: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"_Toc129089114"</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第一部分</w:t>
      </w:r>
      <w:r>
        <w:rPr>
          <w:rStyle w:val="38"/>
          <w:rFonts w:ascii="仿宋" w:hAnsi="仿宋" w:eastAsia="仿宋" w:cs="仿宋"/>
          <w:color w:val="auto"/>
          <w:sz w:val="24"/>
          <w:szCs w:val="24"/>
        </w:rPr>
        <w:t xml:space="preserve">  </w:t>
      </w:r>
      <w:r>
        <w:rPr>
          <w:rStyle w:val="38"/>
          <w:rFonts w:hint="eastAsia" w:ascii="仿宋" w:hAnsi="仿宋" w:eastAsia="仿宋" w:cs="仿宋"/>
          <w:color w:val="auto"/>
          <w:sz w:val="24"/>
          <w:szCs w:val="24"/>
        </w:rPr>
        <w:t>招标公告</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_Toc129089114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Style w:val="38"/>
          <w:rFonts w:ascii="仿宋" w:hAnsi="仿宋" w:eastAsia="仿宋"/>
          <w:color w:val="auto"/>
          <w:sz w:val="24"/>
          <w:szCs w:val="24"/>
        </w:rPr>
        <w:fldChar w:fldCharType="end"/>
      </w:r>
    </w:p>
    <w:p w14:paraId="606A2A4F">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"_Toc129089115"</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第二部分</w:t>
      </w:r>
      <w:r>
        <w:rPr>
          <w:rStyle w:val="38"/>
          <w:rFonts w:ascii="仿宋" w:hAnsi="仿宋" w:eastAsia="仿宋" w:cs="仿宋"/>
          <w:color w:val="auto"/>
          <w:sz w:val="24"/>
          <w:szCs w:val="24"/>
        </w:rPr>
        <w:t xml:space="preserve">  </w:t>
      </w:r>
      <w:r>
        <w:rPr>
          <w:rStyle w:val="38"/>
          <w:rFonts w:hint="eastAsia" w:ascii="仿宋" w:hAnsi="仿宋" w:eastAsia="仿宋" w:cs="仿宋"/>
          <w:color w:val="auto"/>
          <w:sz w:val="24"/>
          <w:szCs w:val="24"/>
        </w:rPr>
        <w:t>投标须知</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_Toc129089115 \h </w:instrText>
      </w:r>
      <w:r>
        <w:rPr>
          <w:rFonts w:ascii="仿宋" w:hAnsi="仿宋" w:eastAsia="仿宋"/>
        </w:rPr>
        <w:fldChar w:fldCharType="separate"/>
      </w:r>
      <w:r>
        <w:rPr>
          <w:rFonts w:ascii="仿宋" w:hAnsi="仿宋" w:eastAsia="仿宋"/>
        </w:rPr>
        <w:t>7</w:t>
      </w:r>
      <w:r>
        <w:rPr>
          <w:rFonts w:ascii="仿宋" w:hAnsi="仿宋" w:eastAsia="仿宋"/>
        </w:rPr>
        <w:fldChar w:fldCharType="end"/>
      </w:r>
      <w:r>
        <w:rPr>
          <w:rStyle w:val="38"/>
          <w:rFonts w:ascii="仿宋" w:hAnsi="仿宋" w:eastAsia="仿宋"/>
          <w:color w:val="auto"/>
          <w:sz w:val="24"/>
          <w:szCs w:val="24"/>
        </w:rPr>
        <w:fldChar w:fldCharType="end"/>
      </w:r>
    </w:p>
    <w:p w14:paraId="4DE012F2">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"_Toc129089116"</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一、总则</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_Toc129089116 \h </w:instrText>
      </w:r>
      <w:r>
        <w:rPr>
          <w:rFonts w:ascii="仿宋" w:hAnsi="仿宋" w:eastAsia="仿宋"/>
        </w:rPr>
        <w:fldChar w:fldCharType="separate"/>
      </w:r>
      <w:r>
        <w:rPr>
          <w:rFonts w:ascii="仿宋" w:hAnsi="仿宋" w:eastAsia="仿宋"/>
        </w:rPr>
        <w:t>10</w:t>
      </w:r>
      <w:r>
        <w:rPr>
          <w:rFonts w:ascii="仿宋" w:hAnsi="仿宋" w:eastAsia="仿宋"/>
        </w:rPr>
        <w:fldChar w:fldCharType="end"/>
      </w:r>
      <w:r>
        <w:rPr>
          <w:rStyle w:val="38"/>
          <w:rFonts w:ascii="仿宋" w:hAnsi="仿宋" w:eastAsia="仿宋"/>
          <w:color w:val="auto"/>
          <w:sz w:val="24"/>
          <w:szCs w:val="24"/>
        </w:rPr>
        <w:fldChar w:fldCharType="end"/>
      </w:r>
    </w:p>
    <w:p w14:paraId="4C81292B">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"_Toc129089122"</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二、招标文件的构成、澄清、修改</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_Toc129089122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Style w:val="38"/>
          <w:rFonts w:ascii="仿宋" w:hAnsi="仿宋" w:eastAsia="仿宋"/>
          <w:color w:val="auto"/>
          <w:sz w:val="24"/>
          <w:szCs w:val="24"/>
        </w:rPr>
        <w:fldChar w:fldCharType="end"/>
      </w:r>
    </w:p>
    <w:p w14:paraId="3878EA2E">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"_Toc129089125"</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三、投标</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_Toc129089125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Style w:val="38"/>
          <w:rFonts w:ascii="仿宋" w:hAnsi="仿宋" w:eastAsia="仿宋"/>
          <w:color w:val="auto"/>
          <w:sz w:val="24"/>
          <w:szCs w:val="24"/>
        </w:rPr>
        <w:fldChar w:fldCharType="end"/>
      </w:r>
    </w:p>
    <w:p w14:paraId="51887AB9">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"_Toc129089132"</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四、开标、资格审查与信用信息查询</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_Toc129089132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Style w:val="38"/>
          <w:rFonts w:ascii="仿宋" w:hAnsi="仿宋" w:eastAsia="仿宋"/>
          <w:color w:val="auto"/>
          <w:sz w:val="24"/>
          <w:szCs w:val="24"/>
        </w:rPr>
        <w:fldChar w:fldCharType="end"/>
      </w:r>
    </w:p>
    <w:p w14:paraId="6ED0AB76">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"_Toc129089136"</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五、评标</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_Toc129089136 \h </w:instrText>
      </w:r>
      <w:r>
        <w:rPr>
          <w:rFonts w:ascii="仿宋" w:hAnsi="仿宋" w:eastAsia="仿宋"/>
        </w:rPr>
        <w:fldChar w:fldCharType="separate"/>
      </w:r>
      <w:r>
        <w:rPr>
          <w:rFonts w:ascii="仿宋" w:hAnsi="仿宋" w:eastAsia="仿宋"/>
        </w:rPr>
        <w:t>19</w:t>
      </w:r>
      <w:r>
        <w:rPr>
          <w:rFonts w:ascii="仿宋" w:hAnsi="仿宋" w:eastAsia="仿宋"/>
        </w:rPr>
        <w:fldChar w:fldCharType="end"/>
      </w:r>
      <w:r>
        <w:rPr>
          <w:rStyle w:val="38"/>
          <w:rFonts w:ascii="仿宋" w:hAnsi="仿宋" w:eastAsia="仿宋"/>
          <w:color w:val="auto"/>
          <w:sz w:val="24"/>
          <w:szCs w:val="24"/>
        </w:rPr>
        <w:fldChar w:fldCharType="end"/>
      </w:r>
    </w:p>
    <w:p w14:paraId="752862D6">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"_Toc129089139"</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六、定</w:t>
      </w:r>
      <w:r>
        <w:rPr>
          <w:rStyle w:val="38"/>
          <w:rFonts w:ascii="仿宋" w:hAnsi="仿宋" w:eastAsia="仿宋" w:cs="仿宋"/>
          <w:color w:val="auto"/>
          <w:sz w:val="24"/>
          <w:szCs w:val="24"/>
        </w:rPr>
        <w:t xml:space="preserve"> </w:t>
      </w:r>
      <w:r>
        <w:rPr>
          <w:rStyle w:val="38"/>
          <w:rFonts w:hint="eastAsia" w:ascii="仿宋" w:hAnsi="仿宋" w:eastAsia="仿宋" w:cs="仿宋"/>
          <w:color w:val="auto"/>
          <w:sz w:val="24"/>
          <w:szCs w:val="24"/>
        </w:rPr>
        <w:t>标</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_Toc129089139 \h </w:instrText>
      </w:r>
      <w:r>
        <w:rPr>
          <w:rFonts w:ascii="仿宋" w:hAnsi="仿宋" w:eastAsia="仿宋"/>
        </w:rPr>
        <w:fldChar w:fldCharType="separate"/>
      </w:r>
      <w:r>
        <w:rPr>
          <w:rFonts w:ascii="仿宋" w:hAnsi="仿宋" w:eastAsia="仿宋"/>
        </w:rPr>
        <w:t>20</w:t>
      </w:r>
      <w:r>
        <w:rPr>
          <w:rFonts w:ascii="仿宋" w:hAnsi="仿宋" w:eastAsia="仿宋"/>
        </w:rPr>
        <w:fldChar w:fldCharType="end"/>
      </w:r>
      <w:r>
        <w:rPr>
          <w:rStyle w:val="38"/>
          <w:rFonts w:ascii="仿宋" w:hAnsi="仿宋" w:eastAsia="仿宋"/>
          <w:color w:val="auto"/>
          <w:sz w:val="24"/>
          <w:szCs w:val="24"/>
        </w:rPr>
        <w:fldChar w:fldCharType="end"/>
      </w:r>
    </w:p>
    <w:p w14:paraId="3A783867">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"_Toc129089142"</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七、合同授予</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_Toc129089142 \h </w:instrText>
      </w:r>
      <w:r>
        <w:rPr>
          <w:rFonts w:ascii="仿宋" w:hAnsi="仿宋" w:eastAsia="仿宋"/>
        </w:rPr>
        <w:fldChar w:fldCharType="separate"/>
      </w:r>
      <w:r>
        <w:rPr>
          <w:rFonts w:ascii="仿宋" w:hAnsi="仿宋" w:eastAsia="仿宋"/>
        </w:rPr>
        <w:t>20</w:t>
      </w:r>
      <w:r>
        <w:rPr>
          <w:rFonts w:ascii="仿宋" w:hAnsi="仿宋" w:eastAsia="仿宋"/>
        </w:rPr>
        <w:fldChar w:fldCharType="end"/>
      </w:r>
      <w:r>
        <w:rPr>
          <w:rStyle w:val="38"/>
          <w:rFonts w:ascii="仿宋" w:hAnsi="仿宋" w:eastAsia="仿宋"/>
          <w:color w:val="auto"/>
          <w:sz w:val="24"/>
          <w:szCs w:val="24"/>
        </w:rPr>
        <w:fldChar w:fldCharType="end"/>
      </w:r>
    </w:p>
    <w:p w14:paraId="173FC072">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"_Toc129089146"</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八、电子交易活动的中止</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_Toc129089146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Style w:val="38"/>
          <w:rFonts w:ascii="仿宋" w:hAnsi="仿宋" w:eastAsia="仿宋"/>
          <w:color w:val="auto"/>
          <w:sz w:val="24"/>
          <w:szCs w:val="24"/>
        </w:rPr>
        <w:fldChar w:fldCharType="end"/>
      </w:r>
    </w:p>
    <w:p w14:paraId="1F35B025">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"_Toc129089148"</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九、验收</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_Toc129089148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Style w:val="38"/>
          <w:rFonts w:ascii="仿宋" w:hAnsi="仿宋" w:eastAsia="仿宋"/>
          <w:color w:val="auto"/>
          <w:sz w:val="24"/>
          <w:szCs w:val="24"/>
        </w:rPr>
        <w:fldChar w:fldCharType="end"/>
      </w:r>
    </w:p>
    <w:p w14:paraId="2878FE21">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"_Toc129089150"</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第三部分</w:t>
      </w:r>
      <w:r>
        <w:rPr>
          <w:rStyle w:val="38"/>
          <w:rFonts w:ascii="仿宋" w:hAnsi="仿宋" w:eastAsia="仿宋" w:cs="仿宋"/>
          <w:color w:val="auto"/>
          <w:sz w:val="24"/>
          <w:szCs w:val="24"/>
        </w:rPr>
        <w:t xml:space="preserve">  </w:t>
      </w:r>
      <w:r>
        <w:rPr>
          <w:rStyle w:val="38"/>
          <w:rFonts w:hint="eastAsia" w:ascii="仿宋" w:hAnsi="仿宋" w:eastAsia="仿宋" w:cs="仿宋"/>
          <w:color w:val="auto"/>
          <w:sz w:val="24"/>
          <w:szCs w:val="24"/>
        </w:rPr>
        <w:t>采购需求</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_Toc129089150 \h </w:instrText>
      </w:r>
      <w:r>
        <w:rPr>
          <w:rFonts w:ascii="仿宋" w:hAnsi="仿宋" w:eastAsia="仿宋"/>
        </w:rPr>
        <w:fldChar w:fldCharType="separate"/>
      </w:r>
      <w:r>
        <w:rPr>
          <w:rFonts w:ascii="仿宋" w:hAnsi="仿宋" w:eastAsia="仿宋"/>
        </w:rPr>
        <w:t>23</w:t>
      </w:r>
      <w:r>
        <w:rPr>
          <w:rFonts w:ascii="仿宋" w:hAnsi="仿宋" w:eastAsia="仿宋"/>
        </w:rPr>
        <w:fldChar w:fldCharType="end"/>
      </w:r>
      <w:r>
        <w:rPr>
          <w:rStyle w:val="38"/>
          <w:rFonts w:ascii="仿宋" w:hAnsi="仿宋" w:eastAsia="仿宋"/>
          <w:color w:val="auto"/>
          <w:sz w:val="24"/>
          <w:szCs w:val="24"/>
        </w:rPr>
        <w:fldChar w:fldCharType="end"/>
      </w:r>
    </w:p>
    <w:p w14:paraId="4C8A1C32">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"_Toc129089155"</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第四部分</w:t>
      </w:r>
      <w:r>
        <w:rPr>
          <w:rStyle w:val="38"/>
          <w:rFonts w:ascii="仿宋" w:hAnsi="仿宋" w:eastAsia="仿宋" w:cs="仿宋"/>
          <w:color w:val="auto"/>
          <w:sz w:val="24"/>
          <w:szCs w:val="24"/>
        </w:rPr>
        <w:t xml:space="preserve">   </w:t>
      </w:r>
      <w:r>
        <w:rPr>
          <w:rStyle w:val="38"/>
          <w:rFonts w:hint="eastAsia" w:ascii="仿宋" w:hAnsi="仿宋" w:eastAsia="仿宋" w:cs="仿宋"/>
          <w:color w:val="auto"/>
          <w:sz w:val="24"/>
          <w:szCs w:val="24"/>
        </w:rPr>
        <w:t>评标办法</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_Toc129089155 \h </w:instrText>
      </w:r>
      <w:r>
        <w:rPr>
          <w:rFonts w:ascii="仿宋" w:hAnsi="仿宋" w:eastAsia="仿宋"/>
        </w:rPr>
        <w:fldChar w:fldCharType="separate"/>
      </w:r>
      <w:r>
        <w:rPr>
          <w:rFonts w:ascii="仿宋" w:hAnsi="仿宋" w:eastAsia="仿宋"/>
        </w:rPr>
        <w:t>37</w:t>
      </w:r>
      <w:r>
        <w:rPr>
          <w:rFonts w:ascii="仿宋" w:hAnsi="仿宋" w:eastAsia="仿宋"/>
        </w:rPr>
        <w:fldChar w:fldCharType="end"/>
      </w:r>
      <w:r>
        <w:rPr>
          <w:rStyle w:val="38"/>
          <w:rFonts w:ascii="仿宋" w:hAnsi="仿宋" w:eastAsia="仿宋"/>
          <w:color w:val="auto"/>
          <w:sz w:val="24"/>
          <w:szCs w:val="24"/>
        </w:rPr>
        <w:fldChar w:fldCharType="end"/>
      </w:r>
    </w:p>
    <w:p w14:paraId="2BD2DAE4">
      <w:pPr>
        <w:pStyle w:val="21"/>
        <w:spacing w:line="500" w:lineRule="exact"/>
        <w:rPr>
          <w:rFonts w:hint="eastAsia" w:ascii="仿宋" w:hAnsi="仿宋" w:eastAsia="仿宋"/>
          <w:highlight w:val="none"/>
          <w:lang w:val="en-US" w:eastAsia="zh-CN"/>
        </w:rPr>
      </w:pPr>
      <w:r>
        <w:rPr>
          <w:rStyle w:val="38"/>
          <w:rFonts w:ascii="仿宋" w:hAnsi="仿宋" w:eastAsia="仿宋"/>
          <w:color w:val="auto"/>
          <w:sz w:val="24"/>
          <w:szCs w:val="24"/>
          <w:highlight w:val="none"/>
        </w:rPr>
        <w:fldChar w:fldCharType="begin"/>
      </w:r>
      <w:r>
        <w:rPr>
          <w:rStyle w:val="38"/>
          <w:rFonts w:ascii="仿宋" w:hAnsi="仿宋" w:eastAsia="仿宋"/>
          <w:color w:val="auto"/>
          <w:sz w:val="24"/>
          <w:szCs w:val="24"/>
          <w:highlight w:val="none"/>
        </w:rPr>
        <w:instrText xml:space="preserve"> </w:instrText>
      </w:r>
      <w:r>
        <w:rPr>
          <w:rFonts w:ascii="仿宋" w:hAnsi="仿宋" w:eastAsia="仿宋"/>
          <w:highlight w:val="none"/>
        </w:rPr>
        <w:instrText xml:space="preserve">HYPERLINK \l "_Toc129089156"</w:instrText>
      </w:r>
      <w:r>
        <w:rPr>
          <w:rStyle w:val="38"/>
          <w:rFonts w:ascii="仿宋" w:hAnsi="仿宋" w:eastAsia="仿宋"/>
          <w:color w:val="auto"/>
          <w:sz w:val="24"/>
          <w:szCs w:val="24"/>
          <w:highlight w:val="none"/>
        </w:rPr>
        <w:instrText xml:space="preserve"> </w:instrText>
      </w:r>
      <w:r>
        <w:rPr>
          <w:rStyle w:val="38"/>
          <w:rFonts w:ascii="仿宋" w:hAnsi="仿宋" w:eastAsia="仿宋"/>
          <w:color w:val="auto"/>
          <w:sz w:val="24"/>
          <w:szCs w:val="24"/>
          <w:highlight w:val="none"/>
        </w:rPr>
        <w:fldChar w:fldCharType="separate"/>
      </w:r>
      <w:r>
        <w:rPr>
          <w:rStyle w:val="38"/>
          <w:rFonts w:hint="eastAsia" w:ascii="仿宋" w:hAnsi="仿宋" w:eastAsia="仿宋" w:cs="仿宋"/>
          <w:color w:val="auto"/>
          <w:sz w:val="24"/>
          <w:szCs w:val="24"/>
          <w:highlight w:val="none"/>
        </w:rPr>
        <w:t>第五部分 拟签订的合同文本</w:t>
      </w:r>
      <w:r>
        <w:rPr>
          <w:rFonts w:ascii="仿宋" w:hAnsi="仿宋" w:eastAsia="仿宋"/>
          <w:highlight w:val="none"/>
        </w:rPr>
        <w:tab/>
      </w:r>
      <w:r>
        <w:rPr>
          <w:rFonts w:hint="eastAsia" w:ascii="仿宋" w:hAnsi="仿宋" w:eastAsia="仿宋"/>
          <w:highlight w:val="none"/>
          <w:lang w:val="en-US" w:eastAsia="zh-CN"/>
        </w:rPr>
        <w:t>4</w:t>
      </w:r>
      <w:r>
        <w:rPr>
          <w:rStyle w:val="38"/>
          <w:rFonts w:ascii="仿宋" w:hAnsi="仿宋" w:eastAsia="仿宋"/>
          <w:color w:val="auto"/>
          <w:sz w:val="24"/>
          <w:szCs w:val="24"/>
          <w:highlight w:val="none"/>
        </w:rPr>
        <w:fldChar w:fldCharType="end"/>
      </w:r>
      <w:r>
        <w:rPr>
          <w:rStyle w:val="38"/>
          <w:rFonts w:hint="eastAsia" w:ascii="仿宋" w:hAnsi="仿宋" w:eastAsia="仿宋"/>
          <w:color w:val="auto"/>
          <w:sz w:val="24"/>
          <w:szCs w:val="24"/>
          <w:highlight w:val="none"/>
          <w:lang w:val="en-US" w:eastAsia="zh-CN"/>
        </w:rPr>
        <w:t>4</w:t>
      </w:r>
    </w:p>
    <w:p w14:paraId="6DF2F05E">
      <w:pPr>
        <w:pStyle w:val="21"/>
        <w:spacing w:line="500" w:lineRule="exact"/>
        <w:rPr>
          <w:rFonts w:ascii="仿宋" w:hAnsi="仿宋" w:eastAsia="仿宋"/>
        </w:rPr>
      </w:pPr>
      <w:r>
        <w:rPr>
          <w:rStyle w:val="38"/>
          <w:rFonts w:ascii="仿宋" w:hAnsi="仿宋" w:eastAsia="仿宋"/>
          <w:color w:val="auto"/>
          <w:sz w:val="24"/>
          <w:szCs w:val="24"/>
        </w:rPr>
        <w:fldChar w:fldCharType="begin"/>
      </w:r>
      <w:r>
        <w:rPr>
          <w:rStyle w:val="38"/>
          <w:rFonts w:ascii="仿宋" w:hAnsi="仿宋" w:eastAsia="仿宋"/>
          <w:color w:val="auto"/>
          <w:sz w:val="24"/>
          <w:szCs w:val="24"/>
        </w:rPr>
        <w:instrText xml:space="preserve"> </w:instrText>
      </w:r>
      <w:r>
        <w:rPr>
          <w:rFonts w:ascii="仿宋" w:hAnsi="仿宋" w:eastAsia="仿宋"/>
        </w:rPr>
        <w:instrText xml:space="preserve">HYPERLINK \l "_Toc129089157"</w:instrText>
      </w:r>
      <w:r>
        <w:rPr>
          <w:rStyle w:val="38"/>
          <w:rFonts w:ascii="仿宋" w:hAnsi="仿宋" w:eastAsia="仿宋"/>
          <w:color w:val="auto"/>
          <w:sz w:val="24"/>
          <w:szCs w:val="24"/>
        </w:rPr>
        <w:instrText xml:space="preserve"> </w:instrText>
      </w:r>
      <w:r>
        <w:rPr>
          <w:rStyle w:val="38"/>
          <w:rFonts w:ascii="仿宋" w:hAnsi="仿宋" w:eastAsia="仿宋"/>
          <w:color w:val="auto"/>
          <w:sz w:val="24"/>
          <w:szCs w:val="24"/>
        </w:rPr>
        <w:fldChar w:fldCharType="separate"/>
      </w:r>
      <w:r>
        <w:rPr>
          <w:rStyle w:val="38"/>
          <w:rFonts w:hint="eastAsia" w:ascii="仿宋" w:hAnsi="仿宋" w:eastAsia="仿宋" w:cs="仿宋"/>
          <w:color w:val="auto"/>
          <w:sz w:val="24"/>
          <w:szCs w:val="24"/>
        </w:rPr>
        <w:t>第六部分</w:t>
      </w:r>
      <w:r>
        <w:rPr>
          <w:rStyle w:val="38"/>
          <w:rFonts w:ascii="仿宋" w:hAnsi="仿宋" w:eastAsia="仿宋" w:cs="仿宋"/>
          <w:color w:val="auto"/>
          <w:sz w:val="24"/>
          <w:szCs w:val="24"/>
        </w:rPr>
        <w:t xml:space="preserve">   </w:t>
      </w:r>
      <w:r>
        <w:rPr>
          <w:rStyle w:val="38"/>
          <w:rFonts w:hint="eastAsia" w:ascii="仿宋" w:hAnsi="仿宋" w:eastAsia="仿宋" w:cs="仿宋"/>
          <w:color w:val="auto"/>
          <w:sz w:val="24"/>
          <w:szCs w:val="24"/>
        </w:rPr>
        <w:t>应提交的有关格式范例</w:t>
      </w:r>
      <w:r>
        <w:rPr>
          <w:rFonts w:ascii="仿宋" w:hAnsi="仿宋" w:eastAsia="仿宋"/>
        </w:rPr>
        <w:tab/>
      </w:r>
      <w:r>
        <w:rPr>
          <w:rFonts w:ascii="仿宋" w:hAnsi="仿宋" w:eastAsia="仿宋"/>
        </w:rPr>
        <w:fldChar w:fldCharType="begin"/>
      </w:r>
      <w:r>
        <w:rPr>
          <w:rFonts w:ascii="仿宋" w:hAnsi="仿宋" w:eastAsia="仿宋"/>
        </w:rPr>
        <w:instrText xml:space="preserve"> PAGEREF _Toc129089157 \h </w:instrText>
      </w:r>
      <w:r>
        <w:rPr>
          <w:rFonts w:ascii="仿宋" w:hAnsi="仿宋" w:eastAsia="仿宋"/>
        </w:rPr>
        <w:fldChar w:fldCharType="separate"/>
      </w:r>
      <w:r>
        <w:rPr>
          <w:rFonts w:ascii="仿宋" w:hAnsi="仿宋" w:eastAsia="仿宋"/>
        </w:rPr>
        <w:t>54</w:t>
      </w:r>
      <w:r>
        <w:rPr>
          <w:rFonts w:ascii="仿宋" w:hAnsi="仿宋" w:eastAsia="仿宋"/>
        </w:rPr>
        <w:fldChar w:fldCharType="end"/>
      </w:r>
      <w:r>
        <w:rPr>
          <w:rStyle w:val="38"/>
          <w:rFonts w:ascii="仿宋" w:hAnsi="仿宋" w:eastAsia="仿宋"/>
          <w:color w:val="auto"/>
          <w:sz w:val="24"/>
          <w:szCs w:val="24"/>
        </w:rPr>
        <w:fldChar w:fldCharType="end"/>
      </w:r>
    </w:p>
    <w:p w14:paraId="287E2E05">
      <w:pPr>
        <w:spacing w:line="500" w:lineRule="exact"/>
        <w:rPr>
          <w:rFonts w:hint="eastAsia"/>
        </w:rPr>
      </w:pPr>
      <w:r>
        <w:rPr>
          <w:rFonts w:ascii="仿宋" w:hAnsi="仿宋" w:eastAsia="仿宋"/>
          <w:b/>
          <w:bCs/>
          <w:sz w:val="24"/>
          <w:lang w:val="zh-CN"/>
        </w:rPr>
        <w:fldChar w:fldCharType="end"/>
      </w:r>
      <w:bookmarkStart w:id="1" w:name="_Toc91899869"/>
    </w:p>
    <w:p w14:paraId="78B4EAF2">
      <w:pPr>
        <w:spacing w:line="360" w:lineRule="auto"/>
        <w:jc w:val="center"/>
        <w:outlineLvl w:val="0"/>
        <w:rPr>
          <w:rFonts w:hint="eastAsia"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_Toc129088735"/>
      <w:bookmarkStart w:id="8" w:name="_Toc129089114"/>
      <w:bookmarkStart w:id="9" w:name="第二部分"/>
      <w:bookmarkStart w:id="10" w:name="_Toc91899870"/>
      <w:bookmarkStart w:id="11" w:name="_Toc91899871"/>
      <w:r>
        <w:rPr>
          <w:rFonts w:hint="eastAsia" w:ascii="仿宋" w:hAnsi="仿宋" w:eastAsia="仿宋" w:cs="仿宋"/>
          <w:b/>
          <w:sz w:val="36"/>
          <w:szCs w:val="20"/>
        </w:rPr>
        <w:t>第一部分  招标公告</w:t>
      </w:r>
      <w:bookmarkEnd w:id="7"/>
      <w:bookmarkEnd w:id="8"/>
    </w:p>
    <w:p w14:paraId="091FC665">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rPr>
      </w:pPr>
      <w:r>
        <w:rPr>
          <w:rFonts w:hint="eastAsia" w:ascii="仿宋" w:hAnsi="仿宋" w:eastAsia="仿宋" w:cs="仿宋"/>
          <w:sz w:val="24"/>
        </w:rPr>
        <w:t>项目概况：</w:t>
      </w:r>
      <w:r>
        <w:rPr>
          <w:rFonts w:hint="eastAsia" w:ascii="仿宋" w:hAnsi="仿宋" w:eastAsia="仿宋" w:cs="仿宋"/>
          <w:sz w:val="24"/>
          <w:u w:val="single"/>
        </w:rPr>
        <w:t>宁波市急救中心北仑分中心救护车采购项目</w:t>
      </w:r>
      <w:r>
        <w:rPr>
          <w:rFonts w:hint="eastAsia" w:ascii="仿宋" w:hAnsi="仿宋" w:eastAsia="仿宋" w:cs="仿宋"/>
          <w:sz w:val="24"/>
        </w:rPr>
        <w:t>招标项目的潜在供应商应在政采云平台（</w:t>
      </w:r>
      <w:r>
        <w:rPr>
          <w:rFonts w:ascii="仿宋" w:hAnsi="仿宋" w:eastAsia="仿宋" w:cs="仿宋"/>
          <w:sz w:val="24"/>
        </w:rPr>
        <w:fldChar w:fldCharType="begin"/>
      </w:r>
      <w:r>
        <w:rPr>
          <w:rFonts w:ascii="仿宋" w:hAnsi="仿宋" w:eastAsia="仿宋" w:cs="仿宋"/>
          <w:sz w:val="24"/>
        </w:rPr>
        <w:instrText xml:space="preserve"> HYPERLINK "</w:instrText>
      </w:r>
      <w:r>
        <w:rPr>
          <w:rFonts w:hint="eastAsia" w:ascii="仿宋" w:hAnsi="仿宋" w:eastAsia="仿宋" w:cs="仿宋"/>
          <w:sz w:val="24"/>
        </w:rPr>
        <w:instrText xml:space="preserve">https://www.zcygov.cn/）获取（下载）招标文件，并于202</w:instrText>
      </w:r>
      <w:r>
        <w:rPr>
          <w:rFonts w:hint="eastAsia" w:ascii="仿宋" w:hAnsi="仿宋" w:eastAsia="仿宋" w:cs="仿宋"/>
          <w:sz w:val="24"/>
          <w:highlight w:val="yellow"/>
        </w:rPr>
        <w:instrText xml:space="preserve">3年6月</w:instrText>
      </w:r>
      <w:r>
        <w:rPr>
          <w:rFonts w:hint="eastAsia" w:ascii="仿宋" w:hAnsi="仿宋" w:eastAsia="仿宋" w:cs="仿宋"/>
          <w:sz w:val="24"/>
        </w:rPr>
        <w:instrText xml:space="preserve">16日14点00分</w:instrText>
      </w:r>
      <w:r>
        <w:rPr>
          <w:rFonts w:hint="eastAsia" w:ascii="仿宋" w:hAnsi="仿宋" w:eastAsia="仿宋" w:cs="仿宋"/>
          <w:bCs/>
          <w:sz w:val="24"/>
        </w:rPr>
        <w:instrText xml:space="preserve">00秒</w:instrText>
      </w:r>
      <w:r>
        <w:rPr>
          <w:rFonts w:ascii="仿宋" w:hAnsi="仿宋" w:eastAsia="仿宋" w:cs="仿宋"/>
          <w:sz w:val="24"/>
        </w:rPr>
        <w:instrText xml:space="preserve">" </w:instrText>
      </w:r>
      <w:r>
        <w:rPr>
          <w:rFonts w:ascii="仿宋" w:hAnsi="仿宋" w:eastAsia="仿宋" w:cs="仿宋"/>
          <w:sz w:val="24"/>
        </w:rPr>
        <w:fldChar w:fldCharType="separate"/>
      </w:r>
      <w:r>
        <w:rPr>
          <w:rStyle w:val="38"/>
          <w:rFonts w:hint="eastAsia" w:ascii="仿宋" w:hAnsi="仿宋" w:eastAsia="仿宋" w:cs="仿宋"/>
          <w:snapToGrid/>
          <w:kern w:val="2"/>
          <w:sz w:val="24"/>
          <w:szCs w:val="24"/>
        </w:rPr>
        <w:t>https://www.zcygov.cn/）获取（下载）招标文件，并于</w:t>
      </w:r>
      <w:r>
        <w:rPr>
          <w:rStyle w:val="38"/>
          <w:rFonts w:hint="eastAsia" w:ascii="仿宋" w:hAnsi="仿宋" w:eastAsia="仿宋" w:cs="仿宋"/>
          <w:snapToGrid/>
          <w:kern w:val="2"/>
          <w:sz w:val="24"/>
          <w:szCs w:val="24"/>
          <w:lang w:eastAsia="zh-CN"/>
        </w:rPr>
        <w:t>2024</w:t>
      </w:r>
      <w:r>
        <w:rPr>
          <w:rStyle w:val="38"/>
          <w:rFonts w:hint="eastAsia" w:ascii="仿宋" w:hAnsi="仿宋" w:eastAsia="仿宋" w:cs="仿宋"/>
          <w:snapToGrid/>
          <w:kern w:val="2"/>
          <w:sz w:val="24"/>
          <w:szCs w:val="24"/>
        </w:rPr>
        <w:t>年</w:t>
      </w:r>
      <w:r>
        <w:rPr>
          <w:rStyle w:val="38"/>
          <w:rFonts w:hint="eastAsia" w:ascii="仿宋" w:hAnsi="仿宋" w:eastAsia="仿宋" w:cs="仿宋"/>
          <w:snapToGrid/>
          <w:kern w:val="2"/>
          <w:sz w:val="24"/>
          <w:szCs w:val="24"/>
          <w:lang w:val="en-US" w:eastAsia="zh-CN"/>
        </w:rPr>
        <w:t>12</w:t>
      </w:r>
      <w:r>
        <w:rPr>
          <w:rStyle w:val="38"/>
          <w:rFonts w:hint="eastAsia" w:ascii="仿宋" w:hAnsi="仿宋" w:eastAsia="仿宋" w:cs="仿宋"/>
          <w:snapToGrid/>
          <w:kern w:val="2"/>
          <w:sz w:val="24"/>
          <w:szCs w:val="24"/>
        </w:rPr>
        <w:t>月</w:t>
      </w:r>
      <w:r>
        <w:rPr>
          <w:rStyle w:val="38"/>
          <w:rFonts w:hint="eastAsia" w:ascii="仿宋" w:hAnsi="仿宋" w:eastAsia="仿宋" w:cs="仿宋"/>
          <w:snapToGrid/>
          <w:kern w:val="2"/>
          <w:sz w:val="24"/>
          <w:szCs w:val="24"/>
          <w:lang w:val="en-US" w:eastAsia="zh-CN"/>
        </w:rPr>
        <w:t>20</w:t>
      </w:r>
      <w:r>
        <w:rPr>
          <w:rStyle w:val="38"/>
          <w:rFonts w:hint="eastAsia" w:ascii="仿宋" w:hAnsi="仿宋" w:eastAsia="仿宋" w:cs="仿宋"/>
          <w:snapToGrid/>
          <w:kern w:val="2"/>
          <w:sz w:val="24"/>
          <w:szCs w:val="24"/>
        </w:rPr>
        <w:t>日1</w:t>
      </w:r>
      <w:r>
        <w:rPr>
          <w:rStyle w:val="38"/>
          <w:rFonts w:hint="eastAsia" w:ascii="仿宋" w:hAnsi="仿宋" w:eastAsia="仿宋" w:cs="仿宋"/>
          <w:snapToGrid/>
          <w:kern w:val="2"/>
          <w:sz w:val="24"/>
          <w:szCs w:val="24"/>
          <w:lang w:val="en-US" w:eastAsia="zh-CN"/>
        </w:rPr>
        <w:t>3</w:t>
      </w:r>
      <w:r>
        <w:rPr>
          <w:rStyle w:val="38"/>
          <w:rFonts w:hint="eastAsia" w:ascii="仿宋" w:hAnsi="仿宋" w:eastAsia="仿宋" w:cs="仿宋"/>
          <w:snapToGrid/>
          <w:kern w:val="2"/>
          <w:sz w:val="24"/>
          <w:szCs w:val="24"/>
        </w:rPr>
        <w:t>点</w:t>
      </w:r>
      <w:r>
        <w:rPr>
          <w:rStyle w:val="38"/>
          <w:rFonts w:hint="eastAsia" w:ascii="仿宋" w:hAnsi="仿宋" w:eastAsia="仿宋" w:cs="仿宋"/>
          <w:snapToGrid/>
          <w:kern w:val="2"/>
          <w:sz w:val="24"/>
          <w:szCs w:val="24"/>
          <w:lang w:val="en-US" w:eastAsia="zh-CN"/>
        </w:rPr>
        <w:t>0</w:t>
      </w:r>
      <w:r>
        <w:rPr>
          <w:rStyle w:val="38"/>
          <w:rFonts w:hint="eastAsia" w:ascii="仿宋" w:hAnsi="仿宋" w:eastAsia="仿宋" w:cs="仿宋"/>
          <w:snapToGrid/>
          <w:kern w:val="2"/>
          <w:sz w:val="24"/>
          <w:szCs w:val="24"/>
        </w:rPr>
        <w:t>0分</w:t>
      </w:r>
      <w:r>
        <w:rPr>
          <w:rStyle w:val="38"/>
          <w:rFonts w:hint="eastAsia" w:ascii="仿宋" w:hAnsi="仿宋" w:eastAsia="仿宋" w:cs="仿宋"/>
          <w:bCs/>
          <w:snapToGrid/>
          <w:kern w:val="2"/>
          <w:sz w:val="24"/>
          <w:szCs w:val="24"/>
        </w:rPr>
        <w:t>00秒</w:t>
      </w:r>
      <w:r>
        <w:rPr>
          <w:rFonts w:ascii="仿宋" w:hAnsi="仿宋" w:eastAsia="仿宋" w:cs="仿宋"/>
          <w:sz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4B99FA99">
      <w:pPr>
        <w:spacing w:line="360" w:lineRule="auto"/>
        <w:rPr>
          <w:rFonts w:hint="eastAsia" w:ascii="仿宋" w:hAnsi="仿宋" w:eastAsia="仿宋" w:cs="仿宋"/>
          <w:b/>
          <w:sz w:val="24"/>
        </w:rPr>
      </w:pPr>
      <w:r>
        <w:rPr>
          <w:rFonts w:hint="eastAsia" w:ascii="仿宋" w:hAnsi="仿宋" w:eastAsia="仿宋" w:cs="仿宋"/>
          <w:b/>
          <w:sz w:val="24"/>
        </w:rPr>
        <w:t>一、项目基本情况</w:t>
      </w:r>
    </w:p>
    <w:p w14:paraId="741EA2C7">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NBJX2024334G</w:t>
      </w:r>
    </w:p>
    <w:p w14:paraId="2BB3397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宁波市急救中心北仑分中心救护车采购项目</w:t>
      </w:r>
    </w:p>
    <w:p w14:paraId="356270A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预算金额（元）：</w:t>
      </w:r>
      <w:r>
        <w:rPr>
          <w:rFonts w:hint="eastAsia" w:ascii="仿宋" w:hAnsi="仿宋" w:eastAsia="仿宋" w:cs="仿宋"/>
          <w:bCs/>
          <w:sz w:val="24"/>
        </w:rPr>
        <w:t>1100000</w:t>
      </w:r>
      <w:r>
        <w:rPr>
          <w:rFonts w:hint="eastAsia" w:ascii="仿宋" w:hAnsi="仿宋" w:eastAsia="仿宋" w:cs="仿宋"/>
          <w:sz w:val="24"/>
        </w:rPr>
        <w:t>；</w:t>
      </w:r>
    </w:p>
    <w:p w14:paraId="17B7C57D">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Cs/>
          <w:sz w:val="24"/>
        </w:rPr>
        <w:t>1100000</w:t>
      </w:r>
      <w:r>
        <w:rPr>
          <w:rFonts w:hint="eastAsia" w:ascii="仿宋" w:hAnsi="仿宋" w:eastAsia="仿宋" w:cs="仿宋"/>
          <w:sz w:val="24"/>
        </w:rPr>
        <w:t>；</w:t>
      </w:r>
    </w:p>
    <w:p w14:paraId="36DD527A">
      <w:pPr>
        <w:pStyle w:val="11"/>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rPr>
        <w:t>救护车采购，包括车辆的采购、运送、调试、验收合格及所有相关技术服务，同时包括质保期内售后服务等内容，具体</w:t>
      </w:r>
      <w:r>
        <w:rPr>
          <w:rFonts w:hint="eastAsia" w:ascii="仿宋" w:hAnsi="仿宋" w:eastAsia="仿宋" w:cs="仿宋"/>
          <w:bCs/>
          <w:snapToGrid/>
          <w:color w:val="auto"/>
          <w:kern w:val="2"/>
          <w:sz w:val="24"/>
          <w:szCs w:val="24"/>
        </w:rPr>
        <w:t>详见招标文件第三部分采购需求。</w:t>
      </w:r>
    </w:p>
    <w:p w14:paraId="733485CC">
      <w:pPr>
        <w:pStyle w:val="11"/>
        <w:spacing w:line="360" w:lineRule="auto"/>
        <w:ind w:firstLine="480"/>
        <w:rPr>
          <w:rFonts w:hint="eastAsia" w:ascii="仿宋" w:hAnsi="仿宋" w:eastAsia="仿宋" w:cs="仿宋"/>
          <w:b/>
          <w:color w:val="auto"/>
          <w:sz w:val="24"/>
        </w:rPr>
      </w:pPr>
      <w:r>
        <w:rPr>
          <w:rFonts w:hint="eastAsia" w:ascii="仿宋" w:hAnsi="仿宋" w:eastAsia="仿宋" w:cs="仿宋"/>
          <w:b/>
          <w:bCs/>
          <w:snapToGrid/>
          <w:color w:val="auto"/>
          <w:kern w:val="2"/>
          <w:sz w:val="24"/>
          <w:szCs w:val="24"/>
        </w:rPr>
        <w:t>数量：</w:t>
      </w:r>
      <w:r>
        <w:rPr>
          <w:rFonts w:hint="eastAsia" w:ascii="仿宋" w:hAnsi="仿宋" w:eastAsia="仿宋" w:cs="仿宋"/>
          <w:bCs/>
          <w:snapToGrid/>
          <w:color w:val="auto"/>
          <w:kern w:val="2"/>
          <w:sz w:val="24"/>
          <w:szCs w:val="24"/>
          <w:lang w:val="en-US" w:eastAsia="zh-CN"/>
        </w:rPr>
        <w:t>2</w:t>
      </w:r>
      <w:r>
        <w:rPr>
          <w:rFonts w:hint="eastAsia" w:ascii="仿宋" w:hAnsi="仿宋" w:eastAsia="仿宋" w:cs="仿宋"/>
          <w:bCs/>
          <w:snapToGrid/>
          <w:color w:val="auto"/>
          <w:kern w:val="2"/>
          <w:sz w:val="24"/>
          <w:szCs w:val="24"/>
        </w:rPr>
        <w:t>辆；</w:t>
      </w:r>
    </w:p>
    <w:p w14:paraId="545A315B">
      <w:pPr>
        <w:pStyle w:val="11"/>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合同履约期限：</w:t>
      </w:r>
      <w:r>
        <w:rPr>
          <w:rFonts w:hint="eastAsia" w:ascii="仿宋" w:hAnsi="仿宋" w:eastAsia="仿宋" w:cs="仿宋"/>
          <w:bCs/>
          <w:snapToGrid/>
          <w:color w:val="auto"/>
          <w:kern w:val="2"/>
          <w:sz w:val="24"/>
          <w:szCs w:val="24"/>
        </w:rPr>
        <w:t>自合同签订之日起30天内完成供货通过验收并完成上牌。</w:t>
      </w:r>
    </w:p>
    <w:p w14:paraId="306D9782">
      <w:pPr>
        <w:pStyle w:val="11"/>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rPr>
        <w:sym w:font="Wingdings" w:char="F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2CCBE4A7">
      <w:pPr>
        <w:pStyle w:val="11"/>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备注：无</w:t>
      </w:r>
    </w:p>
    <w:p w14:paraId="6A4A5F62">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06479359">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w:t>
      </w:r>
      <w:r>
        <w:rPr>
          <w:rFonts w:hint="eastAsia" w:ascii="仿宋" w:hAnsi="仿宋" w:eastAsia="仿宋" w:cs="仿宋"/>
          <w:snapToGrid w:val="0"/>
          <w:kern w:val="28"/>
          <w:sz w:val="24"/>
          <w:szCs w:val="20"/>
          <w:lang w:eastAsia="zh-CN"/>
        </w:rPr>
        <w:t>重大税收违法失信主体</w:t>
      </w:r>
      <w:r>
        <w:rPr>
          <w:rFonts w:hint="eastAsia" w:ascii="仿宋" w:hAnsi="仿宋" w:eastAsia="仿宋" w:cs="仿宋"/>
          <w:snapToGrid w:val="0"/>
          <w:kern w:val="28"/>
          <w:sz w:val="24"/>
          <w:szCs w:val="20"/>
        </w:rPr>
        <w:t>、政府采购严重违法失信行为记录名单；</w:t>
      </w:r>
    </w:p>
    <w:p w14:paraId="2C6A8906">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p>
    <w:p w14:paraId="6464FB4E">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无；</w:t>
      </w:r>
    </w:p>
    <w:p w14:paraId="0C85BE94">
      <w:pPr>
        <w:spacing w:line="360" w:lineRule="auto"/>
        <w:ind w:firstLine="480" w:firstLineChars="200"/>
        <w:rPr>
          <w:rFonts w:hint="eastAsia" w:ascii="仿宋" w:hAnsi="仿宋" w:eastAsia="仿宋" w:cs="仿宋"/>
          <w:sz w:val="24"/>
        </w:rPr>
      </w:pPr>
      <w:r>
        <w:rPr>
          <w:rFonts w:hint="eastAsia" w:ascii="MS Gothic" w:hAnsi="MS Gothic" w:eastAsia="MS Gothic" w:cs="MS Gothic"/>
          <w:kern w:val="0"/>
          <w:sz w:val="24"/>
        </w:rPr>
        <w:t>☐</w:t>
      </w:r>
      <w:r>
        <w:rPr>
          <w:rFonts w:hint="eastAsia" w:ascii="仿宋" w:hAnsi="仿宋" w:eastAsia="仿宋" w:cs="仿宋"/>
          <w:kern w:val="0"/>
          <w:sz w:val="24"/>
        </w:rPr>
        <w:t>专</w:t>
      </w:r>
      <w:r>
        <w:rPr>
          <w:rFonts w:hint="eastAsia" w:ascii="仿宋" w:hAnsi="仿宋" w:eastAsia="仿宋" w:cs="仿宋"/>
          <w:sz w:val="24"/>
        </w:rPr>
        <w:t>门面向中小企业</w:t>
      </w:r>
    </w:p>
    <w:p w14:paraId="701AF9E9">
      <w:pPr>
        <w:spacing w:line="360" w:lineRule="auto"/>
        <w:ind w:firstLine="897" w:firstLineChars="374"/>
        <w:rPr>
          <w:rFonts w:hint="eastAsia" w:ascii="仿宋" w:hAnsi="仿宋" w:eastAsia="仿宋" w:cs="仿宋"/>
          <w:sz w:val="24"/>
          <w:u w:val="single"/>
        </w:rPr>
      </w:pPr>
      <w:r>
        <w:rPr>
          <w:rFonts w:hint="eastAsia" w:ascii="MS Gothic" w:hAnsi="MS Gothic" w:eastAsia="MS Gothic" w:cs="MS Gothic"/>
          <w:kern w:val="0"/>
          <w:sz w:val="24"/>
        </w:rPr>
        <w:t>☐</w:t>
      </w:r>
      <w:r>
        <w:rPr>
          <w:rFonts w:hint="eastAsia" w:ascii="仿宋" w:hAnsi="仿宋" w:eastAsia="仿宋" w:cs="仿宋"/>
          <w:sz w:val="24"/>
        </w:rPr>
        <w:t>货物全部由符合政策要求的中小企业制造，提供中小企业声明函；</w:t>
      </w:r>
    </w:p>
    <w:p w14:paraId="1AD7DA43">
      <w:pPr>
        <w:spacing w:line="360" w:lineRule="auto"/>
        <w:ind w:firstLine="897" w:firstLineChars="374"/>
        <w:rPr>
          <w:rFonts w:hint="eastAsia" w:ascii="仿宋" w:hAnsi="仿宋" w:eastAsia="仿宋" w:cs="仿宋"/>
          <w:sz w:val="24"/>
        </w:rPr>
      </w:pPr>
      <w:r>
        <w:rPr>
          <w:rFonts w:hint="eastAsia" w:ascii="MS Gothic" w:hAnsi="MS Gothic" w:eastAsia="MS Gothic" w:cs="MS Gothic"/>
          <w:kern w:val="0"/>
          <w:sz w:val="24"/>
        </w:rPr>
        <w:t>☐</w:t>
      </w:r>
      <w:r>
        <w:rPr>
          <w:rFonts w:hint="eastAsia" w:ascii="仿宋" w:hAnsi="仿宋" w:eastAsia="仿宋" w:cs="仿宋"/>
          <w:sz w:val="24"/>
        </w:rPr>
        <w:t>货物全部由符合政策要求的小微企业制造，提供中小企业声明函；</w:t>
      </w:r>
    </w:p>
    <w:p w14:paraId="7CBBDF52">
      <w:pPr>
        <w:spacing w:line="360" w:lineRule="auto"/>
        <w:ind w:firstLine="897" w:firstLineChars="374"/>
        <w:rPr>
          <w:rFonts w:hint="eastAsia" w:ascii="仿宋" w:hAnsi="仿宋" w:eastAsia="仿宋" w:cs="仿宋"/>
          <w:sz w:val="24"/>
        </w:rPr>
      </w:pPr>
      <w:r>
        <w:rPr>
          <w:rFonts w:hint="eastAsia" w:ascii="MS Gothic" w:hAnsi="MS Gothic" w:eastAsia="MS Gothic" w:cs="MS Gothic"/>
          <w:kern w:val="0"/>
          <w:sz w:val="24"/>
        </w:rPr>
        <w:t>☐</w:t>
      </w:r>
      <w:r>
        <w:rPr>
          <w:rFonts w:hint="eastAsia" w:ascii="仿宋" w:hAnsi="仿宋" w:eastAsia="仿宋" w:cs="仿宋"/>
          <w:sz w:val="24"/>
        </w:rPr>
        <w:t>服务全部由符合政策要求的中小企业承接，提供中小企业声明函；</w:t>
      </w:r>
    </w:p>
    <w:p w14:paraId="6A6E5C93">
      <w:pPr>
        <w:spacing w:line="360" w:lineRule="auto"/>
        <w:ind w:firstLine="897" w:firstLineChars="374"/>
        <w:rPr>
          <w:rFonts w:hint="eastAsia" w:ascii="仿宋" w:hAnsi="仿宋" w:eastAsia="仿宋" w:cs="仿宋"/>
          <w:sz w:val="24"/>
        </w:rPr>
      </w:pPr>
      <w:r>
        <w:rPr>
          <w:rFonts w:hint="eastAsia" w:ascii="MS Gothic" w:hAnsi="MS Gothic" w:eastAsia="MS Gothic" w:cs="MS Gothic"/>
          <w:kern w:val="0"/>
          <w:sz w:val="24"/>
        </w:rPr>
        <w:t>☐</w:t>
      </w:r>
      <w:r>
        <w:rPr>
          <w:rFonts w:hint="eastAsia" w:ascii="仿宋" w:hAnsi="仿宋" w:eastAsia="仿宋" w:cs="仿宋"/>
          <w:sz w:val="24"/>
        </w:rPr>
        <w:t>服务全部由符合政策要求的小微企业承接，提供中小企业声明函；</w:t>
      </w:r>
    </w:p>
    <w:p w14:paraId="26E631C4">
      <w:pPr>
        <w:spacing w:line="360" w:lineRule="auto"/>
        <w:ind w:firstLine="480" w:firstLineChars="200"/>
        <w:rPr>
          <w:rFonts w:hint="eastAsia" w:ascii="仿宋" w:hAnsi="仿宋" w:eastAsia="仿宋" w:cs="仿宋"/>
          <w:sz w:val="24"/>
        </w:rPr>
      </w:pPr>
      <w:r>
        <w:rPr>
          <w:rFonts w:hint="eastAsia" w:ascii="MS Gothic" w:hAnsi="MS Gothic" w:eastAsia="MS Gothic" w:cs="MS Gothic"/>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14:paraId="701CB1A2">
      <w:pPr>
        <w:spacing w:line="360" w:lineRule="auto"/>
        <w:ind w:firstLine="480" w:firstLineChars="200"/>
        <w:rPr>
          <w:rFonts w:hint="eastAsia" w:ascii="仿宋" w:hAnsi="仿宋" w:eastAsia="仿宋" w:cs="仿宋"/>
          <w:sz w:val="24"/>
        </w:rPr>
      </w:pPr>
      <w:r>
        <w:rPr>
          <w:rFonts w:hint="eastAsia" w:ascii="MS Gothic" w:hAnsi="MS Gothic" w:eastAsia="MS Gothic" w:cs="MS Gothic"/>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14:paraId="72E5C4F8">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14:paraId="4110C1F4">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393AA20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日至2024年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5</w:t>
      </w:r>
      <w:r>
        <w:rPr>
          <w:rFonts w:hint="eastAsia" w:ascii="仿宋" w:hAnsi="仿宋" w:eastAsia="仿宋" w:cs="仿宋"/>
          <w:sz w:val="24"/>
        </w:rPr>
        <w:t>日，每天上午00:00至12:00，下午12:00至23:59（北京时间）。</w:t>
      </w:r>
    </w:p>
    <w:p w14:paraId="4EDF362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14:paraId="649033B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供应商登录政采云平台https://www.zcygov.cn/在线申请获取招标文件（进入“项目采购”应用，在获取采购文件菜单中选择项目，申请获取招标文件）。</w:t>
      </w:r>
    </w:p>
    <w:p w14:paraId="7106C68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0</w:t>
      </w:r>
    </w:p>
    <w:p w14:paraId="21F7C600">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40C1B15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lang w:eastAsia="zh-CN"/>
        </w:rPr>
        <w:t>2024</w:t>
      </w:r>
      <w:r>
        <w:rPr>
          <w:rFonts w:hint="eastAsia" w:ascii="仿宋" w:hAnsi="仿宋" w:eastAsia="仿宋" w:cs="仿宋"/>
          <w:sz w:val="24"/>
          <w:u w:val="single"/>
        </w:rPr>
        <w:t>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日1</w:t>
      </w:r>
      <w:r>
        <w:rPr>
          <w:rFonts w:hint="eastAsia" w:ascii="仿宋" w:hAnsi="仿宋" w:eastAsia="仿宋" w:cs="仿宋"/>
          <w:sz w:val="24"/>
          <w:u w:val="single"/>
          <w:lang w:val="en-US" w:eastAsia="zh-CN"/>
        </w:rPr>
        <w:t>3</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r>
        <w:rPr>
          <w:rFonts w:hint="eastAsia" w:ascii="仿宋" w:hAnsi="仿宋" w:eastAsia="仿宋" w:cs="仿宋"/>
          <w:bCs/>
          <w:sz w:val="24"/>
          <w:u w:val="single"/>
        </w:rPr>
        <w:t xml:space="preserve"> </w:t>
      </w:r>
      <w:r>
        <w:rPr>
          <w:rFonts w:hint="eastAsia" w:ascii="仿宋" w:hAnsi="仿宋" w:eastAsia="仿宋" w:cs="仿宋"/>
          <w:sz w:val="24"/>
        </w:rPr>
        <w:t>（北京时间）。</w:t>
      </w:r>
    </w:p>
    <w:p w14:paraId="4E90080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14:paraId="181E8CEF">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lang w:eastAsia="zh-CN"/>
        </w:rPr>
        <w:t>2024</w:t>
      </w:r>
      <w:r>
        <w:rPr>
          <w:rFonts w:hint="eastAsia" w:ascii="仿宋" w:hAnsi="仿宋" w:eastAsia="仿宋" w:cs="仿宋"/>
          <w:sz w:val="24"/>
          <w:u w:val="single"/>
        </w:rPr>
        <w:t>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日1</w:t>
      </w:r>
      <w:r>
        <w:rPr>
          <w:rFonts w:hint="eastAsia" w:ascii="仿宋" w:hAnsi="仿宋" w:eastAsia="仿宋" w:cs="仿宋"/>
          <w:sz w:val="24"/>
          <w:u w:val="single"/>
          <w:lang w:val="en-US" w:eastAsia="zh-CN"/>
        </w:rPr>
        <w:t>3</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r>
        <w:rPr>
          <w:rFonts w:hint="eastAsia" w:ascii="仿宋" w:hAnsi="仿宋" w:eastAsia="仿宋" w:cs="仿宋"/>
          <w:bCs/>
          <w:sz w:val="24"/>
        </w:rPr>
        <w:t>。</w:t>
      </w:r>
    </w:p>
    <w:p w14:paraId="200741D4">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2E6DC55A">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7747B01E">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079D9221">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5DDAC503">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8107144">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kern w:val="0"/>
          <w:sz w:val="24"/>
          <w:lang w:val="zh-CN"/>
        </w:rPr>
        <w:t>供应商</w:t>
      </w:r>
      <w:r>
        <w:rPr>
          <w:rFonts w:hint="eastAsia" w:ascii="仿宋" w:hAnsi="仿宋" w:eastAsia="仿宋" w:cs="仿宋"/>
          <w:sz w:val="24"/>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lang w:val="zh-CN"/>
        </w:rPr>
        <w:t>供应商</w:t>
      </w:r>
      <w:r>
        <w:rPr>
          <w:rFonts w:hint="eastAsia" w:ascii="仿宋" w:hAnsi="仿宋" w:eastAsia="仿宋" w:cs="仿宋"/>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lang w:val="zh-CN"/>
        </w:rPr>
        <w:t>供应商</w:t>
      </w:r>
      <w:r>
        <w:rPr>
          <w:rFonts w:hint="eastAsia" w:ascii="仿宋" w:hAnsi="仿宋" w:eastAsia="仿宋" w:cs="仿宋"/>
          <w:sz w:val="24"/>
        </w:rPr>
        <w:t>按照平台提示和招标文件的规定在半小时内完成在线解密。⑨具体操作指南：详见政采云平台“服务中心-帮助文档-项目采购-操作流程-电子招投标-政府采购项目电子交易管理操作指南-供应商”。</w:t>
      </w:r>
    </w:p>
    <w:p w14:paraId="135EB659">
      <w:pPr>
        <w:spacing w:line="360" w:lineRule="auto"/>
        <w:ind w:firstLine="480" w:firstLineChars="200"/>
        <w:rPr>
          <w:rFonts w:hint="eastAsia" w:ascii="仿宋" w:hAnsi="仿宋" w:eastAsia="仿宋" w:cs="仿宋"/>
          <w:sz w:val="24"/>
        </w:rPr>
      </w:pPr>
      <w:r>
        <w:rPr>
          <w:rFonts w:hint="eastAsia" w:ascii="仿宋" w:hAnsi="仿宋" w:eastAsia="仿宋" w:cs="仿宋"/>
          <w:sz w:val="24"/>
        </w:rPr>
        <w:t>3.对供应商的限制：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C6E8D3">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7B495EF3">
      <w:pPr>
        <w:spacing w:line="360" w:lineRule="auto"/>
        <w:ind w:firstLine="480" w:firstLineChars="200"/>
        <w:rPr>
          <w:rFonts w:hint="eastAsia" w:ascii="仿宋" w:hAnsi="仿宋" w:eastAsia="仿宋" w:cs="仿宋"/>
          <w:sz w:val="24"/>
        </w:rPr>
      </w:pPr>
      <w:r>
        <w:rPr>
          <w:rFonts w:hint="eastAsia" w:ascii="仿宋" w:hAnsi="仿宋" w:eastAsia="仿宋" w:cs="仿宋"/>
          <w:sz w:val="24"/>
        </w:rPr>
        <w:t>1.采购人信息</w:t>
      </w:r>
    </w:p>
    <w:p w14:paraId="6CD99388">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称：宁波市急救中心北仑分中心</w:t>
      </w:r>
    </w:p>
    <w:p w14:paraId="16D58DC8">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址：宁波市北仑区新碶街道闽江路629号</w:t>
      </w:r>
    </w:p>
    <w:p w14:paraId="35E301D7">
      <w:pPr>
        <w:spacing w:line="360" w:lineRule="auto"/>
        <w:ind w:firstLine="480"/>
        <w:rPr>
          <w:rFonts w:hint="eastAsia" w:ascii="仿宋" w:hAnsi="仿宋" w:eastAsia="仿宋" w:cs="仿宋"/>
          <w:sz w:val="24"/>
        </w:rPr>
      </w:pPr>
      <w:r>
        <w:rPr>
          <w:rFonts w:hint="eastAsia" w:ascii="仿宋" w:hAnsi="仿宋" w:eastAsia="仿宋" w:cs="仿宋"/>
          <w:sz w:val="24"/>
        </w:rPr>
        <w:t>传    真：/</w:t>
      </w:r>
    </w:p>
    <w:p w14:paraId="5B852915">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董</w:t>
      </w:r>
      <w:r>
        <w:rPr>
          <w:rFonts w:hint="eastAsia" w:ascii="仿宋" w:hAnsi="仿宋" w:eastAsia="仿宋" w:cs="仿宋"/>
          <w:sz w:val="24"/>
        </w:rPr>
        <w:t>老师</w:t>
      </w:r>
    </w:p>
    <w:p w14:paraId="350DEE2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项目联系方式（询问）：</w:t>
      </w:r>
      <w:r>
        <w:rPr>
          <w:rFonts w:ascii="仿宋" w:hAnsi="仿宋" w:eastAsia="仿宋" w:cs="仿宋"/>
          <w:sz w:val="24"/>
        </w:rPr>
        <w:t>0574-</w:t>
      </w:r>
      <w:r>
        <w:rPr>
          <w:rFonts w:ascii="仿宋" w:hAnsi="仿宋" w:eastAsia="仿宋" w:cs="仿宋"/>
          <w:sz w:val="24"/>
          <w:highlight w:val="none"/>
        </w:rPr>
        <w:t>55016576</w:t>
      </w:r>
    </w:p>
    <w:p w14:paraId="5E3E829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质疑联系人：</w:t>
      </w:r>
      <w:r>
        <w:rPr>
          <w:rFonts w:hint="eastAsia" w:ascii="仿宋" w:hAnsi="仿宋" w:eastAsia="仿宋" w:cs="仿宋"/>
          <w:sz w:val="24"/>
          <w:highlight w:val="none"/>
          <w:lang w:val="en-US" w:eastAsia="zh-CN"/>
        </w:rPr>
        <w:t>王</w:t>
      </w:r>
      <w:r>
        <w:rPr>
          <w:rFonts w:hint="eastAsia" w:ascii="仿宋" w:hAnsi="仿宋" w:eastAsia="仿宋" w:cs="仿宋"/>
          <w:sz w:val="24"/>
          <w:highlight w:val="none"/>
        </w:rPr>
        <w:t>老师</w:t>
      </w:r>
    </w:p>
    <w:p w14:paraId="71CCA8E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w:t>
      </w:r>
      <w:r>
        <w:rPr>
          <w:rFonts w:ascii="仿宋" w:hAnsi="仿宋" w:eastAsia="仿宋" w:cs="仿宋"/>
          <w:sz w:val="24"/>
          <w:highlight w:val="none"/>
        </w:rPr>
        <w:t>0574-</w:t>
      </w:r>
      <w:r>
        <w:rPr>
          <w:rFonts w:hint="eastAsia" w:ascii="仿宋" w:hAnsi="仿宋" w:eastAsia="仿宋" w:cs="仿宋"/>
          <w:sz w:val="24"/>
          <w:highlight w:val="none"/>
          <w:lang w:val="en-US" w:eastAsia="zh-CN"/>
        </w:rPr>
        <w:t>86782070</w:t>
      </w:r>
    </w:p>
    <w:p w14:paraId="6A52C870">
      <w:pPr>
        <w:spacing w:line="360" w:lineRule="auto"/>
        <w:ind w:firstLine="480" w:firstLineChars="200"/>
        <w:rPr>
          <w:rFonts w:hint="eastAsia" w:ascii="仿宋" w:hAnsi="仿宋" w:eastAsia="仿宋" w:cs="仿宋"/>
          <w:sz w:val="24"/>
        </w:rPr>
      </w:pPr>
      <w:r>
        <w:rPr>
          <w:rFonts w:hint="eastAsia" w:ascii="仿宋" w:hAnsi="仿宋" w:eastAsia="仿宋" w:cs="仿宋"/>
          <w:sz w:val="24"/>
        </w:rPr>
        <w:t>2.采购代理机构信息</w:t>
      </w:r>
    </w:p>
    <w:p w14:paraId="6CE4344E">
      <w:pPr>
        <w:spacing w:line="360" w:lineRule="auto"/>
        <w:ind w:firstLine="480"/>
        <w:rPr>
          <w:rFonts w:hint="eastAsia" w:ascii="仿宋" w:hAnsi="仿宋" w:eastAsia="仿宋" w:cs="仿宋"/>
          <w:sz w:val="24"/>
        </w:rPr>
      </w:pPr>
      <w:r>
        <w:rPr>
          <w:rFonts w:hint="eastAsia" w:ascii="仿宋" w:hAnsi="仿宋" w:eastAsia="仿宋" w:cs="仿宋"/>
          <w:sz w:val="24"/>
        </w:rPr>
        <w:t>名    称：宁波建兴招标有限公司</w:t>
      </w:r>
    </w:p>
    <w:p w14:paraId="08C7E8CA">
      <w:pPr>
        <w:spacing w:line="360" w:lineRule="auto"/>
        <w:ind w:firstLine="480"/>
        <w:rPr>
          <w:rFonts w:hint="eastAsia" w:ascii="仿宋" w:hAnsi="仿宋" w:eastAsia="仿宋" w:cs="仿宋"/>
          <w:sz w:val="24"/>
        </w:rPr>
      </w:pPr>
      <w:r>
        <w:rPr>
          <w:rFonts w:hint="eastAsia" w:ascii="仿宋" w:hAnsi="仿宋" w:eastAsia="仿宋" w:cs="仿宋"/>
          <w:sz w:val="24"/>
        </w:rPr>
        <w:t>地    址：宁波市鄞州区海晏北路852号（公交会展中心站二楼）</w:t>
      </w:r>
    </w:p>
    <w:p w14:paraId="5F58D788">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项目联系人（询问）：周雨</w:t>
      </w:r>
    </w:p>
    <w:p w14:paraId="40827242">
      <w:pPr>
        <w:spacing w:line="360" w:lineRule="auto"/>
        <w:ind w:firstLine="480"/>
        <w:rPr>
          <w:rFonts w:hint="eastAsia" w:ascii="仿宋" w:hAnsi="仿宋" w:eastAsia="仿宋" w:cs="仿宋"/>
          <w:sz w:val="24"/>
        </w:rPr>
      </w:pPr>
      <w:r>
        <w:rPr>
          <w:rFonts w:hint="eastAsia" w:ascii="仿宋" w:hAnsi="仿宋" w:eastAsia="仿宋" w:cs="仿宋"/>
          <w:sz w:val="24"/>
        </w:rPr>
        <w:t>项目联系方式（询问）：15306609699</w:t>
      </w:r>
    </w:p>
    <w:p w14:paraId="328CFAEC">
      <w:pPr>
        <w:spacing w:line="360" w:lineRule="auto"/>
        <w:ind w:firstLine="480"/>
        <w:rPr>
          <w:rFonts w:hint="eastAsia" w:ascii="仿宋" w:hAnsi="仿宋" w:eastAsia="仿宋" w:cs="仿宋"/>
          <w:sz w:val="24"/>
        </w:rPr>
      </w:pPr>
      <w:r>
        <w:rPr>
          <w:rFonts w:hint="eastAsia" w:ascii="仿宋" w:hAnsi="仿宋" w:eastAsia="仿宋" w:cs="仿宋"/>
          <w:sz w:val="24"/>
        </w:rPr>
        <w:t>质疑联系人：叶原波</w:t>
      </w:r>
    </w:p>
    <w:p w14:paraId="620E2043">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质疑联系方式：0574-</w:t>
      </w:r>
      <w:r>
        <w:rPr>
          <w:rFonts w:hint="eastAsia" w:ascii="仿宋" w:hAnsi="仿宋" w:eastAsia="仿宋" w:cs="仿宋"/>
          <w:sz w:val="24"/>
          <w:lang w:val="en-US" w:eastAsia="zh-CN"/>
        </w:rPr>
        <w:t>28911770</w:t>
      </w:r>
    </w:p>
    <w:p w14:paraId="5F1AF357">
      <w:pPr>
        <w:spacing w:line="360" w:lineRule="auto"/>
        <w:ind w:firstLine="480" w:firstLineChars="200"/>
        <w:rPr>
          <w:rFonts w:hint="eastAsia" w:ascii="仿宋" w:hAnsi="仿宋" w:eastAsia="仿宋" w:cs="仿宋"/>
          <w:sz w:val="24"/>
        </w:rPr>
      </w:pPr>
      <w:r>
        <w:rPr>
          <w:rFonts w:hint="eastAsia" w:ascii="仿宋" w:hAnsi="仿宋" w:eastAsia="仿宋" w:cs="仿宋"/>
          <w:sz w:val="24"/>
        </w:rPr>
        <w:t>3.同级政府采购监督管理部门</w:t>
      </w:r>
    </w:p>
    <w:p w14:paraId="33C87B73">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称：宁波市北仑区财政局采购办</w:t>
      </w:r>
    </w:p>
    <w:p w14:paraId="364DEBE8">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址：宁波市北仑区长江路1166号</w:t>
      </w:r>
    </w:p>
    <w:p w14:paraId="54AE588B">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57B579F4">
      <w:pPr>
        <w:spacing w:line="360" w:lineRule="auto"/>
        <w:ind w:firstLine="480" w:firstLineChars="200"/>
        <w:rPr>
          <w:rFonts w:hint="eastAsia" w:ascii="仿宋" w:hAnsi="仿宋" w:eastAsia="仿宋" w:cs="仿宋"/>
          <w:sz w:val="24"/>
        </w:rPr>
      </w:pPr>
      <w:r>
        <w:rPr>
          <w:rFonts w:hint="eastAsia" w:ascii="仿宋" w:hAnsi="仿宋" w:eastAsia="仿宋" w:cs="仿宋"/>
          <w:sz w:val="24"/>
        </w:rPr>
        <w:t>联 系 人：严老师</w:t>
      </w:r>
    </w:p>
    <w:p w14:paraId="2DA43087">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w:t>
      </w:r>
      <w:r>
        <w:rPr>
          <w:rFonts w:ascii="仿宋" w:hAnsi="仿宋" w:eastAsia="仿宋" w:cs="仿宋"/>
          <w:sz w:val="24"/>
        </w:rPr>
        <w:t>0574-89383756</w:t>
      </w:r>
    </w:p>
    <w:p w14:paraId="53DA075D">
      <w:pPr>
        <w:spacing w:line="360" w:lineRule="auto"/>
        <w:ind w:firstLine="480" w:firstLineChars="200"/>
        <w:rPr>
          <w:rFonts w:hint="eastAsia" w:ascii="仿宋" w:hAnsi="仿宋" w:eastAsia="仿宋" w:cs="仿宋"/>
          <w:sz w:val="24"/>
        </w:rPr>
      </w:pPr>
    </w:p>
    <w:p w14:paraId="3B357FA5">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ascii="仿宋" w:hAnsi="仿宋" w:eastAsia="仿宋" w:cs="仿宋"/>
          <w:sz w:val="24"/>
        </w:rPr>
        <w:t>95763</w:t>
      </w:r>
      <w:r>
        <w:rPr>
          <w:rFonts w:hint="eastAsia" w:ascii="仿宋" w:hAnsi="仿宋" w:eastAsia="仿宋" w:cs="仿宋"/>
          <w:sz w:val="24"/>
        </w:rPr>
        <w:t>获取热线服务帮助。</w:t>
      </w:r>
    </w:p>
    <w:p w14:paraId="7F42505F">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169A1964">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bookmarkStart w:id="12" w:name="_Toc129089115"/>
      <w:bookmarkStart w:id="13" w:name="_Toc129088736"/>
      <w:r>
        <w:rPr>
          <w:rFonts w:hint="eastAsia" w:ascii="仿宋" w:hAnsi="仿宋" w:eastAsia="仿宋" w:cs="仿宋"/>
          <w:b/>
          <w:sz w:val="36"/>
          <w:szCs w:val="20"/>
        </w:rPr>
        <w:t>第二部分</w:t>
      </w:r>
      <w:bookmarkEnd w:id="9"/>
      <w:r>
        <w:rPr>
          <w:rFonts w:hint="eastAsia" w:ascii="仿宋" w:hAnsi="仿宋" w:eastAsia="仿宋" w:cs="仿宋"/>
          <w:b/>
          <w:sz w:val="36"/>
          <w:szCs w:val="20"/>
        </w:rPr>
        <w:t xml:space="preserve">  投标须知</w:t>
      </w:r>
      <w:bookmarkEnd w:id="10"/>
      <w:bookmarkEnd w:id="12"/>
      <w:bookmarkEnd w:id="13"/>
    </w:p>
    <w:p w14:paraId="3F2D2AAB">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38"/>
        <w:gridCol w:w="1174"/>
        <w:gridCol w:w="7214"/>
      </w:tblGrid>
      <w:tr w14:paraId="5B209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7063C9F">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序号</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6D313B87">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事项</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250DF864">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本项目的特别规定</w:t>
            </w:r>
          </w:p>
        </w:tc>
      </w:tr>
      <w:tr w14:paraId="0337B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6F3ED333">
            <w:pPr>
              <w:snapToGrid w:val="0"/>
              <w:spacing w:line="400" w:lineRule="exact"/>
              <w:jc w:val="center"/>
              <w:rPr>
                <w:rFonts w:hint="eastAsia" w:ascii="仿宋" w:hAnsi="仿宋" w:eastAsia="仿宋" w:cs="仿宋"/>
                <w:szCs w:val="21"/>
              </w:rPr>
            </w:pPr>
            <w:r>
              <w:rPr>
                <w:rFonts w:hint="eastAsia" w:ascii="仿宋" w:hAnsi="仿宋" w:eastAsia="仿宋" w:cs="仿宋"/>
                <w:szCs w:val="21"/>
              </w:rPr>
              <w:t>1</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25B72A1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报价要求</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71AD82D1">
            <w:pPr>
              <w:snapToGrid w:val="0"/>
              <w:spacing w:line="400" w:lineRule="exact"/>
              <w:jc w:val="left"/>
              <w:rPr>
                <w:rFonts w:hint="eastAsia" w:ascii="仿宋" w:hAnsi="仿宋" w:eastAsia="仿宋" w:cs="仿宋"/>
                <w:b/>
                <w:kern w:val="0"/>
                <w:szCs w:val="21"/>
                <w:lang w:val="zh-CN"/>
              </w:rPr>
            </w:pPr>
            <w:r>
              <w:rPr>
                <w:rFonts w:hint="eastAsia" w:ascii="仿宋" w:hAnsi="仿宋" w:eastAsia="仿宋" w:cs="仿宋"/>
                <w:kern w:val="0"/>
                <w:szCs w:val="21"/>
                <w:lang w:val="zh-CN"/>
              </w:rPr>
              <w:t>有关本项目实施所需的所有费用（含税费）均计入报价。</w:t>
            </w:r>
            <w:r>
              <w:rPr>
                <w:rFonts w:hint="eastAsia" w:ascii="仿宋" w:hAnsi="仿宋" w:eastAsia="仿宋" w:cs="仿宋"/>
                <w:szCs w:val="21"/>
              </w:rPr>
              <w:t>开标一览表是报价的唯一载体</w:t>
            </w:r>
            <w:r>
              <w:rPr>
                <w:rFonts w:hint="eastAsia" w:ascii="仿宋" w:hAnsi="仿宋" w:eastAsia="仿宋" w:cs="仿宋"/>
                <w:kern w:val="0"/>
                <w:szCs w:val="21"/>
                <w:lang w:val="zh-CN"/>
              </w:rPr>
              <w:t>。投标文件中价格全部采用人民币报价。招标文件未列明，而供应商认为必需的费用也需列入报价。</w:t>
            </w:r>
          </w:p>
          <w:p w14:paraId="661AE425">
            <w:pPr>
              <w:snapToGrid w:val="0"/>
              <w:spacing w:line="400" w:lineRule="exact"/>
              <w:jc w:val="left"/>
              <w:rPr>
                <w:rFonts w:hint="eastAsia" w:ascii="仿宋" w:hAnsi="仿宋" w:eastAsia="仿宋" w:cs="仿宋"/>
                <w:b/>
                <w:kern w:val="0"/>
                <w:szCs w:val="21"/>
                <w:lang w:val="zh-CN"/>
              </w:rPr>
            </w:pPr>
            <w:r>
              <w:rPr>
                <w:rFonts w:hint="eastAsia" w:ascii="仿宋" w:hAnsi="仿宋" w:eastAsia="仿宋" w:cs="仿宋"/>
                <w:b/>
                <w:kern w:val="0"/>
                <w:szCs w:val="21"/>
                <w:lang w:val="zh-CN"/>
              </w:rPr>
              <w:t>投标报价出现下列情形的，投标无效：</w:t>
            </w:r>
          </w:p>
          <w:p w14:paraId="3DEAAD3E">
            <w:pPr>
              <w:snapToGrid w:val="0"/>
              <w:spacing w:line="400" w:lineRule="exact"/>
              <w:jc w:val="left"/>
              <w:rPr>
                <w:rFonts w:hint="eastAsia" w:ascii="仿宋" w:hAnsi="仿宋" w:eastAsia="仿宋" w:cs="仿宋"/>
                <w:b/>
                <w:kern w:val="0"/>
                <w:szCs w:val="21"/>
                <w:lang w:val="zh-CN"/>
              </w:rPr>
            </w:pPr>
            <w:r>
              <w:rPr>
                <w:rFonts w:hint="eastAsia" w:ascii="仿宋" w:hAnsi="仿宋" w:eastAsia="仿宋" w:cs="仿宋"/>
                <w:b/>
                <w:kern w:val="0"/>
                <w:szCs w:val="21"/>
                <w:lang w:val="zh-CN"/>
              </w:rPr>
              <w:t>投标文件出现不是唯一的、有选择性投标报价的；</w:t>
            </w:r>
          </w:p>
          <w:p w14:paraId="335A626C">
            <w:pPr>
              <w:snapToGrid w:val="0"/>
              <w:spacing w:line="400" w:lineRule="exact"/>
              <w:jc w:val="left"/>
              <w:rPr>
                <w:rFonts w:hint="eastAsia" w:ascii="仿宋" w:hAnsi="仿宋" w:eastAsia="仿宋" w:cs="仿宋"/>
                <w:kern w:val="0"/>
                <w:szCs w:val="21"/>
                <w:lang w:val="zh-CN"/>
              </w:rPr>
            </w:pPr>
            <w:r>
              <w:rPr>
                <w:rFonts w:hint="eastAsia" w:ascii="仿宋" w:hAnsi="仿宋" w:eastAsia="仿宋" w:cs="仿宋"/>
                <w:b/>
                <w:kern w:val="0"/>
                <w:szCs w:val="21"/>
                <w:lang w:val="zh-CN"/>
              </w:rPr>
              <w:t>投标报价超过招标文件中规定的预算金额或者最高限价的；</w:t>
            </w:r>
          </w:p>
          <w:p w14:paraId="0BDA6CE2">
            <w:pPr>
              <w:spacing w:line="400" w:lineRule="exact"/>
              <w:rPr>
                <w:rFonts w:hint="eastAsia" w:ascii="仿宋" w:hAnsi="仿宋" w:eastAsia="仿宋" w:cs="仿宋"/>
                <w:b/>
                <w:szCs w:val="21"/>
              </w:rPr>
            </w:pPr>
            <w:r>
              <w:rPr>
                <w:rFonts w:hint="eastAsia" w:ascii="仿宋" w:hAnsi="仿宋" w:eastAsia="仿宋" w:cs="仿宋"/>
                <w:b/>
                <w:kern w:val="0"/>
                <w:szCs w:val="21"/>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Cs w:val="21"/>
              </w:rPr>
              <w:t>；</w:t>
            </w:r>
          </w:p>
          <w:p w14:paraId="30EC337B">
            <w:pPr>
              <w:spacing w:line="400" w:lineRule="exact"/>
              <w:rPr>
                <w:rFonts w:hint="eastAsia" w:ascii="仿宋" w:hAnsi="仿宋" w:eastAsia="仿宋" w:cs="仿宋"/>
                <w:szCs w:val="21"/>
              </w:rPr>
            </w:pPr>
            <w:r>
              <w:rPr>
                <w:rFonts w:hint="eastAsia" w:ascii="仿宋" w:hAnsi="仿宋" w:eastAsia="仿宋" w:cs="仿宋"/>
                <w:b/>
                <w:kern w:val="0"/>
                <w:szCs w:val="21"/>
              </w:rPr>
              <w:t>供应商对根据修正原则修正后的报价不确认的</w:t>
            </w:r>
            <w:r>
              <w:rPr>
                <w:rFonts w:hint="eastAsia" w:ascii="仿宋" w:hAnsi="仿宋" w:eastAsia="仿宋" w:cs="仿宋"/>
                <w:b/>
                <w:szCs w:val="21"/>
              </w:rPr>
              <w:t>。</w:t>
            </w:r>
          </w:p>
        </w:tc>
      </w:tr>
      <w:tr w14:paraId="79F6C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E821F8D">
            <w:pPr>
              <w:snapToGrid w:val="0"/>
              <w:spacing w:line="400" w:lineRule="exact"/>
              <w:jc w:val="center"/>
              <w:rPr>
                <w:rFonts w:hint="eastAsia" w:ascii="仿宋" w:hAnsi="仿宋" w:eastAsia="仿宋" w:cs="仿宋"/>
                <w:szCs w:val="21"/>
              </w:rPr>
            </w:pPr>
            <w:r>
              <w:rPr>
                <w:rFonts w:hint="eastAsia" w:ascii="仿宋" w:hAnsi="仿宋" w:eastAsia="仿宋" w:cs="仿宋"/>
                <w:szCs w:val="21"/>
              </w:rPr>
              <w:t>2</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39FBF577">
            <w:pPr>
              <w:pStyle w:val="17"/>
              <w:spacing w:line="400" w:lineRule="exact"/>
              <w:jc w:val="center"/>
              <w:rPr>
                <w:rFonts w:hint="eastAsia" w:ascii="仿宋" w:hAnsi="仿宋" w:eastAsia="仿宋" w:cs="仿宋"/>
                <w:b/>
              </w:rPr>
            </w:pPr>
            <w:r>
              <w:rPr>
                <w:rFonts w:hint="eastAsia" w:ascii="仿宋" w:hAnsi="仿宋" w:eastAsia="仿宋" w:cs="仿宋"/>
                <w:b/>
                <w:kern w:val="28"/>
              </w:rPr>
              <w:t>投标保证金</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55E0FB2E">
            <w:pPr>
              <w:pStyle w:val="11"/>
              <w:spacing w:line="400" w:lineRule="exact"/>
              <w:ind w:firstLine="0"/>
              <w:jc w:val="left"/>
              <w:rPr>
                <w:rFonts w:hint="eastAsia" w:ascii="仿宋" w:hAnsi="仿宋" w:eastAsia="仿宋" w:cs="仿宋"/>
                <w:b/>
                <w:color w:val="auto"/>
                <w:kern w:val="0"/>
                <w:sz w:val="21"/>
                <w:szCs w:val="21"/>
              </w:rPr>
            </w:pPr>
            <w:r>
              <w:rPr>
                <w:rFonts w:hint="eastAsia" w:ascii="仿宋" w:hAnsi="仿宋" w:eastAsia="仿宋" w:cs="仿宋"/>
                <w:color w:val="auto"/>
                <w:sz w:val="21"/>
                <w:szCs w:val="21"/>
              </w:rPr>
              <w:t>本项目不需缴纳投标保证金。</w:t>
            </w:r>
          </w:p>
        </w:tc>
      </w:tr>
      <w:tr w14:paraId="7D4C4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A057AB0">
            <w:pPr>
              <w:snapToGrid w:val="0"/>
              <w:spacing w:line="400" w:lineRule="exact"/>
              <w:jc w:val="center"/>
              <w:rPr>
                <w:rFonts w:hint="eastAsia" w:ascii="仿宋" w:hAnsi="仿宋" w:eastAsia="仿宋" w:cs="仿宋"/>
                <w:szCs w:val="21"/>
              </w:rPr>
            </w:pPr>
            <w:r>
              <w:rPr>
                <w:rFonts w:hint="eastAsia" w:ascii="仿宋" w:hAnsi="仿宋" w:eastAsia="仿宋" w:cs="仿宋"/>
                <w:szCs w:val="21"/>
              </w:rPr>
              <w:t>3</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47B62626">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分包</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4F23974C">
            <w:pPr>
              <w:spacing w:line="400" w:lineRule="exact"/>
              <w:rPr>
                <w:rFonts w:hint="eastAsia" w:ascii="仿宋" w:hAnsi="仿宋" w:eastAsia="仿宋" w:cs="仿宋"/>
                <w:szCs w:val="21"/>
              </w:rPr>
            </w:pPr>
            <w:r>
              <w:rPr>
                <w:rFonts w:hint="eastAsia" w:ascii="MS Gothic" w:hAnsi="MS Gothic" w:eastAsia="MS Gothic" w:cs="MS Gothic"/>
                <w:kern w:val="0"/>
                <w:szCs w:val="21"/>
              </w:rPr>
              <w:t>☐</w:t>
            </w:r>
            <w:r>
              <w:rPr>
                <w:rFonts w:hint="eastAsia" w:ascii="仿宋" w:hAnsi="仿宋" w:eastAsia="仿宋" w:cs="仿宋"/>
                <w:kern w:val="0"/>
                <w:szCs w:val="21"/>
              </w:rPr>
              <w:t xml:space="preserve"> A</w:t>
            </w:r>
            <w:r>
              <w:rPr>
                <w:rFonts w:hint="eastAsia" w:ascii="仿宋" w:hAnsi="仿宋" w:eastAsia="仿宋" w:cs="仿宋"/>
                <w:szCs w:val="21"/>
              </w:rPr>
              <w:t>同意将非主体、非关键性的</w:t>
            </w:r>
            <w:r>
              <w:rPr>
                <w:rFonts w:hint="eastAsia" w:ascii="仿宋" w:hAnsi="仿宋" w:eastAsia="仿宋" w:cs="仿宋"/>
                <w:szCs w:val="21"/>
                <w:u w:val="single"/>
              </w:rPr>
              <w:t xml:space="preserve">             </w:t>
            </w:r>
            <w:r>
              <w:rPr>
                <w:rFonts w:hint="eastAsia" w:ascii="仿宋" w:hAnsi="仿宋" w:eastAsia="仿宋" w:cs="仿宋"/>
                <w:szCs w:val="21"/>
              </w:rPr>
              <w:t>工作分包。</w:t>
            </w:r>
          </w:p>
          <w:p w14:paraId="038932AA">
            <w:pPr>
              <w:spacing w:line="400" w:lineRule="exact"/>
              <w:rPr>
                <w:rFonts w:hint="eastAsia" w:ascii="仿宋" w:hAnsi="仿宋" w:eastAsia="仿宋" w:cs="仿宋"/>
                <w:szCs w:val="21"/>
              </w:rPr>
            </w:pPr>
            <w:r>
              <w:rPr>
                <w:rFonts w:hint="eastAsia" w:ascii="仿宋" w:hAnsi="仿宋" w:eastAsia="仿宋" w:cs="仿宋"/>
                <w:kern w:val="0"/>
                <w:szCs w:val="21"/>
              </w:rPr>
              <w:sym w:font="Wingdings" w:char="F0FE"/>
            </w:r>
            <w:r>
              <w:rPr>
                <w:rFonts w:hint="eastAsia" w:ascii="仿宋" w:hAnsi="仿宋" w:eastAsia="仿宋" w:cs="仿宋"/>
                <w:kern w:val="0"/>
                <w:szCs w:val="21"/>
              </w:rPr>
              <w:t xml:space="preserve"> B</w:t>
            </w:r>
            <w:r>
              <w:rPr>
                <w:rFonts w:hint="eastAsia" w:ascii="仿宋" w:hAnsi="仿宋" w:eastAsia="仿宋" w:cs="仿宋"/>
                <w:szCs w:val="21"/>
              </w:rPr>
              <w:t>不同意分包。</w:t>
            </w:r>
          </w:p>
        </w:tc>
      </w:tr>
      <w:tr w14:paraId="292D8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5698CDCE">
            <w:pPr>
              <w:snapToGrid w:val="0"/>
              <w:spacing w:line="400" w:lineRule="exact"/>
              <w:jc w:val="center"/>
              <w:rPr>
                <w:rFonts w:hint="eastAsia" w:ascii="仿宋" w:hAnsi="仿宋" w:eastAsia="仿宋" w:cs="仿宋"/>
                <w:szCs w:val="21"/>
              </w:rPr>
            </w:pPr>
            <w:r>
              <w:rPr>
                <w:rFonts w:hint="eastAsia" w:ascii="仿宋" w:hAnsi="仿宋" w:eastAsia="仿宋" w:cs="仿宋"/>
                <w:szCs w:val="21"/>
              </w:rPr>
              <w:t>4</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23CFD2E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供应商应当提供的资格文件</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AA63543">
            <w:pPr>
              <w:spacing w:line="400" w:lineRule="exact"/>
              <w:rPr>
                <w:rFonts w:hint="eastAsia" w:ascii="仿宋" w:hAnsi="仿宋" w:eastAsia="仿宋" w:cs="仿宋"/>
                <w:szCs w:val="21"/>
              </w:rPr>
            </w:pPr>
            <w:r>
              <w:rPr>
                <w:rFonts w:hint="eastAsia" w:ascii="仿宋" w:hAnsi="仿宋" w:eastAsia="仿宋" w:cs="仿宋"/>
                <w:szCs w:val="21"/>
              </w:rPr>
              <w:t>资格证明文件：见招标文件第二部分9.1。</w:t>
            </w:r>
          </w:p>
          <w:p w14:paraId="0A460767">
            <w:pPr>
              <w:spacing w:line="400" w:lineRule="exact"/>
              <w:rPr>
                <w:rFonts w:hint="eastAsia" w:ascii="仿宋" w:hAnsi="仿宋" w:eastAsia="仿宋" w:cs="仿宋"/>
                <w:kern w:val="0"/>
                <w:szCs w:val="21"/>
              </w:rPr>
            </w:pPr>
            <w:r>
              <w:rPr>
                <w:rFonts w:hint="eastAsia" w:ascii="仿宋" w:hAnsi="仿宋" w:eastAsia="仿宋" w:cs="仿宋"/>
                <w:szCs w:val="21"/>
              </w:rPr>
              <w:t>资格证明文件不全的或者不符合招标文件标明的资格要求的</w:t>
            </w:r>
            <w:r>
              <w:rPr>
                <w:rFonts w:hint="eastAsia" w:ascii="仿宋" w:hAnsi="仿宋" w:eastAsia="仿宋" w:cs="仿宋"/>
                <w:szCs w:val="21"/>
                <w:lang w:val="zh-CN"/>
              </w:rPr>
              <w:t>，视为供应商不具备招标文件中规定的资格要求，投标无效。</w:t>
            </w:r>
          </w:p>
        </w:tc>
      </w:tr>
      <w:tr w14:paraId="15EF6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5DBF003">
            <w:pPr>
              <w:snapToGrid w:val="0"/>
              <w:spacing w:line="400" w:lineRule="exact"/>
              <w:jc w:val="center"/>
              <w:rPr>
                <w:rFonts w:hint="eastAsia" w:ascii="仿宋" w:hAnsi="仿宋" w:eastAsia="仿宋" w:cs="仿宋"/>
                <w:szCs w:val="21"/>
              </w:rPr>
            </w:pPr>
            <w:r>
              <w:rPr>
                <w:rFonts w:hint="eastAsia" w:ascii="仿宋" w:hAnsi="仿宋" w:eastAsia="仿宋" w:cs="仿宋"/>
                <w:szCs w:val="21"/>
              </w:rPr>
              <w:t>5</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0E5165E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开标前答疑会或现场考察</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DAA7B5A">
            <w:pPr>
              <w:spacing w:line="400" w:lineRule="exact"/>
              <w:rPr>
                <w:rFonts w:hint="eastAsia" w:ascii="仿宋" w:hAnsi="仿宋" w:eastAsia="仿宋" w:cs="仿宋"/>
                <w:szCs w:val="21"/>
              </w:rPr>
            </w:pPr>
            <w:r>
              <w:rPr>
                <w:rFonts w:hint="eastAsia" w:ascii="仿宋" w:hAnsi="仿宋" w:eastAsia="仿宋" w:cs="仿宋"/>
                <w:kern w:val="0"/>
                <w:szCs w:val="21"/>
              </w:rPr>
              <w:sym w:font="Wingdings" w:char="F0FE"/>
            </w:r>
            <w:r>
              <w:rPr>
                <w:rFonts w:hint="eastAsia" w:ascii="仿宋" w:hAnsi="仿宋" w:eastAsia="仿宋" w:cs="仿宋"/>
                <w:kern w:val="0"/>
                <w:szCs w:val="21"/>
              </w:rPr>
              <w:t>A</w:t>
            </w:r>
            <w:r>
              <w:rPr>
                <w:rFonts w:hint="eastAsia" w:ascii="仿宋" w:hAnsi="仿宋" w:eastAsia="仿宋" w:cs="仿宋"/>
                <w:szCs w:val="21"/>
              </w:rPr>
              <w:t>不组织。</w:t>
            </w:r>
          </w:p>
          <w:p w14:paraId="0DDB579F">
            <w:pPr>
              <w:spacing w:line="400" w:lineRule="exact"/>
              <w:rPr>
                <w:rFonts w:hint="eastAsia" w:ascii="仿宋" w:hAnsi="仿宋" w:eastAsia="仿宋" w:cs="仿宋"/>
                <w:szCs w:val="21"/>
              </w:rPr>
            </w:pPr>
            <w:r>
              <w:rPr>
                <w:rFonts w:hint="eastAsia" w:ascii="MS Gothic" w:hAnsi="MS Gothic" w:eastAsia="MS Gothic" w:cs="MS Gothic"/>
                <w:kern w:val="0"/>
                <w:szCs w:val="21"/>
              </w:rPr>
              <w:t>☐</w:t>
            </w:r>
            <w:r>
              <w:rPr>
                <w:rFonts w:hint="eastAsia" w:ascii="仿宋" w:hAnsi="仿宋" w:eastAsia="仿宋" w:cs="仿宋"/>
                <w:kern w:val="0"/>
                <w:szCs w:val="21"/>
              </w:rPr>
              <w:t>B组织，</w:t>
            </w:r>
            <w:r>
              <w:rPr>
                <w:rFonts w:hint="eastAsia" w:ascii="仿宋" w:hAnsi="仿宋" w:eastAsia="仿宋" w:cs="仿宋"/>
                <w:szCs w:val="21"/>
              </w:rPr>
              <w:t>时间：</w:t>
            </w:r>
            <w:r>
              <w:rPr>
                <w:rFonts w:hint="eastAsia" w:ascii="仿宋" w:hAnsi="仿宋" w:eastAsia="仿宋" w:cs="仿宋"/>
                <w:szCs w:val="21"/>
                <w:u w:val="single"/>
              </w:rPr>
              <w:t xml:space="preserve">      </w:t>
            </w:r>
            <w:r>
              <w:rPr>
                <w:rFonts w:hint="eastAsia" w:ascii="仿宋" w:hAnsi="仿宋" w:eastAsia="仿宋" w:cs="仿宋"/>
                <w:szCs w:val="21"/>
              </w:rPr>
              <w:t>,地点：</w:t>
            </w:r>
            <w:r>
              <w:rPr>
                <w:rFonts w:hint="eastAsia" w:ascii="仿宋" w:hAnsi="仿宋" w:eastAsia="仿宋" w:cs="仿宋"/>
                <w:szCs w:val="21"/>
                <w:u w:val="single"/>
              </w:rPr>
              <w:t xml:space="preserve">      </w:t>
            </w: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，联系方式：</w:t>
            </w:r>
            <w:r>
              <w:rPr>
                <w:rFonts w:hint="eastAsia" w:ascii="仿宋" w:hAnsi="仿宋" w:eastAsia="仿宋" w:cs="仿宋"/>
                <w:szCs w:val="21"/>
                <w:u w:val="single"/>
              </w:rPr>
              <w:t xml:space="preserve">      </w:t>
            </w:r>
            <w:r>
              <w:rPr>
                <w:rFonts w:hint="eastAsia" w:ascii="仿宋" w:hAnsi="仿宋" w:eastAsia="仿宋" w:cs="仿宋"/>
                <w:szCs w:val="21"/>
              </w:rPr>
              <w:t>。</w:t>
            </w:r>
          </w:p>
        </w:tc>
      </w:tr>
      <w:tr w14:paraId="2C291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C19E8A9">
            <w:pPr>
              <w:snapToGrid w:val="0"/>
              <w:spacing w:line="400" w:lineRule="exact"/>
              <w:jc w:val="center"/>
              <w:rPr>
                <w:rFonts w:hint="eastAsia" w:ascii="仿宋" w:hAnsi="仿宋" w:eastAsia="仿宋" w:cs="仿宋"/>
                <w:szCs w:val="21"/>
              </w:rPr>
            </w:pPr>
            <w:r>
              <w:rPr>
                <w:rFonts w:hint="eastAsia" w:ascii="仿宋" w:hAnsi="仿宋" w:eastAsia="仿宋" w:cs="仿宋"/>
                <w:szCs w:val="21"/>
              </w:rPr>
              <w:t>6</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11F003A7">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样品提供</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22468DB9">
            <w:pPr>
              <w:spacing w:line="400" w:lineRule="exact"/>
              <w:rPr>
                <w:rFonts w:hint="eastAsia" w:ascii="仿宋" w:hAnsi="仿宋" w:eastAsia="仿宋" w:cs="仿宋"/>
                <w:szCs w:val="21"/>
              </w:rPr>
            </w:pPr>
            <w:r>
              <w:rPr>
                <w:rFonts w:hint="eastAsia" w:ascii="仿宋" w:hAnsi="仿宋" w:eastAsia="仿宋" w:cs="仿宋"/>
                <w:kern w:val="0"/>
                <w:szCs w:val="21"/>
              </w:rPr>
              <w:sym w:font="Wingdings" w:char="F0FE"/>
            </w:r>
            <w:r>
              <w:rPr>
                <w:rFonts w:hint="eastAsia" w:ascii="仿宋" w:hAnsi="仿宋" w:eastAsia="仿宋" w:cs="仿宋"/>
                <w:kern w:val="0"/>
                <w:szCs w:val="21"/>
              </w:rPr>
              <w:t>A</w:t>
            </w:r>
            <w:r>
              <w:rPr>
                <w:rFonts w:hint="eastAsia" w:ascii="仿宋" w:hAnsi="仿宋" w:eastAsia="仿宋" w:cs="仿宋"/>
                <w:szCs w:val="21"/>
              </w:rPr>
              <w:t>不要求提供。</w:t>
            </w:r>
          </w:p>
          <w:p w14:paraId="5E417828">
            <w:pPr>
              <w:spacing w:line="400" w:lineRule="exact"/>
              <w:rPr>
                <w:rFonts w:hint="eastAsia" w:ascii="仿宋" w:hAnsi="仿宋" w:eastAsia="仿宋" w:cs="仿宋"/>
                <w:kern w:val="0"/>
                <w:szCs w:val="21"/>
              </w:rPr>
            </w:pPr>
            <w:r>
              <w:rPr>
                <w:rFonts w:hint="eastAsia" w:ascii="仿宋" w:hAnsi="仿宋" w:eastAsia="仿宋" w:cs="仿宋"/>
                <w:kern w:val="0"/>
                <w:szCs w:val="21"/>
              </w:rPr>
              <w:sym w:font="Wingdings" w:char="00A8"/>
            </w:r>
            <w:r>
              <w:rPr>
                <w:rFonts w:hint="eastAsia" w:ascii="仿宋" w:hAnsi="仿宋" w:eastAsia="仿宋" w:cs="仿宋"/>
                <w:kern w:val="0"/>
                <w:szCs w:val="21"/>
              </w:rPr>
              <w:t>B要求提供，详见第三部分采购需求。</w:t>
            </w:r>
          </w:p>
        </w:tc>
      </w:tr>
      <w:tr w14:paraId="1B7D9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2DDA3526">
            <w:pPr>
              <w:snapToGrid w:val="0"/>
              <w:spacing w:line="400" w:lineRule="exact"/>
              <w:jc w:val="center"/>
              <w:rPr>
                <w:rFonts w:hint="eastAsia" w:ascii="仿宋" w:hAnsi="仿宋" w:eastAsia="仿宋" w:cs="仿宋"/>
                <w:szCs w:val="21"/>
              </w:rPr>
            </w:pPr>
            <w:r>
              <w:rPr>
                <w:rFonts w:hint="eastAsia" w:ascii="仿宋" w:hAnsi="仿宋" w:eastAsia="仿宋" w:cs="仿宋"/>
                <w:szCs w:val="21"/>
              </w:rPr>
              <w:t>7</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4B62F078">
            <w:pPr>
              <w:snapToGrid w:val="0"/>
              <w:spacing w:line="400" w:lineRule="exact"/>
              <w:jc w:val="center"/>
              <w:rPr>
                <w:rFonts w:hint="eastAsia" w:ascii="仿宋" w:hAnsi="仿宋" w:eastAsia="仿宋" w:cs="仿宋"/>
                <w:bCs/>
                <w:szCs w:val="21"/>
              </w:rPr>
            </w:pPr>
            <w:r>
              <w:rPr>
                <w:rFonts w:hint="eastAsia" w:ascii="仿宋" w:hAnsi="仿宋" w:eastAsia="仿宋" w:cs="仿宋"/>
                <w:b/>
                <w:szCs w:val="21"/>
              </w:rPr>
              <w:t>方案讲解演示</w:t>
            </w:r>
          </w:p>
        </w:tc>
        <w:tc>
          <w:tcPr>
            <w:tcW w:w="0" w:type="auto"/>
            <w:tcBorders>
              <w:top w:val="single" w:color="000000" w:sz="8" w:space="0"/>
              <w:left w:val="single" w:color="000000" w:sz="8" w:space="0"/>
              <w:bottom w:val="single" w:color="000000" w:sz="8" w:space="0"/>
              <w:right w:val="single" w:color="000000" w:sz="8" w:space="0"/>
            </w:tcBorders>
            <w:noWrap w:val="0"/>
            <w:vAlign w:val="center"/>
          </w:tcPr>
          <w:p w14:paraId="06A7AB37">
            <w:pPr>
              <w:spacing w:line="400" w:lineRule="exact"/>
              <w:rPr>
                <w:rFonts w:hint="eastAsia" w:ascii="仿宋" w:hAnsi="仿宋" w:eastAsia="仿宋" w:cs="仿宋"/>
                <w:szCs w:val="21"/>
              </w:rPr>
            </w:pPr>
            <w:r>
              <w:rPr>
                <w:rFonts w:hint="eastAsia" w:ascii="仿宋" w:hAnsi="仿宋" w:eastAsia="仿宋" w:cs="仿宋"/>
                <w:kern w:val="0"/>
                <w:szCs w:val="21"/>
              </w:rPr>
              <w:sym w:font="Wingdings" w:char="F0FE"/>
            </w:r>
            <w:r>
              <w:rPr>
                <w:rFonts w:hint="eastAsia" w:ascii="仿宋" w:hAnsi="仿宋" w:eastAsia="仿宋" w:cs="仿宋"/>
                <w:kern w:val="0"/>
                <w:szCs w:val="21"/>
              </w:rPr>
              <w:t>A</w:t>
            </w:r>
            <w:r>
              <w:rPr>
                <w:rFonts w:hint="eastAsia" w:ascii="仿宋" w:hAnsi="仿宋" w:eastAsia="仿宋" w:cs="仿宋"/>
                <w:szCs w:val="21"/>
              </w:rPr>
              <w:t>不组织。</w:t>
            </w:r>
          </w:p>
          <w:p w14:paraId="7D4938D7">
            <w:pPr>
              <w:spacing w:line="400" w:lineRule="exact"/>
              <w:rPr>
                <w:rFonts w:hint="eastAsia" w:ascii="仿宋" w:hAnsi="仿宋" w:eastAsia="仿宋" w:cs="仿宋"/>
                <w:kern w:val="0"/>
                <w:szCs w:val="21"/>
              </w:rPr>
            </w:pPr>
            <w:r>
              <w:rPr>
                <w:rFonts w:hint="eastAsia" w:ascii="MS Gothic" w:hAnsi="MS Gothic" w:eastAsia="MS Gothic" w:cs="MS Gothic"/>
                <w:kern w:val="0"/>
                <w:szCs w:val="21"/>
              </w:rPr>
              <w:t>☐</w:t>
            </w:r>
            <w:r>
              <w:rPr>
                <w:rFonts w:hint="eastAsia" w:ascii="仿宋" w:hAnsi="仿宋" w:eastAsia="仿宋" w:cs="仿宋"/>
                <w:kern w:val="0"/>
                <w:szCs w:val="21"/>
              </w:rPr>
              <w:t>B组织。</w:t>
            </w:r>
          </w:p>
          <w:p w14:paraId="3521266F">
            <w:pPr>
              <w:snapToGrid w:val="0"/>
              <w:spacing w:line="400" w:lineRule="exact"/>
              <w:rPr>
                <w:rFonts w:hint="eastAsia" w:ascii="仿宋" w:hAnsi="仿宋" w:eastAsia="仿宋" w:cs="仿宋"/>
                <w:kern w:val="0"/>
                <w:szCs w:val="21"/>
              </w:rPr>
            </w:pPr>
            <w:r>
              <w:rPr>
                <w:rFonts w:hint="eastAsia" w:ascii="仿宋" w:hAnsi="仿宋" w:eastAsia="仿宋" w:cs="仿宋"/>
                <w:kern w:val="0"/>
                <w:szCs w:val="21"/>
              </w:rPr>
              <w:t>（1）在评标时安排每个</w:t>
            </w:r>
            <w:r>
              <w:rPr>
                <w:rFonts w:hint="eastAsia" w:ascii="仿宋" w:hAnsi="仿宋" w:eastAsia="仿宋" w:cs="仿宋"/>
                <w:kern w:val="0"/>
                <w:szCs w:val="21"/>
                <w:lang w:val="zh-CN"/>
              </w:rPr>
              <w:t>供应商</w:t>
            </w:r>
            <w:r>
              <w:rPr>
                <w:rFonts w:hint="eastAsia" w:ascii="仿宋" w:hAnsi="仿宋" w:eastAsia="仿宋" w:cs="仿宋"/>
                <w:kern w:val="0"/>
                <w:szCs w:val="21"/>
              </w:rPr>
              <w:t>进行方案讲解演示。每个</w:t>
            </w:r>
            <w:r>
              <w:rPr>
                <w:rFonts w:hint="eastAsia" w:ascii="仿宋" w:hAnsi="仿宋" w:eastAsia="仿宋" w:cs="仿宋"/>
                <w:kern w:val="0"/>
                <w:szCs w:val="21"/>
                <w:lang w:val="zh-CN"/>
              </w:rPr>
              <w:t>供应商</w:t>
            </w:r>
            <w:r>
              <w:rPr>
                <w:rFonts w:hint="eastAsia" w:ascii="仿宋" w:hAnsi="仿宋" w:eastAsia="仿宋" w:cs="仿宋"/>
                <w:kern w:val="0"/>
                <w:szCs w:val="21"/>
              </w:rPr>
              <w:t>时间不超过</w:t>
            </w:r>
            <w:r>
              <w:rPr>
                <w:rFonts w:hint="eastAsia" w:ascii="仿宋" w:hAnsi="仿宋" w:eastAsia="仿宋" w:cs="仿宋"/>
                <w:szCs w:val="21"/>
                <w:u w:val="single"/>
              </w:rPr>
              <w:t xml:space="preserve">    </w:t>
            </w:r>
            <w:r>
              <w:rPr>
                <w:rFonts w:hint="eastAsia" w:ascii="仿宋" w:hAnsi="仿宋" w:eastAsia="仿宋" w:cs="仿宋"/>
                <w:kern w:val="0"/>
                <w:szCs w:val="21"/>
              </w:rPr>
              <w:t>分钟，讲解次序以投标文件解密时间先后次序为准，讲解演示人员不超过</w:t>
            </w:r>
            <w:r>
              <w:rPr>
                <w:rFonts w:hint="eastAsia" w:ascii="仿宋" w:hAnsi="仿宋" w:eastAsia="仿宋" w:cs="仿宋"/>
                <w:szCs w:val="21"/>
                <w:u w:val="single"/>
              </w:rPr>
              <w:t xml:space="preserve">    </w:t>
            </w:r>
            <w:r>
              <w:rPr>
                <w:rFonts w:hint="eastAsia" w:ascii="仿宋" w:hAnsi="仿宋" w:eastAsia="仿宋" w:cs="仿宋"/>
                <w:kern w:val="0"/>
                <w:szCs w:val="21"/>
              </w:rPr>
              <w:t>人。讲解演示结束后按要求解答评标委员会提问。</w:t>
            </w:r>
          </w:p>
          <w:p w14:paraId="3D03980E">
            <w:pPr>
              <w:snapToGrid w:val="0"/>
              <w:spacing w:line="400" w:lineRule="exact"/>
              <w:rPr>
                <w:rFonts w:hint="eastAsia" w:ascii="仿宋" w:hAnsi="仿宋" w:eastAsia="仿宋" w:cs="仿宋"/>
                <w:kern w:val="0"/>
                <w:szCs w:val="21"/>
              </w:rPr>
            </w:pPr>
            <w:r>
              <w:rPr>
                <w:rFonts w:hint="eastAsia" w:ascii="仿宋" w:hAnsi="仿宋" w:eastAsia="仿宋" w:cs="仿宋"/>
                <w:kern w:val="0"/>
                <w:szCs w:val="21"/>
              </w:rPr>
              <w:t>（2）方案讲解演示可选择以下其中一种方式：</w:t>
            </w:r>
          </w:p>
          <w:p w14:paraId="0E43B79A">
            <w:pPr>
              <w:snapToGrid w:val="0"/>
              <w:spacing w:line="400" w:lineRule="exact"/>
              <w:rPr>
                <w:rFonts w:hint="eastAsia" w:ascii="仿宋" w:hAnsi="仿宋" w:eastAsia="仿宋" w:cs="仿宋"/>
                <w:kern w:val="0"/>
                <w:szCs w:val="21"/>
              </w:rPr>
            </w:pPr>
            <w:r>
              <w:rPr>
                <w:rFonts w:hint="eastAsia" w:ascii="仿宋" w:hAnsi="仿宋" w:eastAsia="仿宋" w:cs="仿宋"/>
                <w:kern w:val="0"/>
                <w:szCs w:val="21"/>
              </w:rPr>
              <w:t>方式一：政采云平台在线讲解演示。政采云平台在线讲解需</w:t>
            </w:r>
            <w:r>
              <w:rPr>
                <w:rFonts w:hint="eastAsia" w:ascii="仿宋" w:hAnsi="仿宋" w:eastAsia="仿宋" w:cs="仿宋"/>
                <w:kern w:val="0"/>
                <w:szCs w:val="21"/>
                <w:lang w:val="zh-CN"/>
              </w:rPr>
              <w:t>供应商</w:t>
            </w:r>
            <w:r>
              <w:rPr>
                <w:rFonts w:hint="eastAsia" w:ascii="仿宋" w:hAnsi="仿宋" w:eastAsia="仿宋" w:cs="仿宋"/>
                <w:kern w:val="0"/>
                <w:szCs w:val="21"/>
              </w:rPr>
              <w:t>根据政采云平台操作要求做好准备工作，提前完善软硬件配置环境。</w:t>
            </w:r>
          </w:p>
          <w:p w14:paraId="45FFF83D">
            <w:pPr>
              <w:snapToGrid w:val="0"/>
              <w:spacing w:line="400" w:lineRule="exact"/>
              <w:rPr>
                <w:rFonts w:hint="eastAsia" w:ascii="仿宋" w:hAnsi="仿宋" w:eastAsia="仿宋" w:cs="仿宋"/>
                <w:kern w:val="0"/>
                <w:szCs w:val="21"/>
              </w:rPr>
            </w:pPr>
            <w:r>
              <w:rPr>
                <w:rFonts w:hint="eastAsia" w:ascii="仿宋" w:hAnsi="仿宋" w:eastAsia="仿宋" w:cs="仿宋"/>
                <w:kern w:val="0"/>
                <w:szCs w:val="21"/>
              </w:rPr>
              <w:t>方式二：交易中心现场讲解演示。现场讲解地点为</w:t>
            </w:r>
            <w:r>
              <w:rPr>
                <w:rFonts w:hint="eastAsia" w:ascii="仿宋" w:hAnsi="仿宋" w:eastAsia="仿宋" w:cs="仿宋"/>
                <w:szCs w:val="21"/>
                <w:u w:val="single"/>
              </w:rPr>
              <w:t xml:space="preserve">        </w:t>
            </w:r>
            <w:r>
              <w:rPr>
                <w:rFonts w:hint="eastAsia" w:ascii="仿宋" w:hAnsi="仿宋" w:eastAsia="仿宋" w:cs="仿宋"/>
                <w:kern w:val="0"/>
                <w:szCs w:val="21"/>
              </w:rPr>
              <w:t>，讲解演示所用电脑等设备由</w:t>
            </w:r>
            <w:r>
              <w:rPr>
                <w:rFonts w:hint="eastAsia" w:ascii="仿宋" w:hAnsi="仿宋" w:eastAsia="仿宋" w:cs="仿宋"/>
                <w:kern w:val="0"/>
                <w:szCs w:val="21"/>
                <w:lang w:val="zh-CN"/>
              </w:rPr>
              <w:t>供应商</w:t>
            </w:r>
            <w:r>
              <w:rPr>
                <w:rFonts w:hint="eastAsia" w:ascii="仿宋" w:hAnsi="仿宋" w:eastAsia="仿宋" w:cs="仿宋"/>
                <w:kern w:val="0"/>
                <w:szCs w:val="21"/>
              </w:rPr>
              <w:t>自备。现场讲解演示人员进场时提供讲解人员名单（加盖公章）及身份证明，否则不得讲解演示。</w:t>
            </w:r>
          </w:p>
          <w:p w14:paraId="7F6C4693">
            <w:pPr>
              <w:snapToGrid w:val="0"/>
              <w:spacing w:line="400" w:lineRule="exact"/>
              <w:rPr>
                <w:rFonts w:hint="eastAsia" w:ascii="仿宋" w:hAnsi="仿宋" w:eastAsia="仿宋" w:cs="仿宋"/>
                <w:b/>
                <w:kern w:val="0"/>
                <w:szCs w:val="21"/>
                <w:lang w:val="zh-CN"/>
              </w:rPr>
            </w:pPr>
            <w:r>
              <w:rPr>
                <w:rFonts w:hint="eastAsia" w:ascii="仿宋" w:hAnsi="仿宋" w:eastAsia="仿宋" w:cs="仿宋"/>
                <w:kern w:val="0"/>
                <w:szCs w:val="21"/>
              </w:rPr>
              <w:t>注：因</w:t>
            </w:r>
            <w:r>
              <w:rPr>
                <w:rFonts w:hint="eastAsia" w:ascii="仿宋" w:hAnsi="仿宋" w:eastAsia="仿宋" w:cs="仿宋"/>
                <w:kern w:val="0"/>
                <w:szCs w:val="21"/>
                <w:lang w:val="zh-CN"/>
              </w:rPr>
              <w:t>供应商</w:t>
            </w:r>
            <w:r>
              <w:rPr>
                <w:rFonts w:hint="eastAsia" w:ascii="仿宋" w:hAnsi="仿宋" w:eastAsia="仿宋" w:cs="仿宋"/>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14:paraId="11E17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47F02485">
            <w:pPr>
              <w:snapToGrid w:val="0"/>
              <w:spacing w:line="400" w:lineRule="exact"/>
              <w:jc w:val="center"/>
              <w:rPr>
                <w:rFonts w:hint="eastAsia" w:ascii="仿宋" w:hAnsi="仿宋" w:eastAsia="仿宋" w:cs="仿宋"/>
                <w:szCs w:val="21"/>
              </w:rPr>
            </w:pPr>
            <w:r>
              <w:rPr>
                <w:rFonts w:hint="eastAsia" w:ascii="仿宋" w:hAnsi="仿宋" w:eastAsia="仿宋" w:cs="仿宋"/>
                <w:szCs w:val="21"/>
              </w:rPr>
              <w:t>8</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6379FC14">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是否允许采购进口产品</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696190A9">
            <w:pPr>
              <w:spacing w:line="400" w:lineRule="exact"/>
              <w:rPr>
                <w:rFonts w:hint="eastAsia" w:ascii="仿宋" w:hAnsi="仿宋" w:eastAsia="仿宋" w:cs="仿宋"/>
                <w:kern w:val="0"/>
                <w:szCs w:val="21"/>
              </w:rPr>
            </w:pPr>
            <w:r>
              <w:rPr>
                <w:rFonts w:hint="eastAsia" w:ascii="仿宋" w:hAnsi="仿宋" w:eastAsia="仿宋" w:cs="仿宋"/>
                <w:kern w:val="0"/>
                <w:szCs w:val="21"/>
              </w:rPr>
              <w:sym w:font="Wingdings" w:char="F0FE"/>
            </w:r>
            <w:r>
              <w:rPr>
                <w:rFonts w:hint="eastAsia" w:ascii="仿宋" w:hAnsi="仿宋" w:eastAsia="仿宋" w:cs="仿宋"/>
                <w:kern w:val="0"/>
                <w:szCs w:val="21"/>
              </w:rPr>
              <w:t>本项目不允许采购进口产品。</w:t>
            </w:r>
          </w:p>
          <w:p w14:paraId="7B380124">
            <w:pPr>
              <w:spacing w:line="400" w:lineRule="exact"/>
              <w:rPr>
                <w:rFonts w:hint="eastAsia" w:ascii="仿宋" w:hAnsi="仿宋" w:eastAsia="仿宋" w:cs="仿宋"/>
                <w:szCs w:val="21"/>
              </w:rPr>
            </w:pPr>
            <w:r>
              <w:rPr>
                <w:rFonts w:hint="eastAsia" w:ascii="MS Gothic" w:hAnsi="MS Gothic" w:eastAsia="MS Gothic" w:cs="MS Gothic"/>
                <w:kern w:val="0"/>
                <w:szCs w:val="21"/>
              </w:rPr>
              <w:t>☐</w:t>
            </w:r>
            <w:r>
              <w:rPr>
                <w:rFonts w:hint="eastAsia" w:ascii="仿宋" w:hAnsi="仿宋" w:eastAsia="仿宋" w:cs="宋体"/>
                <w:kern w:val="0"/>
                <w:szCs w:val="21"/>
              </w:rPr>
              <w:t>可以采购进口产品，</w:t>
            </w:r>
            <w:r>
              <w:rPr>
                <w:rFonts w:hint="eastAsia" w:ascii="仿宋" w:hAnsi="仿宋" w:eastAsia="仿宋" w:cs="仿宋"/>
                <w:kern w:val="0"/>
                <w:szCs w:val="21"/>
              </w:rPr>
              <w:t>如果因信息不对称等原因，仍有满足需求的国内产品要求参与采购竞争的，采购人及其委托的采购代理机构不对其加以限制，将按照公平竞争原则实施采购。</w:t>
            </w:r>
          </w:p>
        </w:tc>
      </w:tr>
      <w:tr w14:paraId="2F890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3FDEF2B5">
            <w:pPr>
              <w:snapToGrid w:val="0"/>
              <w:spacing w:line="400" w:lineRule="exact"/>
              <w:jc w:val="center"/>
              <w:rPr>
                <w:rFonts w:hint="eastAsia" w:ascii="仿宋" w:hAnsi="仿宋" w:eastAsia="仿宋" w:cs="仿宋"/>
                <w:szCs w:val="21"/>
              </w:rPr>
            </w:pPr>
            <w:r>
              <w:rPr>
                <w:rFonts w:hint="eastAsia" w:ascii="仿宋" w:hAnsi="仿宋" w:eastAsia="仿宋" w:cs="仿宋"/>
                <w:szCs w:val="21"/>
              </w:rPr>
              <w:t>9</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27DCE16F">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项目属性与核心产品</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51013C9D">
            <w:pPr>
              <w:spacing w:line="400" w:lineRule="exact"/>
              <w:rPr>
                <w:rFonts w:hint="eastAsia" w:ascii="仿宋" w:hAnsi="仿宋" w:eastAsia="仿宋" w:cs="仿宋"/>
                <w:szCs w:val="21"/>
              </w:rPr>
            </w:pPr>
            <w:r>
              <w:rPr>
                <w:rFonts w:hint="eastAsia" w:ascii="仿宋" w:hAnsi="仿宋" w:eastAsia="仿宋" w:cs="仿宋"/>
                <w:kern w:val="0"/>
                <w:szCs w:val="21"/>
              </w:rPr>
              <w:sym w:font="Wingdings" w:char="F0FE"/>
            </w:r>
            <w:r>
              <w:rPr>
                <w:rFonts w:hint="eastAsia" w:ascii="仿宋" w:hAnsi="仿宋" w:eastAsia="仿宋" w:cs="仿宋"/>
                <w:kern w:val="0"/>
                <w:szCs w:val="21"/>
              </w:rPr>
              <w:t>A</w:t>
            </w:r>
            <w:r>
              <w:rPr>
                <w:rFonts w:hint="eastAsia" w:ascii="仿宋" w:hAnsi="仿宋" w:eastAsia="仿宋" w:cs="仿宋"/>
                <w:szCs w:val="21"/>
              </w:rPr>
              <w:t>货物类，单一产品或</w:t>
            </w:r>
            <w:r>
              <w:rPr>
                <w:rFonts w:hint="eastAsia" w:ascii="仿宋" w:hAnsi="仿宋" w:eastAsia="仿宋" w:cs="仿宋"/>
                <w:kern w:val="0"/>
                <w:szCs w:val="21"/>
              </w:rPr>
              <w:t>核心产品为：</w:t>
            </w:r>
            <w:r>
              <w:rPr>
                <w:rFonts w:hint="eastAsia" w:ascii="仿宋" w:hAnsi="仿宋" w:eastAsia="仿宋" w:cs="仿宋"/>
                <w:szCs w:val="21"/>
                <w:u w:val="single"/>
              </w:rPr>
              <w:t>救护车</w:t>
            </w:r>
            <w:r>
              <w:rPr>
                <w:rFonts w:hint="eastAsia" w:ascii="仿宋" w:hAnsi="仿宋" w:eastAsia="仿宋" w:cs="仿宋"/>
                <w:szCs w:val="21"/>
              </w:rPr>
              <w:t>。</w:t>
            </w:r>
          </w:p>
          <w:p w14:paraId="6225F1BF">
            <w:pPr>
              <w:spacing w:line="400" w:lineRule="exact"/>
              <w:rPr>
                <w:rFonts w:hint="eastAsia" w:ascii="仿宋" w:hAnsi="仿宋" w:eastAsia="仿宋" w:cs="仿宋"/>
                <w:szCs w:val="21"/>
              </w:rPr>
            </w:pPr>
            <w:r>
              <w:rPr>
                <w:rFonts w:hint="eastAsia" w:ascii="仿宋" w:hAnsi="仿宋" w:eastAsia="仿宋" w:cs="仿宋"/>
                <w:szCs w:val="21"/>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p w14:paraId="289C8CE1">
            <w:pPr>
              <w:spacing w:line="400" w:lineRule="exact"/>
              <w:rPr>
                <w:rFonts w:hint="eastAsia" w:ascii="仿宋" w:hAnsi="仿宋" w:eastAsia="仿宋" w:cs="仿宋"/>
                <w:szCs w:val="21"/>
              </w:rPr>
            </w:pPr>
            <w:r>
              <w:rPr>
                <w:rFonts w:hint="eastAsia" w:ascii="仿宋" w:hAnsi="仿宋" w:eastAsia="仿宋" w:cs="仿宋"/>
                <w:kern w:val="0"/>
                <w:szCs w:val="21"/>
              </w:rPr>
              <w:sym w:font="Wingdings" w:char="00A8"/>
            </w:r>
            <w:r>
              <w:rPr>
                <w:rFonts w:hint="eastAsia" w:ascii="仿宋" w:hAnsi="仿宋" w:eastAsia="仿宋" w:cs="仿宋"/>
                <w:kern w:val="0"/>
                <w:szCs w:val="21"/>
              </w:rPr>
              <w:t>B</w:t>
            </w:r>
            <w:r>
              <w:rPr>
                <w:rFonts w:hint="eastAsia" w:ascii="仿宋" w:hAnsi="仿宋" w:eastAsia="仿宋" w:cs="仿宋"/>
                <w:szCs w:val="21"/>
              </w:rPr>
              <w:t>服务类。</w:t>
            </w:r>
          </w:p>
        </w:tc>
      </w:tr>
      <w:tr w14:paraId="2390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59E6D460">
            <w:pPr>
              <w:snapToGrid w:val="0"/>
              <w:spacing w:line="400" w:lineRule="exact"/>
              <w:jc w:val="center"/>
              <w:rPr>
                <w:rFonts w:hint="eastAsia" w:ascii="仿宋" w:hAnsi="仿宋" w:eastAsia="仿宋" w:cs="仿宋"/>
                <w:szCs w:val="21"/>
              </w:rPr>
            </w:pPr>
            <w:r>
              <w:rPr>
                <w:rFonts w:hint="eastAsia" w:ascii="仿宋" w:hAnsi="仿宋" w:eastAsia="仿宋" w:cs="仿宋"/>
                <w:szCs w:val="21"/>
              </w:rPr>
              <w:t>10</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72FD47C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采购标的对应的中小企业划分标准所属行业</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0B48697">
            <w:pPr>
              <w:numPr>
                <w:ilvl w:val="0"/>
                <w:numId w:val="3"/>
              </w:numPr>
              <w:spacing w:line="400" w:lineRule="exac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u w:val="single"/>
              </w:rPr>
              <w:t>救护车</w:t>
            </w:r>
            <w:r>
              <w:rPr>
                <w:rFonts w:hint="eastAsia" w:ascii="仿宋" w:hAnsi="仿宋" w:eastAsia="仿宋" w:cs="仿宋"/>
                <w:szCs w:val="21"/>
              </w:rPr>
              <w:t>），属于（</w:t>
            </w:r>
            <w:r>
              <w:rPr>
                <w:rFonts w:hint="eastAsia" w:ascii="仿宋" w:hAnsi="仿宋" w:eastAsia="仿宋" w:cs="仿宋"/>
                <w:szCs w:val="21"/>
                <w:u w:val="single"/>
              </w:rPr>
              <w:t>工业</w:t>
            </w:r>
            <w:r>
              <w:rPr>
                <w:rFonts w:hint="eastAsia" w:ascii="仿宋" w:hAnsi="仿宋" w:eastAsia="仿宋" w:cs="仿宋"/>
                <w:szCs w:val="21"/>
              </w:rPr>
              <w:t>）</w:t>
            </w:r>
          </w:p>
          <w:p w14:paraId="0903490B">
            <w:pPr>
              <w:numPr>
                <w:ilvl w:val="0"/>
                <w:numId w:val="3"/>
              </w:numPr>
              <w:spacing w:line="400" w:lineRule="exact"/>
              <w:rPr>
                <w:rFonts w:hint="eastAsia" w:ascii="仿宋" w:hAnsi="仿宋" w:eastAsia="仿宋" w:cs="仿宋"/>
                <w:szCs w:val="21"/>
              </w:rPr>
            </w:pPr>
            <w:r>
              <w:rPr>
                <w:rFonts w:hint="eastAsia" w:ascii="仿宋" w:hAnsi="仿宋" w:eastAsia="仿宋"/>
                <w:bCs/>
                <w:szCs w:val="21"/>
              </w:rPr>
              <w:t>具体内容详见第六部分应提交的有关格式范例之</w:t>
            </w:r>
            <w:r>
              <w:rPr>
                <w:rFonts w:hint="eastAsia" w:ascii="仿宋" w:hAnsi="仿宋" w:eastAsia="仿宋"/>
                <w:bCs/>
                <w:szCs w:val="21"/>
                <w:lang w:val="zh-CN"/>
              </w:rPr>
              <w:t>中小企业声明函（</w:t>
            </w:r>
            <w:r>
              <w:rPr>
                <w:rFonts w:hint="eastAsia" w:ascii="仿宋" w:hAnsi="仿宋" w:eastAsia="仿宋"/>
                <w:bCs/>
                <w:szCs w:val="21"/>
              </w:rPr>
              <w:t>货物</w:t>
            </w:r>
            <w:r>
              <w:rPr>
                <w:rFonts w:hint="eastAsia" w:ascii="仿宋" w:hAnsi="仿宋" w:eastAsia="仿宋"/>
                <w:bCs/>
                <w:szCs w:val="21"/>
                <w:lang w:val="zh-CN"/>
              </w:rPr>
              <w:t>）。</w:t>
            </w:r>
          </w:p>
        </w:tc>
      </w:tr>
      <w:tr w14:paraId="6A195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175ADC00">
            <w:pPr>
              <w:snapToGrid w:val="0"/>
              <w:spacing w:line="400" w:lineRule="exact"/>
              <w:jc w:val="center"/>
              <w:rPr>
                <w:rFonts w:hint="eastAsia" w:ascii="仿宋" w:hAnsi="仿宋" w:eastAsia="仿宋" w:cs="仿宋"/>
                <w:szCs w:val="21"/>
              </w:rPr>
            </w:pPr>
            <w:r>
              <w:rPr>
                <w:rFonts w:hint="eastAsia" w:ascii="仿宋" w:hAnsi="仿宋" w:eastAsia="仿宋" w:cs="仿宋"/>
                <w:szCs w:val="21"/>
              </w:rPr>
              <w:t>11</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7F302E84">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节能产品、环境标志产品</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789E4D68">
            <w:pPr>
              <w:snapToGrid w:val="0"/>
              <w:spacing w:line="400" w:lineRule="exact"/>
              <w:rPr>
                <w:rFonts w:hint="eastAsia" w:ascii="仿宋" w:hAnsi="仿宋" w:eastAsia="仿宋" w:cs="仿宋"/>
                <w:szCs w:val="21"/>
              </w:rPr>
            </w:pPr>
            <w:r>
              <w:rPr>
                <w:rFonts w:hint="eastAsia" w:ascii="仿宋" w:hAnsi="仿宋" w:eastAsia="仿宋" w:cs="仿宋"/>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b/>
                <w:kern w:val="0"/>
                <w:szCs w:val="21"/>
              </w:rPr>
              <w:t>（本项目不适用）</w:t>
            </w:r>
          </w:p>
        </w:tc>
      </w:tr>
      <w:tr w14:paraId="33B6F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000000" w:sz="8" w:space="0"/>
              <w:right w:val="single" w:color="000000" w:sz="2" w:space="0"/>
            </w:tcBorders>
            <w:noWrap w:val="0"/>
            <w:vAlign w:val="center"/>
          </w:tcPr>
          <w:p w14:paraId="6F091DE3">
            <w:pPr>
              <w:snapToGrid w:val="0"/>
              <w:spacing w:line="400" w:lineRule="exact"/>
              <w:jc w:val="center"/>
              <w:rPr>
                <w:rFonts w:hint="eastAsia" w:ascii="仿宋" w:hAnsi="仿宋" w:eastAsia="仿宋" w:cs="仿宋"/>
                <w:szCs w:val="21"/>
              </w:rPr>
            </w:pPr>
            <w:r>
              <w:rPr>
                <w:rFonts w:hint="eastAsia" w:ascii="仿宋" w:hAnsi="仿宋" w:eastAsia="仿宋" w:cs="仿宋"/>
                <w:szCs w:val="21"/>
              </w:rPr>
              <w:t>12</w:t>
            </w:r>
          </w:p>
        </w:tc>
        <w:tc>
          <w:tcPr>
            <w:tcW w:w="0" w:type="auto"/>
            <w:tcBorders>
              <w:top w:val="single" w:color="000000" w:sz="8" w:space="0"/>
              <w:left w:val="single" w:color="000000" w:sz="2" w:space="0"/>
              <w:right w:val="single" w:color="000000" w:sz="8" w:space="0"/>
            </w:tcBorders>
            <w:noWrap w:val="0"/>
            <w:vAlign w:val="center"/>
          </w:tcPr>
          <w:p w14:paraId="65F04235">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中小企业信用融资</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DB6A811">
            <w:pPr>
              <w:spacing w:line="400" w:lineRule="exact"/>
              <w:rPr>
                <w:rFonts w:hint="eastAsia" w:ascii="仿宋" w:hAnsi="仿宋" w:eastAsia="仿宋" w:cs="仿宋"/>
                <w:szCs w:val="21"/>
              </w:rPr>
            </w:pPr>
            <w:r>
              <w:rPr>
                <w:rFonts w:hint="eastAsia" w:ascii="仿宋" w:hAnsi="仿宋" w:eastAsia="仿宋" w:cs="仿宋"/>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5C48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38" w:type="dxa"/>
            <w:tcBorders>
              <w:top w:val="single" w:color="auto" w:sz="4" w:space="0"/>
              <w:left w:val="single" w:color="000000" w:sz="8" w:space="0"/>
              <w:right w:val="single" w:color="000000" w:sz="2" w:space="0"/>
            </w:tcBorders>
            <w:noWrap w:val="0"/>
            <w:vAlign w:val="center"/>
          </w:tcPr>
          <w:p w14:paraId="46B0B915">
            <w:pPr>
              <w:snapToGrid w:val="0"/>
              <w:spacing w:line="400" w:lineRule="exact"/>
              <w:jc w:val="center"/>
              <w:rPr>
                <w:rFonts w:hint="eastAsia" w:ascii="仿宋" w:hAnsi="仿宋" w:eastAsia="仿宋" w:cs="仿宋"/>
                <w:szCs w:val="21"/>
              </w:rPr>
            </w:pPr>
            <w:r>
              <w:rPr>
                <w:rFonts w:hint="eastAsia" w:ascii="仿宋" w:hAnsi="仿宋" w:eastAsia="仿宋" w:cs="仿宋"/>
                <w:szCs w:val="21"/>
              </w:rPr>
              <w:t>13</w:t>
            </w:r>
          </w:p>
        </w:tc>
        <w:tc>
          <w:tcPr>
            <w:tcW w:w="0" w:type="auto"/>
            <w:tcBorders>
              <w:top w:val="single" w:color="000000" w:sz="8" w:space="0"/>
              <w:left w:val="single" w:color="000000" w:sz="2" w:space="0"/>
              <w:right w:val="single" w:color="000000" w:sz="8" w:space="0"/>
            </w:tcBorders>
            <w:noWrap w:val="0"/>
            <w:vAlign w:val="center"/>
          </w:tcPr>
          <w:p w14:paraId="31711988">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中标服务费</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1F3F9F8">
            <w:pPr>
              <w:spacing w:line="400" w:lineRule="exact"/>
              <w:rPr>
                <w:rFonts w:hint="eastAsia" w:ascii="仿宋" w:hAnsi="仿宋" w:eastAsia="仿宋" w:cs="仿宋"/>
                <w:kern w:val="0"/>
                <w:szCs w:val="21"/>
              </w:rPr>
            </w:pPr>
            <w:r>
              <w:rPr>
                <w:rFonts w:hint="eastAsia" w:ascii="MS Gothic" w:hAnsi="MS Gothic" w:eastAsia="MS Gothic" w:cs="MS Gothic"/>
                <w:kern w:val="0"/>
                <w:szCs w:val="21"/>
              </w:rPr>
              <w:t>☐</w:t>
            </w:r>
            <w:r>
              <w:rPr>
                <w:rFonts w:hint="eastAsia" w:ascii="仿宋" w:hAnsi="仿宋" w:eastAsia="仿宋" w:cs="仿宋"/>
                <w:kern w:val="0"/>
                <w:szCs w:val="21"/>
              </w:rPr>
              <w:t>无。</w:t>
            </w:r>
          </w:p>
          <w:p w14:paraId="03A56F25">
            <w:pPr>
              <w:pStyle w:val="14"/>
              <w:spacing w:line="400" w:lineRule="exact"/>
              <w:rPr>
                <w:rFonts w:hint="eastAsia" w:ascii="仿宋" w:hAnsi="仿宋" w:eastAsia="仿宋"/>
                <w:sz w:val="21"/>
              </w:rPr>
            </w:pPr>
            <w:r>
              <w:rPr>
                <w:rFonts w:hint="eastAsia" w:ascii="MS Gothic" w:hAnsi="MS Gothic" w:eastAsia="MS Gothic" w:cs="MS Gothic"/>
                <w:kern w:val="0"/>
                <w:sz w:val="21"/>
                <w:lang w:val="en-US"/>
              </w:rPr>
              <w:t>☐</w:t>
            </w:r>
            <w:r>
              <w:rPr>
                <w:rFonts w:hint="eastAsia" w:ascii="仿宋" w:hAnsi="仿宋" w:eastAsia="仿宋" w:cs="仿宋"/>
                <w:kern w:val="28"/>
                <w:sz w:val="21"/>
                <w:lang w:val="en-US"/>
              </w:rPr>
              <w:t>中标人向采购代理机构支付中标服务费</w:t>
            </w:r>
            <w:r>
              <w:rPr>
                <w:rFonts w:hint="eastAsia" w:ascii="仿宋" w:hAnsi="仿宋" w:eastAsia="仿宋" w:cs="仿宋"/>
                <w:kern w:val="28"/>
                <w:sz w:val="21"/>
                <w:u w:val="single"/>
                <w:lang w:val="en-US"/>
              </w:rPr>
              <w:t xml:space="preserve">      </w:t>
            </w:r>
            <w:r>
              <w:rPr>
                <w:rFonts w:hint="eastAsia" w:ascii="仿宋" w:hAnsi="仿宋" w:eastAsia="仿宋" w:cs="仿宋"/>
                <w:kern w:val="28"/>
                <w:sz w:val="21"/>
                <w:lang w:val="en-US"/>
              </w:rPr>
              <w:t>元。</w:t>
            </w:r>
          </w:p>
          <w:p w14:paraId="470CE742">
            <w:pPr>
              <w:spacing w:line="400" w:lineRule="exact"/>
              <w:jc w:val="left"/>
              <w:rPr>
                <w:rFonts w:hint="eastAsia" w:ascii="仿宋" w:hAnsi="仿宋" w:eastAsia="仿宋" w:cs="仿宋"/>
                <w:snapToGrid w:val="0"/>
                <w:kern w:val="28"/>
                <w:szCs w:val="21"/>
              </w:rPr>
            </w:pPr>
            <w:r>
              <w:rPr>
                <w:rFonts w:hint="eastAsia" w:ascii="仿宋" w:hAnsi="仿宋" w:eastAsia="仿宋" w:cs="仿宋"/>
                <w:kern w:val="0"/>
                <w:szCs w:val="21"/>
              </w:rPr>
              <w:sym w:font="Wingdings" w:char="00FE"/>
            </w:r>
            <w:r>
              <w:rPr>
                <w:rFonts w:hint="eastAsia" w:ascii="仿宋" w:hAnsi="仿宋" w:eastAsia="仿宋" w:cs="仿宋"/>
                <w:snapToGrid w:val="0"/>
                <w:kern w:val="28"/>
                <w:szCs w:val="21"/>
              </w:rPr>
              <w:t>根据国家发改委发改办价格[2003]857号通知和原国家计委计价格[2002]1980号文件规定的货物招标费率标准收取中标服务费，按照中标总金额，向中标供应商收取中标服务费。中标通知书发出后5个工作日内，中标人向采购代理机构支付中标服务费。</w:t>
            </w:r>
          </w:p>
          <w:p w14:paraId="683AA3D0">
            <w:pPr>
              <w:spacing w:line="400" w:lineRule="exact"/>
              <w:jc w:val="left"/>
              <w:rPr>
                <w:rFonts w:ascii="仿宋" w:hAnsi="仿宋" w:eastAsia="仿宋"/>
                <w:bCs/>
                <w:szCs w:val="21"/>
              </w:rPr>
            </w:pPr>
            <w:r>
              <w:rPr>
                <w:rFonts w:hint="eastAsia" w:ascii="仿宋" w:hAnsi="仿宋" w:eastAsia="仿宋"/>
                <w:bCs/>
                <w:szCs w:val="21"/>
              </w:rPr>
              <w:t>账户名称：宁波建兴招标有限公司</w:t>
            </w:r>
          </w:p>
          <w:p w14:paraId="0EC48EF0">
            <w:pPr>
              <w:spacing w:line="400" w:lineRule="exact"/>
              <w:jc w:val="left"/>
              <w:rPr>
                <w:rFonts w:ascii="仿宋" w:hAnsi="仿宋" w:eastAsia="仿宋"/>
                <w:bCs/>
                <w:szCs w:val="21"/>
              </w:rPr>
            </w:pPr>
            <w:r>
              <w:rPr>
                <w:rFonts w:hint="eastAsia" w:ascii="仿宋" w:hAnsi="仿宋" w:eastAsia="仿宋"/>
                <w:bCs/>
                <w:szCs w:val="21"/>
              </w:rPr>
              <w:t>开户银行：中国民生银行股份有限公司宁波开明街支行</w:t>
            </w:r>
          </w:p>
          <w:p w14:paraId="4C7E79AC">
            <w:pPr>
              <w:spacing w:line="400" w:lineRule="exact"/>
              <w:rPr>
                <w:rFonts w:hint="eastAsia"/>
              </w:rPr>
            </w:pPr>
            <w:r>
              <w:rPr>
                <w:rFonts w:hint="eastAsia" w:ascii="仿宋" w:hAnsi="仿宋" w:eastAsia="仿宋"/>
                <w:bCs/>
                <w:szCs w:val="21"/>
              </w:rPr>
              <w:t>银行账号：691488363</w:t>
            </w:r>
          </w:p>
        </w:tc>
      </w:tr>
      <w:tr w14:paraId="182ED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tblHeade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7BA96430">
            <w:pPr>
              <w:snapToGrid w:val="0"/>
              <w:spacing w:line="400" w:lineRule="exact"/>
              <w:jc w:val="center"/>
              <w:rPr>
                <w:rFonts w:hint="eastAsia" w:ascii="仿宋" w:hAnsi="仿宋" w:eastAsia="仿宋" w:cs="仿宋"/>
                <w:szCs w:val="21"/>
              </w:rPr>
            </w:pPr>
            <w:r>
              <w:rPr>
                <w:rFonts w:hint="eastAsia" w:ascii="仿宋" w:hAnsi="仿宋" w:eastAsia="仿宋" w:cs="仿宋"/>
                <w:szCs w:val="21"/>
              </w:rPr>
              <w:t>14</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2C35C88C">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特别说明</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3768ED1">
            <w:pPr>
              <w:spacing w:line="400" w:lineRule="exact"/>
              <w:rPr>
                <w:rFonts w:hint="eastAsia" w:ascii="仿宋" w:hAnsi="仿宋" w:eastAsia="仿宋" w:cs="仿宋"/>
                <w:snapToGrid w:val="0"/>
                <w:kern w:val="28"/>
                <w:szCs w:val="21"/>
              </w:rPr>
            </w:pPr>
            <w:r>
              <w:rPr>
                <w:rFonts w:hint="eastAsia" w:ascii="仿宋" w:hAnsi="仿宋" w:eastAsia="仿宋" w:cs="仿宋"/>
                <w:snapToGrid w:val="0"/>
                <w:kern w:val="28"/>
                <w:szCs w:val="21"/>
              </w:rPr>
              <w:t>公益一类事业单位不属于政府购买服务的承接主体，不得参与承接政府购买服务。</w:t>
            </w:r>
          </w:p>
        </w:tc>
      </w:tr>
    </w:tbl>
    <w:p w14:paraId="2F27161D">
      <w:pPr>
        <w:snapToGrid w:val="0"/>
        <w:spacing w:line="360" w:lineRule="auto"/>
        <w:jc w:val="center"/>
        <w:rPr>
          <w:rFonts w:hint="eastAsia" w:ascii="仿宋" w:hAnsi="仿宋" w:eastAsia="仿宋" w:cs="仿宋"/>
          <w:b/>
          <w:sz w:val="32"/>
          <w:szCs w:val="20"/>
        </w:rPr>
      </w:pPr>
    </w:p>
    <w:bookmarkEnd w:id="11"/>
    <w:p w14:paraId="29E7373E">
      <w:pPr>
        <w:spacing w:line="360" w:lineRule="auto"/>
        <w:ind w:firstLine="3845" w:firstLineChars="1197"/>
        <w:outlineLvl w:val="0"/>
        <w:rPr>
          <w:rFonts w:hint="eastAsia" w:ascii="仿宋" w:hAnsi="仿宋" w:eastAsia="仿宋" w:cs="仿宋"/>
          <w:b/>
          <w:sz w:val="32"/>
          <w:szCs w:val="20"/>
        </w:rPr>
      </w:pPr>
      <w:bookmarkStart w:id="14" w:name="第三部分"/>
      <w:bookmarkStart w:id="15" w:name="_Toc164416483"/>
      <w:r>
        <w:rPr>
          <w:rFonts w:ascii="仿宋" w:hAnsi="仿宋" w:eastAsia="仿宋" w:cs="仿宋"/>
          <w:b/>
          <w:sz w:val="32"/>
          <w:szCs w:val="20"/>
        </w:rPr>
        <w:br w:type="page"/>
      </w:r>
      <w:bookmarkStart w:id="16" w:name="_Toc129089116"/>
      <w:bookmarkStart w:id="17" w:name="_Toc129088737"/>
      <w:r>
        <w:rPr>
          <w:rFonts w:hint="eastAsia" w:ascii="仿宋" w:hAnsi="仿宋" w:eastAsia="仿宋" w:cs="仿宋"/>
          <w:b/>
          <w:sz w:val="32"/>
          <w:szCs w:val="20"/>
        </w:rPr>
        <w:t>一、总则</w:t>
      </w:r>
      <w:bookmarkEnd w:id="16"/>
      <w:bookmarkEnd w:id="17"/>
    </w:p>
    <w:p w14:paraId="2EC09BC3">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18" w:name="_Toc129088997"/>
      <w:bookmarkStart w:id="19" w:name="_Toc129088738"/>
      <w:bookmarkStart w:id="20" w:name="_Toc129089117"/>
      <w:r>
        <w:rPr>
          <w:rFonts w:hint="eastAsia" w:ascii="仿宋" w:hAnsi="仿宋" w:eastAsia="仿宋" w:cs="仿宋"/>
          <w:b/>
          <w:sz w:val="24"/>
        </w:rPr>
        <w:t>适用范围</w:t>
      </w:r>
      <w:bookmarkEnd w:id="18"/>
      <w:bookmarkEnd w:id="19"/>
      <w:bookmarkEnd w:id="20"/>
    </w:p>
    <w:p w14:paraId="1DB6A140">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440B5C8">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21" w:name="_Toc129088739"/>
      <w:bookmarkStart w:id="22" w:name="_Toc129088998"/>
      <w:bookmarkStart w:id="23" w:name="_Toc129089118"/>
      <w:r>
        <w:rPr>
          <w:rFonts w:hint="eastAsia" w:ascii="仿宋" w:hAnsi="仿宋" w:eastAsia="仿宋" w:cs="仿宋"/>
          <w:b/>
          <w:sz w:val="24"/>
        </w:rPr>
        <w:t>定义</w:t>
      </w:r>
      <w:bookmarkEnd w:id="21"/>
      <w:bookmarkEnd w:id="22"/>
      <w:bookmarkEnd w:id="23"/>
    </w:p>
    <w:p w14:paraId="0AD5F1DD">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4F0DE96">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7D42151">
      <w:pPr>
        <w:spacing w:line="360" w:lineRule="auto"/>
        <w:ind w:firstLine="480" w:firstLineChars="200"/>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kern w:val="0"/>
          <w:sz w:val="24"/>
          <w:lang w:val="zh-CN"/>
        </w:rPr>
        <w:t>供应商</w:t>
      </w:r>
      <w:r>
        <w:rPr>
          <w:rFonts w:hint="eastAsia" w:ascii="仿宋" w:hAnsi="仿宋" w:eastAsia="仿宋" w:cs="仿宋"/>
          <w:sz w:val="24"/>
        </w:rPr>
        <w:t>”系指是指响应招标、参加投标竞争的法人、其他组织或者自然人。</w:t>
      </w:r>
    </w:p>
    <w:p w14:paraId="3D535D28">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65499A50">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7876F056">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12221C65">
      <w:pPr>
        <w:spacing w:line="360" w:lineRule="auto"/>
        <w:ind w:firstLine="480" w:firstLineChars="200"/>
        <w:rPr>
          <w:rFonts w:hint="eastAsia" w:ascii="仿宋" w:hAnsi="仿宋" w:eastAsia="仿宋" w:cs="仿宋"/>
          <w:sz w:val="24"/>
        </w:rPr>
      </w:pPr>
      <w:r>
        <w:rPr>
          <w:rFonts w:hint="eastAsia" w:ascii="仿宋" w:hAnsi="仿宋" w:eastAsia="仿宋" w:cs="仿宋"/>
          <w:sz w:val="24"/>
        </w:rPr>
        <w:t>2.7 “★”系指实质性要求条款，“</w:t>
      </w:r>
      <w:r>
        <w:rPr>
          <w:rFonts w:hint="eastAsia" w:ascii="仿宋" w:hAnsi="仿宋" w:eastAsia="仿宋" w:cs="仿宋"/>
          <w:kern w:val="0"/>
          <w:szCs w:val="21"/>
        </w:rPr>
        <w:sym w:font="Wingdings" w:char="F0FE"/>
      </w:r>
      <w:r>
        <w:rPr>
          <w:rFonts w:hint="eastAsia" w:ascii="仿宋" w:hAnsi="仿宋" w:eastAsia="仿宋" w:cs="仿宋"/>
          <w:sz w:val="24"/>
        </w:rPr>
        <w:t>”系指适用本项目的要求，“</w:t>
      </w:r>
      <w:r>
        <w:rPr>
          <w:rFonts w:hint="eastAsia" w:ascii="MS Gothic" w:hAnsi="MS Gothic" w:eastAsia="MS Gothic" w:cs="MS Gothic"/>
          <w:kern w:val="0"/>
          <w:sz w:val="24"/>
        </w:rPr>
        <w:t>☐</w:t>
      </w:r>
      <w:r>
        <w:rPr>
          <w:rFonts w:hint="eastAsia" w:ascii="仿宋" w:hAnsi="仿宋" w:eastAsia="仿宋" w:cs="仿宋"/>
          <w:sz w:val="24"/>
        </w:rPr>
        <w:t>”系指不适用本项目的要求。</w:t>
      </w:r>
    </w:p>
    <w:p w14:paraId="3C6EC7AE">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24" w:name="_Toc129088999"/>
      <w:bookmarkStart w:id="25" w:name="_Toc129088740"/>
      <w:bookmarkStart w:id="26" w:name="_Toc129089119"/>
      <w:r>
        <w:rPr>
          <w:rFonts w:hint="eastAsia" w:ascii="仿宋" w:hAnsi="仿宋" w:eastAsia="仿宋" w:cs="仿宋"/>
          <w:b/>
          <w:sz w:val="24"/>
        </w:rPr>
        <w:t>采购项目需要落实的政府采购政策</w:t>
      </w:r>
      <w:bookmarkEnd w:id="24"/>
      <w:bookmarkEnd w:id="25"/>
      <w:bookmarkEnd w:id="26"/>
    </w:p>
    <w:p w14:paraId="2CF99977">
      <w:pPr>
        <w:spacing w:line="360" w:lineRule="auto"/>
        <w:ind w:firstLine="480" w:firstLineChars="200"/>
        <w:rPr>
          <w:rFonts w:hint="eastAsia" w:ascii="仿宋" w:hAnsi="仿宋" w:eastAsia="仿宋" w:cs="仿宋"/>
          <w:sz w:val="24"/>
        </w:rPr>
      </w:pPr>
      <w:r>
        <w:rPr>
          <w:rFonts w:hint="eastAsia" w:ascii="仿宋" w:hAnsi="仿宋" w:eastAsia="仿宋" w:cs="仿宋"/>
          <w:sz w:val="24"/>
        </w:rPr>
        <w:t>3.1 本项目不允许采购进口产品。</w:t>
      </w:r>
    </w:p>
    <w:p w14:paraId="29693E5A">
      <w:pPr>
        <w:spacing w:line="360" w:lineRule="auto"/>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6BEE91B8">
      <w:pPr>
        <w:spacing w:line="360" w:lineRule="auto"/>
        <w:ind w:firstLine="480" w:firstLineChars="200"/>
        <w:rPr>
          <w:rFonts w:hint="eastAsia" w:ascii="仿宋" w:hAnsi="仿宋" w:eastAsia="仿宋" w:cs="仿宋"/>
          <w:b/>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kern w:val="0"/>
          <w:sz w:val="24"/>
          <w:lang w:val="zh-CN"/>
        </w:rPr>
        <w:t>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采购人拟采购的产品属于政府强制采购的节能产品品目清单范围的，供应商未按招标文件要求提供国家确定的认证机构出具的、处于有效期之内的节能产品认证证书的，投标无效。（本项目不适用）</w:t>
      </w:r>
    </w:p>
    <w:p w14:paraId="4FD7001A">
      <w:pPr>
        <w:spacing w:line="360" w:lineRule="auto"/>
        <w:ind w:firstLine="480" w:firstLineChars="200"/>
        <w:rPr>
          <w:rFonts w:hint="eastAsia" w:ascii="仿宋" w:hAnsi="仿宋" w:eastAsia="仿宋" w:cs="仿宋"/>
          <w:sz w:val="24"/>
        </w:rPr>
      </w:pPr>
      <w:r>
        <w:rPr>
          <w:rFonts w:hint="eastAsia" w:ascii="仿宋" w:hAnsi="仿宋" w:eastAsia="仿宋" w:cs="仿宋"/>
          <w:sz w:val="24"/>
        </w:rPr>
        <w:t>3.3支持中小企业发展</w:t>
      </w:r>
    </w:p>
    <w:p w14:paraId="711B6C11">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73199D">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001777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val="zh-CN"/>
        </w:rPr>
        <w:t>供应商</w:t>
      </w:r>
      <w:r>
        <w:rPr>
          <w:rFonts w:hint="eastAsia" w:ascii="仿宋" w:hAnsi="仿宋" w:eastAsia="仿宋" w:cs="仿宋"/>
          <w:kern w:val="0"/>
          <w:sz w:val="24"/>
        </w:rPr>
        <w:t>提供的货物、工程或者服务符合下列情形的，享受中小企业扶持政策：</w:t>
      </w:r>
    </w:p>
    <w:p w14:paraId="7687195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723AB73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6C956D9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742BD60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val="zh-CN"/>
        </w:rPr>
        <w:t>供应商</w:t>
      </w:r>
      <w:r>
        <w:rPr>
          <w:rFonts w:hint="eastAsia" w:ascii="仿宋" w:hAnsi="仿宋" w:eastAsia="仿宋" w:cs="仿宋"/>
          <w:kern w:val="0"/>
          <w:sz w:val="24"/>
        </w:rPr>
        <w:t>提供的货物既有中小企业制造货物，也有大型企业制造货物的，不享受中小企业扶持政策。</w:t>
      </w:r>
    </w:p>
    <w:p w14:paraId="5D4F05A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03B9F78">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70727CB">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3.3.4符合《关于促进残疾人就业政府采购政策的通知》（财库〔2017〕141号）规定的条件并提供《残疾人福利性单位声明函》的残疾人福利性单位视同小型、微型企业；</w:t>
      </w:r>
    </w:p>
    <w:p w14:paraId="5323DC2B">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A8CE65">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kern w:val="0"/>
          <w:sz w:val="24"/>
          <w:lang w:val="zh-CN"/>
        </w:rPr>
        <w:t>供应商</w:t>
      </w:r>
      <w:r>
        <w:rPr>
          <w:rFonts w:hint="eastAsia" w:ascii="仿宋" w:hAnsi="仿宋" w:eastAsia="仿宋" w:cs="仿宋"/>
          <w:sz w:val="24"/>
        </w:rPr>
        <w:t>应按照招标文件格式要求提供《中小企业声明函》，</w:t>
      </w:r>
      <w:r>
        <w:rPr>
          <w:rFonts w:hint="eastAsia" w:ascii="仿宋" w:hAnsi="仿宋" w:eastAsia="仿宋" w:cs="仿宋"/>
          <w:kern w:val="0"/>
          <w:sz w:val="24"/>
          <w:lang w:val="zh-CN"/>
        </w:rPr>
        <w:t>供应商</w:t>
      </w:r>
      <w:r>
        <w:rPr>
          <w:rFonts w:hint="eastAsia" w:ascii="仿宋" w:hAnsi="仿宋" w:eastAsia="仿宋" w:cs="仿宋"/>
          <w:sz w:val="24"/>
        </w:rPr>
        <w:t>提供的《中小企业声明函》与实际情况不符的，不享受中小企业扶持政策。声明内容不实的，属于提供虚假材料谋取中标、成交的，依法承担法律责任。</w:t>
      </w:r>
    </w:p>
    <w:p w14:paraId="27C5CA2F">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500C750F">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27" w:name="_Toc129089120"/>
      <w:bookmarkStart w:id="28" w:name="_Toc129089000"/>
      <w:bookmarkStart w:id="29" w:name="_Toc129088741"/>
      <w:r>
        <w:rPr>
          <w:rFonts w:hint="eastAsia" w:ascii="仿宋" w:hAnsi="仿宋" w:eastAsia="仿宋" w:cs="仿宋"/>
          <w:b/>
          <w:sz w:val="24"/>
        </w:rPr>
        <w:t>特别说明</w:t>
      </w:r>
      <w:bookmarkEnd w:id="27"/>
      <w:bookmarkEnd w:id="28"/>
      <w:bookmarkEnd w:id="29"/>
    </w:p>
    <w:p w14:paraId="2814891B">
      <w:pPr>
        <w:spacing w:line="360" w:lineRule="auto"/>
        <w:ind w:firstLine="480" w:firstLineChars="200"/>
        <w:rPr>
          <w:rFonts w:hint="eastAsia" w:ascii="仿宋" w:hAnsi="仿宋" w:eastAsia="仿宋" w:cs="仿宋"/>
          <w:sz w:val="24"/>
        </w:rPr>
      </w:pPr>
      <w:r>
        <w:rPr>
          <w:rFonts w:hint="eastAsia" w:ascii="仿宋" w:hAnsi="仿宋" w:eastAsia="仿宋" w:cs="仿宋"/>
          <w:sz w:val="24"/>
        </w:rPr>
        <w:t>4.1关于分公司投标</w:t>
      </w:r>
    </w:p>
    <w:p w14:paraId="4D4B0866">
      <w:pPr>
        <w:spacing w:line="360" w:lineRule="auto"/>
        <w:ind w:firstLine="480" w:firstLineChars="200"/>
        <w:rPr>
          <w:rFonts w:hint="eastAsia" w:ascii="仿宋" w:hAnsi="仿宋" w:eastAsia="仿宋" w:cs="仿宋"/>
          <w:sz w:val="24"/>
        </w:rPr>
      </w:pPr>
      <w:r>
        <w:rPr>
          <w:rFonts w:hint="eastAsia" w:ascii="仿宋" w:hAnsi="仿宋" w:eastAsia="仿宋" w:cs="仿宋"/>
          <w:sz w:val="24"/>
        </w:rPr>
        <w:t>除银行、保险、石油石化、电力、电信等特殊行业外。法人的分支机构由于不能独立承担民事责任，不能以分支机构的身份参加政府采购，只能以法人身份参加。</w:t>
      </w:r>
    </w:p>
    <w:p w14:paraId="7FE58E81">
      <w:pPr>
        <w:spacing w:line="360" w:lineRule="auto"/>
        <w:ind w:firstLine="480" w:firstLineChars="200"/>
        <w:rPr>
          <w:rFonts w:hint="eastAsia" w:ascii="仿宋" w:hAnsi="仿宋" w:eastAsia="仿宋" w:cs="仿宋"/>
          <w:sz w:val="24"/>
        </w:rPr>
      </w:pPr>
      <w:r>
        <w:rPr>
          <w:rFonts w:hint="eastAsia" w:ascii="仿宋" w:hAnsi="仿宋" w:eastAsia="仿宋" w:cs="仿宋"/>
          <w:sz w:val="24"/>
        </w:rPr>
        <w:t>4.2关于知识产权</w:t>
      </w:r>
    </w:p>
    <w:p w14:paraId="486E1103">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4.2.1 </w:t>
      </w:r>
      <w:r>
        <w:rPr>
          <w:rFonts w:hint="eastAsia" w:ascii="仿宋" w:hAnsi="仿宋" w:eastAsia="仿宋" w:cs="仿宋"/>
          <w:kern w:val="0"/>
          <w:sz w:val="24"/>
          <w:lang w:val="zh-CN"/>
        </w:rPr>
        <w:t>供应商</w:t>
      </w:r>
      <w:r>
        <w:rPr>
          <w:rFonts w:hint="eastAsia" w:ascii="仿宋" w:hAnsi="仿宋" w:eastAsia="仿宋" w:cs="仿宋"/>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lang w:val="zh-CN"/>
        </w:rPr>
        <w:t>供应商</w:t>
      </w:r>
      <w:r>
        <w:rPr>
          <w:rFonts w:hint="eastAsia" w:ascii="仿宋" w:hAnsi="仿宋" w:eastAsia="仿宋" w:cs="仿宋"/>
          <w:sz w:val="24"/>
        </w:rPr>
        <w:t>承担。</w:t>
      </w:r>
    </w:p>
    <w:p w14:paraId="3B64A7C1">
      <w:pPr>
        <w:spacing w:line="360" w:lineRule="auto"/>
        <w:ind w:firstLine="480" w:firstLineChars="200"/>
        <w:rPr>
          <w:rFonts w:hint="eastAsia" w:ascii="仿宋" w:hAnsi="仿宋" w:eastAsia="仿宋" w:cs="仿宋"/>
          <w:sz w:val="24"/>
        </w:rPr>
      </w:pPr>
      <w:r>
        <w:rPr>
          <w:rFonts w:hint="eastAsia" w:ascii="仿宋" w:hAnsi="仿宋" w:eastAsia="仿宋" w:cs="仿宋"/>
          <w:sz w:val="24"/>
        </w:rPr>
        <w:t>4.2.2 投标报价应包含所有应向所有权人支付的专利权、商标权或其它知识产权的一切相关费用。</w:t>
      </w:r>
    </w:p>
    <w:p w14:paraId="12BEDA27">
      <w:pPr>
        <w:spacing w:line="360" w:lineRule="auto"/>
        <w:ind w:firstLine="480" w:firstLineChars="200"/>
        <w:rPr>
          <w:rFonts w:hint="eastAsia" w:ascii="仿宋" w:hAnsi="仿宋" w:eastAsia="仿宋" w:cs="仿宋"/>
          <w:sz w:val="24"/>
        </w:rPr>
      </w:pPr>
      <w:r>
        <w:rPr>
          <w:rFonts w:hint="eastAsia" w:ascii="仿宋" w:hAnsi="仿宋" w:eastAsia="仿宋" w:cs="仿宋"/>
          <w:sz w:val="24"/>
        </w:rPr>
        <w:t>4.2.3 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lang w:val="zh-CN"/>
        </w:rPr>
        <w:t>供应商</w:t>
      </w:r>
      <w:r>
        <w:rPr>
          <w:rFonts w:hint="eastAsia" w:ascii="仿宋" w:hAnsi="仿宋" w:eastAsia="仿宋" w:cs="仿宋"/>
          <w:sz w:val="24"/>
        </w:rPr>
        <w:t>承担所有责任及费用。</w:t>
      </w:r>
    </w:p>
    <w:p w14:paraId="7DCD91FB">
      <w:pPr>
        <w:spacing w:line="360" w:lineRule="auto"/>
        <w:ind w:firstLine="480" w:firstLineChars="200"/>
        <w:rPr>
          <w:rFonts w:hint="eastAsia" w:ascii="仿宋" w:hAnsi="仿宋" w:eastAsia="仿宋" w:cs="仿宋"/>
          <w:sz w:val="24"/>
        </w:rPr>
      </w:pPr>
      <w:r>
        <w:rPr>
          <w:rFonts w:hint="eastAsia" w:ascii="仿宋" w:hAnsi="仿宋" w:eastAsia="仿宋" w:cs="仿宋"/>
          <w:sz w:val="24"/>
        </w:rPr>
        <w:t>4.3</w:t>
      </w:r>
      <w:r>
        <w:rPr>
          <w:rFonts w:hint="eastAsia" w:ascii="仿宋" w:hAnsi="仿宋" w:eastAsia="仿宋" w:cs="仿宋"/>
          <w:kern w:val="0"/>
          <w:sz w:val="24"/>
          <w:lang w:val="zh-CN"/>
        </w:rPr>
        <w:t>供应商</w:t>
      </w:r>
      <w:r>
        <w:rPr>
          <w:rFonts w:hint="eastAsia" w:ascii="仿宋" w:hAnsi="仿宋" w:eastAsia="仿宋" w:cs="仿宋"/>
          <w:sz w:val="24"/>
        </w:rPr>
        <w:t>的风险</w:t>
      </w:r>
    </w:p>
    <w:p w14:paraId="1F89E258">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4.3.1 </w:t>
      </w:r>
      <w:r>
        <w:rPr>
          <w:rFonts w:hint="eastAsia" w:ascii="仿宋" w:hAnsi="仿宋" w:eastAsia="仿宋" w:cs="仿宋"/>
          <w:kern w:val="0"/>
          <w:sz w:val="24"/>
          <w:lang w:val="zh-CN"/>
        </w:rPr>
        <w:t>供应商</w:t>
      </w:r>
      <w:r>
        <w:rPr>
          <w:rFonts w:hint="eastAsia" w:ascii="仿宋" w:hAnsi="仿宋" w:eastAsia="仿宋" w:cs="仿宋"/>
          <w:sz w:val="24"/>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lang w:val="zh-CN"/>
        </w:rPr>
        <w:t>供应商</w:t>
      </w:r>
      <w:r>
        <w:rPr>
          <w:rFonts w:hint="eastAsia" w:ascii="仿宋" w:hAnsi="仿宋" w:eastAsia="仿宋" w:cs="仿宋"/>
          <w:sz w:val="24"/>
        </w:rPr>
        <w:t>承担,并对所提供的全部资料的真实性承担法律责任。</w:t>
      </w:r>
    </w:p>
    <w:p w14:paraId="4C87A9D7">
      <w:pPr>
        <w:spacing w:line="360" w:lineRule="auto"/>
        <w:ind w:firstLine="480" w:firstLineChars="200"/>
        <w:rPr>
          <w:rFonts w:hint="eastAsia" w:ascii="仿宋" w:hAnsi="仿宋" w:eastAsia="仿宋" w:cs="仿宋"/>
          <w:sz w:val="24"/>
        </w:rPr>
      </w:pPr>
      <w:r>
        <w:rPr>
          <w:rFonts w:hint="eastAsia" w:ascii="仿宋" w:hAnsi="仿宋" w:eastAsia="仿宋" w:cs="仿宋"/>
          <w:sz w:val="24"/>
        </w:rPr>
        <w:t>4.3.2 无论因何种原因导致本次采购活动终止致</w:t>
      </w:r>
      <w:r>
        <w:rPr>
          <w:rFonts w:hint="eastAsia" w:ascii="仿宋" w:hAnsi="仿宋" w:eastAsia="仿宋" w:cs="仿宋"/>
          <w:kern w:val="0"/>
          <w:sz w:val="24"/>
          <w:lang w:val="zh-CN"/>
        </w:rPr>
        <w:t>供应商</w:t>
      </w:r>
      <w:r>
        <w:rPr>
          <w:rFonts w:hint="eastAsia" w:ascii="仿宋" w:hAnsi="仿宋" w:eastAsia="仿宋" w:cs="仿宋"/>
          <w:sz w:val="24"/>
        </w:rPr>
        <w:t>损失的，相关责任人均不承担任何责任。</w:t>
      </w:r>
    </w:p>
    <w:p w14:paraId="3D0E37B7">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30" w:name="_Toc129089001"/>
      <w:bookmarkStart w:id="31" w:name="_Toc129089121"/>
      <w:bookmarkStart w:id="32" w:name="_Toc129088742"/>
      <w:r>
        <w:rPr>
          <w:rFonts w:hint="eastAsia" w:ascii="仿宋" w:hAnsi="仿宋" w:eastAsia="仿宋" w:cs="仿宋"/>
          <w:b/>
          <w:sz w:val="24"/>
        </w:rPr>
        <w:t>询问、质疑、投诉</w:t>
      </w:r>
      <w:bookmarkEnd w:id="30"/>
      <w:bookmarkEnd w:id="31"/>
      <w:bookmarkEnd w:id="32"/>
    </w:p>
    <w:p w14:paraId="2000B857">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.1供应商询问</w:t>
      </w:r>
    </w:p>
    <w:p w14:paraId="7945DE25">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9B187C">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.2供应商质疑</w:t>
      </w:r>
    </w:p>
    <w:p w14:paraId="5B12BAE7">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88DD7AB">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FCA0269">
      <w:pPr>
        <w:spacing w:line="360" w:lineRule="auto"/>
        <w:ind w:firstLine="480" w:firstLineChars="200"/>
        <w:rPr>
          <w:rFonts w:hint="eastAsia" w:ascii="仿宋" w:hAnsi="仿宋" w:eastAsia="仿宋" w:cs="仿宋"/>
          <w:sz w:val="24"/>
        </w:rPr>
      </w:pPr>
      <w:r>
        <w:rPr>
          <w:rFonts w:hint="eastAsia" w:ascii="仿宋" w:hAnsi="仿宋" w:eastAsia="仿宋" w:cs="仿宋"/>
          <w:sz w:val="24"/>
        </w:rPr>
        <w:t>5.2.2.1对招标文件提出质疑的，质疑期限为供应商获得招标文件之日或者招标文件公告期限届满之日起计算。</w:t>
      </w:r>
    </w:p>
    <w:p w14:paraId="14A4C088">
      <w:pPr>
        <w:spacing w:line="360" w:lineRule="auto"/>
        <w:ind w:firstLine="480" w:firstLineChars="200"/>
        <w:rPr>
          <w:rFonts w:hint="eastAsia" w:ascii="仿宋" w:hAnsi="仿宋" w:eastAsia="仿宋" w:cs="仿宋"/>
          <w:sz w:val="24"/>
        </w:rPr>
      </w:pPr>
      <w:r>
        <w:rPr>
          <w:rFonts w:hint="eastAsia" w:ascii="仿宋" w:hAnsi="仿宋" w:eastAsia="仿宋" w:cs="仿宋"/>
          <w:sz w:val="24"/>
        </w:rPr>
        <w:t>5.2.2.2对采购过程提出质疑的，质疑期限为各采购程序环节结束之日起计算。</w:t>
      </w:r>
    </w:p>
    <w:p w14:paraId="314F513A">
      <w:pPr>
        <w:spacing w:line="360" w:lineRule="auto"/>
        <w:ind w:firstLine="480" w:firstLineChars="200"/>
        <w:rPr>
          <w:rFonts w:hint="eastAsia" w:ascii="仿宋" w:hAnsi="仿宋" w:eastAsia="仿宋" w:cs="仿宋"/>
          <w:sz w:val="24"/>
        </w:rPr>
      </w:pPr>
      <w:r>
        <w:rPr>
          <w:rFonts w:hint="eastAsia" w:ascii="仿宋" w:hAnsi="仿宋" w:eastAsia="仿宋" w:cs="仿宋"/>
          <w:sz w:val="24"/>
        </w:rPr>
        <w:t>5.2.2.3对采购结果提出质疑的，质疑期限自采购结果公告期限届满之日起计算。</w:t>
      </w:r>
    </w:p>
    <w:p w14:paraId="0C6CF0C0">
      <w:pPr>
        <w:spacing w:line="360" w:lineRule="auto"/>
        <w:ind w:firstLine="480" w:firstLineChars="200"/>
        <w:rPr>
          <w:rFonts w:hint="eastAsia" w:ascii="仿宋" w:hAnsi="仿宋" w:eastAsia="仿宋" w:cs="仿宋"/>
          <w:sz w:val="24"/>
        </w:rPr>
      </w:pPr>
      <w:r>
        <w:rPr>
          <w:rFonts w:hint="eastAsia" w:ascii="仿宋" w:hAnsi="仿宋" w:eastAsia="仿宋" w:cs="仿宋"/>
          <w:sz w:val="24"/>
        </w:rPr>
        <w:t>5.2.2.4对同一采购程序环节的质疑，供应商须一次性提出。</w:t>
      </w:r>
    </w:p>
    <w:p w14:paraId="600C965E">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w:t>
      </w:r>
      <w:r>
        <w:rPr>
          <w:rFonts w:hint="eastAsia" w:ascii="仿宋" w:hAnsi="仿宋" w:eastAsia="仿宋" w:cs="仿宋"/>
          <w:sz w:val="24"/>
        </w:rPr>
        <w:t>供应商提出质疑应当提交质疑函和必要的证明材料。质疑函应当包括下列内容：</w:t>
      </w:r>
    </w:p>
    <w:p w14:paraId="69A909C3">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.2.3.1供应商的姓名或者名称、地址、邮编、联系人及联系电话；</w:t>
      </w:r>
    </w:p>
    <w:p w14:paraId="04460152">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.2.3.2质疑项目的名称、编号；</w:t>
      </w:r>
    </w:p>
    <w:p w14:paraId="19431EB1">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.2.3.3具体、明确的质疑事项和与质疑事项相关的请求；</w:t>
      </w:r>
    </w:p>
    <w:p w14:paraId="4C6AFEBF">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.2.3.4事实依据；</w:t>
      </w:r>
    </w:p>
    <w:p w14:paraId="0AEC7B79">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.2.3.5必要的法律依据；</w:t>
      </w:r>
    </w:p>
    <w:p w14:paraId="410D53E4">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.2.3.6提出质疑的日期。</w:t>
      </w:r>
    </w:p>
    <w:p w14:paraId="09A56CBC">
      <w:pPr>
        <w:spacing w:line="360" w:lineRule="auto"/>
        <w:ind w:firstLine="480" w:firstLineChars="200"/>
        <w:rPr>
          <w:rFonts w:hint="eastAsia" w:ascii="仿宋" w:hAnsi="仿宋" w:eastAsia="仿宋" w:cs="仿宋"/>
          <w:sz w:val="24"/>
        </w:rPr>
      </w:pPr>
      <w:r>
        <w:rPr>
          <w:rFonts w:hint="eastAsia" w:ascii="仿宋" w:hAnsi="仿宋" w:eastAsia="仿宋" w:cs="仿宋"/>
          <w:sz w:val="24"/>
        </w:rPr>
        <w:t>5.2.3.7对招标文件提出质疑的需要提供在政采云平台获取招标文件的截图。</w:t>
      </w:r>
    </w:p>
    <w:p w14:paraId="61C9B8EE">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7B22B8F4">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质疑函范本请到浙江政府采购网下载专区下载。</w:t>
      </w:r>
    </w:p>
    <w:p w14:paraId="609732AF">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1CC0223">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.5询问或者质疑事项可能影响采购结果的，采购人应当暂停签订合同，已经签订合同的，应当中止履行合同。</w:t>
      </w:r>
    </w:p>
    <w:p w14:paraId="6F196D9A">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.3供应商投诉</w:t>
      </w:r>
    </w:p>
    <w:p w14:paraId="16E1FC7A">
      <w:pPr>
        <w:spacing w:line="360" w:lineRule="auto"/>
        <w:ind w:firstLine="480" w:firstLineChars="200"/>
        <w:rPr>
          <w:rFonts w:hint="eastAsia" w:ascii="仿宋" w:hAnsi="仿宋" w:eastAsia="仿宋" w:cs="仿宋"/>
          <w:sz w:val="24"/>
        </w:rPr>
      </w:pPr>
      <w:r>
        <w:rPr>
          <w:rFonts w:hint="eastAsia" w:ascii="仿宋" w:hAnsi="仿宋" w:eastAsia="仿宋" w:cs="仿宋"/>
          <w:sz w:val="24"/>
        </w:rPr>
        <w:t>5.3.1质疑供应商对采购人、采购代理机构的答复不满意或者采购人、采购代理机构未在规定的时间内作出答复的，可以在答复期满后十五个工作日内向同级政府采购监督管理部门提出投诉。</w:t>
      </w:r>
    </w:p>
    <w:p w14:paraId="72C19C01">
      <w:pPr>
        <w:spacing w:line="360" w:lineRule="auto"/>
        <w:ind w:firstLine="480" w:firstLineChars="200"/>
        <w:rPr>
          <w:rFonts w:hint="eastAsia" w:ascii="仿宋" w:hAnsi="仿宋" w:eastAsia="仿宋" w:cs="仿宋"/>
          <w:sz w:val="24"/>
        </w:rPr>
      </w:pPr>
      <w:r>
        <w:rPr>
          <w:rFonts w:hint="eastAsia" w:ascii="仿宋" w:hAnsi="仿宋" w:eastAsia="仿宋" w:cs="仿宋"/>
          <w:sz w:val="24"/>
        </w:rPr>
        <w:t>5.3.</w:t>
      </w:r>
      <w:r>
        <w:rPr>
          <w:rFonts w:hint="eastAsia" w:ascii="仿宋" w:hAnsi="仿宋" w:eastAsia="仿宋" w:cs="仿宋"/>
          <w:sz w:val="24"/>
          <w:lang w:val="zh-CN"/>
        </w:rPr>
        <w:t>2</w:t>
      </w:r>
      <w:r>
        <w:rPr>
          <w:rFonts w:hint="eastAsia" w:ascii="仿宋" w:hAnsi="仿宋" w:eastAsia="仿宋" w:cs="仿宋"/>
          <w:sz w:val="24"/>
        </w:rPr>
        <w:t>供应商投诉的事项不得超出已质疑事项的范围，基于质疑答复内容提出的投诉事项除外。</w:t>
      </w:r>
    </w:p>
    <w:p w14:paraId="6EA87B5C">
      <w:pPr>
        <w:spacing w:line="360" w:lineRule="auto"/>
        <w:ind w:firstLine="480" w:firstLineChars="200"/>
        <w:rPr>
          <w:rFonts w:hint="eastAsia" w:ascii="仿宋" w:hAnsi="仿宋" w:eastAsia="仿宋" w:cs="仿宋"/>
          <w:sz w:val="24"/>
        </w:rPr>
      </w:pPr>
      <w:r>
        <w:rPr>
          <w:rFonts w:hint="eastAsia" w:ascii="仿宋" w:hAnsi="仿宋" w:eastAsia="仿宋" w:cs="仿宋"/>
          <w:sz w:val="24"/>
        </w:rPr>
        <w:t>5.3.3供应商投诉应当有明确的请求和必要的证明材料。</w:t>
      </w:r>
    </w:p>
    <w:p w14:paraId="5B92C221">
      <w:pPr>
        <w:spacing w:line="360" w:lineRule="auto"/>
        <w:ind w:firstLine="480" w:firstLineChars="200"/>
        <w:rPr>
          <w:rFonts w:hint="eastAsia" w:ascii="仿宋" w:hAnsi="仿宋" w:eastAsia="仿宋" w:cs="仿宋"/>
          <w:sz w:val="24"/>
        </w:rPr>
      </w:pPr>
      <w:r>
        <w:rPr>
          <w:rFonts w:hint="eastAsia" w:ascii="仿宋" w:hAnsi="仿宋" w:eastAsia="仿宋" w:cs="仿宋"/>
          <w:sz w:val="24"/>
        </w:rPr>
        <w:t>5.3.5 以联合体形式参加政府采购活动的，其投诉应当由组成联合体的所有供应商共同提出。</w:t>
      </w:r>
    </w:p>
    <w:p w14:paraId="2A5D91A8">
      <w:pPr>
        <w:spacing w:line="360" w:lineRule="auto"/>
        <w:ind w:firstLine="480" w:firstLineChars="200"/>
        <w:rPr>
          <w:rFonts w:hint="eastAsia" w:ascii="仿宋" w:hAnsi="仿宋" w:eastAsia="仿宋" w:cs="仿宋"/>
          <w:sz w:val="18"/>
          <w:szCs w:val="18"/>
        </w:rPr>
      </w:pPr>
      <w:r>
        <w:rPr>
          <w:rFonts w:hint="eastAsia" w:ascii="仿宋" w:hAnsi="仿宋" w:eastAsia="仿宋" w:cs="仿宋"/>
          <w:sz w:val="24"/>
        </w:rPr>
        <w:t>投诉书范本请到浙江政府采购网下载专区下载。</w:t>
      </w:r>
    </w:p>
    <w:p w14:paraId="15B2A826">
      <w:pPr>
        <w:spacing w:line="360" w:lineRule="auto"/>
        <w:jc w:val="center"/>
        <w:outlineLvl w:val="0"/>
        <w:rPr>
          <w:rFonts w:hint="eastAsia" w:ascii="仿宋" w:hAnsi="仿宋" w:eastAsia="仿宋" w:cs="仿宋"/>
          <w:b/>
          <w:sz w:val="32"/>
          <w:szCs w:val="20"/>
        </w:rPr>
      </w:pPr>
      <w:r>
        <w:rPr>
          <w:rFonts w:ascii="仿宋" w:hAnsi="仿宋" w:eastAsia="仿宋" w:cs="仿宋"/>
          <w:b/>
          <w:sz w:val="32"/>
          <w:szCs w:val="20"/>
        </w:rPr>
        <w:br w:type="page"/>
      </w:r>
      <w:bookmarkStart w:id="33" w:name="_Toc129088743"/>
      <w:bookmarkStart w:id="34" w:name="_Toc129089122"/>
      <w:r>
        <w:rPr>
          <w:rFonts w:hint="eastAsia" w:ascii="仿宋" w:hAnsi="仿宋" w:eastAsia="仿宋" w:cs="仿宋"/>
          <w:b/>
          <w:sz w:val="32"/>
          <w:szCs w:val="20"/>
        </w:rPr>
        <w:t>二、招标文件的构成、澄清、修改</w:t>
      </w:r>
      <w:bookmarkEnd w:id="33"/>
      <w:bookmarkEnd w:id="34"/>
    </w:p>
    <w:p w14:paraId="7859551E">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35" w:name="_Toc129089123"/>
      <w:bookmarkStart w:id="36" w:name="_Toc129089003"/>
      <w:bookmarkStart w:id="37" w:name="_Toc129088744"/>
      <w:r>
        <w:rPr>
          <w:rFonts w:hint="eastAsia" w:ascii="仿宋" w:hAnsi="仿宋" w:eastAsia="仿宋" w:cs="仿宋"/>
          <w:b/>
          <w:sz w:val="24"/>
        </w:rPr>
        <w:t>招标文件的构成</w:t>
      </w:r>
      <w:bookmarkEnd w:id="35"/>
      <w:bookmarkEnd w:id="36"/>
      <w:bookmarkEnd w:id="37"/>
    </w:p>
    <w:p w14:paraId="097F0FF4">
      <w:pPr>
        <w:pStyle w:val="1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 招标文件包括下列文件及附件：</w:t>
      </w:r>
    </w:p>
    <w:p w14:paraId="13EE3CAB">
      <w:pPr>
        <w:pStyle w:val="1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6.1.1 招标公告；</w:t>
      </w:r>
    </w:p>
    <w:p w14:paraId="34840DFA">
      <w:pPr>
        <w:pStyle w:val="1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6.1.2 </w:t>
      </w:r>
      <w:r>
        <w:rPr>
          <w:rFonts w:hint="eastAsia" w:ascii="仿宋" w:hAnsi="仿宋" w:eastAsia="仿宋" w:cs="仿宋"/>
          <w:sz w:val="24"/>
          <w:szCs w:val="24"/>
          <w:lang w:val="zh-CN"/>
        </w:rPr>
        <w:t>投标</w:t>
      </w:r>
      <w:r>
        <w:rPr>
          <w:rFonts w:hint="eastAsia" w:ascii="仿宋" w:hAnsi="仿宋" w:eastAsia="仿宋" w:cs="仿宋"/>
          <w:sz w:val="24"/>
          <w:szCs w:val="24"/>
        </w:rPr>
        <w:t>须知；</w:t>
      </w:r>
    </w:p>
    <w:p w14:paraId="622ADAF5">
      <w:pPr>
        <w:pStyle w:val="1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6.1.3 采购需求；</w:t>
      </w:r>
    </w:p>
    <w:p w14:paraId="5B1513BE">
      <w:pPr>
        <w:pStyle w:val="1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6.1.4 评标办法；</w:t>
      </w:r>
    </w:p>
    <w:p w14:paraId="7182E107">
      <w:pPr>
        <w:pStyle w:val="1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6.1.5 拟签订的合同文本；</w:t>
      </w:r>
    </w:p>
    <w:p w14:paraId="10E2D080">
      <w:pPr>
        <w:pStyle w:val="1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6.1.6 应提交的有关格式范例。</w:t>
      </w:r>
    </w:p>
    <w:p w14:paraId="24E6FFE3">
      <w:pPr>
        <w:spacing w:line="360" w:lineRule="auto"/>
        <w:ind w:firstLine="480" w:firstLineChars="200"/>
        <w:rPr>
          <w:rFonts w:hint="eastAsia" w:ascii="仿宋" w:hAnsi="仿宋" w:eastAsia="仿宋" w:cs="仿宋"/>
          <w:sz w:val="24"/>
        </w:rPr>
      </w:pPr>
      <w:r>
        <w:rPr>
          <w:rFonts w:hint="eastAsia" w:ascii="仿宋" w:hAnsi="仿宋" w:eastAsia="仿宋" w:cs="仿宋"/>
          <w:sz w:val="24"/>
        </w:rPr>
        <w:t>6.2与本项目有关的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3205EB14">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38" w:name="_Toc129089124"/>
      <w:bookmarkStart w:id="39" w:name="_Toc129089004"/>
      <w:bookmarkStart w:id="40" w:name="_Toc129088745"/>
      <w:r>
        <w:rPr>
          <w:rFonts w:hint="eastAsia" w:ascii="仿宋" w:hAnsi="仿宋" w:eastAsia="仿宋" w:cs="仿宋"/>
          <w:b/>
          <w:sz w:val="24"/>
        </w:rPr>
        <w:t>招标文件的澄清、修改</w:t>
      </w:r>
      <w:bookmarkEnd w:id="38"/>
      <w:bookmarkEnd w:id="39"/>
      <w:bookmarkEnd w:id="40"/>
    </w:p>
    <w:p w14:paraId="7A2E56DA">
      <w:pPr>
        <w:spacing w:line="360" w:lineRule="auto"/>
        <w:ind w:firstLine="480" w:firstLineChars="200"/>
        <w:rPr>
          <w:rFonts w:hint="eastAsia" w:ascii="仿宋" w:hAnsi="仿宋" w:eastAsia="仿宋" w:cs="仿宋"/>
          <w:sz w:val="24"/>
        </w:rPr>
      </w:pPr>
      <w:r>
        <w:rPr>
          <w:rFonts w:hint="eastAsia" w:ascii="仿宋" w:hAnsi="仿宋" w:eastAsia="仿宋" w:cs="仿宋"/>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74D37A95">
      <w:pPr>
        <w:spacing w:line="360" w:lineRule="auto"/>
        <w:ind w:firstLine="480" w:firstLineChars="200"/>
        <w:rPr>
          <w:rFonts w:hint="eastAsia" w:ascii="仿宋" w:hAnsi="仿宋" w:eastAsia="仿宋" w:cs="仿宋"/>
          <w:sz w:val="24"/>
        </w:rPr>
      </w:pPr>
      <w:r>
        <w:rPr>
          <w:rFonts w:hint="eastAsia" w:ascii="仿宋" w:hAnsi="仿宋" w:eastAsia="仿宋" w:cs="仿宋"/>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4B41DF27">
      <w:pPr>
        <w:spacing w:line="360" w:lineRule="auto"/>
        <w:ind w:firstLine="480" w:firstLineChars="200"/>
        <w:rPr>
          <w:rFonts w:hint="eastAsia" w:ascii="仿宋" w:hAnsi="仿宋" w:eastAsia="仿宋" w:cs="仿宋"/>
          <w:sz w:val="24"/>
        </w:rPr>
      </w:pPr>
      <w:r>
        <w:rPr>
          <w:rFonts w:hint="eastAsia" w:ascii="仿宋" w:hAnsi="仿宋" w:eastAsia="仿宋" w:cs="仿宋"/>
          <w:sz w:val="24"/>
        </w:rPr>
        <w:t>7.3 如更正公告有重新发布电子招标文件的，</w:t>
      </w:r>
      <w:r>
        <w:rPr>
          <w:rFonts w:hint="eastAsia" w:ascii="仿宋" w:hAnsi="仿宋" w:eastAsia="仿宋" w:cs="仿宋"/>
          <w:kern w:val="0"/>
          <w:sz w:val="24"/>
          <w:lang w:val="zh-CN"/>
        </w:rPr>
        <w:t>供应商</w:t>
      </w:r>
      <w:r>
        <w:rPr>
          <w:rFonts w:hint="eastAsia" w:ascii="仿宋" w:hAnsi="仿宋" w:eastAsia="仿宋" w:cs="仿宋"/>
          <w:sz w:val="24"/>
        </w:rPr>
        <w:t>应下载最新发布的电子招标文件制作投标文件。</w:t>
      </w:r>
    </w:p>
    <w:p w14:paraId="42A7FC24">
      <w:pPr>
        <w:spacing w:line="360" w:lineRule="auto"/>
        <w:ind w:firstLine="480" w:firstLineChars="200"/>
        <w:rPr>
          <w:rFonts w:hint="eastAsia" w:ascii="仿宋" w:hAnsi="仿宋" w:eastAsia="仿宋" w:cs="仿宋"/>
          <w:b/>
          <w:sz w:val="30"/>
          <w:szCs w:val="20"/>
        </w:rPr>
      </w:pPr>
      <w:r>
        <w:rPr>
          <w:rFonts w:hint="eastAsia" w:ascii="仿宋" w:hAnsi="仿宋" w:eastAsia="仿宋" w:cs="仿宋"/>
          <w:sz w:val="24"/>
        </w:rPr>
        <w:t>7.4 已获取招标文件的潜在</w:t>
      </w:r>
      <w:r>
        <w:rPr>
          <w:rFonts w:hint="eastAsia" w:ascii="仿宋" w:hAnsi="仿宋" w:eastAsia="仿宋" w:cs="仿宋"/>
          <w:kern w:val="0"/>
          <w:sz w:val="24"/>
          <w:lang w:val="zh-CN"/>
        </w:rPr>
        <w:t>供应商</w:t>
      </w:r>
      <w:r>
        <w:rPr>
          <w:rFonts w:hint="eastAsia" w:ascii="仿宋" w:hAnsi="仿宋" w:eastAsia="仿宋" w:cs="仿宋"/>
          <w:sz w:val="24"/>
        </w:rPr>
        <w:t>，若有问题需要澄清，应于投标截止时间前，以书面形式向采购代理机构提出。</w:t>
      </w:r>
      <w:r>
        <w:rPr>
          <w:rFonts w:hint="eastAsia" w:ascii="仿宋" w:hAnsi="仿宋" w:eastAsia="仿宋" w:cs="仿宋"/>
          <w:kern w:val="0"/>
          <w:sz w:val="24"/>
          <w:lang w:val="zh-CN"/>
        </w:rPr>
        <w:t>供应商</w:t>
      </w:r>
      <w:r>
        <w:rPr>
          <w:rFonts w:hint="eastAsia" w:ascii="仿宋" w:hAnsi="仿宋" w:eastAsia="仿宋" w:cs="仿宋"/>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lang w:val="zh-CN"/>
        </w:rPr>
        <w:t>供应商</w:t>
      </w:r>
      <w:r>
        <w:rPr>
          <w:rFonts w:hint="eastAsia" w:ascii="仿宋" w:hAnsi="仿宋" w:eastAsia="仿宋" w:cs="仿宋"/>
          <w:sz w:val="24"/>
        </w:rPr>
        <w:t>。</w:t>
      </w:r>
    </w:p>
    <w:p w14:paraId="7843D840">
      <w:pPr>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br w:type="page"/>
      </w:r>
      <w:bookmarkStart w:id="41" w:name="_Toc129088746"/>
      <w:bookmarkStart w:id="42" w:name="_Toc129089125"/>
      <w:r>
        <w:rPr>
          <w:rFonts w:hint="eastAsia" w:ascii="仿宋" w:hAnsi="仿宋" w:eastAsia="仿宋" w:cs="仿宋"/>
          <w:b/>
          <w:sz w:val="30"/>
          <w:szCs w:val="20"/>
        </w:rPr>
        <w:t>三、投标</w:t>
      </w:r>
      <w:bookmarkEnd w:id="41"/>
      <w:bookmarkEnd w:id="42"/>
    </w:p>
    <w:p w14:paraId="620517C3">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43" w:name="_Toc129089006"/>
      <w:bookmarkStart w:id="44" w:name="_Toc129089126"/>
      <w:bookmarkStart w:id="45" w:name="_Toc129088747"/>
      <w:r>
        <w:rPr>
          <w:rFonts w:hint="eastAsia" w:ascii="仿宋" w:hAnsi="仿宋" w:eastAsia="仿宋" w:cs="仿宋"/>
          <w:b/>
          <w:sz w:val="24"/>
        </w:rPr>
        <w:t>投标文件的语言</w:t>
      </w:r>
      <w:bookmarkEnd w:id="43"/>
      <w:bookmarkEnd w:id="44"/>
      <w:bookmarkEnd w:id="45"/>
    </w:p>
    <w:p w14:paraId="092D4AB0">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kern w:val="0"/>
          <w:sz w:val="24"/>
          <w:lang w:val="zh-CN"/>
        </w:rPr>
        <w:t>供应商</w:t>
      </w:r>
      <w:r>
        <w:rPr>
          <w:rFonts w:hint="eastAsia" w:ascii="仿宋" w:hAnsi="仿宋" w:eastAsia="仿宋" w:cs="仿宋"/>
          <w:sz w:val="24"/>
        </w:rPr>
        <w:t>与采购有关的来往通知、函件和文件均应使用中文。</w:t>
      </w:r>
    </w:p>
    <w:p w14:paraId="47479B74">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46" w:name="_Toc129089007"/>
      <w:bookmarkStart w:id="47" w:name="_Toc129088748"/>
      <w:bookmarkStart w:id="48" w:name="_Toc129089127"/>
      <w:r>
        <w:rPr>
          <w:rFonts w:hint="eastAsia" w:ascii="仿宋" w:hAnsi="仿宋" w:eastAsia="仿宋" w:cs="仿宋"/>
          <w:b/>
          <w:sz w:val="24"/>
        </w:rPr>
        <w:t>投标文件的组成</w:t>
      </w:r>
      <w:bookmarkEnd w:id="46"/>
      <w:bookmarkEnd w:id="47"/>
      <w:bookmarkEnd w:id="48"/>
    </w:p>
    <w:p w14:paraId="6CBB868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b/>
          <w:sz w:val="24"/>
        </w:rPr>
        <w:t>资格文件</w:t>
      </w:r>
      <w:r>
        <w:rPr>
          <w:rFonts w:hint="eastAsia" w:ascii="仿宋" w:hAnsi="仿宋" w:eastAsia="仿宋" w:cs="仿宋"/>
          <w:sz w:val="24"/>
        </w:rPr>
        <w:t>：</w:t>
      </w:r>
    </w:p>
    <w:p w14:paraId="1583E2A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9.1.1有效的企业法人营业执照（或事业法人登记证）、其他组织（个体工商户）的营业执照或者民办非企业单位登记证书；</w:t>
      </w:r>
    </w:p>
    <w:p w14:paraId="062EA96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9.1.2符合参加政府采购活动应当具备的一般条件的承诺函(格式见第六部分)；</w:t>
      </w:r>
    </w:p>
    <w:p w14:paraId="1C42BD9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9.1.3落实政府采购政策需满足的资格要求（无）；</w:t>
      </w:r>
    </w:p>
    <w:p w14:paraId="744D225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9.1.4联合协议（如有）；</w:t>
      </w:r>
    </w:p>
    <w:p w14:paraId="329A739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9.1.5分包意向协议（如有）；</w:t>
      </w:r>
    </w:p>
    <w:p w14:paraId="6B0AAF4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9.1.6本项目的特定资格要求（如有）。</w:t>
      </w:r>
    </w:p>
    <w:p w14:paraId="3B7382DF">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22D2158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9.2.1符合性自查表；</w:t>
      </w:r>
    </w:p>
    <w:p w14:paraId="5966918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9.2.2投标函；</w:t>
      </w:r>
    </w:p>
    <w:p w14:paraId="22EA9D2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9.2.3授权委托书或法定代表人（单位负责人、自然人本人）身份证明；</w:t>
      </w:r>
    </w:p>
    <w:p w14:paraId="6618FD8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9.2.4供应商情况表；</w:t>
      </w:r>
    </w:p>
    <w:p w14:paraId="67E263B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9.2.5距采购人最近或者能为本项目提供最优服务的网点情况表；</w:t>
      </w:r>
    </w:p>
    <w:p w14:paraId="7C6354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9.2.6拟投设备详细技术参数说明；（包括但不限于）</w:t>
      </w:r>
    </w:p>
    <w:p w14:paraId="6D60635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（1）产品名称；（2）技术规格；（3）产品数量；（4）产品材质、品牌和产地（包含主材、辅材等）或关键元器件明细表（包括制造厂名和国别）；（5）特殊工具及备件清单。</w:t>
      </w:r>
    </w:p>
    <w:p w14:paraId="46B4047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9.2.7评标标准相应的商务技术资料；</w:t>
      </w:r>
    </w:p>
    <w:p w14:paraId="1DA612E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9.2.8商务响应表；</w:t>
      </w:r>
    </w:p>
    <w:p w14:paraId="2721D18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9.2.9技术响应表；</w:t>
      </w:r>
    </w:p>
    <w:p w14:paraId="0E8EDD1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9.2.10同类业绩情况一览表；</w:t>
      </w:r>
    </w:p>
    <w:p w14:paraId="1291969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9.2.11政府采购供应商廉洁自律承诺书；</w:t>
      </w:r>
    </w:p>
    <w:p w14:paraId="1A1A320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9.2.12其他资料（如有）。</w:t>
      </w:r>
    </w:p>
    <w:p w14:paraId="1524CF05">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rPr>
        <w:t>9</w:t>
      </w:r>
      <w:r>
        <w:rPr>
          <w:rFonts w:hint="eastAsia" w:ascii="仿宋" w:hAnsi="仿宋" w:eastAsia="仿宋" w:cs="仿宋"/>
          <w:kern w:val="0"/>
          <w:sz w:val="24"/>
          <w:lang w:val="zh-CN"/>
        </w:rPr>
        <w:t>.</w:t>
      </w:r>
      <w:r>
        <w:rPr>
          <w:rFonts w:hint="eastAsia" w:ascii="仿宋" w:hAnsi="仿宋" w:eastAsia="仿宋" w:cs="仿宋"/>
          <w:kern w:val="0"/>
          <w:sz w:val="24"/>
        </w:rPr>
        <w:t xml:space="preserve">3 </w:t>
      </w:r>
      <w:r>
        <w:rPr>
          <w:rFonts w:hint="eastAsia" w:ascii="仿宋" w:hAnsi="仿宋" w:eastAsia="仿宋" w:cs="仿宋"/>
          <w:b/>
          <w:sz w:val="24"/>
        </w:rPr>
        <w:t>报价文件：</w:t>
      </w:r>
    </w:p>
    <w:p w14:paraId="3B24179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9.3.1开标一览表；</w:t>
      </w:r>
    </w:p>
    <w:p w14:paraId="6F0691B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9.3.2投标报价明细表；</w:t>
      </w:r>
    </w:p>
    <w:p w14:paraId="34DBBB9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w:t>
      </w:r>
      <w:r>
        <w:rPr>
          <w:rFonts w:ascii="仿宋" w:hAnsi="仿宋" w:eastAsia="仿宋" w:cs="仿宋"/>
          <w:sz w:val="24"/>
          <w:highlight w:val="none"/>
        </w:rPr>
        <w:t>3</w:t>
      </w:r>
      <w:r>
        <w:rPr>
          <w:rFonts w:hint="eastAsia" w:ascii="仿宋" w:hAnsi="仿宋" w:eastAsia="仿宋" w:cs="仿宋"/>
          <w:sz w:val="24"/>
          <w:highlight w:val="none"/>
        </w:rPr>
        <w:t>.</w:t>
      </w:r>
      <w:r>
        <w:rPr>
          <w:rFonts w:ascii="仿宋" w:hAnsi="仿宋" w:eastAsia="仿宋" w:cs="仿宋"/>
          <w:sz w:val="24"/>
          <w:highlight w:val="none"/>
        </w:rPr>
        <w:t>3</w:t>
      </w:r>
      <w:r>
        <w:rPr>
          <w:rFonts w:hint="eastAsia" w:ascii="仿宋" w:hAnsi="仿宋" w:eastAsia="仿宋" w:cs="仿宋"/>
          <w:sz w:val="24"/>
          <w:highlight w:val="none"/>
        </w:rPr>
        <w:t>中小企业声明函或残疾人福利性单位声明函或监狱企业的证明文件</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w:t>
      </w:r>
    </w:p>
    <w:p w14:paraId="4825DA5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w:t>
      </w:r>
      <w:r>
        <w:rPr>
          <w:rFonts w:ascii="仿宋" w:hAnsi="仿宋" w:eastAsia="仿宋" w:cs="仿宋"/>
          <w:sz w:val="24"/>
        </w:rPr>
        <w:t>4</w:t>
      </w:r>
      <w:r>
        <w:rPr>
          <w:rFonts w:hint="eastAsia" w:ascii="仿宋" w:hAnsi="仿宋" w:eastAsia="仿宋" w:cs="仿宋"/>
          <w:sz w:val="24"/>
        </w:rPr>
        <w:t>政府采购统计基础信息表；</w:t>
      </w:r>
    </w:p>
    <w:p w14:paraId="4EB4473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w:t>
      </w:r>
      <w:r>
        <w:rPr>
          <w:rFonts w:ascii="仿宋" w:hAnsi="仿宋" w:eastAsia="仿宋" w:cs="仿宋"/>
          <w:sz w:val="24"/>
        </w:rPr>
        <w:t>5</w:t>
      </w:r>
      <w:r>
        <w:rPr>
          <w:rFonts w:hint="eastAsia" w:ascii="仿宋" w:hAnsi="仿宋" w:eastAsia="仿宋" w:cs="仿宋"/>
          <w:sz w:val="24"/>
        </w:rPr>
        <w:t>其他资料（如有）。</w:t>
      </w:r>
    </w:p>
    <w:p w14:paraId="71F61844">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49" w:name="_Toc129089008"/>
      <w:bookmarkStart w:id="50" w:name="_Toc129088749"/>
      <w:bookmarkStart w:id="51" w:name="_Toc129089128"/>
      <w:r>
        <w:rPr>
          <w:rFonts w:hint="eastAsia" w:ascii="仿宋" w:hAnsi="仿宋" w:eastAsia="仿宋" w:cs="仿宋"/>
          <w:b/>
          <w:sz w:val="24"/>
        </w:rPr>
        <w:t>投标文件的编制</w:t>
      </w:r>
      <w:bookmarkEnd w:id="49"/>
      <w:bookmarkEnd w:id="50"/>
      <w:bookmarkEnd w:id="51"/>
    </w:p>
    <w:p w14:paraId="4146BBBE">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rPr>
        <w:t>未有规定格式的资料，</w:t>
      </w:r>
      <w:r>
        <w:rPr>
          <w:rFonts w:hint="eastAsia" w:ascii="仿宋" w:hAnsi="仿宋" w:eastAsia="仿宋" w:cs="仿宋"/>
          <w:kern w:val="0"/>
          <w:sz w:val="24"/>
          <w:lang w:val="zh-CN"/>
        </w:rPr>
        <w:t>供应商</w:t>
      </w:r>
      <w:r>
        <w:rPr>
          <w:rFonts w:hint="eastAsia" w:ascii="仿宋" w:hAnsi="仿宋" w:eastAsia="仿宋" w:cs="仿宋"/>
          <w:kern w:val="0"/>
          <w:sz w:val="24"/>
        </w:rPr>
        <w:t>应自行编制，但至少须包含9.投标文件组成中的内容。</w:t>
      </w:r>
      <w:r>
        <w:rPr>
          <w:rFonts w:hint="eastAsia" w:ascii="仿宋" w:hAnsi="仿宋" w:eastAsia="仿宋" w:cs="仿宋"/>
          <w:kern w:val="0"/>
          <w:sz w:val="24"/>
          <w:lang w:val="zh-CN"/>
        </w:rPr>
        <w:t>混乱的编排导致投标文件被误读或评标委员会查找不到有效文件是供应商的风险。</w:t>
      </w:r>
    </w:p>
    <w:p w14:paraId="6CE82F6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33B3180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38533BCE">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52" w:name="_Toc129089009"/>
      <w:bookmarkStart w:id="53" w:name="_Toc129088750"/>
      <w:bookmarkStart w:id="54" w:name="_Toc129089129"/>
      <w:r>
        <w:rPr>
          <w:rFonts w:hint="eastAsia" w:ascii="仿宋" w:hAnsi="仿宋" w:eastAsia="仿宋" w:cs="仿宋"/>
          <w:b/>
          <w:sz w:val="24"/>
        </w:rPr>
        <w:t>投标文件的签署、盖章</w:t>
      </w:r>
      <w:bookmarkEnd w:id="52"/>
      <w:bookmarkEnd w:id="53"/>
      <w:bookmarkEnd w:id="54"/>
    </w:p>
    <w:p w14:paraId="0967F41B">
      <w:pPr>
        <w:pStyle w:val="73"/>
        <w:snapToGrid w:val="0"/>
        <w:spacing w:before="0"/>
        <w:ind w:firstLine="480"/>
        <w:rPr>
          <w:rFonts w:hint="eastAsia" w:ascii="仿宋" w:hAnsi="仿宋" w:eastAsia="仿宋" w:cs="仿宋"/>
          <w:b/>
        </w:rPr>
      </w:pPr>
      <w:r>
        <w:rPr>
          <w:rFonts w:hint="eastAsia" w:ascii="仿宋" w:hAnsi="仿宋" w:eastAsia="仿宋" w:cs="仿宋"/>
          <w:szCs w:val="24"/>
        </w:rPr>
        <w:t>11.1投标文件按照招标文件第六部分格式要</w:t>
      </w:r>
      <w:r>
        <w:rPr>
          <w:rFonts w:hint="eastAsia" w:ascii="仿宋" w:hAnsi="仿宋" w:eastAsia="仿宋" w:cs="仿宋"/>
        </w:rPr>
        <w:t>求进行签署、盖章。</w:t>
      </w:r>
      <w:r>
        <w:rPr>
          <w:rFonts w:hint="eastAsia" w:ascii="仿宋" w:hAnsi="仿宋" w:eastAsia="仿宋" w:cs="仿宋"/>
          <w:b/>
        </w:rPr>
        <w:t>★供应商的投标文件未按照招标文件要求签署、盖章影响效力的，其投标无效</w:t>
      </w:r>
      <w:r>
        <w:rPr>
          <w:rFonts w:hint="eastAsia" w:ascii="仿宋" w:hAnsi="仿宋" w:eastAsia="仿宋" w:cs="仿宋"/>
          <w:szCs w:val="24"/>
        </w:rPr>
        <w:t>。</w:t>
      </w:r>
    </w:p>
    <w:p w14:paraId="0DC1B192">
      <w:pPr>
        <w:pStyle w:val="73"/>
        <w:snapToGrid w:val="0"/>
        <w:spacing w:before="0"/>
        <w:ind w:firstLine="480"/>
        <w:rPr>
          <w:rFonts w:hint="eastAsia" w:ascii="仿宋" w:hAnsi="仿宋" w:eastAsia="仿宋" w:cs="仿宋"/>
        </w:rPr>
      </w:pPr>
      <w:r>
        <w:rPr>
          <w:rFonts w:hint="eastAsia" w:ascii="仿宋" w:hAnsi="仿宋" w:eastAsia="仿宋" w:cs="仿宋"/>
        </w:rPr>
        <w:t>11.2为确保网上操作合法、有效和安全，</w:t>
      </w:r>
      <w:r>
        <w:rPr>
          <w:rFonts w:hint="eastAsia" w:ascii="仿宋" w:hAnsi="仿宋" w:eastAsia="仿宋" w:cs="仿宋"/>
          <w:kern w:val="0"/>
          <w:lang w:val="zh-CN"/>
        </w:rPr>
        <w:t>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33328D3D">
      <w:pPr>
        <w:pStyle w:val="73"/>
        <w:snapToGrid w:val="0"/>
        <w:spacing w:before="0"/>
        <w:ind w:firstLine="480"/>
        <w:rPr>
          <w:rFonts w:hint="eastAsia" w:ascii="仿宋" w:hAnsi="仿宋" w:eastAsia="仿宋" w:cs="仿宋"/>
          <w:szCs w:val="24"/>
        </w:rPr>
      </w:pPr>
      <w:r>
        <w:rPr>
          <w:rFonts w:hint="eastAsia" w:ascii="仿宋" w:hAnsi="仿宋" w:eastAsia="仿宋" w:cs="仿宋"/>
        </w:rPr>
        <w:t>11.3招标文件对投标文件签署、盖章的要求适用于电子签名。</w:t>
      </w:r>
    </w:p>
    <w:p w14:paraId="2DDDBFC7">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55" w:name="_Toc129089130"/>
      <w:bookmarkStart w:id="56" w:name="_Toc129089010"/>
      <w:bookmarkStart w:id="57" w:name="_Toc129088751"/>
      <w:r>
        <w:rPr>
          <w:rFonts w:hint="eastAsia" w:ascii="仿宋" w:hAnsi="仿宋" w:eastAsia="仿宋" w:cs="仿宋"/>
          <w:b/>
          <w:sz w:val="24"/>
        </w:rPr>
        <w:t>投标文件的提交、补充、修改、撤回</w:t>
      </w:r>
      <w:bookmarkEnd w:id="55"/>
      <w:bookmarkEnd w:id="56"/>
      <w:bookmarkEnd w:id="57"/>
    </w:p>
    <w:p w14:paraId="5C5B6F10">
      <w:pPr>
        <w:pStyle w:val="73"/>
        <w:ind w:firstLine="480"/>
        <w:rPr>
          <w:rFonts w:hint="eastAsia" w:ascii="仿宋" w:hAnsi="仿宋" w:eastAsia="仿宋" w:cs="仿宋"/>
          <w:szCs w:val="24"/>
        </w:rPr>
      </w:pPr>
      <w:r>
        <w:rPr>
          <w:rFonts w:hint="eastAsia" w:ascii="仿宋" w:hAnsi="仿宋" w:eastAsia="仿宋" w:cs="仿宋"/>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AF2C92E">
      <w:pPr>
        <w:pStyle w:val="73"/>
        <w:spacing w:before="0"/>
        <w:ind w:firstLine="480"/>
        <w:rPr>
          <w:rFonts w:hint="eastAsia" w:ascii="仿宋" w:hAnsi="仿宋" w:eastAsia="仿宋" w:cs="仿宋"/>
          <w:szCs w:val="24"/>
        </w:rPr>
      </w:pPr>
      <w:r>
        <w:rPr>
          <w:rFonts w:hint="eastAsia" w:ascii="仿宋" w:hAnsi="仿宋" w:eastAsia="仿宋" w:cs="仿宋"/>
          <w:szCs w:val="24"/>
        </w:rPr>
        <w:t>12.2电子交易平台收到投标文件，将妥善保存并即时向供应商发出确认回执通知。在投标截止时间前，除供应商补充、修改或者撤回投标文件外，任何单位和个人不得解密或提取投标文件。</w:t>
      </w:r>
    </w:p>
    <w:p w14:paraId="3CED7B33">
      <w:pPr>
        <w:pStyle w:val="73"/>
        <w:spacing w:before="0"/>
        <w:ind w:firstLine="480"/>
        <w:rPr>
          <w:rFonts w:hint="eastAsia" w:ascii="仿宋" w:hAnsi="仿宋" w:eastAsia="仿宋" w:cs="仿宋"/>
          <w:szCs w:val="24"/>
        </w:rPr>
      </w:pPr>
      <w:r>
        <w:rPr>
          <w:rFonts w:hint="eastAsia" w:ascii="仿宋" w:hAnsi="仿宋" w:eastAsia="仿宋" w:cs="仿宋"/>
          <w:szCs w:val="24"/>
        </w:rPr>
        <w:t>12.3采购人、采购代理机构可以视情况延长投标文件提交的截止时间。在上述情况下，采购代理机构与</w:t>
      </w:r>
      <w:r>
        <w:rPr>
          <w:rFonts w:hint="eastAsia" w:ascii="仿宋" w:hAnsi="仿宋" w:eastAsia="仿宋" w:cs="仿宋"/>
          <w:kern w:val="0"/>
          <w:lang w:val="zh-CN"/>
        </w:rPr>
        <w:t>供应商</w:t>
      </w:r>
      <w:r>
        <w:rPr>
          <w:rFonts w:hint="eastAsia" w:ascii="仿宋" w:hAnsi="仿宋" w:eastAsia="仿宋" w:cs="仿宋"/>
          <w:szCs w:val="24"/>
        </w:rPr>
        <w:t>以前在投标截止期方面的全部权利、责任和义务，将适用于延长至新的投标截止期。</w:t>
      </w:r>
    </w:p>
    <w:p w14:paraId="66A1BC64">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58" w:name="_Toc129089011"/>
      <w:bookmarkStart w:id="59" w:name="_Toc129088752"/>
      <w:bookmarkStart w:id="60" w:name="_Toc129089131"/>
      <w:r>
        <w:rPr>
          <w:rFonts w:hint="eastAsia" w:ascii="仿宋" w:hAnsi="仿宋" w:eastAsia="仿宋" w:cs="仿宋"/>
          <w:b/>
          <w:sz w:val="24"/>
        </w:rPr>
        <w:t>投标有效期</w:t>
      </w:r>
      <w:bookmarkEnd w:id="58"/>
      <w:bookmarkEnd w:id="59"/>
      <w:bookmarkEnd w:id="60"/>
    </w:p>
    <w:p w14:paraId="06DD7BAD">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投标有效期为从提交投标文件的截止之日起90天。★</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诺的投标有效期少于招标文件中载明的投标有效期的，投标无效。</w:t>
      </w:r>
    </w:p>
    <w:p w14:paraId="0E98BD03">
      <w:pPr>
        <w:pStyle w:val="73"/>
        <w:spacing w:before="0"/>
        <w:ind w:firstLine="643"/>
        <w:rPr>
          <w:rFonts w:hint="eastAsia" w:ascii="仿宋" w:hAnsi="仿宋" w:eastAsia="仿宋" w:cs="仿宋"/>
          <w:b/>
          <w:sz w:val="32"/>
        </w:rPr>
      </w:pPr>
    </w:p>
    <w:p w14:paraId="0438E7BB">
      <w:pPr>
        <w:snapToGrid w:val="0"/>
        <w:spacing w:line="360" w:lineRule="auto"/>
        <w:jc w:val="center"/>
        <w:outlineLvl w:val="0"/>
        <w:rPr>
          <w:rFonts w:hint="eastAsia" w:ascii="仿宋" w:hAnsi="仿宋" w:eastAsia="仿宋" w:cs="仿宋"/>
          <w:b/>
          <w:sz w:val="36"/>
          <w:szCs w:val="36"/>
        </w:rPr>
      </w:pPr>
      <w:bookmarkStart w:id="61" w:name="_Toc129089132"/>
      <w:r>
        <w:rPr>
          <w:rFonts w:hint="eastAsia" w:ascii="仿宋" w:hAnsi="仿宋" w:eastAsia="仿宋" w:cs="仿宋"/>
          <w:b/>
          <w:sz w:val="36"/>
          <w:szCs w:val="36"/>
        </w:rPr>
        <w:t>四、开标、资格审查与信用信息查询</w:t>
      </w:r>
      <w:bookmarkEnd w:id="61"/>
    </w:p>
    <w:p w14:paraId="7A8F19B4">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62" w:name="_Toc129089012"/>
      <w:bookmarkStart w:id="63" w:name="_Toc129088753"/>
      <w:bookmarkStart w:id="64" w:name="_Toc129089133"/>
      <w:r>
        <w:rPr>
          <w:rFonts w:hint="eastAsia" w:ascii="仿宋" w:hAnsi="仿宋" w:eastAsia="仿宋" w:cs="仿宋"/>
          <w:b/>
          <w:sz w:val="24"/>
        </w:rPr>
        <w:t>开标</w:t>
      </w:r>
      <w:bookmarkEnd w:id="62"/>
      <w:bookmarkEnd w:id="63"/>
      <w:bookmarkEnd w:id="64"/>
      <w:r>
        <w:rPr>
          <w:rFonts w:hint="eastAsia" w:ascii="仿宋" w:hAnsi="仿宋" w:eastAsia="仿宋" w:cs="仿宋"/>
          <w:b/>
          <w:sz w:val="24"/>
        </w:rPr>
        <w:t xml:space="preserve"> </w:t>
      </w:r>
    </w:p>
    <w:p w14:paraId="56C20C0C">
      <w:pPr>
        <w:pStyle w:val="68"/>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14.1采购代理机构按照招标文件规定的时间通过电子交易平台组织开标，所有</w:t>
      </w:r>
      <w:r>
        <w:rPr>
          <w:rFonts w:hint="eastAsia" w:ascii="仿宋" w:hAnsi="仿宋" w:eastAsia="仿宋" w:cs="仿宋"/>
          <w:sz w:val="24"/>
          <w:lang w:val="zh-CN"/>
        </w:rPr>
        <w:t>供应商</w:t>
      </w:r>
      <w:r>
        <w:rPr>
          <w:rFonts w:hint="eastAsia" w:ascii="仿宋" w:hAnsi="仿宋" w:eastAsia="仿宋" w:cs="仿宋"/>
          <w:sz w:val="24"/>
        </w:rPr>
        <w:t>均应当准时在线参加。</w:t>
      </w:r>
      <w:r>
        <w:rPr>
          <w:rFonts w:hint="eastAsia" w:ascii="仿宋" w:hAnsi="仿宋" w:eastAsia="仿宋" w:cs="仿宋"/>
          <w:sz w:val="24"/>
          <w:lang w:val="zh-CN"/>
        </w:rPr>
        <w:t>供应商</w:t>
      </w:r>
      <w:r>
        <w:rPr>
          <w:rFonts w:hint="eastAsia" w:ascii="仿宋" w:hAnsi="仿宋" w:eastAsia="仿宋" w:cs="仿宋"/>
          <w:sz w:val="24"/>
        </w:rPr>
        <w:t>不足3家的，不得开标。</w:t>
      </w:r>
    </w:p>
    <w:p w14:paraId="48EC1377">
      <w:pPr>
        <w:pStyle w:val="68"/>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14.2开标时，电子交易平台按开标时间自动提取所有投标文件。采购代理机构依托电子交易平台发起开始解密指令，</w:t>
      </w:r>
      <w:r>
        <w:rPr>
          <w:rFonts w:hint="eastAsia" w:ascii="仿宋" w:hAnsi="仿宋" w:eastAsia="仿宋" w:cs="仿宋"/>
          <w:sz w:val="24"/>
          <w:lang w:val="zh-CN"/>
        </w:rPr>
        <w:t>供应商</w:t>
      </w:r>
      <w:r>
        <w:rPr>
          <w:rFonts w:hint="eastAsia" w:ascii="仿宋" w:hAnsi="仿宋" w:eastAsia="仿宋" w:cs="仿宋"/>
          <w:sz w:val="24"/>
        </w:rPr>
        <w:t>按照平台提示和招标文件的规定在半小时内完成在线解密。</w:t>
      </w:r>
    </w:p>
    <w:p w14:paraId="35F92B0D">
      <w:pPr>
        <w:pStyle w:val="68"/>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14.3本项目为两阶段开标，先开启资格文件和商务技术文件，资格文件和商务技术文件评审结束后，开启报价文件，进行报价评审。具体流程参照浙财采监(2015)13号文件规定的开标流程。</w:t>
      </w:r>
    </w:p>
    <w:p w14:paraId="1DE0D8BB">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65" w:name="_Toc129088754"/>
      <w:bookmarkStart w:id="66" w:name="_Toc129089134"/>
      <w:bookmarkStart w:id="67" w:name="_Toc129089013"/>
      <w:r>
        <w:rPr>
          <w:rFonts w:hint="eastAsia" w:ascii="仿宋" w:hAnsi="仿宋" w:eastAsia="仿宋" w:cs="仿宋"/>
          <w:b/>
          <w:sz w:val="24"/>
        </w:rPr>
        <w:t>资格审查</w:t>
      </w:r>
      <w:bookmarkEnd w:id="65"/>
      <w:bookmarkEnd w:id="66"/>
      <w:bookmarkEnd w:id="67"/>
    </w:p>
    <w:p w14:paraId="73824840">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15.1开标后，采购人或采购代理机构依据法律法规和招标文件的规定，对供应商的资格条件进行审查。</w:t>
      </w:r>
    </w:p>
    <w:p w14:paraId="089881FF">
      <w:pPr>
        <w:pStyle w:val="73"/>
        <w:spacing w:before="0"/>
        <w:ind w:firstLine="480"/>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2对未通过资格审查的供应商，采购人或采购代理机构告知其未通过的原因。</w:t>
      </w:r>
    </w:p>
    <w:p w14:paraId="1D379D03">
      <w:pPr>
        <w:adjustRightInd w:val="0"/>
        <w:snapToGrid w:val="0"/>
        <w:spacing w:before="120" w:beforeLines="50" w:line="360" w:lineRule="auto"/>
        <w:ind w:left="508"/>
        <w:jc w:val="left"/>
        <w:outlineLvl w:val="1"/>
        <w:rPr>
          <w:rFonts w:hint="eastAsia" w:ascii="仿宋" w:hAnsi="仿宋" w:eastAsia="仿宋" w:cs="仿宋"/>
          <w:kern w:val="0"/>
          <w:sz w:val="24"/>
        </w:rPr>
      </w:pPr>
      <w:bookmarkStart w:id="68" w:name="_Toc129089014"/>
      <w:bookmarkStart w:id="69" w:name="_Toc129089135"/>
      <w:bookmarkStart w:id="70" w:name="_Toc129088755"/>
      <w:r>
        <w:rPr>
          <w:rFonts w:hint="eastAsia" w:ascii="仿宋" w:hAnsi="仿宋" w:eastAsia="仿宋" w:cs="仿宋"/>
          <w:kern w:val="0"/>
          <w:sz w:val="24"/>
        </w:rPr>
        <w:t>15.3信用信息查询</w:t>
      </w:r>
      <w:bookmarkEnd w:id="68"/>
      <w:bookmarkEnd w:id="69"/>
      <w:bookmarkEnd w:id="70"/>
    </w:p>
    <w:p w14:paraId="3BD426C8">
      <w:pPr>
        <w:pStyle w:val="7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15.3.1信用信息查询渠道及截止时间：采购代理机构将通过“信用中国”网站(www.creditchina.gov.cn)、中国政府采购网(www.ccgp.gov.cn)渠道查询供应商投标截止时间当天的信用记录。</w:t>
      </w:r>
    </w:p>
    <w:p w14:paraId="6A024D95">
      <w:pPr>
        <w:pStyle w:val="7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15.3.2信用信息的使用规则：经查询列入失信被执行人名单、</w:t>
      </w:r>
      <w:r>
        <w:rPr>
          <w:rFonts w:hint="eastAsia" w:ascii="仿宋" w:hAnsi="仿宋" w:eastAsia="仿宋" w:cs="仿宋"/>
          <w:kern w:val="0"/>
          <w:szCs w:val="24"/>
          <w:lang w:eastAsia="zh-CN"/>
        </w:rPr>
        <w:t>重大税收违法失信主体</w:t>
      </w:r>
      <w:r>
        <w:rPr>
          <w:rFonts w:hint="eastAsia" w:ascii="仿宋" w:hAnsi="仿宋" w:eastAsia="仿宋" w:cs="仿宋"/>
          <w:kern w:val="0"/>
          <w:szCs w:val="24"/>
        </w:rPr>
        <w:t>、政府采购严重违法失信行为记录名单的</w:t>
      </w:r>
      <w:r>
        <w:rPr>
          <w:rFonts w:hint="eastAsia" w:ascii="仿宋" w:hAnsi="仿宋" w:eastAsia="仿宋" w:cs="仿宋"/>
          <w:kern w:val="0"/>
          <w:lang w:val="zh-CN"/>
        </w:rPr>
        <w:t>供应商</w:t>
      </w:r>
      <w:r>
        <w:rPr>
          <w:rFonts w:hint="eastAsia" w:ascii="仿宋" w:hAnsi="仿宋" w:eastAsia="仿宋" w:cs="仿宋"/>
          <w:kern w:val="0"/>
          <w:szCs w:val="24"/>
        </w:rPr>
        <w:t>将被拒绝参与政府采购活动。</w:t>
      </w:r>
    </w:p>
    <w:p w14:paraId="24B97FE0">
      <w:pPr>
        <w:pStyle w:val="7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15.3.3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E751E7">
      <w:pPr>
        <w:pStyle w:val="73"/>
        <w:spacing w:before="0"/>
        <w:ind w:firstLine="480"/>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4合格供应商不足3家的，不再评标。</w:t>
      </w:r>
    </w:p>
    <w:p w14:paraId="22FDDD26">
      <w:pPr>
        <w:snapToGrid w:val="0"/>
        <w:spacing w:line="360" w:lineRule="auto"/>
        <w:jc w:val="center"/>
        <w:outlineLvl w:val="0"/>
        <w:rPr>
          <w:rFonts w:hint="eastAsia" w:ascii="仿宋" w:hAnsi="仿宋" w:eastAsia="仿宋" w:cs="仿宋"/>
          <w:b/>
          <w:sz w:val="36"/>
          <w:szCs w:val="36"/>
        </w:rPr>
      </w:pPr>
      <w:bookmarkStart w:id="71" w:name="_Toc129089136"/>
      <w:r>
        <w:rPr>
          <w:rFonts w:hint="eastAsia" w:ascii="仿宋" w:hAnsi="仿宋" w:eastAsia="仿宋" w:cs="仿宋"/>
          <w:b/>
          <w:sz w:val="36"/>
          <w:szCs w:val="36"/>
        </w:rPr>
        <w:t>五、评标</w:t>
      </w:r>
      <w:bookmarkEnd w:id="71"/>
    </w:p>
    <w:p w14:paraId="1FD6F00A">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72" w:name="_Toc129089137"/>
      <w:bookmarkStart w:id="73" w:name="_Toc129089015"/>
      <w:bookmarkStart w:id="74" w:name="_Toc129088756"/>
      <w:bookmarkStart w:id="75" w:name="_Toc91899903"/>
      <w:r>
        <w:rPr>
          <w:rFonts w:hint="eastAsia" w:ascii="仿宋" w:hAnsi="仿宋" w:eastAsia="仿宋" w:cs="仿宋"/>
          <w:b/>
          <w:sz w:val="24"/>
        </w:rPr>
        <w:t>评标委员会</w:t>
      </w:r>
      <w:bookmarkEnd w:id="72"/>
      <w:bookmarkEnd w:id="73"/>
      <w:bookmarkEnd w:id="74"/>
    </w:p>
    <w:p w14:paraId="4A956C32">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16.1 本次招标依法组建评标委员会。评标委员会由评审专家组成，评审专家从专家库随机抽取。</w:t>
      </w:r>
    </w:p>
    <w:p w14:paraId="3497AED6">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16.2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59B74659">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16.3 评审专家有下列情形之一的，应主动提出回避，采购当事人也可以要求该评审专家回避：</w:t>
      </w:r>
    </w:p>
    <w:p w14:paraId="75BE276F">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16.3.1 参加采购活动前3年内与供应商存在劳动关系；</w:t>
      </w:r>
    </w:p>
    <w:p w14:paraId="21A0F72A">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16.3.2 参加采购活动前3年内担任供应商的董事、监事；</w:t>
      </w:r>
    </w:p>
    <w:p w14:paraId="7F382104">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16.3.3 参加采购活动前3年内是供应商的控股股东或者实际控制人；</w:t>
      </w:r>
    </w:p>
    <w:p w14:paraId="159879DD">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16.3.4 与供应商的法定代表人或者负责人有夫妻、直系血亲、三代以内旁系血亲或者近姻亲关系；</w:t>
      </w:r>
    </w:p>
    <w:p w14:paraId="02E3AE50">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16.3.5 与供应商有其他可能影响政府采购活动公平、公正进行的关系。</w:t>
      </w:r>
    </w:p>
    <w:p w14:paraId="6EB68FF3">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16.3.6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E5DD8EA">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16.4 评标委员会判断投标文件的有效性、合格性和响应情况，仅依据投标人所递交一切文件的真实表述，不受与本项目无直接关联的外部信息、传言而影响自身的专业判断。</w:t>
      </w:r>
    </w:p>
    <w:p w14:paraId="3B4DAC89">
      <w:pPr>
        <w:pStyle w:val="73"/>
        <w:spacing w:before="0"/>
        <w:ind w:firstLine="480"/>
        <w:rPr>
          <w:rFonts w:hint="eastAsia" w:ascii="仿宋" w:hAnsi="仿宋" w:eastAsia="仿宋"/>
        </w:rPr>
      </w:pPr>
      <w:r>
        <w:rPr>
          <w:rFonts w:hint="eastAsia" w:ascii="仿宋" w:hAnsi="仿宋" w:eastAsia="仿宋" w:cs="仿宋"/>
          <w:kern w:val="0"/>
          <w:szCs w:val="24"/>
        </w:rPr>
        <w:t>16.5 评委依法独立评审，并对评审意见承担个人责任。评委对需要共同认定的事项存在争议的，按照少数服从多数的原则做出结论。持不同意见的评委应当在评审报告上签署不同意见并说明理由，否则视为同意。</w:t>
      </w:r>
    </w:p>
    <w:p w14:paraId="13141574">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76" w:name="_Toc129089138"/>
      <w:bookmarkStart w:id="77" w:name="_Toc129088757"/>
      <w:bookmarkStart w:id="78" w:name="_Toc129089016"/>
      <w:r>
        <w:rPr>
          <w:rFonts w:hint="eastAsia" w:ascii="仿宋" w:hAnsi="仿宋" w:eastAsia="仿宋" w:cs="仿宋"/>
          <w:b/>
          <w:sz w:val="24"/>
        </w:rPr>
        <w:t>评标</w:t>
      </w:r>
      <w:bookmarkEnd w:id="76"/>
      <w:bookmarkEnd w:id="77"/>
      <w:bookmarkEnd w:id="78"/>
    </w:p>
    <w:p w14:paraId="3ACC4116">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评标委员会将根据招标文件和有关规定，履行评标工作职责，并按照评标方法及评分标准，全面衡量各</w:t>
      </w:r>
      <w:r>
        <w:rPr>
          <w:rFonts w:hint="eastAsia" w:ascii="仿宋" w:hAnsi="仿宋" w:eastAsia="仿宋" w:cs="仿宋"/>
          <w:kern w:val="0"/>
          <w:lang w:val="zh-CN"/>
        </w:rPr>
        <w:t>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lang w:val="zh-CN"/>
        </w:rPr>
        <w:t>供应商</w:t>
      </w:r>
      <w:r>
        <w:rPr>
          <w:rFonts w:hint="eastAsia" w:ascii="仿宋" w:hAnsi="仿宋" w:eastAsia="仿宋" w:cs="仿宋"/>
          <w:kern w:val="0"/>
          <w:szCs w:val="24"/>
        </w:rPr>
        <w:t>，按照评审因素的量化指标推荐综合得分排名第一的为中标候选人。</w:t>
      </w:r>
    </w:p>
    <w:p w14:paraId="23858543">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lang w:val="zh-CN"/>
        </w:rPr>
        <w:t>供应商</w:t>
      </w:r>
      <w:r>
        <w:rPr>
          <w:rFonts w:hint="eastAsia" w:ascii="仿宋" w:hAnsi="仿宋" w:eastAsia="仿宋" w:cs="仿宋"/>
          <w:kern w:val="0"/>
          <w:szCs w:val="24"/>
        </w:rPr>
        <w:t>为排名第一的中标候选人。</w:t>
      </w:r>
    </w:p>
    <w:p w14:paraId="539DC787">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详见招标文件第四部分评标办法。</w:t>
      </w:r>
    </w:p>
    <w:p w14:paraId="6428A2FD">
      <w:pPr>
        <w:spacing w:line="360" w:lineRule="auto"/>
        <w:rPr>
          <w:rFonts w:hint="eastAsia" w:ascii="仿宋" w:hAnsi="仿宋" w:eastAsia="仿宋" w:cs="仿宋"/>
          <w:b/>
          <w:sz w:val="24"/>
        </w:rPr>
      </w:pPr>
    </w:p>
    <w:p w14:paraId="403D9B6C">
      <w:pPr>
        <w:snapToGrid w:val="0"/>
        <w:spacing w:line="360" w:lineRule="auto"/>
        <w:jc w:val="center"/>
        <w:outlineLvl w:val="0"/>
        <w:rPr>
          <w:rFonts w:hint="eastAsia" w:ascii="仿宋" w:hAnsi="仿宋" w:eastAsia="仿宋" w:cs="仿宋"/>
          <w:b/>
          <w:sz w:val="36"/>
          <w:szCs w:val="36"/>
        </w:rPr>
      </w:pPr>
      <w:bookmarkStart w:id="79" w:name="_Toc129088758"/>
      <w:bookmarkStart w:id="80" w:name="_Toc129089139"/>
      <w:r>
        <w:rPr>
          <w:rFonts w:hint="eastAsia" w:ascii="仿宋" w:hAnsi="仿宋" w:eastAsia="仿宋" w:cs="仿宋"/>
          <w:b/>
          <w:sz w:val="36"/>
          <w:szCs w:val="36"/>
        </w:rPr>
        <w:t>六、定 标</w:t>
      </w:r>
      <w:bookmarkEnd w:id="79"/>
      <w:bookmarkEnd w:id="80"/>
    </w:p>
    <w:p w14:paraId="3FE4CDB4">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81" w:name="_Toc129089140"/>
      <w:bookmarkStart w:id="82" w:name="_Toc129088759"/>
      <w:bookmarkStart w:id="83" w:name="_Toc129089018"/>
      <w:r>
        <w:rPr>
          <w:rFonts w:hint="eastAsia" w:ascii="仿宋" w:hAnsi="仿宋" w:eastAsia="仿宋" w:cs="仿宋"/>
          <w:b/>
          <w:sz w:val="24"/>
        </w:rPr>
        <w:t>确定中标供应商</w:t>
      </w:r>
      <w:bookmarkEnd w:id="81"/>
      <w:bookmarkEnd w:id="82"/>
      <w:bookmarkEnd w:id="83"/>
    </w:p>
    <w:p w14:paraId="34678B81">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本项目由评标委员会推荐一个中标候选人。</w:t>
      </w:r>
    </w:p>
    <w:p w14:paraId="7322FF5A">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84" w:name="_Toc129089141"/>
      <w:bookmarkStart w:id="85" w:name="_Toc129089019"/>
      <w:bookmarkStart w:id="86" w:name="_Toc129088760"/>
      <w:r>
        <w:rPr>
          <w:rFonts w:hint="eastAsia" w:ascii="仿宋" w:hAnsi="仿宋" w:eastAsia="仿宋" w:cs="仿宋"/>
          <w:b/>
          <w:sz w:val="24"/>
        </w:rPr>
        <w:t>中标通知与中标结果公告</w:t>
      </w:r>
      <w:bookmarkEnd w:id="84"/>
      <w:bookmarkEnd w:id="85"/>
      <w:bookmarkEnd w:id="86"/>
    </w:p>
    <w:p w14:paraId="4F30F331">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19.1自中标人确定之日起2个工作日内，采购代理机构通过电子交易平台向中标人发出中标通知书，同时编制发布采购结果公告。采购代理机构也可以以纸质形式进行中标通知。</w:t>
      </w:r>
    </w:p>
    <w:p w14:paraId="0881E25F">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19.2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1DC934D7">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19.3公告期限为1个工作日。</w:t>
      </w:r>
    </w:p>
    <w:p w14:paraId="589FBCDB">
      <w:pPr>
        <w:snapToGrid w:val="0"/>
        <w:spacing w:line="360" w:lineRule="auto"/>
        <w:ind w:left="120" w:leftChars="57" w:firstLine="482" w:firstLineChars="150"/>
        <w:jc w:val="center"/>
        <w:rPr>
          <w:rFonts w:hint="eastAsia" w:ascii="仿宋" w:hAnsi="仿宋" w:eastAsia="仿宋" w:cs="仿宋"/>
          <w:b/>
          <w:sz w:val="32"/>
        </w:rPr>
      </w:pPr>
    </w:p>
    <w:p w14:paraId="2058ECFA">
      <w:pPr>
        <w:snapToGrid w:val="0"/>
        <w:spacing w:line="360" w:lineRule="auto"/>
        <w:jc w:val="center"/>
        <w:outlineLvl w:val="0"/>
        <w:rPr>
          <w:rFonts w:hint="eastAsia" w:ascii="仿宋" w:hAnsi="仿宋" w:eastAsia="仿宋" w:cs="仿宋"/>
          <w:b/>
          <w:sz w:val="36"/>
          <w:szCs w:val="36"/>
        </w:rPr>
      </w:pPr>
      <w:bookmarkStart w:id="87" w:name="_Toc129089142"/>
      <w:r>
        <w:rPr>
          <w:rFonts w:hint="eastAsia" w:ascii="仿宋" w:hAnsi="仿宋" w:eastAsia="仿宋" w:cs="仿宋"/>
          <w:b/>
          <w:sz w:val="36"/>
          <w:szCs w:val="36"/>
        </w:rPr>
        <w:t>七、合同授予</w:t>
      </w:r>
      <w:bookmarkEnd w:id="87"/>
    </w:p>
    <w:p w14:paraId="4E01ED9C">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88" w:name="_Toc129089143"/>
      <w:bookmarkStart w:id="89" w:name="_Toc129088761"/>
      <w:bookmarkStart w:id="90" w:name="_Toc129089020"/>
      <w:r>
        <w:rPr>
          <w:rFonts w:hint="eastAsia" w:ascii="仿宋" w:hAnsi="仿宋" w:eastAsia="仿宋" w:cs="仿宋"/>
          <w:b/>
          <w:sz w:val="24"/>
        </w:rPr>
        <w:t>合同授予</w:t>
      </w:r>
      <w:bookmarkEnd w:id="88"/>
      <w:bookmarkEnd w:id="89"/>
      <w:bookmarkEnd w:id="90"/>
    </w:p>
    <w:p w14:paraId="1C1AD4E1">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合同主要条款详见第五部分拟签订的合同文本。</w:t>
      </w:r>
    </w:p>
    <w:p w14:paraId="39E484F8">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91" w:name="_Toc129088762"/>
      <w:bookmarkStart w:id="92" w:name="_Toc129089021"/>
      <w:bookmarkStart w:id="93" w:name="_Toc129089144"/>
      <w:r>
        <w:rPr>
          <w:rFonts w:hint="eastAsia" w:ascii="仿宋" w:hAnsi="仿宋" w:eastAsia="仿宋" w:cs="仿宋"/>
          <w:b/>
          <w:sz w:val="24"/>
        </w:rPr>
        <w:t>合同的签订</w:t>
      </w:r>
      <w:bookmarkEnd w:id="91"/>
      <w:bookmarkEnd w:id="92"/>
      <w:bookmarkEnd w:id="93"/>
    </w:p>
    <w:p w14:paraId="40F47A29">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21.1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52CB3B6D">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1</w:t>
      </w:r>
      <w:r>
        <w:rPr>
          <w:rFonts w:hint="eastAsia" w:ascii="仿宋" w:hAnsi="仿宋" w:eastAsia="仿宋" w:cs="仿宋"/>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70B09FEB">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21.3如签订合同并生效后，供应商无故拒绝或延期，除按照合同条款处理外，列入不良行为记录名单，并给予通报。</w:t>
      </w:r>
    </w:p>
    <w:p w14:paraId="2CF45254">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21.4中标供应商拒绝与采购人签订合同的，列入不良行为记录名单，采购人、采购代理机构重新开展政府采购活动。</w:t>
      </w:r>
    </w:p>
    <w:p w14:paraId="6E6A6CBA">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21.5采购合同由采购人与中标供应商根据招标文件、投标文件等内容通过政府采购电子交易平台在线签订，自动备案。</w:t>
      </w:r>
    </w:p>
    <w:p w14:paraId="34E910E2">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94" w:name="_Toc129089145"/>
      <w:bookmarkStart w:id="95" w:name="_Toc129089022"/>
      <w:bookmarkStart w:id="96" w:name="_Toc129088763"/>
      <w:r>
        <w:rPr>
          <w:rFonts w:hint="eastAsia" w:ascii="仿宋" w:hAnsi="仿宋" w:eastAsia="仿宋" w:cs="仿宋"/>
          <w:b/>
          <w:sz w:val="24"/>
        </w:rPr>
        <w:t>履约保证金</w:t>
      </w:r>
      <w:bookmarkEnd w:id="94"/>
      <w:bookmarkEnd w:id="95"/>
      <w:bookmarkEnd w:id="96"/>
    </w:p>
    <w:p w14:paraId="02ABCB57">
      <w:pPr>
        <w:tabs>
          <w:tab w:val="left" w:pos="0"/>
        </w:tabs>
        <w:spacing w:line="360" w:lineRule="auto"/>
        <w:ind w:firstLine="482"/>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w:t>
      </w:r>
      <w:r>
        <w:rPr>
          <w:rFonts w:hint="eastAsia" w:ascii="仿宋" w:hAnsi="仿宋" w:eastAsia="仿宋" w:cs="仿宋"/>
          <w:b/>
          <w:sz w:val="24"/>
        </w:rPr>
        <w:t>采购人不得拒收履约保函。</w:t>
      </w:r>
    </w:p>
    <w:p w14:paraId="756078CC">
      <w:pPr>
        <w:pStyle w:val="14"/>
        <w:rPr>
          <w:rFonts w:hint="eastAsia" w:ascii="仿宋" w:hAnsi="仿宋" w:eastAsia="仿宋"/>
        </w:rPr>
      </w:pPr>
    </w:p>
    <w:p w14:paraId="31F65298">
      <w:pPr>
        <w:snapToGrid w:val="0"/>
        <w:spacing w:line="360" w:lineRule="auto"/>
        <w:jc w:val="center"/>
        <w:outlineLvl w:val="0"/>
        <w:rPr>
          <w:rFonts w:hint="eastAsia" w:ascii="仿宋" w:hAnsi="仿宋" w:eastAsia="仿宋" w:cs="仿宋"/>
          <w:b/>
          <w:sz w:val="36"/>
          <w:szCs w:val="36"/>
        </w:rPr>
      </w:pPr>
      <w:bookmarkStart w:id="97" w:name="_Toc129089146"/>
      <w:r>
        <w:rPr>
          <w:rFonts w:hint="eastAsia" w:ascii="仿宋" w:hAnsi="仿宋" w:eastAsia="仿宋" w:cs="仿宋"/>
          <w:b/>
          <w:sz w:val="36"/>
          <w:szCs w:val="36"/>
        </w:rPr>
        <w:t>八、电子交易活动的中止</w:t>
      </w:r>
      <w:bookmarkEnd w:id="97"/>
    </w:p>
    <w:p w14:paraId="75B28CC0">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98" w:name="_Toc129089023"/>
      <w:bookmarkStart w:id="99" w:name="_Toc129089147"/>
      <w:bookmarkStart w:id="100" w:name="_Toc129088764"/>
      <w:r>
        <w:rPr>
          <w:rFonts w:hint="eastAsia" w:ascii="仿宋" w:hAnsi="仿宋" w:eastAsia="仿宋" w:cs="仿宋"/>
          <w:b/>
          <w:sz w:val="24"/>
        </w:rPr>
        <w:t>电子交易活动的中止</w:t>
      </w:r>
      <w:bookmarkEnd w:id="98"/>
      <w:bookmarkEnd w:id="99"/>
      <w:bookmarkEnd w:id="100"/>
    </w:p>
    <w:p w14:paraId="65262CB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308E4210">
      <w:pPr>
        <w:pStyle w:val="73"/>
        <w:snapToGrid w:val="0"/>
        <w:spacing w:before="0"/>
        <w:ind w:firstLine="480"/>
        <w:rPr>
          <w:rFonts w:hint="eastAsia" w:ascii="仿宋" w:hAnsi="仿宋" w:eastAsia="仿宋" w:cs="仿宋"/>
        </w:rPr>
      </w:pPr>
      <w:r>
        <w:rPr>
          <w:rFonts w:hint="eastAsia" w:ascii="仿宋" w:hAnsi="仿宋" w:eastAsia="仿宋" w:cs="仿宋"/>
        </w:rPr>
        <w:t xml:space="preserve">23.1电子交易平台发生故障而无法登录访问的； </w:t>
      </w:r>
    </w:p>
    <w:p w14:paraId="3EE6FCC0">
      <w:pPr>
        <w:pStyle w:val="73"/>
        <w:snapToGrid w:val="0"/>
        <w:spacing w:before="0"/>
        <w:ind w:firstLine="480"/>
        <w:rPr>
          <w:rFonts w:hint="eastAsia" w:ascii="仿宋" w:hAnsi="仿宋" w:eastAsia="仿宋" w:cs="仿宋"/>
        </w:rPr>
      </w:pPr>
      <w:r>
        <w:rPr>
          <w:rFonts w:hint="eastAsia" w:ascii="仿宋" w:hAnsi="仿宋" w:eastAsia="仿宋" w:cs="仿宋"/>
        </w:rPr>
        <w:t>23.2电子交易平台应用或数据库出现错误，不能进行正常操作的；</w:t>
      </w:r>
    </w:p>
    <w:p w14:paraId="1F64EF80">
      <w:pPr>
        <w:pStyle w:val="73"/>
        <w:snapToGrid w:val="0"/>
        <w:spacing w:before="0"/>
        <w:ind w:firstLine="480"/>
        <w:rPr>
          <w:rFonts w:hint="eastAsia" w:ascii="仿宋" w:hAnsi="仿宋" w:eastAsia="仿宋" w:cs="仿宋"/>
        </w:rPr>
      </w:pPr>
      <w:r>
        <w:rPr>
          <w:rFonts w:hint="eastAsia" w:ascii="仿宋" w:hAnsi="仿宋" w:eastAsia="仿宋" w:cs="仿宋"/>
        </w:rPr>
        <w:t>23.3电子交易平台发现严重安全漏洞，有潜在泄密危险的；</w:t>
      </w:r>
    </w:p>
    <w:p w14:paraId="782F643D">
      <w:pPr>
        <w:pStyle w:val="73"/>
        <w:snapToGrid w:val="0"/>
        <w:spacing w:before="0"/>
        <w:ind w:firstLine="480"/>
        <w:rPr>
          <w:rFonts w:hint="eastAsia" w:ascii="仿宋" w:hAnsi="仿宋" w:eastAsia="仿宋" w:cs="仿宋"/>
        </w:rPr>
      </w:pPr>
      <w:r>
        <w:rPr>
          <w:rFonts w:hint="eastAsia" w:ascii="仿宋" w:hAnsi="仿宋" w:eastAsia="仿宋" w:cs="仿宋"/>
        </w:rPr>
        <w:t xml:space="preserve">23.4病毒发作导致不能进行正常操作的； </w:t>
      </w:r>
    </w:p>
    <w:p w14:paraId="01C5F8DE">
      <w:pPr>
        <w:pStyle w:val="73"/>
        <w:snapToGrid w:val="0"/>
        <w:spacing w:before="0"/>
        <w:ind w:firstLine="480"/>
        <w:rPr>
          <w:rFonts w:hint="eastAsia" w:ascii="仿宋" w:hAnsi="仿宋" w:eastAsia="仿宋" w:cs="仿宋"/>
        </w:rPr>
      </w:pPr>
      <w:r>
        <w:rPr>
          <w:rFonts w:hint="eastAsia" w:ascii="仿宋" w:hAnsi="仿宋" w:eastAsia="仿宋" w:cs="仿宋"/>
        </w:rPr>
        <w:t>23.5其他无法保证电子交易的公平、公正和安全的情况。</w:t>
      </w:r>
    </w:p>
    <w:p w14:paraId="3C50C05D">
      <w:pPr>
        <w:tabs>
          <w:tab w:val="left" w:pos="0"/>
        </w:tabs>
        <w:spacing w:line="360" w:lineRule="auto"/>
        <w:ind w:firstLine="480"/>
        <w:rPr>
          <w:rFonts w:hint="eastAsia" w:ascii="仿宋" w:hAnsi="仿宋" w:eastAsia="仿宋" w:cs="仿宋"/>
          <w:sz w:val="24"/>
        </w:rPr>
      </w:pPr>
    </w:p>
    <w:p w14:paraId="7D4C5D95">
      <w:pPr>
        <w:snapToGrid w:val="0"/>
        <w:spacing w:line="360" w:lineRule="auto"/>
        <w:jc w:val="center"/>
        <w:outlineLvl w:val="0"/>
        <w:rPr>
          <w:rFonts w:hint="eastAsia" w:ascii="仿宋" w:hAnsi="仿宋" w:eastAsia="仿宋" w:cs="仿宋"/>
          <w:b/>
          <w:sz w:val="36"/>
          <w:szCs w:val="36"/>
        </w:rPr>
      </w:pPr>
      <w:bookmarkStart w:id="101" w:name="_Toc129089148"/>
      <w:r>
        <w:rPr>
          <w:rFonts w:hint="eastAsia" w:ascii="仿宋" w:hAnsi="仿宋" w:eastAsia="仿宋" w:cs="仿宋"/>
          <w:b/>
          <w:sz w:val="36"/>
          <w:szCs w:val="36"/>
        </w:rPr>
        <w:t>九、验收</w:t>
      </w:r>
      <w:bookmarkEnd w:id="101"/>
    </w:p>
    <w:p w14:paraId="383C9707">
      <w:pPr>
        <w:numPr>
          <w:ilvl w:val="0"/>
          <w:numId w:val="4"/>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102" w:name="_Toc129089149"/>
      <w:bookmarkStart w:id="103" w:name="_Toc129088765"/>
      <w:bookmarkStart w:id="104" w:name="_Toc129089024"/>
      <w:r>
        <w:rPr>
          <w:rFonts w:hint="eastAsia" w:ascii="仿宋" w:hAnsi="仿宋" w:eastAsia="仿宋" w:cs="仿宋"/>
          <w:b/>
          <w:sz w:val="24"/>
        </w:rPr>
        <w:t>验收</w:t>
      </w:r>
      <w:bookmarkEnd w:id="102"/>
      <w:bookmarkEnd w:id="103"/>
      <w:bookmarkEnd w:id="104"/>
    </w:p>
    <w:p w14:paraId="106480F4">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24.1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41BDA8">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24.2严格按照采购合同开展履约验收。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A2079A">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24.3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End w:id="15"/>
      <w:bookmarkEnd w:id="75"/>
      <w:bookmarkStart w:id="105" w:name="_Hlt75236011"/>
      <w:bookmarkEnd w:id="105"/>
      <w:bookmarkStart w:id="106" w:name="_Hlt68073093"/>
      <w:bookmarkEnd w:id="106"/>
      <w:bookmarkStart w:id="107" w:name="_Hlt68403820"/>
      <w:bookmarkEnd w:id="107"/>
      <w:bookmarkStart w:id="108" w:name="_Hlt75236101"/>
      <w:bookmarkEnd w:id="108"/>
      <w:bookmarkStart w:id="109" w:name="_Hlt74729768"/>
      <w:bookmarkEnd w:id="109"/>
      <w:bookmarkStart w:id="110" w:name="_Hlt74730295"/>
      <w:bookmarkEnd w:id="110"/>
      <w:bookmarkStart w:id="111" w:name="_Hlt75236290"/>
      <w:bookmarkEnd w:id="111"/>
      <w:bookmarkStart w:id="112" w:name="_Hlt74707468"/>
      <w:bookmarkEnd w:id="112"/>
      <w:bookmarkStart w:id="113" w:name="_Hlt68072998"/>
      <w:bookmarkEnd w:id="113"/>
      <w:bookmarkStart w:id="114" w:name="_Hlt68057669"/>
      <w:bookmarkEnd w:id="114"/>
      <w:bookmarkStart w:id="115" w:name="_Hlt68072990"/>
      <w:bookmarkEnd w:id="115"/>
      <w:bookmarkStart w:id="116" w:name="_Hlt74714665"/>
      <w:bookmarkEnd w:id="116"/>
      <w:bookmarkStart w:id="117" w:name="第四部分"/>
    </w:p>
    <w:p w14:paraId="24B35EFA">
      <w:pPr>
        <w:spacing w:line="360" w:lineRule="auto"/>
        <w:jc w:val="center"/>
        <w:outlineLvl w:val="0"/>
        <w:rPr>
          <w:rFonts w:hint="eastAsia" w:ascii="仿宋" w:hAnsi="仿宋" w:eastAsia="仿宋" w:cs="仿宋"/>
          <w:b/>
          <w:sz w:val="36"/>
          <w:szCs w:val="20"/>
          <w:highlight w:val="yellow"/>
        </w:rPr>
      </w:pPr>
      <w:r>
        <w:rPr>
          <w:rFonts w:hint="eastAsia" w:ascii="仿宋" w:hAnsi="仿宋" w:eastAsia="仿宋" w:cs="仿宋"/>
          <w:kern w:val="0"/>
          <w:sz w:val="24"/>
        </w:rPr>
        <w:br w:type="page"/>
      </w:r>
      <w:bookmarkStart w:id="118" w:name="_Toc129088766"/>
      <w:bookmarkStart w:id="119" w:name="_Toc129089150"/>
      <w:r>
        <w:rPr>
          <w:rFonts w:hint="eastAsia" w:ascii="仿宋" w:hAnsi="仿宋" w:eastAsia="仿宋" w:cs="仿宋"/>
          <w:b/>
          <w:sz w:val="36"/>
          <w:szCs w:val="20"/>
          <w:highlight w:val="none"/>
        </w:rPr>
        <w:t>第三部分  采购需求</w:t>
      </w:r>
      <w:bookmarkEnd w:id="118"/>
      <w:bookmarkEnd w:id="119"/>
    </w:p>
    <w:p w14:paraId="4C20EDF6">
      <w:pPr>
        <w:pStyle w:val="25"/>
        <w:spacing w:before="100" w:after="100"/>
        <w:jc w:val="left"/>
        <w:rPr>
          <w:rFonts w:ascii="仿宋" w:hAnsi="仿宋" w:eastAsia="仿宋"/>
          <w:sz w:val="24"/>
          <w:szCs w:val="24"/>
        </w:rPr>
      </w:pPr>
      <w:bookmarkStart w:id="120" w:name="_Toc129089151"/>
      <w:bookmarkStart w:id="121" w:name="_Toc129088767"/>
      <w:r>
        <w:rPr>
          <w:rFonts w:hint="eastAsia" w:ascii="仿宋" w:hAnsi="仿宋" w:eastAsia="仿宋"/>
          <w:sz w:val="24"/>
          <w:szCs w:val="24"/>
        </w:rPr>
        <w:t>一、项目</w:t>
      </w:r>
      <w:bookmarkEnd w:id="120"/>
      <w:bookmarkEnd w:id="121"/>
      <w:r>
        <w:rPr>
          <w:rFonts w:hint="eastAsia" w:ascii="仿宋" w:hAnsi="仿宋" w:eastAsia="仿宋"/>
          <w:sz w:val="24"/>
          <w:szCs w:val="24"/>
        </w:rPr>
        <w:t>清单</w:t>
      </w:r>
    </w:p>
    <w:tbl>
      <w:tblPr>
        <w:tblStyle w:val="2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426"/>
        <w:gridCol w:w="2469"/>
        <w:gridCol w:w="3119"/>
      </w:tblGrid>
      <w:tr w14:paraId="0205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84" w:type="dxa"/>
            <w:noWrap/>
            <w:vAlign w:val="center"/>
          </w:tcPr>
          <w:p w14:paraId="00804337">
            <w:pPr>
              <w:widowControl/>
              <w:spacing w:line="400" w:lineRule="exact"/>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2426" w:type="dxa"/>
            <w:noWrap w:val="0"/>
            <w:vAlign w:val="center"/>
          </w:tcPr>
          <w:p w14:paraId="6FE7112D">
            <w:pPr>
              <w:widowControl/>
              <w:spacing w:line="400" w:lineRule="exact"/>
              <w:jc w:val="center"/>
              <w:rPr>
                <w:rFonts w:hint="eastAsia" w:ascii="仿宋" w:hAnsi="仿宋" w:eastAsia="仿宋" w:cs="宋体"/>
                <w:b/>
                <w:bCs/>
                <w:kern w:val="0"/>
                <w:szCs w:val="21"/>
              </w:rPr>
            </w:pPr>
            <w:r>
              <w:rPr>
                <w:rFonts w:hint="eastAsia" w:ascii="仿宋" w:hAnsi="仿宋" w:eastAsia="仿宋" w:cs="宋体"/>
                <w:b/>
                <w:bCs/>
                <w:kern w:val="0"/>
                <w:szCs w:val="21"/>
              </w:rPr>
              <w:t>采购内容</w:t>
            </w:r>
          </w:p>
        </w:tc>
        <w:tc>
          <w:tcPr>
            <w:tcW w:w="2469" w:type="dxa"/>
            <w:noWrap/>
            <w:vAlign w:val="center"/>
          </w:tcPr>
          <w:p w14:paraId="6360E50A">
            <w:pPr>
              <w:widowControl/>
              <w:spacing w:line="400" w:lineRule="exact"/>
              <w:jc w:val="center"/>
              <w:rPr>
                <w:rFonts w:hint="eastAsia" w:ascii="仿宋" w:hAnsi="仿宋" w:eastAsia="仿宋" w:cs="宋体"/>
                <w:b/>
                <w:bCs/>
                <w:kern w:val="0"/>
                <w:szCs w:val="21"/>
              </w:rPr>
            </w:pPr>
            <w:r>
              <w:rPr>
                <w:rFonts w:hint="eastAsia" w:ascii="仿宋" w:hAnsi="仿宋" w:eastAsia="仿宋" w:cs="宋体"/>
                <w:b/>
                <w:bCs/>
                <w:kern w:val="0"/>
                <w:szCs w:val="21"/>
              </w:rPr>
              <w:t>数量</w:t>
            </w:r>
          </w:p>
        </w:tc>
        <w:tc>
          <w:tcPr>
            <w:tcW w:w="3119" w:type="dxa"/>
            <w:noWrap/>
            <w:vAlign w:val="center"/>
          </w:tcPr>
          <w:p w14:paraId="1A28A3AA">
            <w:pPr>
              <w:widowControl/>
              <w:spacing w:line="400" w:lineRule="exact"/>
              <w:jc w:val="center"/>
              <w:rPr>
                <w:rFonts w:hint="eastAsia" w:ascii="仿宋" w:hAnsi="仿宋" w:eastAsia="仿宋" w:cs="宋体"/>
                <w:b/>
                <w:bCs/>
                <w:kern w:val="0"/>
                <w:szCs w:val="21"/>
                <w:lang w:val="en-US" w:eastAsia="zh-CN"/>
              </w:rPr>
            </w:pPr>
            <w:r>
              <w:rPr>
                <w:rFonts w:hint="eastAsia" w:ascii="仿宋" w:hAnsi="仿宋" w:eastAsia="仿宋" w:cs="宋体"/>
                <w:b/>
                <w:bCs/>
                <w:kern w:val="0"/>
                <w:szCs w:val="21"/>
                <w:lang w:val="en-US" w:eastAsia="zh-CN"/>
              </w:rPr>
              <w:t>预算金额</w:t>
            </w:r>
          </w:p>
        </w:tc>
      </w:tr>
      <w:tr w14:paraId="306F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84" w:type="dxa"/>
            <w:noWrap/>
            <w:vAlign w:val="center"/>
          </w:tcPr>
          <w:p w14:paraId="7CB16A0D">
            <w:pPr>
              <w:widowControl/>
              <w:spacing w:line="400" w:lineRule="exact"/>
              <w:jc w:val="center"/>
              <w:rPr>
                <w:rFonts w:ascii="仿宋" w:hAnsi="仿宋" w:eastAsia="仿宋" w:cs="宋体"/>
                <w:kern w:val="0"/>
                <w:szCs w:val="21"/>
              </w:rPr>
            </w:pPr>
            <w:r>
              <w:rPr>
                <w:rFonts w:hint="eastAsia" w:ascii="仿宋" w:hAnsi="仿宋" w:eastAsia="仿宋" w:cs="宋体"/>
                <w:kern w:val="0"/>
                <w:szCs w:val="21"/>
              </w:rPr>
              <w:t>1</w:t>
            </w:r>
          </w:p>
        </w:tc>
        <w:tc>
          <w:tcPr>
            <w:tcW w:w="2426" w:type="dxa"/>
            <w:noWrap/>
            <w:vAlign w:val="center"/>
          </w:tcPr>
          <w:p w14:paraId="3568AA55">
            <w:pPr>
              <w:widowControl/>
              <w:spacing w:line="400" w:lineRule="exact"/>
              <w:jc w:val="center"/>
              <w:rPr>
                <w:rFonts w:ascii="仿宋" w:hAnsi="仿宋" w:eastAsia="仿宋" w:cs="宋体"/>
                <w:kern w:val="0"/>
                <w:szCs w:val="21"/>
              </w:rPr>
            </w:pPr>
            <w:r>
              <w:rPr>
                <w:rFonts w:hint="eastAsia" w:ascii="仿宋" w:hAnsi="仿宋" w:eastAsia="仿宋" w:cs="宋体"/>
                <w:kern w:val="0"/>
                <w:szCs w:val="21"/>
              </w:rPr>
              <w:t>救护车</w:t>
            </w:r>
          </w:p>
        </w:tc>
        <w:tc>
          <w:tcPr>
            <w:tcW w:w="2469" w:type="dxa"/>
            <w:noWrap/>
            <w:vAlign w:val="center"/>
          </w:tcPr>
          <w:p w14:paraId="596041E1">
            <w:pPr>
              <w:widowControl/>
              <w:spacing w:line="400" w:lineRule="exact"/>
              <w:jc w:val="center"/>
              <w:rPr>
                <w:rFonts w:hint="eastAsia" w:ascii="仿宋" w:hAnsi="仿宋" w:eastAsia="仿宋" w:cs="宋体"/>
                <w:kern w:val="0"/>
                <w:szCs w:val="21"/>
              </w:rPr>
            </w:pPr>
            <w:r>
              <w:rPr>
                <w:rFonts w:hint="eastAsia" w:ascii="仿宋" w:hAnsi="仿宋" w:eastAsia="仿宋" w:cs="宋体"/>
                <w:kern w:val="0"/>
                <w:szCs w:val="21"/>
                <w:lang w:val="en-US" w:eastAsia="zh-CN"/>
              </w:rPr>
              <w:t>2</w:t>
            </w:r>
            <w:r>
              <w:rPr>
                <w:rFonts w:hint="eastAsia" w:ascii="仿宋" w:hAnsi="仿宋" w:eastAsia="仿宋" w:cs="宋体"/>
                <w:kern w:val="0"/>
                <w:szCs w:val="21"/>
              </w:rPr>
              <w:t>辆</w:t>
            </w:r>
          </w:p>
        </w:tc>
        <w:tc>
          <w:tcPr>
            <w:tcW w:w="3119" w:type="dxa"/>
            <w:noWrap/>
            <w:vAlign w:val="center"/>
          </w:tcPr>
          <w:p w14:paraId="14B0E4F8">
            <w:pPr>
              <w:widowControl/>
              <w:spacing w:line="400" w:lineRule="exact"/>
              <w:jc w:val="center"/>
              <w:rPr>
                <w:rFonts w:ascii="仿宋" w:hAnsi="仿宋" w:eastAsia="仿宋" w:cs="宋体"/>
                <w:kern w:val="0"/>
                <w:szCs w:val="21"/>
              </w:rPr>
            </w:pPr>
            <w:r>
              <w:rPr>
                <w:rFonts w:hint="eastAsia" w:ascii="仿宋" w:hAnsi="仿宋" w:eastAsia="仿宋" w:cs="宋体"/>
                <w:kern w:val="0"/>
                <w:szCs w:val="21"/>
                <w:lang w:val="en-US" w:eastAsia="zh-CN"/>
              </w:rPr>
              <w:t>1100000元</w:t>
            </w:r>
          </w:p>
        </w:tc>
      </w:tr>
    </w:tbl>
    <w:p w14:paraId="4CA6FFA9">
      <w:pPr>
        <w:pStyle w:val="25"/>
        <w:spacing w:before="100" w:after="100"/>
        <w:jc w:val="left"/>
        <w:rPr>
          <w:rFonts w:hint="eastAsia" w:ascii="仿宋" w:hAnsi="仿宋" w:eastAsia="仿宋"/>
          <w:sz w:val="24"/>
          <w:szCs w:val="24"/>
        </w:rPr>
      </w:pPr>
      <w:r>
        <w:rPr>
          <w:rFonts w:ascii="仿宋" w:hAnsi="仿宋" w:eastAsia="仿宋"/>
          <w:sz w:val="24"/>
          <w:szCs w:val="24"/>
        </w:rPr>
        <w:t>二、车辆技术参数要求</w:t>
      </w:r>
    </w:p>
    <w:tbl>
      <w:tblPr>
        <w:tblStyle w:val="2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558"/>
        <w:gridCol w:w="6348"/>
      </w:tblGrid>
      <w:tr w14:paraId="0040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blHeader/>
          <w:jc w:val="center"/>
        </w:trPr>
        <w:tc>
          <w:tcPr>
            <w:tcW w:w="1304" w:type="dxa"/>
            <w:noWrap w:val="0"/>
            <w:vAlign w:val="center"/>
          </w:tcPr>
          <w:p w14:paraId="74AAF5B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bookmarkStart w:id="122" w:name="_Hlk33176550"/>
            <w:r>
              <w:rPr>
                <w:rFonts w:hint="eastAsia" w:ascii="仿宋" w:hAnsi="仿宋" w:eastAsia="仿宋" w:cs="仿宋"/>
                <w:b/>
                <w:bCs/>
                <w:kern w:val="0"/>
                <w:sz w:val="21"/>
                <w:szCs w:val="21"/>
              </w:rPr>
              <w:t>序号</w:t>
            </w:r>
          </w:p>
        </w:tc>
        <w:tc>
          <w:tcPr>
            <w:tcW w:w="1558" w:type="dxa"/>
            <w:noWrap w:val="0"/>
            <w:vAlign w:val="center"/>
          </w:tcPr>
          <w:p w14:paraId="0083BCF9">
            <w:pPr>
              <w:keepNext w:val="0"/>
              <w:keepLines w:val="0"/>
              <w:pageBreakBefore w:val="0"/>
              <w:tabs>
                <w:tab w:val="left" w:pos="631"/>
                <w:tab w:val="left" w:pos="1891"/>
                <w:tab w:val="left" w:pos="9394"/>
              </w:tabs>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b/>
                <w:bCs/>
                <w:kern w:val="0"/>
                <w:sz w:val="21"/>
                <w:szCs w:val="21"/>
              </w:rPr>
              <w:t>货物名称</w:t>
            </w:r>
          </w:p>
        </w:tc>
        <w:tc>
          <w:tcPr>
            <w:tcW w:w="6348" w:type="dxa"/>
            <w:noWrap w:val="0"/>
            <w:vAlign w:val="center"/>
          </w:tcPr>
          <w:p w14:paraId="0C5ACB30">
            <w:pPr>
              <w:keepNext w:val="0"/>
              <w:keepLines w:val="0"/>
              <w:pageBreakBefore w:val="0"/>
              <w:tabs>
                <w:tab w:val="left" w:pos="631"/>
                <w:tab w:val="left" w:pos="1891"/>
                <w:tab w:val="left" w:pos="9394"/>
              </w:tabs>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b/>
                <w:bCs/>
                <w:kern w:val="0"/>
                <w:sz w:val="21"/>
                <w:szCs w:val="21"/>
              </w:rPr>
              <w:t>技术规格要求</w:t>
            </w:r>
          </w:p>
        </w:tc>
      </w:tr>
      <w:tr w14:paraId="2729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304" w:type="dxa"/>
            <w:noWrap w:val="0"/>
            <w:vAlign w:val="center"/>
          </w:tcPr>
          <w:p w14:paraId="38C2702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b/>
                <w:bCs/>
                <w:sz w:val="21"/>
                <w:szCs w:val="21"/>
              </w:rPr>
              <w:t>一</w:t>
            </w:r>
          </w:p>
        </w:tc>
        <w:tc>
          <w:tcPr>
            <w:tcW w:w="1558" w:type="dxa"/>
            <w:noWrap w:val="0"/>
            <w:vAlign w:val="center"/>
          </w:tcPr>
          <w:p w14:paraId="07D70768">
            <w:pPr>
              <w:keepNext w:val="0"/>
              <w:keepLines w:val="0"/>
              <w:pageBreakBefore w:val="0"/>
              <w:tabs>
                <w:tab w:val="left" w:pos="631"/>
                <w:tab w:val="left" w:pos="1891"/>
                <w:tab w:val="left" w:pos="9394"/>
              </w:tabs>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b/>
                <w:bCs/>
                <w:sz w:val="21"/>
                <w:szCs w:val="21"/>
              </w:rPr>
              <w:t>车辆基本要求</w:t>
            </w:r>
          </w:p>
        </w:tc>
        <w:tc>
          <w:tcPr>
            <w:tcW w:w="6348" w:type="dxa"/>
            <w:noWrap w:val="0"/>
            <w:vAlign w:val="center"/>
          </w:tcPr>
          <w:p w14:paraId="0F008D40">
            <w:pPr>
              <w:keepNext w:val="0"/>
              <w:keepLines w:val="0"/>
              <w:pageBreakBefore w:val="0"/>
              <w:tabs>
                <w:tab w:val="left" w:pos="631"/>
                <w:tab w:val="left" w:pos="1891"/>
                <w:tab w:val="left" w:pos="9394"/>
              </w:tabs>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bCs/>
                <w:kern w:val="0"/>
                <w:sz w:val="21"/>
                <w:szCs w:val="21"/>
              </w:rPr>
            </w:pPr>
          </w:p>
        </w:tc>
      </w:tr>
      <w:tr w14:paraId="6F4E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304" w:type="dxa"/>
            <w:noWrap w:val="0"/>
            <w:vAlign w:val="center"/>
          </w:tcPr>
          <w:p w14:paraId="5467797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1.1</w:t>
            </w:r>
          </w:p>
        </w:tc>
        <w:tc>
          <w:tcPr>
            <w:tcW w:w="1558" w:type="dxa"/>
            <w:noWrap w:val="0"/>
            <w:vAlign w:val="center"/>
          </w:tcPr>
          <w:p w14:paraId="35200A7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bCs/>
                <w:kern w:val="0"/>
                <w:sz w:val="21"/>
                <w:szCs w:val="21"/>
              </w:rPr>
              <w:t>整车基本功能</w:t>
            </w:r>
          </w:p>
        </w:tc>
        <w:tc>
          <w:tcPr>
            <w:tcW w:w="6348" w:type="dxa"/>
            <w:noWrap w:val="0"/>
            <w:vAlign w:val="bottom"/>
          </w:tcPr>
          <w:p w14:paraId="21CE136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投标车型主要功能为转运、救治和监护病人的专用救护车，设计要把握院前急救发展方向，具备前瞻性。基础车型满足操控性能好、动力强等要求，医疗舱整体应在功能和性能上具备一定的超前性，能够体现目前最新、最先进的技术理念，投标车型的改装需要采用先进的制造材料及工艺。</w:t>
            </w:r>
          </w:p>
        </w:tc>
      </w:tr>
      <w:tr w14:paraId="2162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304" w:type="dxa"/>
            <w:noWrap w:val="0"/>
            <w:vAlign w:val="center"/>
          </w:tcPr>
          <w:p w14:paraId="68D3723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1.2</w:t>
            </w:r>
          </w:p>
        </w:tc>
        <w:tc>
          <w:tcPr>
            <w:tcW w:w="1558" w:type="dxa"/>
            <w:noWrap w:val="0"/>
            <w:vAlign w:val="center"/>
          </w:tcPr>
          <w:p w14:paraId="49AFB54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sz w:val="21"/>
                <w:szCs w:val="21"/>
              </w:rPr>
              <w:t>适应环境</w:t>
            </w:r>
          </w:p>
        </w:tc>
        <w:tc>
          <w:tcPr>
            <w:tcW w:w="6348" w:type="dxa"/>
            <w:noWrap w:val="0"/>
            <w:vAlign w:val="center"/>
          </w:tcPr>
          <w:p w14:paraId="440EF33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投标车型应适应各种自然条件，适应户外长时期作业的需求，适合城市道路，社区通行及郊县崎岖道路，适应气温－35到60摄氏度之间。</w:t>
            </w:r>
          </w:p>
        </w:tc>
      </w:tr>
      <w:tr w14:paraId="44AA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304" w:type="dxa"/>
            <w:noWrap w:val="0"/>
            <w:vAlign w:val="center"/>
          </w:tcPr>
          <w:p w14:paraId="4FABB96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1.3</w:t>
            </w:r>
          </w:p>
        </w:tc>
        <w:tc>
          <w:tcPr>
            <w:tcW w:w="1558" w:type="dxa"/>
            <w:noWrap w:val="0"/>
            <w:vAlign w:val="center"/>
          </w:tcPr>
          <w:p w14:paraId="41465D3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sz w:val="21"/>
                <w:szCs w:val="21"/>
              </w:rPr>
              <w:t>产品公告</w:t>
            </w:r>
          </w:p>
        </w:tc>
        <w:tc>
          <w:tcPr>
            <w:tcW w:w="6348" w:type="dxa"/>
            <w:noWrap w:val="0"/>
            <w:vAlign w:val="center"/>
          </w:tcPr>
          <w:p w14:paraId="1B14CDC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投标车型应具备国家发改委目录公告以及3C认证，能在买方所在地公安交通管理部门办理特种车上牌照手续。</w:t>
            </w:r>
          </w:p>
        </w:tc>
      </w:tr>
      <w:tr w14:paraId="0AC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2E3D077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b/>
                <w:bCs/>
                <w:sz w:val="21"/>
                <w:szCs w:val="21"/>
              </w:rPr>
              <w:t>二</w:t>
            </w:r>
          </w:p>
        </w:tc>
        <w:tc>
          <w:tcPr>
            <w:tcW w:w="1558" w:type="dxa"/>
            <w:noWrap w:val="0"/>
            <w:vAlign w:val="center"/>
          </w:tcPr>
          <w:p w14:paraId="478945B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b/>
                <w:bCs/>
                <w:sz w:val="21"/>
                <w:szCs w:val="21"/>
              </w:rPr>
              <w:t>车辆技术要求</w:t>
            </w:r>
          </w:p>
        </w:tc>
        <w:tc>
          <w:tcPr>
            <w:tcW w:w="6348" w:type="dxa"/>
            <w:noWrap w:val="0"/>
            <w:vAlign w:val="bottom"/>
          </w:tcPr>
          <w:p w14:paraId="325BAA7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bCs/>
                <w:kern w:val="0"/>
                <w:sz w:val="21"/>
                <w:szCs w:val="21"/>
              </w:rPr>
            </w:pPr>
          </w:p>
        </w:tc>
      </w:tr>
      <w:tr w14:paraId="104B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7872A52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2.1</w:t>
            </w:r>
          </w:p>
        </w:tc>
        <w:tc>
          <w:tcPr>
            <w:tcW w:w="1558" w:type="dxa"/>
            <w:noWrap w:val="0"/>
            <w:vAlign w:val="center"/>
          </w:tcPr>
          <w:p w14:paraId="7BADFB1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外形尺寸</w:t>
            </w:r>
          </w:p>
        </w:tc>
        <w:tc>
          <w:tcPr>
            <w:tcW w:w="6348" w:type="dxa"/>
            <w:noWrap w:val="0"/>
            <w:vAlign w:val="bottom"/>
          </w:tcPr>
          <w:p w14:paraId="7F677E1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5400mm≥长≥5300mm、2000mm≥宽≥1900mm、2450mm≥高≥2350mm</w:t>
            </w:r>
          </w:p>
        </w:tc>
      </w:tr>
      <w:tr w14:paraId="596A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304" w:type="dxa"/>
            <w:noWrap w:val="0"/>
            <w:vAlign w:val="center"/>
          </w:tcPr>
          <w:p w14:paraId="3A072BA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2.2</w:t>
            </w:r>
          </w:p>
        </w:tc>
        <w:tc>
          <w:tcPr>
            <w:tcW w:w="1558" w:type="dxa"/>
            <w:noWrap w:val="0"/>
            <w:vAlign w:val="center"/>
          </w:tcPr>
          <w:p w14:paraId="507DFEC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医疗舱尺度</w:t>
            </w:r>
          </w:p>
        </w:tc>
        <w:tc>
          <w:tcPr>
            <w:tcW w:w="6348" w:type="dxa"/>
            <w:noWrap w:val="0"/>
            <w:vAlign w:val="bottom"/>
          </w:tcPr>
          <w:p w14:paraId="19FF3970">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2800mm≥长≥2700mm、1750mm≥宽≥1650mm、1800mm≥高≥1700mm</w:t>
            </w:r>
          </w:p>
        </w:tc>
      </w:tr>
      <w:tr w14:paraId="1DCD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2F6FBBA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2.3</w:t>
            </w:r>
          </w:p>
        </w:tc>
        <w:tc>
          <w:tcPr>
            <w:tcW w:w="1558" w:type="dxa"/>
            <w:noWrap w:val="0"/>
            <w:vAlign w:val="center"/>
          </w:tcPr>
          <w:p w14:paraId="3E7059B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轴距</w:t>
            </w:r>
          </w:p>
        </w:tc>
        <w:tc>
          <w:tcPr>
            <w:tcW w:w="6348" w:type="dxa"/>
            <w:noWrap w:val="0"/>
            <w:vAlign w:val="bottom"/>
          </w:tcPr>
          <w:p w14:paraId="280BD810">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≥3300mm</w:t>
            </w:r>
          </w:p>
        </w:tc>
      </w:tr>
      <w:tr w14:paraId="35FE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3CBE477C">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2.4</w:t>
            </w:r>
          </w:p>
        </w:tc>
        <w:tc>
          <w:tcPr>
            <w:tcW w:w="1558" w:type="dxa"/>
            <w:noWrap w:val="0"/>
            <w:vAlign w:val="center"/>
          </w:tcPr>
          <w:p w14:paraId="5D143E5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最高时速</w:t>
            </w:r>
          </w:p>
        </w:tc>
        <w:tc>
          <w:tcPr>
            <w:tcW w:w="6348" w:type="dxa"/>
            <w:noWrap w:val="0"/>
            <w:vAlign w:val="bottom"/>
          </w:tcPr>
          <w:p w14:paraId="1D1D956A">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≥170KM/h</w:t>
            </w:r>
          </w:p>
        </w:tc>
      </w:tr>
      <w:tr w14:paraId="6073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44C0226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2.5</w:t>
            </w:r>
          </w:p>
        </w:tc>
        <w:tc>
          <w:tcPr>
            <w:tcW w:w="1558" w:type="dxa"/>
            <w:noWrap w:val="0"/>
            <w:vAlign w:val="center"/>
          </w:tcPr>
          <w:p w14:paraId="280BF7C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整备质量</w:t>
            </w:r>
          </w:p>
        </w:tc>
        <w:tc>
          <w:tcPr>
            <w:tcW w:w="6348" w:type="dxa"/>
            <w:noWrap w:val="0"/>
            <w:vAlign w:val="bottom"/>
          </w:tcPr>
          <w:p w14:paraId="736AC5A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≤2500Kg</w:t>
            </w:r>
          </w:p>
        </w:tc>
      </w:tr>
      <w:tr w14:paraId="60C0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354EBA80">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2.6</w:t>
            </w:r>
          </w:p>
        </w:tc>
        <w:tc>
          <w:tcPr>
            <w:tcW w:w="1558" w:type="dxa"/>
            <w:noWrap w:val="0"/>
            <w:vAlign w:val="center"/>
          </w:tcPr>
          <w:p w14:paraId="466A08B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总质量</w:t>
            </w:r>
          </w:p>
        </w:tc>
        <w:tc>
          <w:tcPr>
            <w:tcW w:w="6348" w:type="dxa"/>
            <w:noWrap w:val="0"/>
            <w:vAlign w:val="bottom"/>
          </w:tcPr>
          <w:p w14:paraId="32819386">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≤3300 Kg</w:t>
            </w:r>
          </w:p>
        </w:tc>
      </w:tr>
      <w:tr w14:paraId="0E17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0D29087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2.7</w:t>
            </w:r>
          </w:p>
        </w:tc>
        <w:tc>
          <w:tcPr>
            <w:tcW w:w="1558" w:type="dxa"/>
            <w:noWrap w:val="0"/>
            <w:vAlign w:val="center"/>
          </w:tcPr>
          <w:p w14:paraId="06F164E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发动机排量</w:t>
            </w:r>
          </w:p>
        </w:tc>
        <w:tc>
          <w:tcPr>
            <w:tcW w:w="6348" w:type="dxa"/>
            <w:noWrap w:val="0"/>
            <w:vAlign w:val="bottom"/>
          </w:tcPr>
          <w:p w14:paraId="4EDBDF90">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≥1990ml</w:t>
            </w:r>
          </w:p>
        </w:tc>
      </w:tr>
      <w:tr w14:paraId="06AA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3D272A4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2.8</w:t>
            </w:r>
          </w:p>
        </w:tc>
        <w:tc>
          <w:tcPr>
            <w:tcW w:w="1558" w:type="dxa"/>
            <w:noWrap w:val="0"/>
            <w:vAlign w:val="center"/>
          </w:tcPr>
          <w:p w14:paraId="7CF032B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发动机型式</w:t>
            </w:r>
          </w:p>
        </w:tc>
        <w:tc>
          <w:tcPr>
            <w:tcW w:w="6348" w:type="dxa"/>
            <w:noWrap w:val="0"/>
            <w:vAlign w:val="bottom"/>
          </w:tcPr>
          <w:p w14:paraId="456CD0C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前置（横置）、直列四缸、液冷、增压中冷、缸内直喷汽油机</w:t>
            </w:r>
          </w:p>
        </w:tc>
      </w:tr>
      <w:tr w14:paraId="672F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58A61EDE">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2.9</w:t>
            </w:r>
          </w:p>
        </w:tc>
        <w:tc>
          <w:tcPr>
            <w:tcW w:w="1558" w:type="dxa"/>
            <w:noWrap w:val="0"/>
            <w:vAlign w:val="center"/>
          </w:tcPr>
          <w:p w14:paraId="609A9F7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燃油种类</w:t>
            </w:r>
          </w:p>
        </w:tc>
        <w:tc>
          <w:tcPr>
            <w:tcW w:w="6348" w:type="dxa"/>
            <w:noWrap w:val="0"/>
            <w:vAlign w:val="bottom"/>
          </w:tcPr>
          <w:p w14:paraId="18D047F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汽油</w:t>
            </w:r>
          </w:p>
        </w:tc>
      </w:tr>
      <w:tr w14:paraId="3BDD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64C6DAC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2.10</w:t>
            </w:r>
          </w:p>
        </w:tc>
        <w:tc>
          <w:tcPr>
            <w:tcW w:w="1558" w:type="dxa"/>
            <w:noWrap w:val="0"/>
            <w:vAlign w:val="center"/>
          </w:tcPr>
          <w:p w14:paraId="56F0AE6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额定功率</w:t>
            </w:r>
          </w:p>
        </w:tc>
        <w:tc>
          <w:tcPr>
            <w:tcW w:w="6348" w:type="dxa"/>
            <w:noWrap w:val="0"/>
            <w:vAlign w:val="bottom"/>
          </w:tcPr>
          <w:p w14:paraId="4769F22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≥160Kw</w:t>
            </w:r>
          </w:p>
        </w:tc>
      </w:tr>
      <w:tr w14:paraId="4031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3FA9847C">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2.11</w:t>
            </w:r>
          </w:p>
        </w:tc>
        <w:tc>
          <w:tcPr>
            <w:tcW w:w="1558" w:type="dxa"/>
            <w:noWrap w:val="0"/>
            <w:vAlign w:val="center"/>
          </w:tcPr>
          <w:p w14:paraId="20E0A14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最大扭矩</w:t>
            </w:r>
          </w:p>
        </w:tc>
        <w:tc>
          <w:tcPr>
            <w:tcW w:w="6348" w:type="dxa"/>
            <w:noWrap w:val="0"/>
            <w:vAlign w:val="bottom"/>
          </w:tcPr>
          <w:p w14:paraId="6A1B660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≥350N.m</w:t>
            </w:r>
          </w:p>
        </w:tc>
      </w:tr>
      <w:tr w14:paraId="6BDA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1F2ACBE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2.12</w:t>
            </w:r>
          </w:p>
        </w:tc>
        <w:tc>
          <w:tcPr>
            <w:tcW w:w="1558" w:type="dxa"/>
            <w:noWrap w:val="0"/>
            <w:vAlign w:val="center"/>
          </w:tcPr>
          <w:p w14:paraId="36AB9E3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排放标准</w:t>
            </w:r>
          </w:p>
        </w:tc>
        <w:tc>
          <w:tcPr>
            <w:tcW w:w="6348" w:type="dxa"/>
            <w:noWrap w:val="0"/>
            <w:vAlign w:val="bottom"/>
          </w:tcPr>
          <w:p w14:paraId="1710575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尾气排放必须符合</w:t>
            </w:r>
            <w:r>
              <w:rPr>
                <w:rFonts w:hint="eastAsia" w:ascii="仿宋" w:hAnsi="仿宋" w:eastAsia="仿宋" w:cs="仿宋"/>
                <w:kern w:val="0"/>
                <w:sz w:val="21"/>
                <w:szCs w:val="21"/>
              </w:rPr>
              <w:t>国</w:t>
            </w:r>
            <w:r>
              <w:rPr>
                <w:rFonts w:hint="eastAsia" w:ascii="仿宋" w:hAnsi="仿宋" w:eastAsia="仿宋" w:cs="仿宋"/>
                <w:sz w:val="21"/>
                <w:szCs w:val="21"/>
              </w:rPr>
              <w:t>VI标准。</w:t>
            </w:r>
          </w:p>
        </w:tc>
      </w:tr>
      <w:tr w14:paraId="1B11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27D4076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2.13</w:t>
            </w:r>
          </w:p>
        </w:tc>
        <w:tc>
          <w:tcPr>
            <w:tcW w:w="1558" w:type="dxa"/>
            <w:noWrap w:val="0"/>
            <w:vAlign w:val="center"/>
          </w:tcPr>
          <w:p w14:paraId="5B7994C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变速器</w:t>
            </w:r>
          </w:p>
        </w:tc>
        <w:tc>
          <w:tcPr>
            <w:tcW w:w="6348" w:type="dxa"/>
            <w:noWrap w:val="0"/>
            <w:vAlign w:val="center"/>
          </w:tcPr>
          <w:p w14:paraId="52594D96">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9档自动变速箱</w:t>
            </w:r>
          </w:p>
        </w:tc>
      </w:tr>
      <w:tr w14:paraId="771C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304" w:type="dxa"/>
            <w:noWrap w:val="0"/>
            <w:vAlign w:val="center"/>
          </w:tcPr>
          <w:p w14:paraId="44A379F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2.14</w:t>
            </w:r>
          </w:p>
        </w:tc>
        <w:tc>
          <w:tcPr>
            <w:tcW w:w="1558" w:type="dxa"/>
            <w:noWrap w:val="0"/>
            <w:vAlign w:val="center"/>
          </w:tcPr>
          <w:p w14:paraId="46EDBF0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发电机</w:t>
            </w:r>
          </w:p>
        </w:tc>
        <w:tc>
          <w:tcPr>
            <w:tcW w:w="6348" w:type="dxa"/>
            <w:noWrap w:val="0"/>
            <w:vAlign w:val="bottom"/>
          </w:tcPr>
          <w:p w14:paraId="233758D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发电机为12V，功率为120AH以上。</w:t>
            </w:r>
          </w:p>
        </w:tc>
      </w:tr>
      <w:tr w14:paraId="60A2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304" w:type="dxa"/>
            <w:noWrap w:val="0"/>
            <w:vAlign w:val="center"/>
          </w:tcPr>
          <w:p w14:paraId="4DDB564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2.15</w:t>
            </w:r>
          </w:p>
        </w:tc>
        <w:tc>
          <w:tcPr>
            <w:tcW w:w="1558" w:type="dxa"/>
            <w:noWrap w:val="0"/>
            <w:vAlign w:val="center"/>
          </w:tcPr>
          <w:p w14:paraId="2CF399F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制动系统</w:t>
            </w:r>
          </w:p>
        </w:tc>
        <w:tc>
          <w:tcPr>
            <w:tcW w:w="6348" w:type="dxa"/>
            <w:noWrap w:val="0"/>
            <w:vAlign w:val="bottom"/>
          </w:tcPr>
          <w:p w14:paraId="1821627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双管路液压制动、前通风盘式、后实心盘式，带防抱死制动系统（ABS）</w:t>
            </w:r>
          </w:p>
        </w:tc>
      </w:tr>
      <w:tr w14:paraId="0D48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5787B0C2">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2.16</w:t>
            </w:r>
          </w:p>
        </w:tc>
        <w:tc>
          <w:tcPr>
            <w:tcW w:w="1558" w:type="dxa"/>
            <w:noWrap w:val="0"/>
            <w:vAlign w:val="center"/>
          </w:tcPr>
          <w:p w14:paraId="65CC4D4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空调系统</w:t>
            </w:r>
          </w:p>
        </w:tc>
        <w:tc>
          <w:tcPr>
            <w:tcW w:w="6348" w:type="dxa"/>
            <w:noWrap w:val="0"/>
            <w:vAlign w:val="bottom"/>
          </w:tcPr>
          <w:p w14:paraId="243A442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控制：冷暖空调，前后双空调，独立控制。</w:t>
            </w:r>
          </w:p>
        </w:tc>
      </w:tr>
      <w:tr w14:paraId="73AF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7DF9E9B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2.16.1</w:t>
            </w:r>
          </w:p>
        </w:tc>
        <w:tc>
          <w:tcPr>
            <w:tcW w:w="1558" w:type="dxa"/>
            <w:noWrap w:val="0"/>
            <w:vAlign w:val="center"/>
          </w:tcPr>
          <w:p w14:paraId="6C5ECD8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制热要求</w:t>
            </w:r>
          </w:p>
        </w:tc>
        <w:tc>
          <w:tcPr>
            <w:tcW w:w="6348" w:type="dxa"/>
            <w:noWrap w:val="0"/>
            <w:vAlign w:val="center"/>
          </w:tcPr>
          <w:p w14:paraId="67F330C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在环境温度-20摄氏度时，启动加热系统在15分钟内使车内温度至少达到22摄氏度以上。</w:t>
            </w:r>
          </w:p>
        </w:tc>
      </w:tr>
      <w:tr w14:paraId="1EB1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3AAC208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2.16.2</w:t>
            </w:r>
          </w:p>
        </w:tc>
        <w:tc>
          <w:tcPr>
            <w:tcW w:w="1558" w:type="dxa"/>
            <w:noWrap w:val="0"/>
            <w:vAlign w:val="center"/>
          </w:tcPr>
          <w:p w14:paraId="1AE824B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制冷要求</w:t>
            </w:r>
          </w:p>
        </w:tc>
        <w:tc>
          <w:tcPr>
            <w:tcW w:w="6348" w:type="dxa"/>
            <w:noWrap w:val="0"/>
            <w:vAlign w:val="center"/>
          </w:tcPr>
          <w:p w14:paraId="2C2793B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在环境温度40</w:t>
            </w:r>
            <w:r>
              <w:rPr>
                <w:rFonts w:hint="eastAsia" w:ascii="仿宋" w:hAnsi="仿宋" w:eastAsia="仿宋" w:cs="仿宋"/>
                <w:sz w:val="21"/>
                <w:szCs w:val="21"/>
              </w:rPr>
              <w:t>摄氏度</w:t>
            </w:r>
            <w:r>
              <w:rPr>
                <w:rFonts w:hint="eastAsia" w:ascii="仿宋" w:hAnsi="仿宋" w:eastAsia="仿宋" w:cs="仿宋"/>
                <w:kern w:val="0"/>
                <w:sz w:val="21"/>
                <w:szCs w:val="21"/>
              </w:rPr>
              <w:t>时，</w:t>
            </w:r>
            <w:r>
              <w:rPr>
                <w:rFonts w:hint="eastAsia" w:ascii="仿宋" w:hAnsi="仿宋" w:eastAsia="仿宋" w:cs="仿宋"/>
                <w:sz w:val="21"/>
                <w:szCs w:val="21"/>
              </w:rPr>
              <w:t>启动制冷系统在15分钟内，</w:t>
            </w:r>
            <w:r>
              <w:rPr>
                <w:rFonts w:hint="eastAsia" w:ascii="仿宋" w:hAnsi="仿宋" w:eastAsia="仿宋" w:cs="仿宋"/>
                <w:kern w:val="0"/>
                <w:sz w:val="21"/>
                <w:szCs w:val="21"/>
              </w:rPr>
              <w:t>使车内温度至少达到7</w:t>
            </w:r>
            <w:r>
              <w:rPr>
                <w:rFonts w:hint="eastAsia" w:ascii="仿宋" w:hAnsi="仿宋" w:eastAsia="仿宋" w:cs="仿宋"/>
                <w:sz w:val="21"/>
                <w:szCs w:val="21"/>
              </w:rPr>
              <w:t>摄氏度</w:t>
            </w:r>
            <w:r>
              <w:rPr>
                <w:rFonts w:hint="eastAsia" w:ascii="仿宋" w:hAnsi="仿宋" w:eastAsia="仿宋" w:cs="仿宋"/>
                <w:kern w:val="0"/>
                <w:sz w:val="21"/>
                <w:szCs w:val="21"/>
              </w:rPr>
              <w:t>以上。</w:t>
            </w:r>
          </w:p>
        </w:tc>
      </w:tr>
      <w:tr w14:paraId="771F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0CF00CD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2.17</w:t>
            </w:r>
          </w:p>
        </w:tc>
        <w:tc>
          <w:tcPr>
            <w:tcW w:w="1558" w:type="dxa"/>
            <w:noWrap w:val="0"/>
            <w:vAlign w:val="center"/>
          </w:tcPr>
          <w:p w14:paraId="1C8FEDB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其他配置</w:t>
            </w:r>
          </w:p>
        </w:tc>
        <w:tc>
          <w:tcPr>
            <w:tcW w:w="6348" w:type="dxa"/>
            <w:noWrap w:val="0"/>
            <w:vAlign w:val="bottom"/>
          </w:tcPr>
          <w:p w14:paraId="1C7ED01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2BB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6A399B0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2.17.1</w:t>
            </w:r>
          </w:p>
        </w:tc>
        <w:tc>
          <w:tcPr>
            <w:tcW w:w="1558" w:type="dxa"/>
            <w:noWrap w:val="0"/>
            <w:vAlign w:val="center"/>
          </w:tcPr>
          <w:p w14:paraId="511CE0B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安全气囊</w:t>
            </w:r>
          </w:p>
        </w:tc>
        <w:tc>
          <w:tcPr>
            <w:tcW w:w="6348" w:type="dxa"/>
            <w:noWrap w:val="0"/>
            <w:vAlign w:val="bottom"/>
          </w:tcPr>
          <w:p w14:paraId="13C377AF">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驾驶座应配有安全气囊。</w:t>
            </w:r>
          </w:p>
        </w:tc>
      </w:tr>
      <w:tr w14:paraId="4C65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650CE73D">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0"/>
                <w:sz w:val="21"/>
                <w:szCs w:val="21"/>
              </w:rPr>
              <w:t>2.17.2</w:t>
            </w:r>
          </w:p>
        </w:tc>
        <w:tc>
          <w:tcPr>
            <w:tcW w:w="1558" w:type="dxa"/>
            <w:noWrap w:val="0"/>
            <w:vAlign w:val="center"/>
          </w:tcPr>
          <w:p w14:paraId="31B0C6D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车窗</w:t>
            </w:r>
          </w:p>
        </w:tc>
        <w:tc>
          <w:tcPr>
            <w:tcW w:w="6348" w:type="dxa"/>
            <w:noWrap w:val="0"/>
            <w:vAlign w:val="bottom"/>
          </w:tcPr>
          <w:p w14:paraId="6A36D98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医疗舱右侧侧拉门上应为可开启式玻璃窗。</w:t>
            </w:r>
          </w:p>
        </w:tc>
      </w:tr>
      <w:tr w14:paraId="6888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7BC292CC">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0"/>
                <w:sz w:val="21"/>
                <w:szCs w:val="21"/>
              </w:rPr>
              <w:t>2.17.3</w:t>
            </w:r>
          </w:p>
        </w:tc>
        <w:tc>
          <w:tcPr>
            <w:tcW w:w="1558" w:type="dxa"/>
            <w:noWrap w:val="0"/>
            <w:vAlign w:val="center"/>
          </w:tcPr>
          <w:p w14:paraId="252361E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侧拉门</w:t>
            </w:r>
          </w:p>
        </w:tc>
        <w:tc>
          <w:tcPr>
            <w:tcW w:w="6348" w:type="dxa"/>
            <w:noWrap w:val="0"/>
            <w:vAlign w:val="bottom"/>
          </w:tcPr>
          <w:p w14:paraId="7BFED38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医疗舱右侧必须为大开度侧拉门。</w:t>
            </w:r>
          </w:p>
        </w:tc>
      </w:tr>
      <w:tr w14:paraId="3144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3A6D6ACD">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0"/>
                <w:sz w:val="21"/>
                <w:szCs w:val="21"/>
              </w:rPr>
              <w:t>2.17.4</w:t>
            </w:r>
          </w:p>
        </w:tc>
        <w:tc>
          <w:tcPr>
            <w:tcW w:w="1558" w:type="dxa"/>
            <w:noWrap w:val="0"/>
            <w:vAlign w:val="center"/>
          </w:tcPr>
          <w:p w14:paraId="1A3579D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尾门</w:t>
            </w:r>
          </w:p>
        </w:tc>
        <w:tc>
          <w:tcPr>
            <w:tcW w:w="6348" w:type="dxa"/>
            <w:noWrap w:val="0"/>
            <w:vAlign w:val="bottom"/>
          </w:tcPr>
          <w:p w14:paraId="5968A15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尾门要求对开式，可180度打开。</w:t>
            </w:r>
          </w:p>
        </w:tc>
      </w:tr>
      <w:tr w14:paraId="21EB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770F9DAD">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0"/>
                <w:sz w:val="21"/>
                <w:szCs w:val="21"/>
              </w:rPr>
              <w:t>2.17.5</w:t>
            </w:r>
          </w:p>
        </w:tc>
        <w:tc>
          <w:tcPr>
            <w:tcW w:w="1558" w:type="dxa"/>
            <w:noWrap w:val="0"/>
            <w:vAlign w:val="center"/>
          </w:tcPr>
          <w:p w14:paraId="0FCACD0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踏板</w:t>
            </w:r>
          </w:p>
        </w:tc>
        <w:tc>
          <w:tcPr>
            <w:tcW w:w="6348" w:type="dxa"/>
            <w:noWrap w:val="0"/>
            <w:vAlign w:val="bottom"/>
          </w:tcPr>
          <w:p w14:paraId="759507F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医疗舱右侧侧拉门处应安装电动折叠伸缩式上车踏板。</w:t>
            </w:r>
          </w:p>
        </w:tc>
      </w:tr>
      <w:tr w14:paraId="45BA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09986206">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0"/>
                <w:sz w:val="21"/>
                <w:szCs w:val="21"/>
              </w:rPr>
              <w:t>2.17.6</w:t>
            </w:r>
          </w:p>
        </w:tc>
        <w:tc>
          <w:tcPr>
            <w:tcW w:w="1558" w:type="dxa"/>
            <w:noWrap w:val="0"/>
            <w:vAlign w:val="center"/>
          </w:tcPr>
          <w:p w14:paraId="135376E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后视镜</w:t>
            </w:r>
          </w:p>
        </w:tc>
        <w:tc>
          <w:tcPr>
            <w:tcW w:w="6348" w:type="dxa"/>
            <w:noWrap w:val="0"/>
            <w:vAlign w:val="bottom"/>
          </w:tcPr>
          <w:p w14:paraId="76C8E456">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后视镜为电动可调节后视镜。</w:t>
            </w:r>
          </w:p>
        </w:tc>
      </w:tr>
      <w:tr w14:paraId="6496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76E215B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2.18</w:t>
            </w:r>
          </w:p>
        </w:tc>
        <w:tc>
          <w:tcPr>
            <w:tcW w:w="1558" w:type="dxa"/>
            <w:noWrap w:val="0"/>
            <w:vAlign w:val="center"/>
          </w:tcPr>
          <w:p w14:paraId="7A988E4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外观</w:t>
            </w:r>
          </w:p>
        </w:tc>
        <w:tc>
          <w:tcPr>
            <w:tcW w:w="6348" w:type="dxa"/>
            <w:noWrap w:val="0"/>
            <w:vAlign w:val="center"/>
          </w:tcPr>
          <w:p w14:paraId="607168D0">
            <w:pPr>
              <w:keepNext w:val="0"/>
              <w:keepLines w:val="0"/>
              <w:pageBreakBefore w:val="0"/>
              <w:tabs>
                <w:tab w:val="left" w:pos="631"/>
                <w:tab w:val="left" w:pos="1891"/>
                <w:tab w:val="left" w:pos="9394"/>
              </w:tabs>
              <w:kinsoku/>
              <w:wordWrap/>
              <w:overflowPunct/>
              <w:topLinePunct w:val="0"/>
              <w:autoSpaceDE/>
              <w:autoSpaceDN/>
              <w:bidi w:val="0"/>
              <w:adjustRightInd/>
              <w:snapToGrid w:val="0"/>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1.车辆外观根据最终用户统一标准设计。</w:t>
            </w:r>
          </w:p>
          <w:p w14:paraId="20A3F5E6">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2.所有标识采用反光贴。</w:t>
            </w:r>
          </w:p>
        </w:tc>
      </w:tr>
      <w:tr w14:paraId="17C1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304" w:type="dxa"/>
            <w:noWrap w:val="0"/>
            <w:vAlign w:val="center"/>
          </w:tcPr>
          <w:p w14:paraId="7C2D374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bCs/>
                <w:kern w:val="0"/>
                <w:sz w:val="21"/>
                <w:szCs w:val="21"/>
              </w:rPr>
              <w:t>三</w:t>
            </w:r>
          </w:p>
        </w:tc>
        <w:tc>
          <w:tcPr>
            <w:tcW w:w="1558" w:type="dxa"/>
            <w:noWrap w:val="0"/>
            <w:vAlign w:val="center"/>
          </w:tcPr>
          <w:p w14:paraId="157C1ED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b/>
                <w:bCs/>
                <w:kern w:val="0"/>
                <w:sz w:val="21"/>
                <w:szCs w:val="21"/>
              </w:rPr>
              <w:t>医疗舱及改装</w:t>
            </w:r>
          </w:p>
        </w:tc>
        <w:tc>
          <w:tcPr>
            <w:tcW w:w="6348" w:type="dxa"/>
            <w:noWrap w:val="0"/>
            <w:vAlign w:val="bottom"/>
          </w:tcPr>
          <w:p w14:paraId="26E3C83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p>
        </w:tc>
      </w:tr>
      <w:tr w14:paraId="1465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4" w:type="dxa"/>
            <w:noWrap w:val="0"/>
            <w:vAlign w:val="center"/>
          </w:tcPr>
          <w:p w14:paraId="6DF6533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3.1</w:t>
            </w:r>
          </w:p>
        </w:tc>
        <w:tc>
          <w:tcPr>
            <w:tcW w:w="1558" w:type="dxa"/>
            <w:noWrap w:val="0"/>
            <w:vAlign w:val="center"/>
          </w:tcPr>
          <w:p w14:paraId="0BE8183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医疗舱内饰防火性能</w:t>
            </w:r>
          </w:p>
        </w:tc>
        <w:tc>
          <w:tcPr>
            <w:tcW w:w="6348" w:type="dxa"/>
            <w:noWrap w:val="0"/>
            <w:vAlign w:val="bottom"/>
          </w:tcPr>
          <w:p w14:paraId="0199DCB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医疗舱内饰材料及装饰材料的防火性能应符合GB8410－2006《汽车内饰材料的燃烧特性》的要求。</w:t>
            </w:r>
          </w:p>
        </w:tc>
      </w:tr>
      <w:tr w14:paraId="584A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04" w:type="dxa"/>
            <w:noWrap w:val="0"/>
            <w:vAlign w:val="center"/>
          </w:tcPr>
          <w:p w14:paraId="4E4B5D5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3.2</w:t>
            </w:r>
          </w:p>
        </w:tc>
        <w:tc>
          <w:tcPr>
            <w:tcW w:w="1558" w:type="dxa"/>
            <w:noWrap w:val="0"/>
            <w:vAlign w:val="center"/>
          </w:tcPr>
          <w:p w14:paraId="3F3723C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内饰材料</w:t>
            </w:r>
          </w:p>
        </w:tc>
        <w:tc>
          <w:tcPr>
            <w:tcW w:w="6348" w:type="dxa"/>
            <w:noWrap w:val="0"/>
            <w:vAlign w:val="bottom"/>
          </w:tcPr>
          <w:p w14:paraId="2BBC270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医疗舱内饰（顶、左侧、右侧、中隔板等覆盖件）材料应全部采用ABS复合材料模具</w:t>
            </w:r>
            <w:r>
              <w:rPr>
                <w:rFonts w:hint="eastAsia" w:ascii="仿宋" w:hAnsi="仿宋" w:eastAsia="仿宋" w:cs="仿宋"/>
                <w:sz w:val="21"/>
                <w:szCs w:val="21"/>
              </w:rPr>
              <w:t>一次</w:t>
            </w:r>
            <w:r>
              <w:rPr>
                <w:rFonts w:hint="eastAsia" w:ascii="仿宋" w:hAnsi="仿宋" w:eastAsia="仿宋" w:cs="仿宋"/>
                <w:kern w:val="0"/>
                <w:sz w:val="21"/>
                <w:szCs w:val="21"/>
              </w:rPr>
              <w:t>成型工艺，ABS复合材料应具有：防霉、防菌、防静电、防潮、阻燃、易清洗、易消毒、高强度、抗老化、无异味、无毒、安全性强等优点。内饰件应无尖锐突出形状，周边应修光，连接应平滑，禁止使用板材拼接工艺，</w:t>
            </w:r>
            <w:r>
              <w:rPr>
                <w:rFonts w:hint="eastAsia" w:ascii="仿宋" w:hAnsi="仿宋" w:eastAsia="仿宋" w:cs="仿宋"/>
                <w:sz w:val="21"/>
                <w:szCs w:val="21"/>
              </w:rPr>
              <w:t>应</w:t>
            </w:r>
            <w:r>
              <w:rPr>
                <w:rFonts w:hint="eastAsia" w:ascii="仿宋" w:hAnsi="仿宋" w:eastAsia="仿宋" w:cs="仿宋"/>
                <w:kern w:val="0"/>
                <w:sz w:val="21"/>
                <w:szCs w:val="21"/>
              </w:rPr>
              <w:t>符合GB/T30512-2014《汽车禁用物质要求》的环保要求。</w:t>
            </w:r>
          </w:p>
        </w:tc>
      </w:tr>
      <w:tr w14:paraId="6F96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04" w:type="dxa"/>
            <w:noWrap w:val="0"/>
            <w:vAlign w:val="center"/>
          </w:tcPr>
          <w:p w14:paraId="292B7D8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3.3</w:t>
            </w:r>
          </w:p>
        </w:tc>
        <w:tc>
          <w:tcPr>
            <w:tcW w:w="1558" w:type="dxa"/>
            <w:noWrap w:val="0"/>
            <w:vAlign w:val="center"/>
          </w:tcPr>
          <w:p w14:paraId="6F00B3E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内饰工艺</w:t>
            </w:r>
          </w:p>
        </w:tc>
        <w:tc>
          <w:tcPr>
            <w:tcW w:w="6348" w:type="dxa"/>
            <w:noWrap w:val="0"/>
            <w:vAlign w:val="center"/>
          </w:tcPr>
          <w:p w14:paraId="46134403">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医疗舱内饰（顶、左侧、右侧、中隔板等覆盖件）要求采用</w:t>
            </w:r>
            <w:r>
              <w:rPr>
                <w:rFonts w:hint="eastAsia" w:ascii="仿宋" w:hAnsi="仿宋" w:eastAsia="仿宋" w:cs="仿宋"/>
                <w:kern w:val="0"/>
                <w:sz w:val="21"/>
                <w:szCs w:val="21"/>
              </w:rPr>
              <w:t>ABS复合材料模具</w:t>
            </w:r>
            <w:r>
              <w:rPr>
                <w:rFonts w:hint="eastAsia" w:ascii="仿宋" w:hAnsi="仿宋" w:eastAsia="仿宋" w:cs="仿宋"/>
                <w:sz w:val="21"/>
                <w:szCs w:val="21"/>
              </w:rPr>
              <w:t>一次</w:t>
            </w:r>
            <w:r>
              <w:rPr>
                <w:rFonts w:hint="eastAsia" w:ascii="仿宋" w:hAnsi="仿宋" w:eastAsia="仿宋" w:cs="仿宋"/>
                <w:kern w:val="0"/>
                <w:sz w:val="21"/>
                <w:szCs w:val="21"/>
              </w:rPr>
              <w:t>成型工艺</w:t>
            </w:r>
            <w:r>
              <w:rPr>
                <w:rFonts w:hint="eastAsia" w:ascii="仿宋" w:hAnsi="仿宋" w:eastAsia="仿宋" w:cs="仿宋"/>
                <w:sz w:val="21"/>
                <w:szCs w:val="21"/>
              </w:rPr>
              <w:t>，使医疗舱更加易清洗易消毒，功能集成度高。</w:t>
            </w:r>
          </w:p>
        </w:tc>
      </w:tr>
      <w:tr w14:paraId="1CD1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304" w:type="dxa"/>
            <w:noWrap w:val="0"/>
            <w:vAlign w:val="center"/>
          </w:tcPr>
          <w:p w14:paraId="5B0478A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3.4</w:t>
            </w:r>
          </w:p>
        </w:tc>
        <w:tc>
          <w:tcPr>
            <w:tcW w:w="1558" w:type="dxa"/>
            <w:noWrap w:val="0"/>
            <w:vAlign w:val="center"/>
          </w:tcPr>
          <w:p w14:paraId="054DF46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内饰及结构件</w:t>
            </w:r>
          </w:p>
        </w:tc>
        <w:tc>
          <w:tcPr>
            <w:tcW w:w="6348" w:type="dxa"/>
            <w:noWrap w:val="0"/>
            <w:vAlign w:val="bottom"/>
          </w:tcPr>
          <w:p w14:paraId="72BAB140">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医疗舱内饰及结构件安装必须与车身固定连接，并应形成具有良好密封性和保温性。</w:t>
            </w:r>
          </w:p>
        </w:tc>
      </w:tr>
      <w:tr w14:paraId="5FDA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04" w:type="dxa"/>
            <w:noWrap w:val="0"/>
            <w:vAlign w:val="center"/>
          </w:tcPr>
          <w:p w14:paraId="637A333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3.5</w:t>
            </w:r>
          </w:p>
        </w:tc>
        <w:tc>
          <w:tcPr>
            <w:tcW w:w="1558" w:type="dxa"/>
            <w:noWrap w:val="0"/>
            <w:vAlign w:val="center"/>
          </w:tcPr>
          <w:p w14:paraId="262487D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医疗舱结构</w:t>
            </w:r>
          </w:p>
        </w:tc>
        <w:tc>
          <w:tcPr>
            <w:tcW w:w="6348" w:type="dxa"/>
            <w:noWrap w:val="0"/>
            <w:vAlign w:val="bottom"/>
          </w:tcPr>
          <w:p w14:paraId="012E4B7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1EE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304" w:type="dxa"/>
            <w:noWrap w:val="0"/>
            <w:vAlign w:val="center"/>
          </w:tcPr>
          <w:p w14:paraId="06CFEF5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3.5.1</w:t>
            </w:r>
          </w:p>
        </w:tc>
        <w:tc>
          <w:tcPr>
            <w:tcW w:w="1558" w:type="dxa"/>
            <w:noWrap w:val="0"/>
            <w:vAlign w:val="center"/>
          </w:tcPr>
          <w:p w14:paraId="79B990F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地板</w:t>
            </w:r>
          </w:p>
        </w:tc>
        <w:tc>
          <w:tcPr>
            <w:tcW w:w="6348" w:type="dxa"/>
            <w:noWrap w:val="0"/>
            <w:vAlign w:val="bottom"/>
          </w:tcPr>
          <w:p w14:paraId="6B83F5A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采用耐磨、耐酸、耐碱、阻燃、防滑、防霉、易清洗医疗专用塑胶地板。</w:t>
            </w:r>
          </w:p>
        </w:tc>
      </w:tr>
      <w:tr w14:paraId="61D8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04" w:type="dxa"/>
            <w:noWrap w:val="0"/>
            <w:vAlign w:val="center"/>
          </w:tcPr>
          <w:p w14:paraId="134360B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3.5.2</w:t>
            </w:r>
          </w:p>
        </w:tc>
        <w:tc>
          <w:tcPr>
            <w:tcW w:w="1558" w:type="dxa"/>
            <w:noWrap w:val="0"/>
            <w:vAlign w:val="center"/>
          </w:tcPr>
          <w:p w14:paraId="4B699A0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中隔墙</w:t>
            </w:r>
          </w:p>
        </w:tc>
        <w:tc>
          <w:tcPr>
            <w:tcW w:w="6348" w:type="dxa"/>
            <w:noWrap w:val="0"/>
            <w:vAlign w:val="bottom"/>
          </w:tcPr>
          <w:p w14:paraId="2706B04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中隔墙能将驾驶舱和急救舱完全隔离，采用ABS材料模具一次成型工艺。中隔墙上配有可开启移动式透明推窗，推窗玻璃带有锁定装置。</w:t>
            </w:r>
          </w:p>
        </w:tc>
      </w:tr>
      <w:tr w14:paraId="52B7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04" w:type="dxa"/>
            <w:noWrap w:val="0"/>
            <w:vAlign w:val="center"/>
          </w:tcPr>
          <w:p w14:paraId="366CBA0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3.5.3</w:t>
            </w:r>
          </w:p>
        </w:tc>
        <w:tc>
          <w:tcPr>
            <w:tcW w:w="1558" w:type="dxa"/>
            <w:noWrap w:val="0"/>
            <w:vAlign w:val="center"/>
          </w:tcPr>
          <w:p w14:paraId="68D26B4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操作平台</w:t>
            </w:r>
          </w:p>
        </w:tc>
        <w:tc>
          <w:tcPr>
            <w:tcW w:w="6348" w:type="dxa"/>
            <w:noWrap w:val="0"/>
            <w:vAlign w:val="center"/>
          </w:tcPr>
          <w:p w14:paraId="760687C5">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应位于医疗舱左侧，采用ABS材料模具一次成型工艺。操作平台下面为电器柜及医疗器械柜，可根据用户实际要求布置。</w:t>
            </w:r>
          </w:p>
        </w:tc>
      </w:tr>
      <w:tr w14:paraId="67F1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304" w:type="dxa"/>
            <w:noWrap w:val="0"/>
            <w:vAlign w:val="center"/>
          </w:tcPr>
          <w:p w14:paraId="4AB6BA9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3.5.4</w:t>
            </w:r>
          </w:p>
        </w:tc>
        <w:tc>
          <w:tcPr>
            <w:tcW w:w="1558" w:type="dxa"/>
            <w:noWrap w:val="0"/>
            <w:vAlign w:val="center"/>
          </w:tcPr>
          <w:p w14:paraId="3198C14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药品柜</w:t>
            </w:r>
          </w:p>
        </w:tc>
        <w:tc>
          <w:tcPr>
            <w:tcW w:w="6348" w:type="dxa"/>
            <w:noWrap w:val="0"/>
            <w:vAlign w:val="bottom"/>
          </w:tcPr>
          <w:p w14:paraId="3EF3720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药品器械柜可分别放置一次性耗材、注射用品、外伤包扎用品、隔离防护用品、插管箱、按压泵、软担架、呼吸机、心电图机、除颤仪等急救药械，应采用ABS复合材料与高分子板材相结合制作而成，不吸水、易清洗，边角均应采用圆角过度，封边及接口处不可有触手感。药品器械柜的布置要便于医护人员的操作。</w:t>
            </w:r>
          </w:p>
        </w:tc>
      </w:tr>
      <w:tr w14:paraId="300A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304" w:type="dxa"/>
            <w:noWrap w:val="0"/>
            <w:vAlign w:val="center"/>
          </w:tcPr>
          <w:p w14:paraId="05E1562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3.5.5</w:t>
            </w:r>
          </w:p>
        </w:tc>
        <w:tc>
          <w:tcPr>
            <w:tcW w:w="1558" w:type="dxa"/>
            <w:noWrap w:val="0"/>
            <w:vAlign w:val="center"/>
          </w:tcPr>
          <w:p w14:paraId="0F7B8102">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辅料柜</w:t>
            </w:r>
          </w:p>
        </w:tc>
        <w:tc>
          <w:tcPr>
            <w:tcW w:w="6348" w:type="dxa"/>
            <w:noWrap w:val="0"/>
            <w:vAlign w:val="center"/>
          </w:tcPr>
          <w:p w14:paraId="34A2FB55">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应位于医疗舱顶部两侧以及中隔墙上方，可分别放置一次性床单、外伤包扎用品、隔离防护用品、插管等辅料，辅料柜数量不少于6个。</w:t>
            </w:r>
          </w:p>
        </w:tc>
      </w:tr>
      <w:tr w14:paraId="4A27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04" w:type="dxa"/>
            <w:noWrap w:val="0"/>
            <w:vAlign w:val="center"/>
          </w:tcPr>
          <w:p w14:paraId="232A47C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3.5.6</w:t>
            </w:r>
          </w:p>
        </w:tc>
        <w:tc>
          <w:tcPr>
            <w:tcW w:w="1558" w:type="dxa"/>
            <w:noWrap w:val="0"/>
            <w:vAlign w:val="center"/>
          </w:tcPr>
          <w:p w14:paraId="61195AB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器械平台</w:t>
            </w:r>
          </w:p>
        </w:tc>
        <w:tc>
          <w:tcPr>
            <w:tcW w:w="6348" w:type="dxa"/>
            <w:noWrap w:val="0"/>
            <w:vAlign w:val="center"/>
          </w:tcPr>
          <w:p w14:paraId="44EA6BAF">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应位于左侧中部，应按照招标方提供的设备及安装要求放置监护仪、心电图机、呼吸机、除颤仪等急救设备，安装牢固，便于医护人员的观察和操作。</w:t>
            </w:r>
          </w:p>
        </w:tc>
      </w:tr>
      <w:tr w14:paraId="3326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04" w:type="dxa"/>
            <w:noWrap w:val="0"/>
            <w:vAlign w:val="center"/>
          </w:tcPr>
          <w:p w14:paraId="39E3AA2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3.5.7</w:t>
            </w:r>
          </w:p>
        </w:tc>
        <w:tc>
          <w:tcPr>
            <w:tcW w:w="1558" w:type="dxa"/>
            <w:noWrap w:val="0"/>
            <w:vAlign w:val="center"/>
          </w:tcPr>
          <w:p w14:paraId="097B8F02">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医生椅</w:t>
            </w:r>
          </w:p>
        </w:tc>
        <w:tc>
          <w:tcPr>
            <w:tcW w:w="6348" w:type="dxa"/>
            <w:noWrap w:val="0"/>
            <w:vAlign w:val="center"/>
          </w:tcPr>
          <w:p w14:paraId="0FED5CD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应位于医疗舱右侧柜式床前方，医生椅的固定应符合GB15083汽车座椅、座椅固定装置及头枕强度要求。</w:t>
            </w:r>
            <w:r>
              <w:rPr>
                <w:rFonts w:hint="eastAsia" w:ascii="仿宋" w:hAnsi="仿宋" w:eastAsia="仿宋" w:cs="仿宋"/>
                <w:kern w:val="0"/>
                <w:sz w:val="21"/>
                <w:szCs w:val="21"/>
              </w:rPr>
              <w:t>医生椅的座垫、靠背应采用</w:t>
            </w:r>
            <w:r>
              <w:rPr>
                <w:rFonts w:hint="eastAsia" w:ascii="仿宋" w:hAnsi="仿宋" w:eastAsia="仿宋" w:cs="仿宋"/>
                <w:sz w:val="21"/>
                <w:szCs w:val="21"/>
              </w:rPr>
              <w:t>自吸皮整体发泡工艺，表面不应有拼接线缝，并便于冲洗消毒。</w:t>
            </w:r>
          </w:p>
        </w:tc>
      </w:tr>
      <w:tr w14:paraId="2C26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04" w:type="dxa"/>
            <w:noWrap w:val="0"/>
            <w:vAlign w:val="center"/>
          </w:tcPr>
          <w:p w14:paraId="09920A9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3.5.8</w:t>
            </w:r>
          </w:p>
        </w:tc>
        <w:tc>
          <w:tcPr>
            <w:tcW w:w="1558" w:type="dxa"/>
            <w:noWrap w:val="0"/>
            <w:vAlign w:val="center"/>
          </w:tcPr>
          <w:p w14:paraId="14538FE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柜式床</w:t>
            </w:r>
          </w:p>
        </w:tc>
        <w:tc>
          <w:tcPr>
            <w:tcW w:w="6348" w:type="dxa"/>
            <w:noWrap w:val="0"/>
            <w:vAlign w:val="bottom"/>
          </w:tcPr>
          <w:p w14:paraId="6D011F3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应采用ABS复合材料模具</w:t>
            </w:r>
            <w:r>
              <w:rPr>
                <w:rFonts w:hint="eastAsia" w:ascii="仿宋" w:hAnsi="仿宋" w:eastAsia="仿宋" w:cs="仿宋"/>
                <w:sz w:val="21"/>
                <w:szCs w:val="21"/>
              </w:rPr>
              <w:t>一次</w:t>
            </w:r>
            <w:r>
              <w:rPr>
                <w:rFonts w:hint="eastAsia" w:ascii="仿宋" w:hAnsi="仿宋" w:eastAsia="仿宋" w:cs="仿宋"/>
                <w:kern w:val="0"/>
                <w:sz w:val="21"/>
                <w:szCs w:val="21"/>
              </w:rPr>
              <w:t>成型工艺，可坐二人（带安全带），座垫下方两侧空间可做工具箱。座椅的座垫、靠背表面无拼接线缝，并便于冲洗消毒，安全带装配牢固、耐用、可靠。</w:t>
            </w:r>
          </w:p>
        </w:tc>
      </w:tr>
      <w:tr w14:paraId="41E6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204A55B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3.5.9</w:t>
            </w:r>
          </w:p>
        </w:tc>
        <w:tc>
          <w:tcPr>
            <w:tcW w:w="1558" w:type="dxa"/>
            <w:noWrap w:val="0"/>
            <w:vAlign w:val="center"/>
          </w:tcPr>
          <w:p w14:paraId="3EB3711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氧气瓶柜</w:t>
            </w:r>
          </w:p>
        </w:tc>
        <w:tc>
          <w:tcPr>
            <w:tcW w:w="6348" w:type="dxa"/>
            <w:noWrap w:val="0"/>
            <w:vAlign w:val="bottom"/>
          </w:tcPr>
          <w:p w14:paraId="3B81163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应采用ABS复合材料模具</w:t>
            </w:r>
            <w:r>
              <w:rPr>
                <w:rFonts w:hint="eastAsia" w:ascii="仿宋" w:hAnsi="仿宋" w:eastAsia="仿宋" w:cs="仿宋"/>
                <w:sz w:val="21"/>
                <w:szCs w:val="21"/>
              </w:rPr>
              <w:t>一次</w:t>
            </w:r>
            <w:r>
              <w:rPr>
                <w:rFonts w:hint="eastAsia" w:ascii="仿宋" w:hAnsi="仿宋" w:eastAsia="仿宋" w:cs="仿宋"/>
                <w:kern w:val="0"/>
                <w:sz w:val="21"/>
                <w:szCs w:val="21"/>
              </w:rPr>
              <w:t>成型工艺，位于医疗舱左侧后部，操作方便，并可放置2个10升氧气瓶的空间。</w:t>
            </w:r>
          </w:p>
        </w:tc>
      </w:tr>
      <w:tr w14:paraId="4732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04" w:type="dxa"/>
            <w:noWrap w:val="0"/>
            <w:vAlign w:val="center"/>
          </w:tcPr>
          <w:p w14:paraId="62FA166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3.5.10</w:t>
            </w:r>
          </w:p>
        </w:tc>
        <w:tc>
          <w:tcPr>
            <w:tcW w:w="1558" w:type="dxa"/>
            <w:noWrap w:val="0"/>
            <w:vAlign w:val="center"/>
          </w:tcPr>
          <w:p w14:paraId="2B25F7D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集成内顶</w:t>
            </w:r>
          </w:p>
        </w:tc>
        <w:tc>
          <w:tcPr>
            <w:tcW w:w="6348" w:type="dxa"/>
            <w:noWrap w:val="0"/>
            <w:vAlign w:val="bottom"/>
          </w:tcPr>
          <w:p w14:paraId="6AA6CA4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集成内顶应集成照明、储物、杀菌、输液、全方位扶手等功能与一体，采用ABS复合材料模具</w:t>
            </w:r>
            <w:r>
              <w:rPr>
                <w:rFonts w:hint="eastAsia" w:ascii="仿宋" w:hAnsi="仿宋" w:eastAsia="仿宋" w:cs="仿宋"/>
                <w:sz w:val="21"/>
                <w:szCs w:val="21"/>
              </w:rPr>
              <w:t>一次</w:t>
            </w:r>
            <w:r>
              <w:rPr>
                <w:rFonts w:hint="eastAsia" w:ascii="仿宋" w:hAnsi="仿宋" w:eastAsia="仿宋" w:cs="仿宋"/>
                <w:kern w:val="0"/>
                <w:sz w:val="21"/>
                <w:szCs w:val="21"/>
              </w:rPr>
              <w:t>成型工艺，其设计合理方便医护人员开展抢救工作。</w:t>
            </w:r>
          </w:p>
        </w:tc>
      </w:tr>
      <w:tr w14:paraId="72C3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04" w:type="dxa"/>
            <w:noWrap w:val="0"/>
            <w:vAlign w:val="center"/>
          </w:tcPr>
          <w:p w14:paraId="22CBC0A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3.5.11</w:t>
            </w:r>
          </w:p>
        </w:tc>
        <w:tc>
          <w:tcPr>
            <w:tcW w:w="1558" w:type="dxa"/>
            <w:noWrap w:val="0"/>
            <w:vAlign w:val="center"/>
          </w:tcPr>
          <w:p w14:paraId="1A2D1D2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污物桶</w:t>
            </w:r>
          </w:p>
        </w:tc>
        <w:tc>
          <w:tcPr>
            <w:tcW w:w="6348" w:type="dxa"/>
            <w:noWrap w:val="0"/>
            <w:vAlign w:val="center"/>
          </w:tcPr>
          <w:p w14:paraId="5924A2EA">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在不影响医护人员急救工作且方便操作的位置应配有免洗消毒液固定装置、污物桶。</w:t>
            </w:r>
          </w:p>
        </w:tc>
      </w:tr>
      <w:tr w14:paraId="363F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04" w:type="dxa"/>
            <w:noWrap w:val="0"/>
            <w:vAlign w:val="center"/>
          </w:tcPr>
          <w:p w14:paraId="160D6C1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3.5.12</w:t>
            </w:r>
          </w:p>
        </w:tc>
        <w:tc>
          <w:tcPr>
            <w:tcW w:w="1558" w:type="dxa"/>
            <w:noWrap w:val="0"/>
            <w:vAlign w:val="center"/>
          </w:tcPr>
          <w:p w14:paraId="6F28570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医疗舱车窗</w:t>
            </w:r>
          </w:p>
        </w:tc>
        <w:tc>
          <w:tcPr>
            <w:tcW w:w="6348" w:type="dxa"/>
            <w:noWrap w:val="0"/>
            <w:vAlign w:val="center"/>
          </w:tcPr>
          <w:p w14:paraId="718FF0D3">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医疗舱至少有2个车窗，至少1个可开启，车窗材料符合车辆有关规定。</w:t>
            </w:r>
          </w:p>
        </w:tc>
      </w:tr>
      <w:tr w14:paraId="5C42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04" w:type="dxa"/>
            <w:noWrap w:val="0"/>
            <w:vAlign w:val="center"/>
          </w:tcPr>
          <w:p w14:paraId="2C21BE9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3.5.13</w:t>
            </w:r>
          </w:p>
        </w:tc>
        <w:tc>
          <w:tcPr>
            <w:tcW w:w="1558" w:type="dxa"/>
            <w:noWrap w:val="0"/>
            <w:vAlign w:val="center"/>
          </w:tcPr>
          <w:p w14:paraId="4F2905E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安全扶手</w:t>
            </w:r>
          </w:p>
        </w:tc>
        <w:tc>
          <w:tcPr>
            <w:tcW w:w="6348" w:type="dxa"/>
            <w:noWrap w:val="0"/>
            <w:vAlign w:val="center"/>
          </w:tcPr>
          <w:p w14:paraId="79EFCDA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医疗舱的上、下车门处、顶部应安装扶手，确保人员安全。</w:t>
            </w:r>
          </w:p>
        </w:tc>
      </w:tr>
      <w:tr w14:paraId="6D4C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62E093C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highlight w:val="yellow"/>
              </w:rPr>
            </w:pPr>
            <w:r>
              <w:rPr>
                <w:rFonts w:hint="eastAsia" w:ascii="仿宋" w:hAnsi="仿宋" w:eastAsia="仿宋" w:cs="仿宋"/>
                <w:b w:val="0"/>
                <w:bCs w:val="0"/>
                <w:sz w:val="21"/>
                <w:szCs w:val="21"/>
              </w:rPr>
              <w:t>3.6</w:t>
            </w:r>
          </w:p>
        </w:tc>
        <w:tc>
          <w:tcPr>
            <w:tcW w:w="1558" w:type="dxa"/>
            <w:noWrap w:val="0"/>
            <w:vAlign w:val="center"/>
          </w:tcPr>
          <w:p w14:paraId="3FD73AB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highlight w:val="yellow"/>
              </w:rPr>
            </w:pPr>
            <w:r>
              <w:rPr>
                <w:rFonts w:hint="eastAsia" w:ascii="仿宋" w:hAnsi="仿宋" w:eastAsia="仿宋" w:cs="仿宋"/>
                <w:b w:val="0"/>
                <w:bCs w:val="0"/>
                <w:sz w:val="21"/>
                <w:szCs w:val="21"/>
              </w:rPr>
              <w:t>电控系统</w:t>
            </w:r>
          </w:p>
        </w:tc>
        <w:tc>
          <w:tcPr>
            <w:tcW w:w="6348" w:type="dxa"/>
            <w:noWrap w:val="0"/>
            <w:vAlign w:val="bottom"/>
          </w:tcPr>
          <w:p w14:paraId="385019A5">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2748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304" w:type="dxa"/>
            <w:noWrap w:val="0"/>
            <w:vAlign w:val="center"/>
          </w:tcPr>
          <w:p w14:paraId="0A79A75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3.6.1</w:t>
            </w:r>
          </w:p>
        </w:tc>
        <w:tc>
          <w:tcPr>
            <w:tcW w:w="1558" w:type="dxa"/>
            <w:noWrap w:val="0"/>
            <w:vAlign w:val="center"/>
          </w:tcPr>
          <w:p w14:paraId="64AF8C8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控制电路</w:t>
            </w:r>
          </w:p>
        </w:tc>
        <w:tc>
          <w:tcPr>
            <w:tcW w:w="6348" w:type="dxa"/>
            <w:noWrap w:val="0"/>
            <w:vAlign w:val="center"/>
          </w:tcPr>
          <w:p w14:paraId="3AB0275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应采用集成电路控制系统，高清液晶屏显示，防水薄膜开关操作，且电瓶电量、工作灯状态、排风状态等相关用电设备的工作状态能够在液晶屏上显示，工作人员能够直观的掌握用电设备的工作状态和及时发现故障。</w:t>
            </w:r>
          </w:p>
        </w:tc>
      </w:tr>
      <w:tr w14:paraId="024B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304" w:type="dxa"/>
            <w:noWrap w:val="0"/>
            <w:vAlign w:val="center"/>
          </w:tcPr>
          <w:p w14:paraId="379ADF2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3.6.2</w:t>
            </w:r>
          </w:p>
        </w:tc>
        <w:tc>
          <w:tcPr>
            <w:tcW w:w="1558" w:type="dxa"/>
            <w:noWrap w:val="0"/>
            <w:vAlign w:val="center"/>
          </w:tcPr>
          <w:p w14:paraId="40D6AE1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附加电瓶</w:t>
            </w:r>
          </w:p>
        </w:tc>
        <w:tc>
          <w:tcPr>
            <w:tcW w:w="6348" w:type="dxa"/>
            <w:noWrap w:val="0"/>
            <w:vAlign w:val="center"/>
          </w:tcPr>
          <w:p w14:paraId="76935AD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应为汽车专用电瓶，容量不小于65AH，在驻车时可供医疗器械使用。电瓶应该安装在方便检修的位置。蓄电池安装及其所有连接应防止任何情况下发生短路的可能。在车辆熄火后，附加电瓶和启动电瓶自动断开。车辆启动时自动连接，以保证救护车的正常启动和附加电设备的用电需要。</w:t>
            </w:r>
          </w:p>
        </w:tc>
      </w:tr>
      <w:tr w14:paraId="5E70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304" w:type="dxa"/>
            <w:noWrap w:val="0"/>
            <w:vAlign w:val="center"/>
          </w:tcPr>
          <w:p w14:paraId="24608D1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3.6.3</w:t>
            </w:r>
          </w:p>
        </w:tc>
        <w:tc>
          <w:tcPr>
            <w:tcW w:w="1558" w:type="dxa"/>
            <w:noWrap w:val="0"/>
            <w:vAlign w:val="center"/>
          </w:tcPr>
          <w:p w14:paraId="0108D31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逆变器</w:t>
            </w:r>
          </w:p>
        </w:tc>
        <w:tc>
          <w:tcPr>
            <w:tcW w:w="6348" w:type="dxa"/>
            <w:noWrap w:val="0"/>
            <w:vAlign w:val="center"/>
          </w:tcPr>
          <w:p w14:paraId="35A4E4ED">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应为智能逆变/充电一体机，12V输入，输出为220V、不小于600W纯正弦波电源。</w:t>
            </w:r>
          </w:p>
          <w:p w14:paraId="1F689504">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用电安全：220V供电线路要有断电保护和接地保护，要求符合交流工频三级移动电站的要求。</w:t>
            </w:r>
          </w:p>
        </w:tc>
      </w:tr>
      <w:tr w14:paraId="3E51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04" w:type="dxa"/>
            <w:noWrap w:val="0"/>
            <w:vAlign w:val="center"/>
          </w:tcPr>
          <w:p w14:paraId="2D3B2112">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3.6.4</w:t>
            </w:r>
          </w:p>
        </w:tc>
        <w:tc>
          <w:tcPr>
            <w:tcW w:w="1558" w:type="dxa"/>
            <w:noWrap w:val="0"/>
            <w:vAlign w:val="center"/>
          </w:tcPr>
          <w:p w14:paraId="679688B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供电要求</w:t>
            </w:r>
          </w:p>
        </w:tc>
        <w:tc>
          <w:tcPr>
            <w:tcW w:w="6348" w:type="dxa"/>
            <w:noWrap w:val="0"/>
            <w:vAlign w:val="center"/>
          </w:tcPr>
          <w:p w14:paraId="771EEAC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在车辆启动状态下，可实现24小时不间断供电，可输出220V，不小于600W纯正弦波电源可供医疗设备使用，并在相应的位置安置12V电源插座两只、220V电源插座四只、5V USB插座两只。在总开关关闭后所有用电器应与主、副电瓶断开，防止漏电，以保证蓄电池保存充足电力。</w:t>
            </w:r>
          </w:p>
        </w:tc>
      </w:tr>
      <w:tr w14:paraId="46E1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27321BC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3.6.5</w:t>
            </w:r>
          </w:p>
        </w:tc>
        <w:tc>
          <w:tcPr>
            <w:tcW w:w="1558" w:type="dxa"/>
            <w:noWrap w:val="0"/>
            <w:vAlign w:val="center"/>
          </w:tcPr>
          <w:p w14:paraId="69BEB24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安全保护</w:t>
            </w:r>
          </w:p>
        </w:tc>
        <w:tc>
          <w:tcPr>
            <w:tcW w:w="6348" w:type="dxa"/>
            <w:noWrap w:val="0"/>
            <w:vAlign w:val="center"/>
          </w:tcPr>
          <w:p w14:paraId="5210325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每个分电路应设有相应规范的过载保护装置，以确保医疗救护设备的电器正常使用。</w:t>
            </w:r>
          </w:p>
        </w:tc>
      </w:tr>
      <w:tr w14:paraId="0362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6D636AB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3.6.6</w:t>
            </w:r>
          </w:p>
        </w:tc>
        <w:tc>
          <w:tcPr>
            <w:tcW w:w="1558" w:type="dxa"/>
            <w:noWrap w:val="0"/>
            <w:vAlign w:val="center"/>
          </w:tcPr>
          <w:p w14:paraId="41D6F9A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备份控制电路</w:t>
            </w:r>
          </w:p>
        </w:tc>
        <w:tc>
          <w:tcPr>
            <w:tcW w:w="6348" w:type="dxa"/>
            <w:noWrap w:val="0"/>
            <w:vAlign w:val="center"/>
          </w:tcPr>
          <w:p w14:paraId="47B5DD6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在主控制系统在故障状态下，有相应的手动备份控制系统，确保在故障状态下，仍能使用医疗舱内电器设施。</w:t>
            </w:r>
          </w:p>
        </w:tc>
      </w:tr>
      <w:tr w14:paraId="5CB7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197B9F4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3.6.7</w:t>
            </w:r>
          </w:p>
        </w:tc>
        <w:tc>
          <w:tcPr>
            <w:tcW w:w="1558" w:type="dxa"/>
            <w:noWrap w:val="0"/>
            <w:vAlign w:val="center"/>
          </w:tcPr>
          <w:p w14:paraId="4F1AFEE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驾驶室配电</w:t>
            </w:r>
          </w:p>
        </w:tc>
        <w:tc>
          <w:tcPr>
            <w:tcW w:w="6348" w:type="dxa"/>
            <w:noWrap w:val="0"/>
            <w:vAlign w:val="center"/>
          </w:tcPr>
          <w:p w14:paraId="6EFB12E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驾驶舱预留保险盒及连接端口（由电源经由保险盒至用电器连接端口），以便于加装GPS、行车记录仪、计价器等设备，保证车辆电路系统及外接用电器安全。</w:t>
            </w:r>
          </w:p>
        </w:tc>
      </w:tr>
      <w:tr w14:paraId="02F4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3290B58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3.6.8</w:t>
            </w:r>
          </w:p>
        </w:tc>
        <w:tc>
          <w:tcPr>
            <w:tcW w:w="1558" w:type="dxa"/>
            <w:noWrap w:val="0"/>
            <w:vAlign w:val="center"/>
          </w:tcPr>
          <w:p w14:paraId="303301B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外接充电</w:t>
            </w:r>
          </w:p>
        </w:tc>
        <w:tc>
          <w:tcPr>
            <w:tcW w:w="6348" w:type="dxa"/>
            <w:noWrap w:val="0"/>
            <w:vAlign w:val="bottom"/>
          </w:tcPr>
          <w:p w14:paraId="15B2E0E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应配备内置大功率充电设备，可提供对蓄电池的充电，同时也可提供电力供车载医疗设备充电，需配备防水外接充电接口，外接充电线缆长度≥10M。</w:t>
            </w:r>
          </w:p>
        </w:tc>
      </w:tr>
      <w:tr w14:paraId="3555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450CB09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3.7</w:t>
            </w:r>
          </w:p>
        </w:tc>
        <w:tc>
          <w:tcPr>
            <w:tcW w:w="1558" w:type="dxa"/>
            <w:noWrap w:val="0"/>
            <w:vAlign w:val="center"/>
          </w:tcPr>
          <w:p w14:paraId="7F70087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sz w:val="21"/>
                <w:szCs w:val="21"/>
              </w:rPr>
              <w:t>车载担架系统</w:t>
            </w:r>
          </w:p>
        </w:tc>
        <w:tc>
          <w:tcPr>
            <w:tcW w:w="6348" w:type="dxa"/>
            <w:noWrap w:val="0"/>
            <w:vAlign w:val="center"/>
          </w:tcPr>
          <w:p w14:paraId="4934E87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bCs/>
                <w:kern w:val="0"/>
                <w:sz w:val="21"/>
                <w:szCs w:val="21"/>
              </w:rPr>
            </w:pPr>
          </w:p>
        </w:tc>
      </w:tr>
      <w:tr w14:paraId="438B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47ABA1B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3.7.1</w:t>
            </w:r>
          </w:p>
        </w:tc>
        <w:tc>
          <w:tcPr>
            <w:tcW w:w="1558" w:type="dxa"/>
            <w:noWrap w:val="0"/>
            <w:vAlign w:val="center"/>
          </w:tcPr>
          <w:p w14:paraId="1F9B41B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上车担架</w:t>
            </w:r>
          </w:p>
        </w:tc>
        <w:tc>
          <w:tcPr>
            <w:tcW w:w="6348" w:type="dxa"/>
            <w:noWrap w:val="0"/>
            <w:vAlign w:val="center"/>
          </w:tcPr>
          <w:p w14:paraId="66AB0476">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长度：≥200cm</w:t>
            </w:r>
          </w:p>
          <w:p w14:paraId="4BCE502D">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宽度：≥58cm</w:t>
            </w:r>
          </w:p>
          <w:p w14:paraId="25421D7A">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高度范围：33cm -97cm</w:t>
            </w:r>
          </w:p>
          <w:p w14:paraId="2E1C4D00">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最大载重负荷：≥290kg</w:t>
            </w:r>
          </w:p>
          <w:p w14:paraId="51B9BED4">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自重：≤40kg</w:t>
            </w:r>
          </w:p>
          <w:p w14:paraId="6E2A36E8">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气压助力背板：背板调节范围0°-73°</w:t>
            </w:r>
          </w:p>
          <w:p w14:paraId="352B4D58">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可升降保险杆：7档调节，调节范围35cm-95cm，适用对于身材较矮小的医务人员的操作及通过不良道路时的安全保证。</w:t>
            </w:r>
          </w:p>
          <w:p w14:paraId="2977400E">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简单易用的释放杆：应有二个不同高度释放杆，红色释放杆，颜色应醒目，以便于与担架其它部位颜色区分，能避免误操作。</w:t>
            </w:r>
          </w:p>
          <w:p w14:paraId="56102980">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担架头端部分：担架头端部分可向下折叠，折叠后担架长度为≤160cm，适用电梯、狭窄地段转弯等病人转运。</w:t>
            </w:r>
          </w:p>
          <w:p w14:paraId="62463D35">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床边护栏：可向下放倒，给救护人员预留操作空间。护栏放倒按钮内置于护栏内。</w:t>
            </w:r>
          </w:p>
          <w:p w14:paraId="43AAF443">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床垫：增大型床垫，加大患者接触面积，易于运送高大患者，无缝床面，床垫应易清洗、消毒、可拆卸。</w:t>
            </w:r>
          </w:p>
          <w:p w14:paraId="68B1811A">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足端床架兼推床把手内收设计：应运用人机工程学设计，能够通过将足端床架兼推床把手内收30角，达到救护人员最舒适的操作位置。</w:t>
            </w:r>
          </w:p>
          <w:p w14:paraId="6887589F">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专用的X—构架：X—构架，可以在快速的下降过程中起到缓冲作用。</w:t>
            </w:r>
          </w:p>
          <w:p w14:paraId="57BA55D0">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加大型车轮：应有单轮锁定功能。</w:t>
            </w:r>
          </w:p>
          <w:p w14:paraId="482A5731">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颜色：高能见度框架颜色设计，整体桔黄色。</w:t>
            </w:r>
          </w:p>
          <w:p w14:paraId="3ED2EFC1">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氧气瓶架：担架头端应装有氧气瓶架，可固定氧气瓶或气动力呼吸机，取、换方便。</w:t>
            </w:r>
          </w:p>
          <w:p w14:paraId="68C9AE91">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输液架：应有可伸缩式输液架。</w:t>
            </w:r>
          </w:p>
          <w:p w14:paraId="23EBA66C">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bCs/>
                <w:kern w:val="0"/>
                <w:sz w:val="21"/>
                <w:szCs w:val="21"/>
              </w:rPr>
            </w:pPr>
            <w:r>
              <w:rPr>
                <w:rFonts w:hint="eastAsia" w:ascii="仿宋" w:hAnsi="仿宋" w:eastAsia="仿宋" w:cs="仿宋"/>
                <w:sz w:val="21"/>
                <w:szCs w:val="21"/>
              </w:rPr>
              <w:t>收放控制手柄：担架上下有多个收放控制手柄，红色手柄，颜色应醒目。</w:t>
            </w:r>
          </w:p>
        </w:tc>
      </w:tr>
      <w:tr w14:paraId="0177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1BCF62D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sz w:val="21"/>
                <w:szCs w:val="21"/>
                <w:lang w:val="en-US" w:eastAsia="zh-CN"/>
              </w:rPr>
              <w:t>3.7.2</w:t>
            </w:r>
          </w:p>
        </w:tc>
        <w:tc>
          <w:tcPr>
            <w:tcW w:w="1558" w:type="dxa"/>
            <w:noWrap w:val="0"/>
            <w:vAlign w:val="center"/>
          </w:tcPr>
          <w:p w14:paraId="2C5B683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碳纤维铲式担架</w:t>
            </w:r>
          </w:p>
        </w:tc>
        <w:tc>
          <w:tcPr>
            <w:tcW w:w="6348" w:type="dxa"/>
            <w:noWrap w:val="0"/>
            <w:vAlign w:val="center"/>
          </w:tcPr>
          <w:p w14:paraId="7B16C8B9">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尺寸:长≤1637mm,宽≤437mm,高≤67mm,最大长度≥2010mm;</w:t>
            </w:r>
          </w:p>
          <w:p w14:paraId="171A90E8">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自重 ≤</w:t>
            </w:r>
            <w:r>
              <w:rPr>
                <w:rFonts w:hint="eastAsia" w:ascii="仿宋" w:hAnsi="仿宋" w:eastAsia="仿宋" w:cs="仿宋"/>
                <w:sz w:val="21"/>
                <w:szCs w:val="21"/>
                <w:lang w:val="en-US" w:eastAsia="zh-CN"/>
              </w:rPr>
              <w:t>4</w:t>
            </w:r>
            <w:r>
              <w:rPr>
                <w:rFonts w:hint="eastAsia" w:ascii="仿宋" w:hAnsi="仿宋" w:eastAsia="仿宋" w:cs="仿宋"/>
                <w:sz w:val="21"/>
                <w:szCs w:val="21"/>
              </w:rPr>
              <w:t>kg,可有效降低急救人员工作强度</w:t>
            </w:r>
            <w:r>
              <w:rPr>
                <w:rFonts w:hint="eastAsia" w:ascii="仿宋" w:hAnsi="仿宋" w:eastAsia="仿宋" w:cs="仿宋"/>
                <w:sz w:val="21"/>
                <w:szCs w:val="21"/>
                <w:lang w:eastAsia="zh-CN"/>
              </w:rPr>
              <w:t>。</w:t>
            </w:r>
          </w:p>
          <w:p w14:paraId="0C52E55A">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担架两端具有卡扣装置，可分离为左右两部分。</w:t>
            </w:r>
          </w:p>
          <w:p w14:paraId="36F0CBD7">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最大可载重G:≤260kg.适用于不同体重病人，甚至超重病人，满足急救特殊使用需求。</w:t>
            </w:r>
          </w:p>
          <w:p w14:paraId="6F5E26F2">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担架材质:航空级碳纤维材料</w:t>
            </w:r>
            <w:r>
              <w:rPr>
                <w:rFonts w:hint="eastAsia" w:ascii="仿宋" w:hAnsi="仿宋" w:eastAsia="仿宋" w:cs="仿宋"/>
                <w:sz w:val="21"/>
                <w:szCs w:val="21"/>
                <w:lang w:eastAsia="zh-CN"/>
              </w:rPr>
              <w:t>（</w:t>
            </w:r>
            <w:r>
              <w:rPr>
                <w:rFonts w:hint="eastAsia" w:ascii="仿宋" w:hAnsi="仿宋" w:eastAsia="仿宋" w:cs="仿宋"/>
                <w:b/>
                <w:bCs w:val="0"/>
                <w:color w:val="auto"/>
                <w:sz w:val="21"/>
                <w:szCs w:val="21"/>
                <w:highlight w:val="none"/>
                <w:lang w:val="en-US" w:eastAsia="zh-CN"/>
              </w:rPr>
              <w:t>供应商须在投标文件中提供相关证明材料作为佐证，未提供或无法证明的本项即为负偏离）。</w:t>
            </w:r>
            <w:r>
              <w:rPr>
                <w:rFonts w:hint="eastAsia" w:ascii="仿宋" w:hAnsi="仿宋" w:eastAsia="仿宋" w:cs="仿宋"/>
                <w:sz w:val="21"/>
                <w:szCs w:val="21"/>
              </w:rPr>
              <w:t>耐腐蚀、耐重压，强度好、重量轻;碳纤维具有优良的强度和刚性，碳纤维约比铝合金刚性高1倍、强度3倍多;是一种高度可靠的材料，即使在恶劣的条件下其特性长期稳定。适合各种恶劣环境下使用。</w:t>
            </w:r>
          </w:p>
          <w:p w14:paraId="49F8C936">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固定带为尼龙材料制成，配有防锈及抗腐蚀的快速固定锁扣。</w:t>
            </w:r>
          </w:p>
          <w:p w14:paraId="2FEE9B84">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可在原地固定病人。</w:t>
            </w:r>
          </w:p>
          <w:p w14:paraId="753C3CA5">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在不移动病人的情况下，可将病人铲入或从病人体下抽出担架</w:t>
            </w:r>
            <w:r>
              <w:rPr>
                <w:rFonts w:hint="eastAsia" w:ascii="仿宋" w:hAnsi="仿宋" w:eastAsia="仿宋" w:cs="仿宋"/>
                <w:sz w:val="21"/>
                <w:szCs w:val="21"/>
                <w:lang w:eastAsia="zh-CN"/>
              </w:rPr>
              <w:t>，</w:t>
            </w:r>
            <w:r>
              <w:rPr>
                <w:rFonts w:hint="eastAsia" w:ascii="仿宋" w:hAnsi="仿宋" w:eastAsia="仿宋" w:cs="仿宋"/>
                <w:sz w:val="21"/>
                <w:szCs w:val="21"/>
              </w:rPr>
              <w:t>担架一端(脚部)采用窄框架结构。</w:t>
            </w:r>
          </w:p>
          <w:p w14:paraId="0DB692FA">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满足医学影像要求:X光，CT,核磁共振。</w:t>
            </w:r>
          </w:p>
          <w:p w14:paraId="7620EF59">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耐温:-40℃至 180℃</w:t>
            </w:r>
          </w:p>
        </w:tc>
      </w:tr>
      <w:tr w14:paraId="42C6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68F73A9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3.8</w:t>
            </w:r>
          </w:p>
        </w:tc>
        <w:tc>
          <w:tcPr>
            <w:tcW w:w="1558" w:type="dxa"/>
            <w:noWrap w:val="0"/>
            <w:vAlign w:val="center"/>
          </w:tcPr>
          <w:p w14:paraId="3C0FA94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sz w:val="21"/>
                <w:szCs w:val="21"/>
              </w:rPr>
              <w:t>警示系统</w:t>
            </w:r>
          </w:p>
        </w:tc>
        <w:tc>
          <w:tcPr>
            <w:tcW w:w="6348" w:type="dxa"/>
            <w:noWrap w:val="0"/>
            <w:vAlign w:val="center"/>
          </w:tcPr>
          <w:p w14:paraId="361418D5">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p>
        </w:tc>
      </w:tr>
      <w:tr w14:paraId="56F2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3EA9FD7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3.8.1</w:t>
            </w:r>
          </w:p>
        </w:tc>
        <w:tc>
          <w:tcPr>
            <w:tcW w:w="1558" w:type="dxa"/>
            <w:noWrap w:val="0"/>
            <w:vAlign w:val="center"/>
          </w:tcPr>
          <w:p w14:paraId="66469D2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kern w:val="0"/>
                <w:sz w:val="21"/>
                <w:szCs w:val="21"/>
              </w:rPr>
            </w:pPr>
            <w:r>
              <w:rPr>
                <w:rFonts w:hint="eastAsia" w:ascii="仿宋" w:hAnsi="仿宋" w:eastAsia="仿宋" w:cs="仿宋"/>
                <w:sz w:val="21"/>
                <w:szCs w:val="21"/>
              </w:rPr>
              <w:t>警灯</w:t>
            </w:r>
          </w:p>
        </w:tc>
        <w:tc>
          <w:tcPr>
            <w:tcW w:w="6348" w:type="dxa"/>
            <w:noWrap w:val="0"/>
            <w:vAlign w:val="bottom"/>
          </w:tcPr>
          <w:p w14:paraId="7B144F8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三段式内嵌式警灯，内部安装超高亮度LED警灯，整体美观大方，流线型设计，视觉冲击力与整体造型与基础车融为一体，警示角度范围大，效果好；左右中部各安装蓝色方形LED警示灯，左右后部安装蓝色菱形LED警示灯，车身后部配有长条型尾翼集成警灯。</w:t>
            </w:r>
          </w:p>
        </w:tc>
      </w:tr>
      <w:tr w14:paraId="7B51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3DCE4FC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3.8.2</w:t>
            </w:r>
          </w:p>
        </w:tc>
        <w:tc>
          <w:tcPr>
            <w:tcW w:w="1558" w:type="dxa"/>
            <w:noWrap w:val="0"/>
            <w:vAlign w:val="center"/>
          </w:tcPr>
          <w:p w14:paraId="7713B61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警报器</w:t>
            </w:r>
          </w:p>
        </w:tc>
        <w:tc>
          <w:tcPr>
            <w:tcW w:w="6348" w:type="dxa"/>
            <w:noWrap w:val="0"/>
            <w:vAlign w:val="bottom"/>
          </w:tcPr>
          <w:p w14:paraId="16CCCE5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分体式手柄控制器，多档调节，由驾驶室控制，并符合GB8108规定。</w:t>
            </w:r>
          </w:p>
        </w:tc>
      </w:tr>
      <w:tr w14:paraId="193E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6931873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3.9</w:t>
            </w:r>
          </w:p>
        </w:tc>
        <w:tc>
          <w:tcPr>
            <w:tcW w:w="1558" w:type="dxa"/>
            <w:noWrap w:val="0"/>
            <w:vAlign w:val="center"/>
          </w:tcPr>
          <w:p w14:paraId="34E6CD7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供氧系统</w:t>
            </w:r>
          </w:p>
        </w:tc>
        <w:tc>
          <w:tcPr>
            <w:tcW w:w="6348" w:type="dxa"/>
            <w:noWrap w:val="0"/>
            <w:vAlign w:val="bottom"/>
          </w:tcPr>
          <w:p w14:paraId="5CB0793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841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5BF95E2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3.9.1</w:t>
            </w:r>
          </w:p>
        </w:tc>
        <w:tc>
          <w:tcPr>
            <w:tcW w:w="1558" w:type="dxa"/>
            <w:noWrap w:val="0"/>
            <w:vAlign w:val="center"/>
          </w:tcPr>
          <w:p w14:paraId="01DCB0D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氧气瓶</w:t>
            </w:r>
          </w:p>
        </w:tc>
        <w:tc>
          <w:tcPr>
            <w:tcW w:w="6348" w:type="dxa"/>
            <w:noWrap w:val="0"/>
            <w:vAlign w:val="bottom"/>
          </w:tcPr>
          <w:p w14:paraId="4F4D33D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救护车应可放置2瓶10升铝合金氧气瓶，带高压减压阀及不锈钢固定装置。</w:t>
            </w:r>
          </w:p>
        </w:tc>
      </w:tr>
      <w:tr w14:paraId="0F6D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363A355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rPr>
              <w:t>3.9.2</w:t>
            </w:r>
          </w:p>
        </w:tc>
        <w:tc>
          <w:tcPr>
            <w:tcW w:w="1558" w:type="dxa"/>
            <w:noWrap w:val="0"/>
            <w:vAlign w:val="center"/>
          </w:tcPr>
          <w:p w14:paraId="102CB17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氧气管道</w:t>
            </w:r>
          </w:p>
        </w:tc>
        <w:tc>
          <w:tcPr>
            <w:tcW w:w="6348" w:type="dxa"/>
            <w:noWrap w:val="0"/>
            <w:vAlign w:val="center"/>
          </w:tcPr>
          <w:p w14:paraId="74125CA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氧气主连接管道应采用金属管，并隐藏于内饰与车身之间，氧气阀与管道连接应采用金属快速活接，确保安全性及便捷性。</w:t>
            </w:r>
          </w:p>
        </w:tc>
      </w:tr>
      <w:tr w14:paraId="3688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1BEB111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3.9.3</w:t>
            </w:r>
          </w:p>
        </w:tc>
        <w:tc>
          <w:tcPr>
            <w:tcW w:w="1558" w:type="dxa"/>
            <w:noWrap w:val="0"/>
            <w:vAlign w:val="center"/>
          </w:tcPr>
          <w:p w14:paraId="3C89AA4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sz w:val="21"/>
                <w:szCs w:val="21"/>
              </w:rPr>
              <w:t>湿化瓶</w:t>
            </w:r>
          </w:p>
        </w:tc>
        <w:tc>
          <w:tcPr>
            <w:tcW w:w="6348" w:type="dxa"/>
            <w:noWrap w:val="0"/>
            <w:vAlign w:val="center"/>
          </w:tcPr>
          <w:p w14:paraId="72B91D9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即插即用湿化瓶。</w:t>
            </w:r>
          </w:p>
        </w:tc>
      </w:tr>
      <w:tr w14:paraId="033D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5C20005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3.10</w:t>
            </w:r>
          </w:p>
        </w:tc>
        <w:tc>
          <w:tcPr>
            <w:tcW w:w="1558" w:type="dxa"/>
            <w:noWrap w:val="0"/>
            <w:vAlign w:val="center"/>
          </w:tcPr>
          <w:p w14:paraId="23D0A5B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换气系统</w:t>
            </w:r>
          </w:p>
        </w:tc>
        <w:tc>
          <w:tcPr>
            <w:tcW w:w="6348" w:type="dxa"/>
            <w:noWrap w:val="0"/>
            <w:vAlign w:val="bottom"/>
          </w:tcPr>
          <w:p w14:paraId="38D544B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隐藏式下排风，带初级过滤装置，车厢内换气次数可达20次/小时。</w:t>
            </w:r>
          </w:p>
        </w:tc>
      </w:tr>
      <w:tr w14:paraId="0355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24B5A18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3.11</w:t>
            </w:r>
          </w:p>
        </w:tc>
        <w:tc>
          <w:tcPr>
            <w:tcW w:w="1558" w:type="dxa"/>
            <w:noWrap w:val="0"/>
            <w:vAlign w:val="center"/>
          </w:tcPr>
          <w:p w14:paraId="16AA87F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杀菌系统</w:t>
            </w:r>
          </w:p>
        </w:tc>
        <w:tc>
          <w:tcPr>
            <w:tcW w:w="6348" w:type="dxa"/>
            <w:noWrap w:val="0"/>
            <w:vAlign w:val="center"/>
          </w:tcPr>
          <w:p w14:paraId="3A3F39F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应配备长条型紫外线消毒灯，杀菌有效空间可达10m</w:t>
            </w:r>
            <w:r>
              <w:rPr>
                <w:rFonts w:hint="eastAsia" w:ascii="仿宋" w:hAnsi="仿宋" w:eastAsia="仿宋" w:cs="仿宋"/>
                <w:sz w:val="21"/>
                <w:szCs w:val="21"/>
                <w:vertAlign w:val="superscript"/>
              </w:rPr>
              <w:t xml:space="preserve">3 </w:t>
            </w:r>
            <w:r>
              <w:rPr>
                <w:rFonts w:hint="eastAsia" w:ascii="仿宋" w:hAnsi="仿宋" w:eastAsia="仿宋" w:cs="仿宋"/>
                <w:sz w:val="21"/>
                <w:szCs w:val="21"/>
              </w:rPr>
              <w:t>，并具有延时启动功能，定时控制。</w:t>
            </w:r>
          </w:p>
        </w:tc>
      </w:tr>
      <w:tr w14:paraId="2A0A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4" w:type="dxa"/>
            <w:noWrap w:val="0"/>
            <w:vAlign w:val="center"/>
          </w:tcPr>
          <w:p w14:paraId="5CC7A87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3.12</w:t>
            </w:r>
          </w:p>
        </w:tc>
        <w:tc>
          <w:tcPr>
            <w:tcW w:w="1558" w:type="dxa"/>
            <w:noWrap w:val="0"/>
            <w:vAlign w:val="center"/>
          </w:tcPr>
          <w:p w14:paraId="5760B49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照明系统</w:t>
            </w:r>
          </w:p>
        </w:tc>
        <w:tc>
          <w:tcPr>
            <w:tcW w:w="6348" w:type="dxa"/>
            <w:noWrap w:val="0"/>
            <w:vAlign w:val="bottom"/>
          </w:tcPr>
          <w:p w14:paraId="12B3082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86B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427959F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3.12.1</w:t>
            </w:r>
          </w:p>
        </w:tc>
        <w:tc>
          <w:tcPr>
            <w:tcW w:w="1558" w:type="dxa"/>
            <w:noWrap w:val="0"/>
            <w:vAlign w:val="center"/>
          </w:tcPr>
          <w:p w14:paraId="7D75792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工作灯</w:t>
            </w:r>
          </w:p>
        </w:tc>
        <w:tc>
          <w:tcPr>
            <w:tcW w:w="6348" w:type="dxa"/>
            <w:noWrap w:val="0"/>
            <w:vAlign w:val="center"/>
          </w:tcPr>
          <w:p w14:paraId="0128B0B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应配有LED平板光带，光线均匀、柔和，考虑病人直视的舒适性。在病人区域最高照度为不小于300lx，也可根据实际情况调节亮度。</w:t>
            </w:r>
          </w:p>
        </w:tc>
      </w:tr>
      <w:tr w14:paraId="091D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04" w:type="dxa"/>
            <w:noWrap w:val="0"/>
            <w:vAlign w:val="center"/>
          </w:tcPr>
          <w:p w14:paraId="2EB2940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3.12.2</w:t>
            </w:r>
          </w:p>
        </w:tc>
        <w:tc>
          <w:tcPr>
            <w:tcW w:w="1558" w:type="dxa"/>
            <w:noWrap w:val="0"/>
            <w:vAlign w:val="center"/>
          </w:tcPr>
          <w:p w14:paraId="7C36F2E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专用射灯</w:t>
            </w:r>
          </w:p>
        </w:tc>
        <w:tc>
          <w:tcPr>
            <w:tcW w:w="6348" w:type="dxa"/>
            <w:noWrap w:val="0"/>
            <w:vAlign w:val="center"/>
          </w:tcPr>
          <w:p w14:paraId="4CC73380">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应配有专用射灯2组，LED冷光源，聚光型，高亮度，可调节照射角度，可在实施急救时辅助照明使用。</w:t>
            </w:r>
          </w:p>
        </w:tc>
      </w:tr>
      <w:tr w14:paraId="63B5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0AE649E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3.12.3</w:t>
            </w:r>
          </w:p>
        </w:tc>
        <w:tc>
          <w:tcPr>
            <w:tcW w:w="1558" w:type="dxa"/>
            <w:noWrap w:val="0"/>
            <w:vAlign w:val="center"/>
          </w:tcPr>
          <w:p w14:paraId="1717C09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后照灯</w:t>
            </w:r>
          </w:p>
        </w:tc>
        <w:tc>
          <w:tcPr>
            <w:tcW w:w="6348" w:type="dxa"/>
            <w:noWrap w:val="0"/>
            <w:vAlign w:val="center"/>
          </w:tcPr>
          <w:p w14:paraId="213EDA8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应采用大功率LED后射灯，有效距离不小于10米。</w:t>
            </w:r>
          </w:p>
        </w:tc>
      </w:tr>
      <w:tr w14:paraId="0C49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7096EFB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3.12.4</w:t>
            </w:r>
          </w:p>
        </w:tc>
        <w:tc>
          <w:tcPr>
            <w:tcW w:w="1558" w:type="dxa"/>
            <w:noWrap w:val="0"/>
            <w:vAlign w:val="center"/>
          </w:tcPr>
          <w:p w14:paraId="295707D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夜间外部照明系统</w:t>
            </w:r>
          </w:p>
        </w:tc>
        <w:tc>
          <w:tcPr>
            <w:tcW w:w="6348" w:type="dxa"/>
            <w:noWrap w:val="0"/>
            <w:vAlign w:val="center"/>
          </w:tcPr>
          <w:p w14:paraId="0FAC85C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应配备夜间外部照明系统，便于夜间急救工作的开展。</w:t>
            </w:r>
          </w:p>
        </w:tc>
      </w:tr>
      <w:tr w14:paraId="79B4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04" w:type="dxa"/>
            <w:noWrap w:val="0"/>
            <w:vAlign w:val="center"/>
          </w:tcPr>
          <w:p w14:paraId="4F9215A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3.13</w:t>
            </w:r>
          </w:p>
        </w:tc>
        <w:tc>
          <w:tcPr>
            <w:tcW w:w="1558" w:type="dxa"/>
            <w:noWrap w:val="0"/>
            <w:vAlign w:val="center"/>
          </w:tcPr>
          <w:p w14:paraId="15E2C7A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输液固定器</w:t>
            </w:r>
          </w:p>
        </w:tc>
        <w:tc>
          <w:tcPr>
            <w:tcW w:w="6348" w:type="dxa"/>
            <w:noWrap w:val="0"/>
            <w:vAlign w:val="center"/>
          </w:tcPr>
          <w:p w14:paraId="22BBCDAA">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在担架车上方应装有输液架以及</w:t>
            </w:r>
            <w:r>
              <w:rPr>
                <w:rFonts w:hint="eastAsia" w:ascii="仿宋" w:hAnsi="仿宋" w:eastAsia="仿宋" w:cs="仿宋"/>
                <w:sz w:val="21"/>
                <w:szCs w:val="21"/>
              </w:rPr>
              <w:t>输液泵固定支架</w:t>
            </w:r>
            <w:r>
              <w:rPr>
                <w:rFonts w:hint="eastAsia" w:ascii="仿宋" w:hAnsi="仿宋" w:eastAsia="仿宋" w:cs="仿宋"/>
                <w:kern w:val="0"/>
                <w:sz w:val="21"/>
                <w:szCs w:val="21"/>
              </w:rPr>
              <w:t>。</w:t>
            </w:r>
          </w:p>
        </w:tc>
      </w:tr>
      <w:tr w14:paraId="6371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6483862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3.14</w:t>
            </w:r>
          </w:p>
        </w:tc>
        <w:tc>
          <w:tcPr>
            <w:tcW w:w="1558" w:type="dxa"/>
            <w:noWrap w:val="0"/>
            <w:vAlign w:val="center"/>
          </w:tcPr>
          <w:p w14:paraId="68693A42">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通讯系统</w:t>
            </w:r>
          </w:p>
        </w:tc>
        <w:tc>
          <w:tcPr>
            <w:tcW w:w="6348" w:type="dxa"/>
            <w:noWrap w:val="0"/>
            <w:vAlign w:val="center"/>
          </w:tcPr>
          <w:p w14:paraId="59EFCD46">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在驾驶室和医疗舱相应的位置预留通讯系统的电源接线柱和安装监控设备及GPS天线的空线孔。</w:t>
            </w:r>
          </w:p>
        </w:tc>
      </w:tr>
      <w:tr w14:paraId="15A8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6D0880E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kern w:val="0"/>
                <w:sz w:val="21"/>
                <w:szCs w:val="21"/>
                <w:lang w:val="en-US" w:eastAsia="zh-CN"/>
              </w:rPr>
              <w:t>3.15</w:t>
            </w:r>
          </w:p>
        </w:tc>
        <w:tc>
          <w:tcPr>
            <w:tcW w:w="1558" w:type="dxa"/>
            <w:noWrap w:val="0"/>
            <w:vAlign w:val="center"/>
          </w:tcPr>
          <w:p w14:paraId="31446D6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空气消毒机</w:t>
            </w:r>
          </w:p>
        </w:tc>
        <w:tc>
          <w:tcPr>
            <w:tcW w:w="6348" w:type="dxa"/>
            <w:noWrap w:val="0"/>
            <w:vAlign w:val="center"/>
          </w:tcPr>
          <w:p w14:paraId="73F74A4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1、适用于负压救护车、医疗车、急救车、体检车、核酸检测车、疫苗运输车以及公交旅游巴士等公共交通工具的封闭空间内的空气持续循环消毒。</w:t>
            </w:r>
          </w:p>
          <w:p w14:paraId="3108593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 xml:space="preserve">2、对车内封闭空间定流消杀防护，适用体积≥30m³。 </w:t>
            </w:r>
          </w:p>
          <w:p w14:paraId="7E74861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壁挂式安装方式，空气消毒机持续工作时可实现人机共存。</w:t>
            </w:r>
          </w:p>
          <w:p w14:paraId="6DE4EDF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3、外形尺寸：长+宽+高≤700MM，输入电压DC 12V。</w:t>
            </w:r>
          </w:p>
          <w:p w14:paraId="341F767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细菌杀灭率≥99.93%，对空气自然菌的消亡率≥90.50%。</w:t>
            </w:r>
          </w:p>
          <w:p w14:paraId="5DD3451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4、臭氧浓度＜0.003mg/m³，紫外线泄漏量＜0.1uW/c㎡,设计循环风量＞240m³/h，可以循环调节风量大小。</w:t>
            </w:r>
          </w:p>
          <w:p w14:paraId="1B4DFE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5、以紫外线及过滤为主杀毒因子，同时辅助光触媒及释放高浓度离子利用循环风对空间内的空气进行循环消毒，可有效杀灭空气中的细菌和病毒，提供涵盖前述所有杀毒方式的空气杀毒原理图。</w:t>
            </w:r>
          </w:p>
          <w:p w14:paraId="1C51D92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6、空气消毒机可以显示所安装空间内的温度、湿度、PM2.5等空气质量状态。</w:t>
            </w:r>
          </w:p>
          <w:p w14:paraId="0383AFC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7、可用遥控器或触摸面板进行空气消毒机的操作。当机器与手机处于同一WIFI环境下，可以拓展手机控制功能。</w:t>
            </w:r>
          </w:p>
          <w:p w14:paraId="42EBF9B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8、空气消毒机作为第二类消毒产品，其卫生安全评价结论为合格</w:t>
            </w:r>
            <w:r>
              <w:rPr>
                <w:rFonts w:hint="eastAsia" w:ascii="仿宋" w:hAnsi="仿宋" w:eastAsia="仿宋" w:cs="仿宋"/>
                <w:b/>
                <w:bCs w:val="0"/>
                <w:color w:val="auto"/>
                <w:sz w:val="21"/>
                <w:szCs w:val="21"/>
                <w:highlight w:val="none"/>
                <w:lang w:val="en-US" w:eastAsia="zh-CN"/>
              </w:rPr>
              <w:t>（投标文件中提供全国消毒产品网上备案信息服务平台的截图证明）。</w:t>
            </w:r>
          </w:p>
          <w:p w14:paraId="306F281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kern w:val="0"/>
                <w:sz w:val="21"/>
                <w:szCs w:val="21"/>
              </w:rPr>
            </w:pPr>
            <w:r>
              <w:rPr>
                <w:rFonts w:hint="eastAsia" w:ascii="仿宋" w:hAnsi="仿宋" w:eastAsia="仿宋" w:cs="仿宋"/>
                <w:b w:val="0"/>
                <w:bCs/>
                <w:color w:val="auto"/>
                <w:sz w:val="21"/>
                <w:szCs w:val="21"/>
                <w:highlight w:val="none"/>
                <w:lang w:val="en-US" w:eastAsia="zh-CN"/>
              </w:rPr>
              <w:t>9、空气消毒机最高风速档的稳态工作噪声＜50dB。应配置安装壁挂板。</w:t>
            </w:r>
          </w:p>
        </w:tc>
      </w:tr>
      <w:tr w14:paraId="2ECB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0B57E72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3.16</w:t>
            </w:r>
          </w:p>
        </w:tc>
        <w:tc>
          <w:tcPr>
            <w:tcW w:w="1558" w:type="dxa"/>
            <w:noWrap w:val="0"/>
            <w:vAlign w:val="center"/>
          </w:tcPr>
          <w:p w14:paraId="42E25C1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kern w:val="0"/>
                <w:sz w:val="21"/>
                <w:szCs w:val="21"/>
                <w:lang w:val="en-US" w:eastAsia="zh-CN"/>
              </w:rPr>
              <w:t>吸引器</w:t>
            </w:r>
          </w:p>
        </w:tc>
        <w:tc>
          <w:tcPr>
            <w:tcW w:w="6348" w:type="dxa"/>
            <w:noWrap w:val="0"/>
            <w:vAlign w:val="center"/>
          </w:tcPr>
          <w:p w14:paraId="1AC663EE">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1"/>
                <w:szCs w:val="21"/>
                <w:lang w:val="en-US" w:eastAsia="zh-CN"/>
              </w:rPr>
            </w:pPr>
          </w:p>
        </w:tc>
      </w:tr>
      <w:tr w14:paraId="18CD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15D1BE0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3.16.1</w:t>
            </w:r>
          </w:p>
        </w:tc>
        <w:tc>
          <w:tcPr>
            <w:tcW w:w="1558" w:type="dxa"/>
            <w:noWrap w:val="0"/>
            <w:vAlign w:val="center"/>
          </w:tcPr>
          <w:p w14:paraId="332D8D7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5CE81C0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电动吸引器须轻巧、灵活、操作简便；采用单手抓握设计，适用于院前救护车车载及随救护人员便携；</w:t>
            </w:r>
          </w:p>
        </w:tc>
      </w:tr>
      <w:tr w14:paraId="26ED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35974AC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▲3.16.2</w:t>
            </w:r>
          </w:p>
        </w:tc>
        <w:tc>
          <w:tcPr>
            <w:tcW w:w="1558" w:type="dxa"/>
            <w:noWrap w:val="0"/>
            <w:vAlign w:val="center"/>
          </w:tcPr>
          <w:p w14:paraId="6747FD1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b w:val="0"/>
                <w:bCs/>
                <w:color w:val="auto"/>
                <w:sz w:val="21"/>
                <w:szCs w:val="21"/>
                <w:highlight w:val="none"/>
                <w:lang w:val="en-US" w:eastAsia="zh-CN"/>
              </w:rPr>
            </w:pPr>
          </w:p>
          <w:p w14:paraId="2F70BDC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5787A5E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电动吸引器设备须有自检功能，可检查所有关于系统的重要功能，低电量情况下可自动提示；</w:t>
            </w:r>
          </w:p>
          <w:p w14:paraId="2E3F657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注：供应商须在投标文件中提供相关证明材料作为佐证，未提供或无法证明的本项即为负偏离。</w:t>
            </w:r>
          </w:p>
        </w:tc>
      </w:tr>
      <w:tr w14:paraId="5A46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2B4D9A7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3.16.3</w:t>
            </w:r>
          </w:p>
        </w:tc>
        <w:tc>
          <w:tcPr>
            <w:tcW w:w="1558" w:type="dxa"/>
            <w:noWrap w:val="0"/>
            <w:vAlign w:val="center"/>
          </w:tcPr>
          <w:p w14:paraId="5328A41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45B3D6C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工作条件：温度0℃(32℉)to + 40℃(104℉)/ 湿度：5 –95RH；</w:t>
            </w:r>
          </w:p>
        </w:tc>
      </w:tr>
      <w:tr w14:paraId="4880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6D106B8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3.16.4</w:t>
            </w:r>
          </w:p>
        </w:tc>
        <w:tc>
          <w:tcPr>
            <w:tcW w:w="1558" w:type="dxa"/>
            <w:noWrap w:val="0"/>
            <w:vAlign w:val="center"/>
          </w:tcPr>
          <w:p w14:paraId="194FD59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76BC91D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尺寸：长度≤315 毫米 、高度≤330 毫米、宽度≤160 毫米；</w:t>
            </w:r>
          </w:p>
        </w:tc>
      </w:tr>
      <w:tr w14:paraId="2798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61156E0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3.16.5</w:t>
            </w:r>
          </w:p>
        </w:tc>
        <w:tc>
          <w:tcPr>
            <w:tcW w:w="1558" w:type="dxa"/>
            <w:noWrap w:val="0"/>
            <w:vAlign w:val="center"/>
          </w:tcPr>
          <w:p w14:paraId="2384280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653440F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结构特点：便携式，重量≤4kg (包括电池)；</w:t>
            </w:r>
          </w:p>
        </w:tc>
      </w:tr>
      <w:tr w14:paraId="2D5E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668E8B4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3.16.6</w:t>
            </w:r>
          </w:p>
        </w:tc>
        <w:tc>
          <w:tcPr>
            <w:tcW w:w="1558" w:type="dxa"/>
            <w:noWrap w:val="0"/>
            <w:vAlign w:val="center"/>
          </w:tcPr>
          <w:p w14:paraId="1696D92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55D6F19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充电类型：可通过交流、车载电源两种充电方式给电动吸引器进行充电；</w:t>
            </w:r>
          </w:p>
        </w:tc>
      </w:tr>
      <w:tr w14:paraId="4F99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746FAEA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3.16.7</w:t>
            </w:r>
          </w:p>
        </w:tc>
        <w:tc>
          <w:tcPr>
            <w:tcW w:w="1558" w:type="dxa"/>
            <w:noWrap w:val="0"/>
            <w:vAlign w:val="center"/>
          </w:tcPr>
          <w:p w14:paraId="187BDEC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56EDE21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吸引器负压：吸引强度范围：80-550+mmHg；</w:t>
            </w:r>
          </w:p>
        </w:tc>
      </w:tr>
      <w:tr w14:paraId="164F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4E7B70D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3.16.8</w:t>
            </w:r>
          </w:p>
        </w:tc>
        <w:tc>
          <w:tcPr>
            <w:tcW w:w="1558" w:type="dxa"/>
            <w:noWrap w:val="0"/>
            <w:vAlign w:val="center"/>
          </w:tcPr>
          <w:p w14:paraId="0B1133F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4ECB734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抽吸能力：负压500mmHg时：空气流量&gt;25L/M；</w:t>
            </w:r>
          </w:p>
        </w:tc>
      </w:tr>
      <w:tr w14:paraId="764F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2B6AAD9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▲3.16.9</w:t>
            </w:r>
          </w:p>
        </w:tc>
        <w:tc>
          <w:tcPr>
            <w:tcW w:w="1558" w:type="dxa"/>
            <w:noWrap w:val="0"/>
            <w:vAlign w:val="center"/>
          </w:tcPr>
          <w:p w14:paraId="2AF8AF9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0CB666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低噪音：负压80mmHg时，噪音等级噪音≤48分贝；负压达500mmHg时，噪音≤56分贝；</w:t>
            </w:r>
          </w:p>
          <w:p w14:paraId="207C494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注：供应商须在投标文件中提供相关证明材料作为佐证，未提供或无法证明的本项即为负偏离。</w:t>
            </w:r>
          </w:p>
        </w:tc>
      </w:tr>
      <w:tr w14:paraId="4C61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1642F03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3.16.10</w:t>
            </w:r>
          </w:p>
        </w:tc>
        <w:tc>
          <w:tcPr>
            <w:tcW w:w="1558" w:type="dxa"/>
            <w:noWrap w:val="0"/>
            <w:vAlign w:val="center"/>
          </w:tcPr>
          <w:p w14:paraId="652AA87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72F86C1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充电3小时可达到 80% 的电池容量；</w:t>
            </w:r>
          </w:p>
        </w:tc>
      </w:tr>
      <w:tr w14:paraId="03E0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4589518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3.16.11</w:t>
            </w:r>
          </w:p>
        </w:tc>
        <w:tc>
          <w:tcPr>
            <w:tcW w:w="1558" w:type="dxa"/>
            <w:noWrap w:val="0"/>
            <w:vAlign w:val="center"/>
          </w:tcPr>
          <w:p w14:paraId="37B10E3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459516D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容量为100%的新电池平均工作时间为45分钟，500mmHg吸引强度下空吸20分钟；</w:t>
            </w:r>
          </w:p>
        </w:tc>
      </w:tr>
      <w:tr w14:paraId="43B3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23AEE65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3.16.12</w:t>
            </w:r>
          </w:p>
        </w:tc>
        <w:tc>
          <w:tcPr>
            <w:tcW w:w="1558" w:type="dxa"/>
            <w:noWrap w:val="0"/>
            <w:vAlign w:val="center"/>
          </w:tcPr>
          <w:p w14:paraId="3349348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5D647FD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负压罐：反复使用储液罐，杯子采用透明设计，方便观察污物的容量及方便使用后的清洗；</w:t>
            </w:r>
          </w:p>
        </w:tc>
      </w:tr>
      <w:tr w14:paraId="6590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5230252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3.16.13</w:t>
            </w:r>
          </w:p>
        </w:tc>
        <w:tc>
          <w:tcPr>
            <w:tcW w:w="1558" w:type="dxa"/>
            <w:noWrap w:val="0"/>
            <w:vAlign w:val="center"/>
          </w:tcPr>
          <w:p w14:paraId="6DBE429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49D4314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清洁瓶：电动吸引器侧身配有专门用于管路清洁使用的清洁瓶，清洁瓶内可装清洁液体；</w:t>
            </w:r>
          </w:p>
        </w:tc>
      </w:tr>
      <w:tr w14:paraId="1C50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3342946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▲3.16.14</w:t>
            </w:r>
          </w:p>
        </w:tc>
        <w:tc>
          <w:tcPr>
            <w:tcW w:w="1558" w:type="dxa"/>
            <w:noWrap w:val="0"/>
            <w:vAlign w:val="center"/>
          </w:tcPr>
          <w:p w14:paraId="3EC02CB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0461FA7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安全可靠，有自检功能，采用瓣膜设计和浮球设计，能有效防止污物倒流，保证病人的安全；</w:t>
            </w:r>
          </w:p>
          <w:p w14:paraId="340EF54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注：供应商须在投标文件中提供相关证明材料作为佐证，未提供或无法证明的本项即为负偏离。</w:t>
            </w:r>
          </w:p>
        </w:tc>
      </w:tr>
      <w:tr w14:paraId="46F1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5801E2A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3.16.15</w:t>
            </w:r>
          </w:p>
        </w:tc>
        <w:tc>
          <w:tcPr>
            <w:tcW w:w="1558" w:type="dxa"/>
            <w:noWrap w:val="0"/>
            <w:vAlign w:val="center"/>
          </w:tcPr>
          <w:p w14:paraId="64B8F27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5BEC455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可重复使用的气溶胶过滤器可过滤粒径低至0.3微米的气溶胶；</w:t>
            </w:r>
          </w:p>
        </w:tc>
      </w:tr>
      <w:tr w14:paraId="2272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7FEA43F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3.16.16</w:t>
            </w:r>
          </w:p>
        </w:tc>
        <w:tc>
          <w:tcPr>
            <w:tcW w:w="1558" w:type="dxa"/>
            <w:noWrap w:val="0"/>
            <w:vAlign w:val="center"/>
          </w:tcPr>
          <w:p w14:paraId="2B20828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5E44384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可选配带有自动充电功能的挂板；</w:t>
            </w:r>
          </w:p>
        </w:tc>
      </w:tr>
      <w:tr w14:paraId="0B8C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34272FD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3.16.17</w:t>
            </w:r>
          </w:p>
        </w:tc>
        <w:tc>
          <w:tcPr>
            <w:tcW w:w="1558" w:type="dxa"/>
            <w:noWrap w:val="0"/>
            <w:vAlign w:val="center"/>
          </w:tcPr>
          <w:p w14:paraId="18C833B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43D0A12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材质安全：不含乳胶；</w:t>
            </w:r>
          </w:p>
        </w:tc>
      </w:tr>
      <w:tr w14:paraId="4208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552AC1E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3.16.18</w:t>
            </w:r>
          </w:p>
        </w:tc>
        <w:tc>
          <w:tcPr>
            <w:tcW w:w="1558" w:type="dxa"/>
            <w:noWrap w:val="0"/>
            <w:vAlign w:val="center"/>
          </w:tcPr>
          <w:p w14:paraId="141C8B9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kern w:val="2"/>
                <w:sz w:val="21"/>
                <w:szCs w:val="21"/>
                <w:highlight w:val="none"/>
                <w:lang w:val="en-US" w:eastAsia="zh-CN" w:bidi="ar-SA"/>
              </w:rPr>
            </w:pPr>
          </w:p>
        </w:tc>
        <w:tc>
          <w:tcPr>
            <w:tcW w:w="6348" w:type="dxa"/>
            <w:noWrap w:val="0"/>
            <w:vAlign w:val="center"/>
          </w:tcPr>
          <w:p w14:paraId="508A3A6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防水等级IP34。</w:t>
            </w:r>
          </w:p>
        </w:tc>
      </w:tr>
      <w:tr w14:paraId="2737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04" w:type="dxa"/>
            <w:noWrap w:val="0"/>
            <w:vAlign w:val="center"/>
          </w:tcPr>
          <w:p w14:paraId="616DADC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rPr>
              <w:t>★</w:t>
            </w:r>
            <w:r>
              <w:rPr>
                <w:rFonts w:hint="eastAsia" w:ascii="仿宋" w:hAnsi="仿宋" w:eastAsia="仿宋" w:cs="仿宋"/>
                <w:b w:val="0"/>
                <w:bCs w:val="0"/>
                <w:kern w:val="0"/>
                <w:sz w:val="21"/>
                <w:szCs w:val="21"/>
                <w:lang w:val="en-US" w:eastAsia="zh-CN"/>
              </w:rPr>
              <w:t>3.17</w:t>
            </w:r>
          </w:p>
        </w:tc>
        <w:tc>
          <w:tcPr>
            <w:tcW w:w="1558" w:type="dxa"/>
            <w:noWrap w:val="0"/>
            <w:vAlign w:val="center"/>
          </w:tcPr>
          <w:p w14:paraId="017EA99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智慧急救</w:t>
            </w:r>
            <w:r>
              <w:rPr>
                <w:rFonts w:hint="eastAsia" w:ascii="仿宋" w:hAnsi="仿宋" w:eastAsia="仿宋" w:cs="仿宋"/>
                <w:color w:val="000000"/>
                <w:kern w:val="0"/>
                <w:sz w:val="21"/>
                <w:szCs w:val="21"/>
                <w:lang w:val="en-US" w:eastAsia="zh-CN"/>
              </w:rPr>
              <w:t>网擎</w:t>
            </w:r>
          </w:p>
        </w:tc>
        <w:tc>
          <w:tcPr>
            <w:tcW w:w="6348" w:type="dxa"/>
            <w:noWrap w:val="0"/>
            <w:vAlign w:val="center"/>
          </w:tcPr>
          <w:p w14:paraId="39D2025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bCs/>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br w:type="textWrapping"/>
            </w:r>
            <w:r>
              <w:rPr>
                <w:rFonts w:hint="eastAsia" w:ascii="仿宋" w:hAnsi="仿宋" w:eastAsia="仿宋" w:cs="仿宋"/>
                <w:b/>
                <w:bCs/>
                <w:color w:val="000000"/>
                <w:kern w:val="0"/>
                <w:sz w:val="21"/>
                <w:szCs w:val="21"/>
                <w:lang w:val="en-US" w:eastAsia="zh-CN" w:bidi="ar-SA"/>
              </w:rPr>
              <w:br w:type="textWrapping"/>
            </w:r>
          </w:p>
          <w:p w14:paraId="2597FA0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br w:type="textWrapping"/>
            </w:r>
          </w:p>
        </w:tc>
      </w:tr>
      <w:tr w14:paraId="4880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408AF15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3.17.1</w:t>
            </w:r>
          </w:p>
        </w:tc>
        <w:tc>
          <w:tcPr>
            <w:tcW w:w="1558" w:type="dxa"/>
            <w:noWrap w:val="0"/>
            <w:vAlign w:val="center"/>
          </w:tcPr>
          <w:p w14:paraId="42B207A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37AA2273">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整体设计：5G智慧救护车一体化车载采集终端须采用专业硬件架构，高强度定制化车载设备工业外壳（不集成显示设备），一体化固态散热结构，全自动工作方式，其计算核心，网络通讯核心，数据处理核心、数据存储部件须实现集成一体化设计；</w:t>
            </w:r>
          </w:p>
        </w:tc>
      </w:tr>
      <w:tr w14:paraId="3B28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1365C41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3.17.2</w:t>
            </w:r>
          </w:p>
        </w:tc>
        <w:tc>
          <w:tcPr>
            <w:tcW w:w="1558" w:type="dxa"/>
            <w:noWrap w:val="0"/>
            <w:vAlign w:val="center"/>
          </w:tcPr>
          <w:p w14:paraId="5E5D9CE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6B7A0753">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5G智慧救护车一体化车载采集终端内嵌5G全网通通讯模块，配备自适应网卡，支持WiFi开启功能主机自带直连RJ45接口≥8个，支持断电重启；</w:t>
            </w:r>
            <w:r>
              <w:rPr>
                <w:rFonts w:hint="eastAsia" w:ascii="仿宋" w:hAnsi="仿宋" w:eastAsia="仿宋" w:cs="仿宋"/>
                <w:b/>
                <w:bCs/>
                <w:color w:val="000000"/>
                <w:kern w:val="0"/>
                <w:sz w:val="21"/>
                <w:szCs w:val="21"/>
                <w:lang w:val="en-US" w:eastAsia="zh-CN" w:bidi="ar-SA"/>
              </w:rPr>
              <w:t>【提供满足设计参数实物正反面及侧面图片并加盖投标人公章】</w:t>
            </w:r>
          </w:p>
        </w:tc>
      </w:tr>
      <w:tr w14:paraId="5DB8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0445970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3.17.3</w:t>
            </w:r>
          </w:p>
        </w:tc>
        <w:tc>
          <w:tcPr>
            <w:tcW w:w="1558" w:type="dxa"/>
            <w:noWrap w:val="0"/>
            <w:vAlign w:val="center"/>
          </w:tcPr>
          <w:p w14:paraId="4F93558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0143C5AA">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结合本项目急救车车厢狭窄，避免裸露安装造成的掉落、碰撞等二次伤害，该产品须满足整机隐蔽式安装要求，设备长*宽*高≤300*180*70mm，重量≤3kg；</w:t>
            </w:r>
            <w:r>
              <w:rPr>
                <w:rFonts w:hint="eastAsia" w:ascii="仿宋" w:hAnsi="仿宋" w:eastAsia="仿宋" w:cs="仿宋"/>
                <w:b/>
                <w:bCs/>
                <w:color w:val="000000"/>
                <w:kern w:val="0"/>
                <w:sz w:val="21"/>
                <w:szCs w:val="21"/>
                <w:lang w:val="en-US" w:eastAsia="zh-CN" w:bidi="ar-SA"/>
              </w:rPr>
              <w:t>【提供实物图片、检测报告证明并加盖投标人公章】</w:t>
            </w:r>
          </w:p>
        </w:tc>
      </w:tr>
      <w:tr w14:paraId="0B31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49B6209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3.17.4</w:t>
            </w:r>
          </w:p>
        </w:tc>
        <w:tc>
          <w:tcPr>
            <w:tcW w:w="1558" w:type="dxa"/>
            <w:noWrap w:val="0"/>
            <w:vAlign w:val="center"/>
          </w:tcPr>
          <w:p w14:paraId="7CFE48E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404A560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核心单元：完全国产化CPU芯片，不低于四核64位，主频可达2.0GHz；支持1Tops的计算能力；配备内存≥4G，内置数据硬盘≥500G，不采用windows操作系统；</w:t>
            </w:r>
            <w:r>
              <w:rPr>
                <w:rFonts w:hint="eastAsia" w:ascii="仿宋" w:hAnsi="仿宋" w:eastAsia="仿宋" w:cs="仿宋"/>
                <w:b/>
                <w:bCs/>
                <w:color w:val="000000"/>
                <w:kern w:val="0"/>
                <w:sz w:val="21"/>
                <w:szCs w:val="21"/>
                <w:lang w:val="en-US" w:eastAsia="zh-CN" w:bidi="ar-SA"/>
              </w:rPr>
              <w:t>【提供相关佐证材料并加盖投标人公章】</w:t>
            </w:r>
          </w:p>
        </w:tc>
      </w:tr>
      <w:tr w14:paraId="2606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0D7AE09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3.17.5</w:t>
            </w:r>
          </w:p>
        </w:tc>
        <w:tc>
          <w:tcPr>
            <w:tcW w:w="1558" w:type="dxa"/>
            <w:noWrap w:val="0"/>
            <w:vAlign w:val="center"/>
          </w:tcPr>
          <w:p w14:paraId="1852B09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417DA19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高清视频接入：5G智慧救护车一体化车载采集终端需提供三路及以上高清网络摄像机（IPC）接入，分别为车前、驾驶舱、医疗舱；支持视音频数据的本地采集、存储、回放等功能；在车辆熄火情况下支持历史视频的远程查看和下载；5G智慧救护车一体化车载采集终端需支持GB28181协议接入能力；</w:t>
            </w:r>
          </w:p>
        </w:tc>
      </w:tr>
      <w:tr w14:paraId="65E9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6E1FBFF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3.17.6</w:t>
            </w:r>
          </w:p>
        </w:tc>
        <w:tc>
          <w:tcPr>
            <w:tcW w:w="1558" w:type="dxa"/>
            <w:noWrap w:val="0"/>
            <w:vAlign w:val="center"/>
          </w:tcPr>
          <w:p w14:paraId="2F0B444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20ABA3A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自动任务节点：5G智慧救护车一体化车载采集终端支持无人值守无人工参与下自主运行，支持对采集的数据进行实时分析和处理，自主计算产生急救任务的7个节点（急救派车、驶向现场、到达现场、病人上车、送达医院、途中待命、站点待命），并针对到达现场、病人上车、送达医院节点自动产生连续≥30秒事件视频数据；</w:t>
            </w:r>
          </w:p>
        </w:tc>
      </w:tr>
      <w:tr w14:paraId="3D5F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37F9201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3.17.7</w:t>
            </w:r>
          </w:p>
        </w:tc>
        <w:tc>
          <w:tcPr>
            <w:tcW w:w="1558" w:type="dxa"/>
            <w:noWrap w:val="0"/>
            <w:vAlign w:val="center"/>
          </w:tcPr>
          <w:p w14:paraId="1434A56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0B7D626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实时定位：支持北斗实时定位，并将位置信息发送至配套院前院内协同救治系统平台；</w:t>
            </w:r>
          </w:p>
        </w:tc>
      </w:tr>
      <w:tr w14:paraId="1513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557B878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3.17.8</w:t>
            </w:r>
          </w:p>
        </w:tc>
        <w:tc>
          <w:tcPr>
            <w:tcW w:w="1558" w:type="dxa"/>
            <w:noWrap w:val="0"/>
            <w:vAlign w:val="center"/>
          </w:tcPr>
          <w:p w14:paraId="1589E10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56E52E6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信息采集：支持通过原车OBD采集分析系统采集车辆实时数据，包括车速、点火状态、里程、门的开关状态等（根据不同车型而定），氧气含量采集，舱内环境温湿度采集，负压值采集，采集分析担架是否在位、病人是否在位的实时状态，采集分析车载医疗设备的实时在位情况；</w:t>
            </w:r>
          </w:p>
        </w:tc>
      </w:tr>
      <w:tr w14:paraId="2678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0F64A9C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3.17.9</w:t>
            </w:r>
          </w:p>
        </w:tc>
        <w:tc>
          <w:tcPr>
            <w:tcW w:w="1558" w:type="dxa"/>
            <w:noWrap w:val="0"/>
            <w:vAlign w:val="center"/>
          </w:tcPr>
          <w:p w14:paraId="1140069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3EAF109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实时联动：支持急救人员的考勤数据采集（需配备勤务系统），实现人员管理，促成人员、车辆、设备数据、急救任务全面联动，为急救可视化的应用提供数据支持；</w:t>
            </w:r>
          </w:p>
        </w:tc>
      </w:tr>
      <w:tr w14:paraId="2DC2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7FBAC64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3.17.10</w:t>
            </w:r>
          </w:p>
        </w:tc>
        <w:tc>
          <w:tcPr>
            <w:tcW w:w="1558" w:type="dxa"/>
            <w:noWrap w:val="0"/>
            <w:vAlign w:val="center"/>
          </w:tcPr>
          <w:p w14:paraId="378487B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163E281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医疗设备数据传输：支持对接医疗设备，实时采集并传输病患生命体征数据；</w:t>
            </w:r>
          </w:p>
        </w:tc>
      </w:tr>
      <w:tr w14:paraId="0778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3F10E0F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3.17.11</w:t>
            </w:r>
          </w:p>
        </w:tc>
        <w:tc>
          <w:tcPr>
            <w:tcW w:w="1558" w:type="dxa"/>
            <w:noWrap w:val="0"/>
            <w:vAlign w:val="center"/>
          </w:tcPr>
          <w:p w14:paraId="6EC561B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310ADD0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边缘计算：设备具备计算能力，提供AI功能的相关运行环境。</w:t>
            </w:r>
          </w:p>
        </w:tc>
      </w:tr>
      <w:tr w14:paraId="4952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3FD30A1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3.17.12</w:t>
            </w:r>
          </w:p>
        </w:tc>
        <w:tc>
          <w:tcPr>
            <w:tcW w:w="1558" w:type="dxa"/>
            <w:noWrap w:val="0"/>
            <w:vAlign w:val="center"/>
          </w:tcPr>
          <w:p w14:paraId="4D65537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12B4084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操作系统安全：支持在数据采集的同时自动对数据进行逻辑校验、数据验证等数据质量控制操作，保证数据的可靠性、安全性、可追溯性；</w:t>
            </w:r>
          </w:p>
        </w:tc>
      </w:tr>
      <w:tr w14:paraId="41B3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6A4DC01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3.17.13</w:t>
            </w:r>
          </w:p>
        </w:tc>
        <w:tc>
          <w:tcPr>
            <w:tcW w:w="1558" w:type="dxa"/>
            <w:noWrap w:val="0"/>
            <w:vAlign w:val="center"/>
          </w:tcPr>
          <w:p w14:paraId="4C96A2A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0D696765">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智能供电系统：5G智慧救护车一体化车载采集终端采用独立≥60AH铁锂电池，尺寸≤155*85*325mm，重量≤8kg，不占用原车电瓶，并满足在车辆熄火后的≥72小时内用电需求，保障车载采集终端的正常运行；对外部电源进行充电管理，实时获取充放电状态及电源相关信息；</w:t>
            </w:r>
          </w:p>
        </w:tc>
      </w:tr>
      <w:tr w14:paraId="1B48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6F09E46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3.17.14</w:t>
            </w:r>
          </w:p>
        </w:tc>
        <w:tc>
          <w:tcPr>
            <w:tcW w:w="1558" w:type="dxa"/>
            <w:noWrap w:val="0"/>
            <w:vAlign w:val="center"/>
          </w:tcPr>
          <w:p w14:paraId="660D474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122A701E">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远程控制：支持车辆熄火后，可远程控制启动车载视频监控设备；</w:t>
            </w:r>
          </w:p>
        </w:tc>
      </w:tr>
      <w:tr w14:paraId="0E18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148729A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3.18</w:t>
            </w:r>
          </w:p>
        </w:tc>
        <w:tc>
          <w:tcPr>
            <w:tcW w:w="1558" w:type="dxa"/>
            <w:noWrap w:val="0"/>
            <w:vAlign w:val="center"/>
          </w:tcPr>
          <w:p w14:paraId="7D87F05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5G单兵设备*</w:t>
            </w:r>
            <w:r>
              <w:rPr>
                <w:rFonts w:hint="eastAsia" w:ascii="仿宋" w:hAnsi="仿宋" w:eastAsia="仿宋" w:cs="仿宋"/>
                <w:color w:val="000000"/>
                <w:kern w:val="0"/>
                <w:sz w:val="21"/>
                <w:szCs w:val="21"/>
                <w:lang w:val="en-US" w:eastAsia="zh-CN"/>
              </w:rPr>
              <w:t>2套</w:t>
            </w:r>
          </w:p>
        </w:tc>
        <w:tc>
          <w:tcPr>
            <w:tcW w:w="6348" w:type="dxa"/>
            <w:noWrap w:val="0"/>
            <w:vAlign w:val="center"/>
          </w:tcPr>
          <w:p w14:paraId="474077FE">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bookmarkStart w:id="123" w:name="OLE_LINK11"/>
            <w:r>
              <w:rPr>
                <w:rFonts w:hint="eastAsia" w:ascii="仿宋" w:hAnsi="仿宋" w:eastAsia="仿宋" w:cs="仿宋"/>
                <w:color w:val="000000"/>
                <w:kern w:val="0"/>
                <w:sz w:val="21"/>
                <w:szCs w:val="21"/>
                <w:lang w:val="en-US" w:eastAsia="zh-CN" w:bidi="ar-SA"/>
              </w:rPr>
              <w:t>1、整体设计：8核CPU，</w:t>
            </w:r>
            <w:bookmarkStart w:id="124" w:name="OLE_LINK2"/>
            <w:r>
              <w:rPr>
                <w:rFonts w:hint="eastAsia" w:ascii="仿宋" w:hAnsi="仿宋" w:eastAsia="仿宋" w:cs="仿宋"/>
                <w:color w:val="000000"/>
                <w:kern w:val="0"/>
                <w:sz w:val="21"/>
                <w:szCs w:val="21"/>
                <w:lang w:val="en-US" w:eastAsia="zh-CN" w:bidi="ar-SA"/>
              </w:rPr>
              <w:t>不少于64GB的ROM</w:t>
            </w:r>
            <w:bookmarkEnd w:id="124"/>
            <w:r>
              <w:rPr>
                <w:rFonts w:hint="eastAsia" w:ascii="仿宋" w:hAnsi="仿宋" w:eastAsia="仿宋" w:cs="仿宋"/>
                <w:color w:val="000000"/>
                <w:kern w:val="0"/>
                <w:sz w:val="21"/>
                <w:szCs w:val="21"/>
                <w:lang w:val="en-US" w:eastAsia="zh-CN" w:bidi="ar-SA"/>
              </w:rPr>
              <w:t>，支持通过Type-C接口或者USB3.0进行数据传输；外壳防护水平不小于IP68；</w:t>
            </w:r>
          </w:p>
          <w:p w14:paraId="734407E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2、5G单兵规格尺寸≤100mm*70mm*30mm，重量≤210g（含背板）；</w:t>
            </w:r>
          </w:p>
          <w:p w14:paraId="687BCE5F">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3、显示屏尺寸：应具有彩色显示屏，显示屏对角线尺寸≥3.81cm（1.5in）；</w:t>
            </w:r>
            <w:r>
              <w:rPr>
                <w:rFonts w:hint="eastAsia" w:ascii="仿宋" w:hAnsi="仿宋" w:eastAsia="仿宋" w:cs="仿宋"/>
                <w:color w:val="000000"/>
                <w:kern w:val="0"/>
                <w:sz w:val="21"/>
                <w:szCs w:val="21"/>
                <w:lang w:val="en-US" w:eastAsia="zh-CN" w:bidi="ar-SA"/>
              </w:rPr>
              <w:br w:type="textWrapping"/>
            </w:r>
            <w:r>
              <w:rPr>
                <w:rFonts w:hint="eastAsia" w:ascii="仿宋" w:hAnsi="仿宋" w:eastAsia="仿宋" w:cs="仿宋"/>
                <w:color w:val="000000"/>
                <w:kern w:val="0"/>
                <w:sz w:val="21"/>
                <w:szCs w:val="21"/>
                <w:lang w:val="en-US" w:eastAsia="zh-CN" w:bidi="ar-SA"/>
              </w:rPr>
              <w:t>4、5G传输功能：支持三大运营商的5G SIM卡；通过无线通信方式向平台实时传输视频图像，支持GB28181模式的图传；</w:t>
            </w:r>
            <w:r>
              <w:rPr>
                <w:rFonts w:hint="eastAsia" w:ascii="仿宋" w:hAnsi="仿宋" w:eastAsia="仿宋" w:cs="仿宋"/>
                <w:color w:val="000000"/>
                <w:kern w:val="0"/>
                <w:sz w:val="21"/>
                <w:szCs w:val="21"/>
                <w:lang w:val="en-US" w:eastAsia="zh-CN" w:bidi="ar-SA"/>
              </w:rPr>
              <w:br w:type="textWrapping"/>
            </w:r>
            <w:r>
              <w:rPr>
                <w:rFonts w:hint="eastAsia" w:ascii="仿宋" w:hAnsi="仿宋" w:eastAsia="仿宋" w:cs="仿宋"/>
                <w:color w:val="000000"/>
                <w:kern w:val="0"/>
                <w:sz w:val="21"/>
                <w:szCs w:val="21"/>
                <w:lang w:val="en-US" w:eastAsia="zh-CN" w:bidi="ar-SA"/>
              </w:rPr>
              <w:t>5、数据存储：支持数据存储功能，支持数据不被本机或未经授权的设备删除和覆盖，并对存储的数据加以保护；</w:t>
            </w:r>
            <w:r>
              <w:rPr>
                <w:rFonts w:hint="eastAsia" w:ascii="仿宋" w:hAnsi="仿宋" w:eastAsia="仿宋" w:cs="仿宋"/>
                <w:color w:val="000000"/>
                <w:kern w:val="0"/>
                <w:sz w:val="21"/>
                <w:szCs w:val="21"/>
                <w:lang w:val="en-US" w:eastAsia="zh-CN" w:bidi="ar-SA"/>
              </w:rPr>
              <w:br w:type="textWrapping"/>
            </w:r>
            <w:r>
              <w:rPr>
                <w:rFonts w:hint="eastAsia" w:ascii="仿宋" w:hAnsi="仿宋" w:eastAsia="仿宋" w:cs="仿宋"/>
                <w:color w:val="000000"/>
                <w:kern w:val="0"/>
                <w:sz w:val="21"/>
                <w:szCs w:val="21"/>
                <w:lang w:val="en-US" w:eastAsia="zh-CN" w:bidi="ar-SA"/>
              </w:rPr>
              <w:t>6、电池工作时间：设备内置可更换电池供电，要求连续工作时间≥8h；</w:t>
            </w:r>
            <w:r>
              <w:rPr>
                <w:rFonts w:hint="eastAsia" w:ascii="仿宋" w:hAnsi="仿宋" w:eastAsia="仿宋" w:cs="仿宋"/>
                <w:color w:val="000000"/>
                <w:kern w:val="0"/>
                <w:sz w:val="21"/>
                <w:szCs w:val="21"/>
                <w:lang w:val="en-US" w:eastAsia="zh-CN" w:bidi="ar-SA"/>
              </w:rPr>
              <w:br w:type="textWrapping"/>
            </w:r>
            <w:r>
              <w:rPr>
                <w:rFonts w:hint="eastAsia" w:ascii="仿宋" w:hAnsi="仿宋" w:eastAsia="仿宋" w:cs="仿宋"/>
                <w:color w:val="000000"/>
                <w:kern w:val="0"/>
                <w:sz w:val="21"/>
                <w:szCs w:val="21"/>
                <w:lang w:val="en-US" w:eastAsia="zh-CN" w:bidi="ar-SA"/>
              </w:rPr>
              <w:t>7、电池充电：支持快充协议，充电时间≤2h；</w:t>
            </w:r>
            <w:r>
              <w:rPr>
                <w:rFonts w:hint="eastAsia" w:ascii="仿宋" w:hAnsi="仿宋" w:eastAsia="仿宋" w:cs="仿宋"/>
                <w:color w:val="000000"/>
                <w:kern w:val="0"/>
                <w:sz w:val="21"/>
                <w:szCs w:val="21"/>
                <w:lang w:val="en-US" w:eastAsia="zh-CN" w:bidi="ar-SA"/>
              </w:rPr>
              <w:br w:type="textWrapping"/>
            </w:r>
            <w:r>
              <w:rPr>
                <w:rFonts w:hint="eastAsia" w:ascii="仿宋" w:hAnsi="仿宋" w:eastAsia="仿宋" w:cs="仿宋"/>
                <w:color w:val="000000"/>
                <w:kern w:val="0"/>
                <w:sz w:val="21"/>
                <w:szCs w:val="21"/>
                <w:lang w:val="en-US" w:eastAsia="zh-CN" w:bidi="ar-SA"/>
              </w:rPr>
              <w:t>8、设备支持H.265和H.264视频编码方式；</w:t>
            </w:r>
          </w:p>
          <w:p w14:paraId="02EC16F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9、工作环境：满足-30℃至+55℃工作环境要求；</w:t>
            </w:r>
            <w:r>
              <w:rPr>
                <w:rFonts w:hint="eastAsia" w:ascii="仿宋" w:hAnsi="仿宋" w:eastAsia="仿宋" w:cs="仿宋"/>
                <w:color w:val="000000"/>
                <w:kern w:val="0"/>
                <w:sz w:val="21"/>
                <w:szCs w:val="21"/>
                <w:lang w:val="en-US" w:eastAsia="zh-CN" w:bidi="ar-SA"/>
              </w:rPr>
              <w:br w:type="textWrapping"/>
            </w:r>
            <w:bookmarkStart w:id="125" w:name="OLE_LINK6"/>
            <w:r>
              <w:rPr>
                <w:rFonts w:hint="eastAsia" w:ascii="仿宋" w:hAnsi="仿宋" w:eastAsia="仿宋" w:cs="仿宋"/>
                <w:color w:val="000000"/>
                <w:kern w:val="0"/>
                <w:sz w:val="21"/>
                <w:szCs w:val="21"/>
                <w:lang w:val="en-US" w:eastAsia="zh-CN" w:bidi="ar-SA"/>
              </w:rPr>
              <w:t>10、</w:t>
            </w:r>
            <w:bookmarkStart w:id="126" w:name="OLE_LINK5"/>
            <w:r>
              <w:rPr>
                <w:rFonts w:hint="eastAsia" w:ascii="仿宋" w:hAnsi="仿宋" w:eastAsia="仿宋" w:cs="仿宋"/>
                <w:color w:val="000000"/>
                <w:kern w:val="0"/>
                <w:sz w:val="21"/>
                <w:szCs w:val="21"/>
                <w:lang w:val="en-US" w:eastAsia="zh-CN" w:bidi="ar-SA"/>
              </w:rPr>
              <w:t>分辨率：在视频分辨率1920X1080下（帧率为30帧/S），</w:t>
            </w:r>
            <w:bookmarkStart w:id="127" w:name="OLE_LINK10"/>
            <w:r>
              <w:rPr>
                <w:rFonts w:hint="eastAsia" w:ascii="仿宋" w:hAnsi="仿宋" w:eastAsia="仿宋" w:cs="仿宋"/>
                <w:color w:val="000000"/>
                <w:kern w:val="0"/>
                <w:sz w:val="21"/>
                <w:szCs w:val="21"/>
                <w:lang w:val="en-US" w:eastAsia="zh-CN" w:bidi="ar-SA"/>
              </w:rPr>
              <w:t>分辨力不低于800线</w:t>
            </w:r>
            <w:bookmarkEnd w:id="126"/>
            <w:bookmarkEnd w:id="127"/>
            <w:r>
              <w:rPr>
                <w:rFonts w:hint="eastAsia" w:ascii="仿宋" w:hAnsi="仿宋" w:eastAsia="仿宋" w:cs="仿宋"/>
                <w:color w:val="000000"/>
                <w:kern w:val="0"/>
                <w:sz w:val="21"/>
                <w:szCs w:val="21"/>
                <w:lang w:val="en-US" w:eastAsia="zh-CN" w:bidi="ar-SA"/>
              </w:rPr>
              <w:t>；拍摄照片分辨力不低于1000线；</w:t>
            </w:r>
            <w:bookmarkEnd w:id="125"/>
            <w:r>
              <w:rPr>
                <w:rFonts w:hint="eastAsia" w:ascii="仿宋" w:hAnsi="仿宋" w:eastAsia="仿宋" w:cs="仿宋"/>
                <w:color w:val="000000"/>
                <w:kern w:val="0"/>
                <w:sz w:val="21"/>
                <w:szCs w:val="21"/>
                <w:lang w:val="en-US" w:eastAsia="zh-CN" w:bidi="ar-SA"/>
              </w:rPr>
              <w:br w:type="textWrapping"/>
            </w:r>
            <w:bookmarkStart w:id="128" w:name="OLE_LINK1"/>
            <w:r>
              <w:rPr>
                <w:rFonts w:hint="eastAsia" w:ascii="仿宋" w:hAnsi="仿宋" w:eastAsia="仿宋" w:cs="仿宋"/>
                <w:color w:val="000000"/>
                <w:kern w:val="0"/>
                <w:sz w:val="21"/>
                <w:szCs w:val="21"/>
                <w:lang w:val="en-US" w:eastAsia="zh-CN" w:bidi="ar-SA"/>
              </w:rPr>
              <w:t>11、</w:t>
            </w:r>
            <w:bookmarkStart w:id="129" w:name="OLE_LINK3"/>
            <w:r>
              <w:rPr>
                <w:rFonts w:hint="eastAsia" w:ascii="仿宋" w:hAnsi="仿宋" w:eastAsia="仿宋" w:cs="仿宋"/>
                <w:color w:val="000000"/>
                <w:kern w:val="0"/>
                <w:sz w:val="21"/>
                <w:szCs w:val="21"/>
                <w:lang w:val="en-US" w:eastAsia="zh-CN" w:bidi="ar-SA"/>
              </w:rPr>
              <w:t>视音频预录与延录</w:t>
            </w:r>
            <w:bookmarkEnd w:id="129"/>
            <w:r>
              <w:rPr>
                <w:rFonts w:hint="eastAsia" w:ascii="仿宋" w:hAnsi="仿宋" w:eastAsia="仿宋" w:cs="仿宋"/>
                <w:color w:val="000000"/>
                <w:kern w:val="0"/>
                <w:sz w:val="21"/>
                <w:szCs w:val="21"/>
                <w:lang w:val="en-US" w:eastAsia="zh-CN" w:bidi="ar-SA"/>
              </w:rPr>
              <w:t>功能：</w:t>
            </w:r>
            <w:bookmarkEnd w:id="128"/>
            <w:r>
              <w:rPr>
                <w:rFonts w:hint="eastAsia" w:ascii="仿宋" w:hAnsi="仿宋" w:eastAsia="仿宋" w:cs="仿宋"/>
                <w:color w:val="000000"/>
                <w:kern w:val="0"/>
                <w:sz w:val="21"/>
                <w:szCs w:val="21"/>
                <w:lang w:val="en-US" w:eastAsia="zh-CN" w:bidi="ar-SA"/>
              </w:rPr>
              <w:t>具有预录、延录功能，可预录触发≥60s的视音频信息，延录触发≥300s的视音频信息；</w:t>
            </w:r>
          </w:p>
          <w:p w14:paraId="5CC5E16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12、语音播报功能：开启后可在开机、录像、录音、重点文件标记时进行语音播报，并具有摄录时长播报及整点报时功能；</w:t>
            </w:r>
            <w:r>
              <w:rPr>
                <w:rFonts w:hint="eastAsia" w:ascii="仿宋" w:hAnsi="仿宋" w:eastAsia="仿宋" w:cs="仿宋"/>
                <w:color w:val="000000"/>
                <w:kern w:val="0"/>
                <w:sz w:val="21"/>
                <w:szCs w:val="21"/>
                <w:lang w:val="en-US" w:eastAsia="zh-CN" w:bidi="ar-SA"/>
              </w:rPr>
              <w:br w:type="textWrapping"/>
            </w:r>
            <w:r>
              <w:rPr>
                <w:rFonts w:hint="eastAsia" w:ascii="仿宋" w:hAnsi="仿宋" w:eastAsia="仿宋" w:cs="仿宋"/>
                <w:color w:val="000000"/>
                <w:kern w:val="0"/>
                <w:sz w:val="21"/>
                <w:szCs w:val="21"/>
                <w:lang w:val="en-US" w:eastAsia="zh-CN" w:bidi="ar-SA"/>
              </w:rPr>
              <w:t>13、紧急摄录功能：在紧急摄录功能开启状态下，摄录过程中发生撞击时，可自动保存录像文件并重新进入摄录模式，在待机状态下发生撞击时，可自动进入录像模式；</w:t>
            </w:r>
            <w:r>
              <w:rPr>
                <w:rFonts w:hint="eastAsia" w:ascii="仿宋" w:hAnsi="仿宋" w:eastAsia="仿宋" w:cs="仿宋"/>
                <w:color w:val="000000"/>
                <w:kern w:val="0"/>
                <w:sz w:val="21"/>
                <w:szCs w:val="21"/>
                <w:lang w:val="en-US" w:eastAsia="zh-CN" w:bidi="ar-SA"/>
              </w:rPr>
              <w:br w:type="textWrapping"/>
            </w:r>
            <w:r>
              <w:rPr>
                <w:rFonts w:hint="eastAsia" w:ascii="仿宋" w:hAnsi="仿宋" w:eastAsia="仿宋" w:cs="仿宋"/>
                <w:color w:val="000000"/>
                <w:kern w:val="0"/>
                <w:sz w:val="21"/>
                <w:szCs w:val="21"/>
                <w:lang w:val="en-US" w:eastAsia="zh-CN" w:bidi="ar-SA"/>
              </w:rPr>
              <w:t>14、设备须接入现有的智慧急救管理平台，融入基于智慧急救数字化的单兵联动系统，包括在智慧急救管理平台实现单兵设备的信息维护、人员绑定、远程实时拉流调阅单兵视音频、自动录制保存视音频等。</w:t>
            </w:r>
            <w:r>
              <w:rPr>
                <w:rFonts w:hint="eastAsia" w:ascii="仿宋" w:hAnsi="仿宋" w:eastAsia="仿宋" w:cs="仿宋"/>
                <w:b/>
                <w:bCs/>
                <w:color w:val="000000"/>
                <w:kern w:val="0"/>
                <w:sz w:val="21"/>
                <w:szCs w:val="21"/>
                <w:lang w:val="en-US" w:eastAsia="zh-CN" w:bidi="ar-SA"/>
              </w:rPr>
              <w:br w:type="textWrapping"/>
            </w:r>
            <w:r>
              <w:rPr>
                <w:rFonts w:hint="eastAsia" w:ascii="仿宋" w:hAnsi="仿宋" w:eastAsia="仿宋" w:cs="仿宋"/>
                <w:color w:val="000000"/>
                <w:kern w:val="0"/>
                <w:sz w:val="21"/>
                <w:szCs w:val="21"/>
                <w:lang w:val="en-US" w:eastAsia="zh-CN" w:bidi="ar-SA"/>
              </w:rPr>
              <w:t>15、夜视功能：</w:t>
            </w:r>
            <w:bookmarkStart w:id="130" w:name="OLE_LINK9"/>
            <w:bookmarkStart w:id="131" w:name="OLE_LINK8"/>
            <w:r>
              <w:rPr>
                <w:rFonts w:hint="eastAsia" w:ascii="仿宋" w:hAnsi="仿宋" w:eastAsia="仿宋" w:cs="仿宋"/>
                <w:color w:val="000000"/>
                <w:kern w:val="0"/>
                <w:sz w:val="21"/>
                <w:szCs w:val="21"/>
                <w:lang w:val="en-US" w:eastAsia="zh-CN" w:bidi="ar-SA"/>
              </w:rPr>
              <w:t>开启夜视功能后，有效拍摄距离≥5m</w:t>
            </w:r>
            <w:bookmarkEnd w:id="130"/>
            <w:r>
              <w:rPr>
                <w:rFonts w:hint="eastAsia" w:ascii="仿宋" w:hAnsi="仿宋" w:eastAsia="仿宋" w:cs="仿宋"/>
                <w:color w:val="000000"/>
                <w:kern w:val="0"/>
                <w:sz w:val="21"/>
                <w:szCs w:val="21"/>
                <w:lang w:val="en-US" w:eastAsia="zh-CN" w:bidi="ar-SA"/>
              </w:rPr>
              <w:t>；</w:t>
            </w:r>
            <w:bookmarkStart w:id="132" w:name="OLE_LINK7"/>
            <w:r>
              <w:rPr>
                <w:rFonts w:hint="eastAsia" w:ascii="仿宋" w:hAnsi="仿宋" w:eastAsia="仿宋" w:cs="仿宋"/>
                <w:color w:val="000000"/>
                <w:kern w:val="0"/>
                <w:sz w:val="21"/>
                <w:szCs w:val="21"/>
                <w:lang w:val="en-US" w:eastAsia="zh-CN" w:bidi="ar-SA"/>
              </w:rPr>
              <w:t>距离样机5m处，可看清人脸轮</w:t>
            </w:r>
            <w:bookmarkEnd w:id="131"/>
            <w:r>
              <w:rPr>
                <w:rFonts w:hint="eastAsia" w:ascii="仿宋" w:hAnsi="仿宋" w:eastAsia="仿宋" w:cs="仿宋"/>
                <w:color w:val="000000"/>
                <w:kern w:val="0"/>
                <w:sz w:val="21"/>
                <w:szCs w:val="21"/>
                <w:lang w:val="en-US" w:eastAsia="zh-CN" w:bidi="ar-SA"/>
              </w:rPr>
              <w:t>廓。</w:t>
            </w:r>
            <w:bookmarkEnd w:id="123"/>
            <w:bookmarkEnd w:id="132"/>
          </w:p>
        </w:tc>
      </w:tr>
      <w:tr w14:paraId="2592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13C5184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rPr>
              <w:t>★</w:t>
            </w:r>
            <w:r>
              <w:rPr>
                <w:rFonts w:hint="eastAsia" w:ascii="仿宋" w:hAnsi="仿宋" w:eastAsia="仿宋" w:cs="仿宋"/>
                <w:b w:val="0"/>
                <w:bCs w:val="0"/>
                <w:kern w:val="0"/>
                <w:sz w:val="21"/>
                <w:szCs w:val="21"/>
                <w:lang w:val="en-US" w:eastAsia="zh-CN"/>
              </w:rPr>
              <w:t>3.19</w:t>
            </w:r>
          </w:p>
        </w:tc>
        <w:tc>
          <w:tcPr>
            <w:tcW w:w="1558" w:type="dxa"/>
            <w:noWrap w:val="0"/>
            <w:vAlign w:val="center"/>
          </w:tcPr>
          <w:p w14:paraId="6B7E144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5G加固车载医护终端</w:t>
            </w:r>
          </w:p>
        </w:tc>
        <w:tc>
          <w:tcPr>
            <w:tcW w:w="6348" w:type="dxa"/>
            <w:noWrap w:val="0"/>
            <w:vAlign w:val="center"/>
          </w:tcPr>
          <w:p w14:paraId="46A00EA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p>
        </w:tc>
      </w:tr>
      <w:tr w14:paraId="0C1A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79FCF2A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3.19.1</w:t>
            </w:r>
          </w:p>
        </w:tc>
        <w:tc>
          <w:tcPr>
            <w:tcW w:w="1558" w:type="dxa"/>
            <w:noWrap w:val="0"/>
            <w:vAlign w:val="center"/>
          </w:tcPr>
          <w:p w14:paraId="5DF0DEA2">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60FB045E">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整体设计：终端不低于Android 1</w:t>
            </w:r>
            <w:bookmarkStart w:id="133" w:name="OLE_LINK23"/>
            <w:r>
              <w:rPr>
                <w:rFonts w:hint="eastAsia" w:ascii="仿宋" w:hAnsi="仿宋" w:eastAsia="仿宋" w:cs="仿宋"/>
                <w:color w:val="000000"/>
                <w:kern w:val="0"/>
                <w:sz w:val="21"/>
                <w:szCs w:val="21"/>
                <w:lang w:val="en-US" w:eastAsia="zh-CN" w:bidi="ar-SA"/>
              </w:rPr>
              <w:t>2的操作系统，不低于8核CPU，8G RAM，256G EMMC；不小于10.1</w:t>
            </w:r>
            <w:bookmarkEnd w:id="133"/>
            <w:bookmarkStart w:id="134" w:name="OLE_LINK22"/>
            <w:r>
              <w:rPr>
                <w:rFonts w:hint="eastAsia" w:ascii="仿宋" w:hAnsi="仿宋" w:eastAsia="仿宋" w:cs="仿宋"/>
                <w:color w:val="000000"/>
                <w:kern w:val="0"/>
                <w:sz w:val="21"/>
                <w:szCs w:val="21"/>
                <w:lang w:val="en-US" w:eastAsia="zh-CN" w:bidi="ar-SA"/>
              </w:rPr>
              <w:t>inch、</w:t>
            </w:r>
            <w:bookmarkEnd w:id="134"/>
            <w:r>
              <w:rPr>
                <w:rFonts w:hint="eastAsia" w:ascii="仿宋" w:hAnsi="仿宋" w:eastAsia="仿宋" w:cs="仿宋"/>
                <w:color w:val="000000"/>
                <w:kern w:val="0"/>
                <w:sz w:val="21"/>
                <w:szCs w:val="21"/>
                <w:lang w:val="en-US" w:eastAsia="zh-CN" w:bidi="ar-SA"/>
              </w:rPr>
              <w:t>屏幕为分辨率≥1920*1200、亮度≥400Nit的IPS触摸屏，玻璃硬度≥7H；</w:t>
            </w:r>
          </w:p>
        </w:tc>
      </w:tr>
      <w:tr w14:paraId="3CED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16C93C3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3.19.2</w:t>
            </w:r>
          </w:p>
        </w:tc>
        <w:tc>
          <w:tcPr>
            <w:tcW w:w="1558" w:type="dxa"/>
            <w:noWrap w:val="0"/>
            <w:vAlign w:val="center"/>
          </w:tcPr>
          <w:p w14:paraId="52E9EC8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6D6C1DA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三防：具备三防能力（防尘、防水、防摔），防尘防水能力≥IP68；</w:t>
            </w:r>
          </w:p>
        </w:tc>
      </w:tr>
      <w:tr w14:paraId="4873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49C9EFC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3.19.3</w:t>
            </w:r>
          </w:p>
        </w:tc>
        <w:tc>
          <w:tcPr>
            <w:tcW w:w="1558" w:type="dxa"/>
            <w:noWrap w:val="0"/>
            <w:vAlign w:val="center"/>
          </w:tcPr>
          <w:p w14:paraId="3FCE1FE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4B48414A">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摄像头：后置摄像头像素不低于1300万，带LED闪光灯；前置定焦摄像头，像素不低于500万；</w:t>
            </w:r>
          </w:p>
        </w:tc>
      </w:tr>
      <w:tr w14:paraId="3407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227CE1A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3.19.4</w:t>
            </w:r>
          </w:p>
        </w:tc>
        <w:tc>
          <w:tcPr>
            <w:tcW w:w="1558" w:type="dxa"/>
            <w:noWrap w:val="0"/>
            <w:vAlign w:val="center"/>
          </w:tcPr>
          <w:p w14:paraId="422C850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7FC4BFE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充电方式：支持DC/TPYE-C/座充等快充方式，提供救护车内固定支架，且支架可提供自动充电功能</w:t>
            </w:r>
            <w:r>
              <w:rPr>
                <w:rFonts w:hint="eastAsia" w:ascii="仿宋" w:hAnsi="仿宋" w:eastAsia="仿宋" w:cs="仿宋"/>
                <w:b/>
                <w:bCs/>
                <w:color w:val="000000"/>
                <w:kern w:val="0"/>
                <w:sz w:val="21"/>
                <w:szCs w:val="21"/>
                <w:lang w:val="en-US" w:eastAsia="zh-CN" w:bidi="ar-SA"/>
              </w:rPr>
              <w:t>【提供车内安装实物图并加盖投标人公章】</w:t>
            </w:r>
          </w:p>
        </w:tc>
      </w:tr>
      <w:tr w14:paraId="17FE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6A4C893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3.19.5</w:t>
            </w:r>
          </w:p>
        </w:tc>
        <w:tc>
          <w:tcPr>
            <w:tcW w:w="1558" w:type="dxa"/>
            <w:noWrap w:val="0"/>
            <w:vAlign w:val="center"/>
          </w:tcPr>
          <w:p w14:paraId="3F307B2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291A2A8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接口：具备TPYE-A 3.0接口，USB2.0*2 ，RS485/RS232接口；</w:t>
            </w:r>
          </w:p>
        </w:tc>
      </w:tr>
      <w:tr w14:paraId="5283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122CC09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3.19.6</w:t>
            </w:r>
          </w:p>
        </w:tc>
        <w:tc>
          <w:tcPr>
            <w:tcW w:w="1558" w:type="dxa"/>
            <w:noWrap w:val="0"/>
            <w:vAlign w:val="center"/>
          </w:tcPr>
          <w:p w14:paraId="2F4E22B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079E994A">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数据通信：内置WIFI和SIM卡槽，支持5G数据通讯，并向下兼容；</w:t>
            </w:r>
          </w:p>
        </w:tc>
      </w:tr>
      <w:tr w14:paraId="07F1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497A1D9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3.19.7</w:t>
            </w:r>
          </w:p>
        </w:tc>
        <w:tc>
          <w:tcPr>
            <w:tcW w:w="1558" w:type="dxa"/>
            <w:noWrap w:val="0"/>
            <w:vAlign w:val="center"/>
          </w:tcPr>
          <w:p w14:paraId="5D35023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4DE737C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全球定位模块：支持Bd+GPS+glonass定位；</w:t>
            </w:r>
          </w:p>
        </w:tc>
      </w:tr>
      <w:tr w14:paraId="2C78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70A8DF8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3.19.8</w:t>
            </w:r>
          </w:p>
        </w:tc>
        <w:tc>
          <w:tcPr>
            <w:tcW w:w="1558" w:type="dxa"/>
            <w:noWrap w:val="0"/>
            <w:vAlign w:val="center"/>
          </w:tcPr>
          <w:p w14:paraId="59047AD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348F07A0">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支持NFC模块：NXP NFC 13.56MHz 支持ISO/IEC下14443A/14443B/15693/18092/mifar</w:t>
            </w:r>
            <w:bookmarkStart w:id="135" w:name="OLE_LINK24"/>
            <w:r>
              <w:rPr>
                <w:rFonts w:hint="eastAsia" w:ascii="仿宋" w:hAnsi="仿宋" w:eastAsia="仿宋" w:cs="仿宋"/>
                <w:color w:val="000000"/>
                <w:kern w:val="0"/>
                <w:sz w:val="21"/>
                <w:szCs w:val="21"/>
                <w:lang w:val="en-US" w:eastAsia="zh-CN" w:bidi="ar-SA"/>
              </w:rPr>
              <w:t>e</w:t>
            </w:r>
            <w:bookmarkEnd w:id="135"/>
            <w:r>
              <w:rPr>
                <w:rFonts w:hint="eastAsia" w:ascii="仿宋" w:hAnsi="仿宋" w:eastAsia="仿宋" w:cs="仿宋"/>
                <w:color w:val="000000"/>
                <w:kern w:val="0"/>
                <w:sz w:val="21"/>
                <w:szCs w:val="21"/>
                <w:lang w:val="en-US" w:eastAsia="zh-CN" w:bidi="ar-SA"/>
              </w:rPr>
              <w:t>协议，读卡距离：≥4cm；</w:t>
            </w:r>
          </w:p>
        </w:tc>
      </w:tr>
      <w:tr w14:paraId="7413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3BE5995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3.19.9</w:t>
            </w:r>
          </w:p>
        </w:tc>
        <w:tc>
          <w:tcPr>
            <w:tcW w:w="1558" w:type="dxa"/>
            <w:noWrap w:val="0"/>
            <w:vAlign w:val="center"/>
          </w:tcPr>
          <w:p w14:paraId="712D822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1EB43376">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设备内置经公安部认证的身份证识别，支持通过身份证自动获取身份信息；</w:t>
            </w:r>
          </w:p>
        </w:tc>
      </w:tr>
      <w:tr w14:paraId="7EE6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7341642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3.19.10</w:t>
            </w:r>
          </w:p>
        </w:tc>
        <w:tc>
          <w:tcPr>
            <w:tcW w:w="1558" w:type="dxa"/>
            <w:noWrap w:val="0"/>
            <w:vAlign w:val="center"/>
          </w:tcPr>
          <w:p w14:paraId="39BDD11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425ECC3F">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支持与院前院内协同救治系统平台进行对接，获取急救任务信息及车辆视频信息；</w:t>
            </w:r>
          </w:p>
        </w:tc>
      </w:tr>
      <w:tr w14:paraId="652B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1EF192A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3.19.11</w:t>
            </w:r>
          </w:p>
        </w:tc>
        <w:tc>
          <w:tcPr>
            <w:tcW w:w="1558" w:type="dxa"/>
            <w:noWrap w:val="0"/>
            <w:vAlign w:val="center"/>
          </w:tcPr>
          <w:p w14:paraId="5BCD39C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299F846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支持院前急救任务中的电子交接功能，将病人基本身份信息、病症类别、生命体征、急救操作等信息录入急救电子交接系统，支持多次提交保存，系统自动将信息传</w:t>
            </w:r>
            <w:bookmarkStart w:id="136" w:name="OLE_LINK21"/>
            <w:r>
              <w:rPr>
                <w:rFonts w:hint="eastAsia" w:ascii="仿宋" w:hAnsi="仿宋" w:eastAsia="仿宋" w:cs="仿宋"/>
                <w:color w:val="000000"/>
                <w:kern w:val="0"/>
                <w:sz w:val="21"/>
                <w:szCs w:val="21"/>
                <w:lang w:val="en-US" w:eastAsia="zh-CN" w:bidi="ar-SA"/>
              </w:rPr>
              <w:t>输</w:t>
            </w:r>
            <w:bookmarkEnd w:id="136"/>
            <w:r>
              <w:rPr>
                <w:rFonts w:hint="eastAsia" w:ascii="仿宋" w:hAnsi="仿宋" w:eastAsia="仿宋" w:cs="仿宋"/>
                <w:color w:val="000000"/>
                <w:kern w:val="0"/>
                <w:sz w:val="21"/>
                <w:szCs w:val="21"/>
                <w:lang w:val="en-US" w:eastAsia="zh-CN" w:bidi="ar-SA"/>
              </w:rPr>
              <w:t>至医院端，完成院前院内电子交接；</w:t>
            </w:r>
          </w:p>
        </w:tc>
      </w:tr>
      <w:tr w14:paraId="287C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55DCE8D2">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3.19.12</w:t>
            </w:r>
          </w:p>
        </w:tc>
        <w:tc>
          <w:tcPr>
            <w:tcW w:w="1558" w:type="dxa"/>
            <w:noWrap w:val="0"/>
            <w:vAlign w:val="center"/>
          </w:tcPr>
          <w:p w14:paraId="5400CEB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2D9F341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预留预挂号信息传输功能（完成与医院对接后）：支持与医院信息系统对接，在急救任务时，将病患基本身份信息、基本病症等信息自动传输至医院端；</w:t>
            </w:r>
          </w:p>
        </w:tc>
      </w:tr>
      <w:tr w14:paraId="6B73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323D111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3.19.13</w:t>
            </w:r>
          </w:p>
        </w:tc>
        <w:tc>
          <w:tcPr>
            <w:tcW w:w="1558" w:type="dxa"/>
            <w:noWrap w:val="0"/>
            <w:vAlign w:val="center"/>
          </w:tcPr>
          <w:p w14:paraId="73597E82">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5E96EF2F">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远程视讯：设备内置远程视讯系统，支持接入音视频远程医疗支援系统；在急救任务中，可一键开启远程视讯，呼叫院内专家医生进行音视频远程会诊指导，协同救治病患；</w:t>
            </w:r>
          </w:p>
        </w:tc>
      </w:tr>
      <w:tr w14:paraId="483E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4820FE6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3.19.14</w:t>
            </w:r>
          </w:p>
        </w:tc>
        <w:tc>
          <w:tcPr>
            <w:tcW w:w="1558" w:type="dxa"/>
            <w:noWrap w:val="0"/>
            <w:vAlign w:val="center"/>
          </w:tcPr>
          <w:p w14:paraId="17D934D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1"/>
                <w:szCs w:val="21"/>
              </w:rPr>
            </w:pPr>
          </w:p>
        </w:tc>
        <w:tc>
          <w:tcPr>
            <w:tcW w:w="6348" w:type="dxa"/>
            <w:noWrap w:val="0"/>
            <w:vAlign w:val="center"/>
          </w:tcPr>
          <w:p w14:paraId="74331C1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5G智慧医护联动终端产品具备软件著作权。</w:t>
            </w:r>
            <w:r>
              <w:rPr>
                <w:rFonts w:hint="eastAsia" w:ascii="仿宋" w:hAnsi="仿宋" w:eastAsia="仿宋" w:cs="仿宋"/>
                <w:b/>
                <w:bCs/>
                <w:color w:val="000000"/>
                <w:kern w:val="0"/>
                <w:sz w:val="21"/>
                <w:szCs w:val="21"/>
                <w:lang w:val="en-US" w:eastAsia="zh-CN" w:bidi="ar-SA"/>
              </w:rPr>
              <w:t>【提供软著证书并加盖投标人公章】</w:t>
            </w:r>
          </w:p>
        </w:tc>
      </w:tr>
      <w:tr w14:paraId="1E91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04" w:type="dxa"/>
            <w:noWrap w:val="0"/>
            <w:vAlign w:val="center"/>
          </w:tcPr>
          <w:p w14:paraId="14184A8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3.20</w:t>
            </w:r>
          </w:p>
        </w:tc>
        <w:tc>
          <w:tcPr>
            <w:tcW w:w="1558" w:type="dxa"/>
            <w:noWrap w:val="0"/>
            <w:vAlign w:val="center"/>
          </w:tcPr>
          <w:p w14:paraId="05A3C4A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其他</w:t>
            </w:r>
          </w:p>
        </w:tc>
        <w:tc>
          <w:tcPr>
            <w:tcW w:w="6348" w:type="dxa"/>
            <w:noWrap w:val="0"/>
            <w:vAlign w:val="center"/>
          </w:tcPr>
          <w:p w14:paraId="08EA3FD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单北斗车载终端套、急救箱、可视喉镜，成人、儿童、婴儿复苏器，每辆车一套。</w:t>
            </w:r>
          </w:p>
        </w:tc>
      </w:tr>
      <w:bookmarkEnd w:id="122"/>
    </w:tbl>
    <w:p w14:paraId="6A6F66F7">
      <w:pPr>
        <w:spacing w:line="400" w:lineRule="exact"/>
        <w:rPr>
          <w:rFonts w:hint="eastAsia" w:ascii="仿宋" w:hAnsi="仿宋" w:eastAsia="仿宋"/>
          <w:b/>
          <w:sz w:val="24"/>
          <w:highlight w:val="yellow"/>
        </w:rPr>
      </w:pPr>
      <w:r>
        <w:rPr>
          <w:rFonts w:ascii="仿宋" w:hAnsi="仿宋" w:eastAsia="仿宋"/>
          <w:b/>
          <w:sz w:val="24"/>
        </w:rPr>
        <w:t>注：上述技术参数中标“</w:t>
      </w:r>
      <w:r>
        <w:rPr>
          <w:rFonts w:hint="eastAsia" w:ascii="仿宋" w:hAnsi="仿宋" w:eastAsia="仿宋" w:cs="宋体"/>
          <w:kern w:val="0"/>
          <w:szCs w:val="21"/>
        </w:rPr>
        <w:t>▲</w:t>
      </w:r>
      <w:r>
        <w:rPr>
          <w:rFonts w:ascii="仿宋" w:hAnsi="仿宋" w:eastAsia="仿宋"/>
          <w:b/>
          <w:sz w:val="24"/>
        </w:rPr>
        <w:t>”为重要条款负偏离作扣分处理，标“</w:t>
      </w:r>
      <w:r>
        <w:rPr>
          <w:rFonts w:hint="eastAsia" w:ascii="仿宋" w:hAnsi="仿宋" w:eastAsia="仿宋" w:cs="宋体"/>
          <w:kern w:val="0"/>
          <w:szCs w:val="21"/>
        </w:rPr>
        <w:t>★</w:t>
      </w:r>
      <w:r>
        <w:rPr>
          <w:rFonts w:ascii="仿宋" w:hAnsi="仿宋" w:eastAsia="仿宋"/>
          <w:b/>
          <w:sz w:val="24"/>
        </w:rPr>
        <w:t>”为实质性条款负偏离作无效标处理。</w:t>
      </w:r>
    </w:p>
    <w:p w14:paraId="5BA0AFD7">
      <w:pPr>
        <w:adjustRightInd w:val="0"/>
        <w:snapToGrid w:val="0"/>
        <w:spacing w:before="120" w:beforeLines="50" w:line="360" w:lineRule="auto"/>
        <w:jc w:val="left"/>
        <w:outlineLvl w:val="1"/>
        <w:rPr>
          <w:rFonts w:hint="eastAsia" w:ascii="仿宋" w:hAnsi="仿宋" w:eastAsia="仿宋" w:cs="仿宋"/>
          <w:b/>
          <w:sz w:val="24"/>
        </w:rPr>
      </w:pPr>
      <w:r>
        <w:rPr>
          <w:rFonts w:hint="eastAsia" w:ascii="仿宋" w:hAnsi="仿宋" w:eastAsia="仿宋" w:cs="仿宋"/>
          <w:b/>
          <w:sz w:val="24"/>
        </w:rPr>
        <w:t>三、其他说明</w:t>
      </w:r>
    </w:p>
    <w:p w14:paraId="4CE0E243">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投标人必须承诺提供厂商原装、全新的、符合用户提出的有关质量标准的货物。供应商应保证合同项下所发货物完全是崭新的且所有部件的生产日期为近一年内。车辆使用寿命≥8年。投标文件内需介绍车辆的先进性情况、稳定性情况、可靠性情况，具体内容需与评分标准内容关联。</w:t>
      </w:r>
    </w:p>
    <w:p w14:paraId="5E4C25E0">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2、本招标文件所提出的设备技术标准是基本的技术标准和使用功能，并未规定所有的技术要求和适用标准，投标人应提供一套满足所列标准要求的高质量的产品及相应服务。</w:t>
      </w:r>
    </w:p>
    <w:p w14:paraId="63C41956">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3、本次采购设备应按国际标准、国标、部标或专业标准制造；非标准设备按采购人提供的要求制造；质量标准按照国家有关规定及合同约定进行验收。</w:t>
      </w:r>
    </w:p>
    <w:p w14:paraId="5A3A8A9D">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4、本技术要求使用的标准如与供应商所执行标准发生矛盾时，按较高标准执行。</w:t>
      </w:r>
    </w:p>
    <w:p w14:paraId="728AD233">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5、关于车辆供货验收：投标人需在投标文件内介绍车辆交接验收内容。交接验收内容指供货时甲乙双方需要为交车时的准备工作和车辆验收时乙方需要提供的车辆技术规格和要求（及车辆技术指标）的证明资料及验收的流程步骤。</w:t>
      </w:r>
    </w:p>
    <w:p w14:paraId="2373A61F">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6、所有货物在检验时必须完好，无破损，配置与装箱单相符。货物外观清洁。数量、质量及性能不低于本需求书中提出的要求。提供完整的技术资料及质量合格证书、中文简体保修卡(单)、说明书及发票和随货有关单证。</w:t>
      </w:r>
    </w:p>
    <w:p w14:paraId="0B4B0FA2">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7、交货时提供中国国家强制性产品认证证书，或者提供中国国家强制性产品认证证书彩色复印件（提供“3C”认证证书时必须同时提供检验报告）。</w:t>
      </w:r>
    </w:p>
    <w:p w14:paraId="6A1EACC2">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8、交货时提供车辆的维修保养、修理手册及使用说明书。</w:t>
      </w:r>
    </w:p>
    <w:p w14:paraId="1C53B42F">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9、所有设备、零部件均由具有生产制造资格的企业提供，并由中标人负总责任。</w:t>
      </w:r>
    </w:p>
    <w:p w14:paraId="60EB2A3C">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10、不尽事宜执行国家有关规定及产品生产标准。</w:t>
      </w:r>
    </w:p>
    <w:p w14:paraId="09D601D1">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11、按照国家《缺陷汽车召回管理规定》质保期内车辆如有重大生产质量问题，厂方予以召回。</w:t>
      </w:r>
    </w:p>
    <w:p w14:paraId="58C5C1C7">
      <w:pPr>
        <w:pStyle w:val="7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lang w:val="en-US" w:eastAsia="zh-CN"/>
        </w:rPr>
        <w:t>12、车辆上牌、车辆购置税：中标人负责车辆的上牌工作（包括承担上牌中产生的费用），采购人做好必要的车辆上牌配合工作；中标人负责承担车辆购置税，国家有规定依法免税的，从国家规定。保险费用由采购人另行支付不包含在项目预算中。</w:t>
      </w:r>
    </w:p>
    <w:p w14:paraId="63AC1063">
      <w:pPr>
        <w:pStyle w:val="25"/>
        <w:spacing w:before="100" w:after="100"/>
        <w:jc w:val="left"/>
        <w:rPr>
          <w:rFonts w:hint="eastAsia" w:ascii="仿宋" w:hAnsi="仿宋" w:eastAsia="仿宋"/>
          <w:sz w:val="24"/>
          <w:szCs w:val="24"/>
        </w:rPr>
      </w:pPr>
      <w:r>
        <w:rPr>
          <w:rFonts w:hint="eastAsia" w:ascii="仿宋" w:hAnsi="仿宋" w:eastAsia="仿宋"/>
          <w:sz w:val="24"/>
          <w:szCs w:val="24"/>
          <w:lang w:val="en-US" w:eastAsia="zh-CN"/>
        </w:rPr>
        <w:br w:type="page"/>
      </w:r>
      <w:r>
        <w:rPr>
          <w:rFonts w:hint="eastAsia" w:ascii="仿宋" w:hAnsi="仿宋" w:eastAsia="仿宋"/>
          <w:sz w:val="24"/>
          <w:szCs w:val="24"/>
          <w:lang w:val="en-US" w:eastAsia="zh-CN"/>
        </w:rPr>
        <w:t>四</w:t>
      </w:r>
      <w:r>
        <w:rPr>
          <w:rFonts w:hint="eastAsia" w:ascii="仿宋" w:hAnsi="仿宋" w:eastAsia="仿宋"/>
          <w:sz w:val="24"/>
          <w:szCs w:val="24"/>
        </w:rPr>
        <w:t>、商务条款</w:t>
      </w:r>
    </w:p>
    <w:tbl>
      <w:tblPr>
        <w:tblStyle w:val="29"/>
        <w:tblW w:w="913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304"/>
      </w:tblGrid>
      <w:tr w14:paraId="5F02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831" w:type="dxa"/>
            <w:noWrap w:val="0"/>
            <w:vAlign w:val="center"/>
          </w:tcPr>
          <w:p w14:paraId="7B4B2DCE">
            <w:pPr>
              <w:widowControl/>
              <w:snapToGrid w:val="0"/>
              <w:spacing w:line="400" w:lineRule="exact"/>
              <w:jc w:val="center"/>
              <w:rPr>
                <w:rFonts w:ascii="仿宋" w:hAnsi="仿宋" w:eastAsia="仿宋" w:cs="宋体"/>
                <w:kern w:val="0"/>
                <w:szCs w:val="21"/>
              </w:rPr>
            </w:pPr>
            <w:r>
              <w:rPr>
                <w:rFonts w:hint="eastAsia" w:ascii="仿宋" w:hAnsi="仿宋" w:eastAsia="仿宋" w:cs="宋体"/>
                <w:kern w:val="0"/>
                <w:szCs w:val="21"/>
              </w:rPr>
              <w:t>交货期、交货地点</w:t>
            </w:r>
          </w:p>
        </w:tc>
        <w:tc>
          <w:tcPr>
            <w:tcW w:w="7304" w:type="dxa"/>
            <w:noWrap w:val="0"/>
            <w:vAlign w:val="center"/>
          </w:tcPr>
          <w:p w14:paraId="1CF1470B">
            <w:pPr>
              <w:widowControl/>
              <w:snapToGrid w:val="0"/>
              <w:spacing w:line="400" w:lineRule="exact"/>
              <w:rPr>
                <w:rFonts w:hint="eastAsia" w:ascii="仿宋" w:hAnsi="仿宋" w:eastAsia="仿宋" w:cs="宋体"/>
                <w:kern w:val="0"/>
                <w:szCs w:val="21"/>
              </w:rPr>
            </w:pPr>
            <w:r>
              <w:rPr>
                <w:rFonts w:hint="eastAsia" w:ascii="仿宋" w:hAnsi="仿宋" w:eastAsia="仿宋" w:cs="宋体"/>
                <w:kern w:val="0"/>
                <w:szCs w:val="21"/>
              </w:rPr>
              <w:t>1）交货期：自合同签订之日起</w:t>
            </w:r>
            <w:r>
              <w:rPr>
                <w:rFonts w:hint="eastAsia" w:ascii="仿宋" w:hAnsi="仿宋" w:eastAsia="仿宋" w:cs="宋体"/>
                <w:kern w:val="0"/>
                <w:szCs w:val="21"/>
                <w:lang w:val="en-US" w:eastAsia="zh-CN"/>
              </w:rPr>
              <w:t>3</w:t>
            </w:r>
            <w:r>
              <w:rPr>
                <w:rFonts w:hint="eastAsia" w:ascii="仿宋" w:hAnsi="仿宋" w:eastAsia="仿宋" w:cs="宋体"/>
                <w:kern w:val="0"/>
                <w:szCs w:val="21"/>
              </w:rPr>
              <w:t>0天内完成供货通过验收并完成上牌。</w:t>
            </w:r>
          </w:p>
          <w:p w14:paraId="7FEB11C6">
            <w:pPr>
              <w:widowControl/>
              <w:snapToGrid w:val="0"/>
              <w:spacing w:line="400" w:lineRule="exact"/>
              <w:rPr>
                <w:rFonts w:hint="eastAsia" w:ascii="仿宋" w:hAnsi="仿宋" w:eastAsia="仿宋" w:cs="宋体"/>
                <w:kern w:val="0"/>
                <w:szCs w:val="21"/>
              </w:rPr>
            </w:pPr>
            <w:r>
              <w:rPr>
                <w:rFonts w:hint="eastAsia" w:ascii="仿宋" w:hAnsi="仿宋" w:eastAsia="仿宋" w:cs="宋体"/>
                <w:kern w:val="0"/>
                <w:szCs w:val="21"/>
              </w:rPr>
              <w:t>2）交货地点：采购人指定地点。</w:t>
            </w:r>
          </w:p>
        </w:tc>
      </w:tr>
      <w:tr w14:paraId="6E5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31" w:type="dxa"/>
            <w:noWrap w:val="0"/>
            <w:vAlign w:val="center"/>
          </w:tcPr>
          <w:p w14:paraId="075F41AF">
            <w:pPr>
              <w:widowControl/>
              <w:snapToGrid w:val="0"/>
              <w:spacing w:line="400" w:lineRule="exact"/>
              <w:jc w:val="center"/>
              <w:rPr>
                <w:rFonts w:ascii="仿宋" w:hAnsi="仿宋" w:eastAsia="仿宋" w:cs="宋体"/>
                <w:kern w:val="0"/>
                <w:szCs w:val="21"/>
              </w:rPr>
            </w:pPr>
            <w:r>
              <w:rPr>
                <w:rFonts w:hint="eastAsia" w:ascii="仿宋" w:hAnsi="仿宋" w:eastAsia="仿宋" w:cs="宋体"/>
                <w:kern w:val="0"/>
                <w:szCs w:val="21"/>
              </w:rPr>
              <w:t>付款方式</w:t>
            </w:r>
          </w:p>
        </w:tc>
        <w:tc>
          <w:tcPr>
            <w:tcW w:w="7304" w:type="dxa"/>
            <w:noWrap w:val="0"/>
            <w:vAlign w:val="center"/>
          </w:tcPr>
          <w:p w14:paraId="079ED29A">
            <w:pPr>
              <w:widowControl/>
              <w:snapToGrid w:val="0"/>
              <w:spacing w:line="400" w:lineRule="exact"/>
              <w:rPr>
                <w:rFonts w:ascii="仿宋" w:hAnsi="仿宋" w:eastAsia="仿宋" w:cs="宋体"/>
                <w:kern w:val="0"/>
                <w:szCs w:val="21"/>
              </w:rPr>
            </w:pPr>
            <w:r>
              <w:rPr>
                <w:rFonts w:hint="eastAsia" w:ascii="仿宋" w:hAnsi="仿宋" w:eastAsia="仿宋" w:cs="宋体"/>
                <w:kern w:val="0"/>
                <w:szCs w:val="21"/>
              </w:rPr>
              <w:t>1）合同签订生效并具备实施条件后7个工作日内，采购人支付中标人</w:t>
            </w:r>
            <w:r>
              <w:rPr>
                <w:rFonts w:hint="eastAsia" w:ascii="仿宋" w:hAnsi="仿宋" w:eastAsia="仿宋" w:cs="宋体"/>
                <w:kern w:val="0"/>
                <w:szCs w:val="21"/>
                <w:lang w:val="en-US" w:eastAsia="zh-CN"/>
              </w:rPr>
              <w:t>4</w:t>
            </w:r>
            <w:r>
              <w:rPr>
                <w:rFonts w:hint="eastAsia" w:ascii="仿宋" w:hAnsi="仿宋" w:eastAsia="仿宋" w:cs="宋体"/>
                <w:kern w:val="0"/>
                <w:szCs w:val="21"/>
              </w:rPr>
              <w:t>0%的合同金额作为预付款；</w:t>
            </w:r>
          </w:p>
          <w:p w14:paraId="6B0A6CCC">
            <w:pPr>
              <w:widowControl/>
              <w:snapToGrid w:val="0"/>
              <w:spacing w:line="360" w:lineRule="exact"/>
              <w:rPr>
                <w:rFonts w:hint="eastAsia" w:ascii="仿宋" w:hAnsi="仿宋" w:eastAsia="仿宋" w:cs="宋体"/>
                <w:kern w:val="0"/>
                <w:szCs w:val="21"/>
              </w:rPr>
            </w:pPr>
            <w:r>
              <w:rPr>
                <w:rFonts w:hint="eastAsia" w:ascii="仿宋" w:hAnsi="仿宋" w:eastAsia="仿宋" w:cs="宋体"/>
                <w:kern w:val="0"/>
                <w:szCs w:val="21"/>
              </w:rPr>
              <w:t>2）车辆到货、调试完成且验收合格上牌后，采购人支付中标人60%的合同金额。</w:t>
            </w:r>
          </w:p>
          <w:p w14:paraId="62756C02">
            <w:pPr>
              <w:widowControl/>
              <w:snapToGrid w:val="0"/>
              <w:spacing w:line="360" w:lineRule="exact"/>
              <w:rPr>
                <w:rFonts w:hint="eastAsia" w:ascii="仿宋" w:hAnsi="仿宋" w:eastAsia="仿宋" w:cs="宋体"/>
                <w:kern w:val="0"/>
                <w:szCs w:val="21"/>
              </w:rPr>
            </w:pPr>
            <w:r>
              <w:rPr>
                <w:rFonts w:hint="eastAsia" w:ascii="仿宋" w:hAnsi="仿宋" w:eastAsia="仿宋" w:cs="宋体"/>
                <w:kern w:val="0"/>
                <w:szCs w:val="21"/>
              </w:rPr>
              <w:t>3）中标人配合采购人办理上牌、保险等相关事宜。</w:t>
            </w:r>
          </w:p>
          <w:p w14:paraId="1062C607">
            <w:pPr>
              <w:widowControl/>
              <w:snapToGrid w:val="0"/>
              <w:spacing w:line="400" w:lineRule="exact"/>
              <w:rPr>
                <w:rFonts w:hint="eastAsia" w:ascii="仿宋" w:hAnsi="仿宋" w:eastAsia="仿宋" w:cs="宋体"/>
                <w:kern w:val="0"/>
                <w:szCs w:val="21"/>
              </w:rPr>
            </w:pPr>
            <w:r>
              <w:rPr>
                <w:rFonts w:hint="eastAsia" w:ascii="仿宋" w:hAnsi="仿宋" w:eastAsia="仿宋" w:cs="宋体"/>
                <w:i/>
                <w:kern w:val="0"/>
                <w:szCs w:val="21"/>
              </w:rPr>
              <w:t>在签订合同时，中标人明确表示无需预付款或者主动要求降低预付款比例的，以中标人意愿为准。</w:t>
            </w:r>
          </w:p>
        </w:tc>
      </w:tr>
      <w:tr w14:paraId="2980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31" w:type="dxa"/>
            <w:noWrap w:val="0"/>
            <w:vAlign w:val="center"/>
          </w:tcPr>
          <w:p w14:paraId="4C32190A">
            <w:pPr>
              <w:widowControl/>
              <w:snapToGrid w:val="0"/>
              <w:spacing w:line="400" w:lineRule="exact"/>
              <w:jc w:val="center"/>
              <w:rPr>
                <w:rFonts w:ascii="仿宋" w:hAnsi="仿宋" w:eastAsia="仿宋" w:cs="宋体"/>
                <w:kern w:val="0"/>
                <w:szCs w:val="21"/>
              </w:rPr>
            </w:pPr>
            <w:r>
              <w:rPr>
                <w:rFonts w:hint="eastAsia" w:ascii="仿宋" w:hAnsi="仿宋" w:eastAsia="仿宋" w:cs="宋体"/>
                <w:kern w:val="0"/>
                <w:szCs w:val="21"/>
              </w:rPr>
              <w:t>履约保证金</w:t>
            </w:r>
          </w:p>
        </w:tc>
        <w:tc>
          <w:tcPr>
            <w:tcW w:w="7304" w:type="dxa"/>
            <w:noWrap w:val="0"/>
            <w:vAlign w:val="center"/>
          </w:tcPr>
          <w:p w14:paraId="0D36C322">
            <w:pPr>
              <w:widowControl/>
              <w:snapToGrid w:val="0"/>
              <w:spacing w:line="400" w:lineRule="exact"/>
              <w:rPr>
                <w:rFonts w:ascii="仿宋" w:hAnsi="仿宋" w:eastAsia="仿宋" w:cs="宋体"/>
                <w:kern w:val="0"/>
                <w:szCs w:val="21"/>
              </w:rPr>
            </w:pPr>
            <w:r>
              <w:rPr>
                <w:rFonts w:ascii="仿宋" w:hAnsi="仿宋" w:eastAsia="仿宋" w:cs="宋体"/>
                <w:kern w:val="0"/>
                <w:szCs w:val="21"/>
              </w:rPr>
              <w:t>无。</w:t>
            </w:r>
          </w:p>
        </w:tc>
      </w:tr>
      <w:tr w14:paraId="44B4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31" w:type="dxa"/>
            <w:noWrap w:val="0"/>
            <w:vAlign w:val="center"/>
          </w:tcPr>
          <w:p w14:paraId="6F7ADF80">
            <w:pPr>
              <w:widowControl/>
              <w:snapToGrid w:val="0"/>
              <w:spacing w:line="400" w:lineRule="exact"/>
              <w:jc w:val="center"/>
              <w:rPr>
                <w:rFonts w:ascii="仿宋" w:hAnsi="仿宋" w:eastAsia="仿宋" w:cs="宋体"/>
                <w:kern w:val="0"/>
                <w:szCs w:val="21"/>
              </w:rPr>
            </w:pPr>
            <w:r>
              <w:rPr>
                <w:rFonts w:hint="eastAsia" w:ascii="仿宋" w:hAnsi="仿宋" w:eastAsia="仿宋" w:cs="宋体"/>
                <w:kern w:val="0"/>
                <w:szCs w:val="21"/>
              </w:rPr>
              <w:t>质保期</w:t>
            </w:r>
          </w:p>
        </w:tc>
        <w:tc>
          <w:tcPr>
            <w:tcW w:w="7304" w:type="dxa"/>
            <w:noWrap w:val="0"/>
            <w:vAlign w:val="center"/>
          </w:tcPr>
          <w:p w14:paraId="3D21C2A9">
            <w:pPr>
              <w:widowControl/>
              <w:snapToGrid w:val="0"/>
              <w:spacing w:line="400" w:lineRule="exact"/>
              <w:rPr>
                <w:rFonts w:hint="eastAsia" w:ascii="仿宋" w:hAnsi="仿宋" w:eastAsia="仿宋" w:cs="宋体"/>
                <w:kern w:val="0"/>
                <w:szCs w:val="21"/>
              </w:rPr>
            </w:pPr>
            <w:r>
              <w:rPr>
                <w:rFonts w:hint="eastAsia" w:ascii="仿宋" w:hAnsi="仿宋" w:eastAsia="仿宋" w:cs="宋体"/>
                <w:kern w:val="0"/>
                <w:szCs w:val="21"/>
              </w:rPr>
              <w:t>1）质保期（</w:t>
            </w:r>
            <w:r>
              <w:rPr>
                <w:rFonts w:ascii="仿宋" w:hAnsi="仿宋" w:eastAsia="仿宋" w:cs="宋体"/>
                <w:kern w:val="0"/>
                <w:szCs w:val="21"/>
              </w:rPr>
              <w:t>质量保证期</w:t>
            </w:r>
            <w:r>
              <w:rPr>
                <w:rFonts w:hint="eastAsia" w:ascii="仿宋" w:hAnsi="仿宋" w:eastAsia="仿宋" w:cs="宋体"/>
                <w:kern w:val="0"/>
                <w:szCs w:val="21"/>
              </w:rPr>
              <w:t>）</w:t>
            </w:r>
            <w:r>
              <w:rPr>
                <w:rFonts w:ascii="仿宋" w:hAnsi="仿宋" w:eastAsia="仿宋" w:cs="宋体"/>
                <w:kern w:val="0"/>
                <w:szCs w:val="21"/>
              </w:rPr>
              <w:t>：</w:t>
            </w:r>
          </w:p>
          <w:p w14:paraId="58EF4839">
            <w:pPr>
              <w:widowControl/>
              <w:snapToGrid w:val="0"/>
              <w:spacing w:line="400" w:lineRule="exact"/>
              <w:rPr>
                <w:rFonts w:hint="eastAsia" w:ascii="仿宋" w:hAnsi="仿宋" w:eastAsia="仿宋" w:cs="宋体"/>
                <w:kern w:val="0"/>
                <w:szCs w:val="21"/>
              </w:rPr>
            </w:pPr>
            <w:r>
              <w:rPr>
                <w:rFonts w:hint="eastAsia" w:ascii="仿宋" w:hAnsi="仿宋" w:eastAsia="仿宋" w:cs="宋体"/>
                <w:kern w:val="0"/>
                <w:szCs w:val="21"/>
                <w:lang w:val="en-US" w:eastAsia="zh-CN"/>
              </w:rPr>
              <w:t>1.1</w:t>
            </w:r>
            <w:r>
              <w:rPr>
                <w:rFonts w:hint="eastAsia" w:ascii="仿宋" w:hAnsi="仿宋" w:eastAsia="仿宋" w:cs="宋体"/>
                <w:kern w:val="0"/>
                <w:szCs w:val="21"/>
              </w:rPr>
              <w:t>基础车保修期为</w:t>
            </w:r>
            <w:r>
              <w:rPr>
                <w:rFonts w:hint="eastAsia" w:ascii="仿宋" w:hAnsi="仿宋" w:eastAsia="仿宋" w:cs="宋体"/>
                <w:kern w:val="0"/>
                <w:szCs w:val="21"/>
                <w:lang w:val="en-US" w:eastAsia="zh-CN"/>
              </w:rPr>
              <w:t>3</w:t>
            </w:r>
            <w:r>
              <w:rPr>
                <w:rFonts w:hint="eastAsia" w:ascii="仿宋" w:hAnsi="仿宋" w:eastAsia="仿宋" w:cs="宋体"/>
                <w:kern w:val="0"/>
                <w:szCs w:val="21"/>
              </w:rPr>
              <w:t>年或</w:t>
            </w:r>
            <w:r>
              <w:rPr>
                <w:rFonts w:hint="eastAsia" w:ascii="仿宋" w:hAnsi="仿宋" w:eastAsia="仿宋" w:cs="宋体"/>
                <w:kern w:val="0"/>
                <w:szCs w:val="21"/>
                <w:lang w:val="en-US" w:eastAsia="zh-CN"/>
              </w:rPr>
              <w:t>6</w:t>
            </w:r>
            <w:r>
              <w:rPr>
                <w:rFonts w:hint="eastAsia" w:ascii="仿宋" w:hAnsi="仿宋" w:eastAsia="仿宋" w:cs="宋体"/>
                <w:kern w:val="0"/>
                <w:szCs w:val="21"/>
              </w:rPr>
              <w:t>0000公里，具体以基础车服务手册为准。</w:t>
            </w:r>
          </w:p>
          <w:p w14:paraId="4635C621">
            <w:pPr>
              <w:widowControl/>
              <w:snapToGrid w:val="0"/>
              <w:spacing w:line="400" w:lineRule="exact"/>
              <w:rPr>
                <w:rFonts w:ascii="仿宋" w:hAnsi="仿宋" w:eastAsia="仿宋" w:cs="宋体"/>
                <w:kern w:val="0"/>
                <w:szCs w:val="21"/>
              </w:rPr>
            </w:pPr>
            <w:r>
              <w:rPr>
                <w:rFonts w:hint="eastAsia" w:ascii="仿宋" w:hAnsi="仿宋" w:eastAsia="仿宋" w:cs="宋体"/>
                <w:kern w:val="0"/>
                <w:szCs w:val="21"/>
                <w:lang w:val="en-US" w:eastAsia="zh-CN"/>
              </w:rPr>
              <w:t>1.2</w:t>
            </w:r>
            <w:r>
              <w:rPr>
                <w:rFonts w:hint="eastAsia" w:ascii="仿宋" w:hAnsi="仿宋" w:eastAsia="仿宋" w:cs="宋体"/>
                <w:kern w:val="0"/>
                <w:szCs w:val="21"/>
              </w:rPr>
              <w:t>医疗舱改装部分质保期</w:t>
            </w:r>
            <w:r>
              <w:rPr>
                <w:rFonts w:hint="eastAsia" w:ascii="仿宋" w:hAnsi="仿宋" w:eastAsia="仿宋" w:cs="宋体"/>
                <w:kern w:val="0"/>
                <w:szCs w:val="21"/>
                <w:lang w:val="en-US" w:eastAsia="zh-CN"/>
              </w:rPr>
              <w:t>3</w:t>
            </w:r>
            <w:r>
              <w:rPr>
                <w:rFonts w:hint="eastAsia" w:ascii="仿宋" w:hAnsi="仿宋" w:eastAsia="仿宋" w:cs="宋体"/>
                <w:kern w:val="0"/>
                <w:szCs w:val="21"/>
              </w:rPr>
              <w:t>年。</w:t>
            </w:r>
          </w:p>
        </w:tc>
      </w:tr>
      <w:tr w14:paraId="7D9D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31" w:type="dxa"/>
            <w:noWrap w:val="0"/>
            <w:vAlign w:val="center"/>
          </w:tcPr>
          <w:p w14:paraId="5435BEC9">
            <w:pPr>
              <w:widowControl/>
              <w:snapToGrid w:val="0"/>
              <w:spacing w:line="400" w:lineRule="exact"/>
              <w:jc w:val="center"/>
              <w:rPr>
                <w:rFonts w:ascii="仿宋" w:hAnsi="仿宋" w:eastAsia="仿宋" w:cs="宋体"/>
                <w:kern w:val="0"/>
                <w:szCs w:val="21"/>
              </w:rPr>
            </w:pPr>
            <w:r>
              <w:rPr>
                <w:rFonts w:hint="eastAsia" w:ascii="仿宋" w:hAnsi="仿宋" w:eastAsia="仿宋" w:cs="宋体"/>
                <w:kern w:val="0"/>
                <w:szCs w:val="21"/>
              </w:rPr>
              <w:t>调试和验收</w:t>
            </w:r>
          </w:p>
        </w:tc>
        <w:tc>
          <w:tcPr>
            <w:tcW w:w="7304" w:type="dxa"/>
            <w:noWrap w:val="0"/>
            <w:vAlign w:val="center"/>
          </w:tcPr>
          <w:p w14:paraId="5CD5C7FB">
            <w:pPr>
              <w:widowControl/>
              <w:snapToGrid w:val="0"/>
              <w:spacing w:line="400" w:lineRule="exact"/>
              <w:rPr>
                <w:rFonts w:hint="eastAsia" w:ascii="仿宋" w:hAnsi="仿宋" w:eastAsia="仿宋" w:cs="宋体"/>
                <w:kern w:val="0"/>
                <w:szCs w:val="21"/>
              </w:rPr>
            </w:pPr>
            <w:r>
              <w:rPr>
                <w:rFonts w:hint="eastAsia" w:ascii="仿宋" w:hAnsi="仿宋" w:eastAsia="仿宋" w:cs="宋体"/>
                <w:kern w:val="0"/>
                <w:szCs w:val="21"/>
              </w:rPr>
              <w:t>1）货物到达采购人指定的现场后，将由中标人与采购人共同清点，并进行签字确认。若有差异，应由中标人承担责任；</w:t>
            </w:r>
          </w:p>
          <w:p w14:paraId="083814C4">
            <w:pPr>
              <w:widowControl/>
              <w:snapToGrid w:val="0"/>
              <w:spacing w:line="400" w:lineRule="exact"/>
              <w:rPr>
                <w:rFonts w:hint="eastAsia" w:ascii="仿宋" w:hAnsi="仿宋" w:eastAsia="仿宋" w:cs="宋体"/>
                <w:kern w:val="0"/>
                <w:szCs w:val="21"/>
              </w:rPr>
            </w:pPr>
            <w:r>
              <w:rPr>
                <w:rFonts w:hint="eastAsia" w:ascii="仿宋" w:hAnsi="仿宋" w:eastAsia="仿宋" w:cs="宋体"/>
                <w:kern w:val="0"/>
                <w:szCs w:val="21"/>
              </w:rPr>
              <w:t>2）中标人应保证其提供的货物在正确安装、正常使用和保养条件下，在使用寿命期内应具有满意的性能；</w:t>
            </w:r>
          </w:p>
          <w:p w14:paraId="3123B590">
            <w:pPr>
              <w:widowControl/>
              <w:snapToGrid w:val="0"/>
              <w:spacing w:line="400" w:lineRule="exact"/>
              <w:rPr>
                <w:rFonts w:hint="eastAsia" w:ascii="仿宋" w:hAnsi="仿宋" w:eastAsia="仿宋" w:cs="宋体"/>
                <w:kern w:val="0"/>
                <w:szCs w:val="21"/>
              </w:rPr>
            </w:pPr>
            <w:r>
              <w:rPr>
                <w:rFonts w:hint="eastAsia" w:ascii="仿宋" w:hAnsi="仿宋" w:eastAsia="仿宋" w:cs="宋体"/>
                <w:kern w:val="0"/>
                <w:szCs w:val="21"/>
              </w:rPr>
              <w:t>3）产品验收合格的要求：已提供了合同的全部货物和资料并完成、调试，使用稳定、正常，性能满足合同要求，最后通过采购人的确认；</w:t>
            </w:r>
          </w:p>
          <w:p w14:paraId="0805A0AF">
            <w:pPr>
              <w:widowControl/>
              <w:snapToGrid w:val="0"/>
              <w:spacing w:line="400" w:lineRule="exact"/>
              <w:rPr>
                <w:rFonts w:hint="eastAsia" w:ascii="仿宋" w:hAnsi="仿宋" w:eastAsia="仿宋" w:cs="宋体"/>
                <w:kern w:val="0"/>
                <w:szCs w:val="21"/>
              </w:rPr>
            </w:pPr>
            <w:r>
              <w:rPr>
                <w:rFonts w:hint="eastAsia" w:ascii="仿宋" w:hAnsi="仿宋" w:eastAsia="仿宋" w:cs="宋体"/>
                <w:kern w:val="0"/>
                <w:szCs w:val="21"/>
              </w:rPr>
              <w:t>4）验收不合格的产品，采购人有权要求中标人无条件免费更换或退货，并赔偿由此造成的采购人的损失。</w:t>
            </w:r>
          </w:p>
        </w:tc>
      </w:tr>
      <w:tr w14:paraId="568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31" w:type="dxa"/>
            <w:noWrap w:val="0"/>
            <w:vAlign w:val="center"/>
          </w:tcPr>
          <w:p w14:paraId="50314A37">
            <w:pPr>
              <w:widowControl/>
              <w:snapToGrid w:val="0"/>
              <w:spacing w:line="400" w:lineRule="exact"/>
              <w:jc w:val="center"/>
              <w:rPr>
                <w:rFonts w:ascii="仿宋" w:hAnsi="仿宋" w:eastAsia="仿宋" w:cs="宋体"/>
                <w:kern w:val="0"/>
                <w:szCs w:val="21"/>
              </w:rPr>
            </w:pPr>
            <w:r>
              <w:rPr>
                <w:rFonts w:hint="eastAsia" w:ascii="仿宋" w:hAnsi="仿宋" w:eastAsia="仿宋" w:cs="宋体"/>
                <w:kern w:val="0"/>
                <w:szCs w:val="21"/>
              </w:rPr>
              <w:t>服务响应</w:t>
            </w:r>
          </w:p>
        </w:tc>
        <w:tc>
          <w:tcPr>
            <w:tcW w:w="7304" w:type="dxa"/>
            <w:noWrap w:val="0"/>
            <w:vAlign w:val="center"/>
          </w:tcPr>
          <w:p w14:paraId="07BC2D13">
            <w:pPr>
              <w:widowControl/>
              <w:snapToGrid w:val="0"/>
              <w:spacing w:line="400" w:lineRule="exact"/>
              <w:rPr>
                <w:rFonts w:hint="eastAsia" w:ascii="仿宋" w:hAnsi="仿宋" w:eastAsia="仿宋" w:cs="宋体"/>
                <w:kern w:val="0"/>
                <w:szCs w:val="21"/>
              </w:rPr>
            </w:pPr>
            <w:r>
              <w:rPr>
                <w:rFonts w:hint="eastAsia" w:ascii="仿宋" w:hAnsi="仿宋" w:eastAsia="仿宋" w:cs="宋体"/>
                <w:kern w:val="0"/>
                <w:szCs w:val="21"/>
              </w:rPr>
              <w:t>1）售后服务响应要求：中标人应有固定服务机构，以保证及时便捷的售后服务和便于采购人购买备件，并在需要时安排技术服务；</w:t>
            </w:r>
          </w:p>
          <w:p w14:paraId="1E2A59F6">
            <w:pPr>
              <w:widowControl/>
              <w:snapToGrid w:val="0"/>
              <w:spacing w:line="400" w:lineRule="exact"/>
              <w:rPr>
                <w:rFonts w:hint="eastAsia" w:ascii="仿宋" w:hAnsi="仿宋" w:eastAsia="仿宋" w:cs="宋体"/>
                <w:kern w:val="0"/>
                <w:szCs w:val="21"/>
              </w:rPr>
            </w:pPr>
            <w:r>
              <w:rPr>
                <w:rFonts w:hint="eastAsia" w:ascii="仿宋" w:hAnsi="仿宋" w:eastAsia="仿宋" w:cs="宋体"/>
                <w:kern w:val="0"/>
                <w:szCs w:val="21"/>
              </w:rPr>
              <w:t>2）售后服务响应时间：出现故障，要求中标人在接到采购人的电话后1小时内响应，2小时内到达现场，4小时内修复，更换送修在24小时内完成（否则提供相关备品备件），确保采购人的正常使用。</w:t>
            </w:r>
          </w:p>
        </w:tc>
      </w:tr>
      <w:tr w14:paraId="5D29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31" w:type="dxa"/>
            <w:noWrap w:val="0"/>
            <w:vAlign w:val="center"/>
          </w:tcPr>
          <w:p w14:paraId="597478A5">
            <w:pPr>
              <w:widowControl/>
              <w:snapToGrid w:val="0"/>
              <w:spacing w:line="400" w:lineRule="exact"/>
              <w:jc w:val="center"/>
              <w:rPr>
                <w:rFonts w:hint="eastAsia" w:ascii="仿宋" w:hAnsi="仿宋" w:eastAsia="仿宋" w:cs="宋体"/>
                <w:kern w:val="0"/>
                <w:szCs w:val="21"/>
              </w:rPr>
            </w:pPr>
            <w:r>
              <w:rPr>
                <w:rFonts w:hint="eastAsia" w:ascii="仿宋" w:hAnsi="仿宋" w:eastAsia="仿宋" w:cs="宋体"/>
                <w:kern w:val="0"/>
                <w:szCs w:val="21"/>
              </w:rPr>
              <w:t>技术培训</w:t>
            </w:r>
          </w:p>
        </w:tc>
        <w:tc>
          <w:tcPr>
            <w:tcW w:w="7304" w:type="dxa"/>
            <w:noWrap w:val="0"/>
            <w:vAlign w:val="center"/>
          </w:tcPr>
          <w:p w14:paraId="388BA8A3">
            <w:pPr>
              <w:widowControl/>
              <w:snapToGrid w:val="0"/>
              <w:spacing w:line="400" w:lineRule="exact"/>
              <w:rPr>
                <w:rFonts w:hint="eastAsia" w:ascii="仿宋" w:hAnsi="仿宋" w:eastAsia="仿宋" w:cs="宋体"/>
                <w:kern w:val="0"/>
                <w:szCs w:val="21"/>
              </w:rPr>
            </w:pPr>
            <w:r>
              <w:rPr>
                <w:rFonts w:hint="eastAsia" w:ascii="仿宋" w:hAnsi="仿宋" w:eastAsia="仿宋" w:cs="宋体"/>
                <w:kern w:val="0"/>
                <w:szCs w:val="21"/>
              </w:rPr>
              <w:t>中标人免费提供专业技术培训。</w:t>
            </w:r>
          </w:p>
        </w:tc>
      </w:tr>
    </w:tbl>
    <w:p w14:paraId="3C2577AE">
      <w:pPr>
        <w:snapToGrid w:val="0"/>
        <w:spacing w:line="360" w:lineRule="auto"/>
        <w:jc w:val="center"/>
        <w:outlineLvl w:val="0"/>
        <w:rPr>
          <w:rFonts w:hint="eastAsia" w:ascii="仿宋" w:hAnsi="仿宋" w:eastAsia="仿宋" w:cs="仿宋"/>
          <w:b/>
          <w:sz w:val="36"/>
          <w:szCs w:val="36"/>
        </w:rPr>
      </w:pPr>
      <w:bookmarkStart w:id="137" w:name="_Toc129089155"/>
      <w:bookmarkStart w:id="138" w:name="_Toc129088771"/>
      <w:r>
        <w:rPr>
          <w:rFonts w:ascii="仿宋" w:hAnsi="仿宋" w:eastAsia="仿宋" w:cs="仿宋"/>
          <w:b/>
          <w:sz w:val="36"/>
          <w:szCs w:val="36"/>
        </w:rPr>
        <w:br w:type="page"/>
      </w:r>
      <w:r>
        <w:rPr>
          <w:rFonts w:hint="eastAsia" w:ascii="仿宋" w:hAnsi="仿宋" w:eastAsia="仿宋" w:cs="仿宋"/>
          <w:b/>
          <w:sz w:val="36"/>
          <w:szCs w:val="36"/>
        </w:rPr>
        <w:t xml:space="preserve">第四部分   </w:t>
      </w:r>
      <w:bookmarkStart w:id="139" w:name="_Toc184312114"/>
      <w:bookmarkEnd w:id="139"/>
      <w:bookmarkStart w:id="140" w:name="_Toc184314445"/>
      <w:bookmarkEnd w:id="140"/>
      <w:bookmarkStart w:id="141" w:name="_Toc184310332"/>
      <w:bookmarkEnd w:id="141"/>
      <w:bookmarkStart w:id="142" w:name="_Toc184312113"/>
      <w:bookmarkEnd w:id="142"/>
      <w:bookmarkStart w:id="143" w:name="_Toc184313240"/>
      <w:bookmarkEnd w:id="143"/>
      <w:bookmarkStart w:id="144" w:name="_Toc184310321"/>
      <w:bookmarkEnd w:id="144"/>
      <w:bookmarkStart w:id="145" w:name="_Toc184308065"/>
      <w:bookmarkEnd w:id="145"/>
      <w:bookmarkStart w:id="146" w:name="_Toc184312091"/>
      <w:bookmarkEnd w:id="146"/>
      <w:bookmarkStart w:id="147" w:name="_Toc184314465"/>
      <w:bookmarkEnd w:id="147"/>
      <w:bookmarkStart w:id="148" w:name="_Toc184308086"/>
      <w:bookmarkEnd w:id="148"/>
      <w:bookmarkStart w:id="149" w:name="_Toc184310329"/>
      <w:bookmarkEnd w:id="149"/>
      <w:bookmarkStart w:id="150" w:name="_Toc184313299"/>
      <w:bookmarkEnd w:id="150"/>
      <w:bookmarkStart w:id="151" w:name="_Toc184308104"/>
      <w:bookmarkEnd w:id="151"/>
      <w:bookmarkStart w:id="152" w:name="_Toc184308061"/>
      <w:bookmarkEnd w:id="152"/>
      <w:bookmarkStart w:id="153" w:name="_Toc184308045"/>
      <w:bookmarkEnd w:id="153"/>
      <w:bookmarkStart w:id="154" w:name="_Toc184313248"/>
      <w:bookmarkEnd w:id="154"/>
      <w:bookmarkStart w:id="155" w:name="_Toc184310273"/>
      <w:bookmarkEnd w:id="155"/>
      <w:bookmarkStart w:id="156" w:name="_Toc184308040"/>
      <w:bookmarkEnd w:id="156"/>
      <w:bookmarkStart w:id="157" w:name="_Toc184313254"/>
      <w:bookmarkEnd w:id="157"/>
      <w:bookmarkStart w:id="158" w:name="_Toc184314453"/>
      <w:bookmarkEnd w:id="158"/>
      <w:bookmarkStart w:id="159" w:name="_Toc184314464"/>
      <w:bookmarkEnd w:id="159"/>
      <w:bookmarkStart w:id="160" w:name="_Toc184310328"/>
      <w:bookmarkEnd w:id="160"/>
      <w:bookmarkStart w:id="161" w:name="_Toc184308054"/>
      <w:bookmarkEnd w:id="161"/>
      <w:bookmarkStart w:id="162" w:name="_Toc184310337"/>
      <w:bookmarkEnd w:id="162"/>
      <w:bookmarkStart w:id="163" w:name="_Toc184308099"/>
      <w:bookmarkEnd w:id="163"/>
      <w:bookmarkStart w:id="164" w:name="_Toc184314480"/>
      <w:bookmarkEnd w:id="164"/>
      <w:bookmarkStart w:id="165" w:name="_Toc184313256"/>
      <w:bookmarkEnd w:id="165"/>
      <w:bookmarkStart w:id="166" w:name="_Toc184312082"/>
      <w:bookmarkEnd w:id="166"/>
      <w:bookmarkStart w:id="167" w:name="_Toc184312105"/>
      <w:bookmarkEnd w:id="167"/>
      <w:bookmarkStart w:id="168" w:name="_Toc184312071"/>
      <w:bookmarkEnd w:id="168"/>
      <w:bookmarkStart w:id="169" w:name="_Toc184308062"/>
      <w:bookmarkEnd w:id="169"/>
      <w:bookmarkStart w:id="170" w:name="_Toc184314441"/>
      <w:bookmarkEnd w:id="170"/>
      <w:bookmarkStart w:id="171" w:name="_Toc184313290"/>
      <w:bookmarkEnd w:id="171"/>
      <w:bookmarkStart w:id="172" w:name="_Toc184313288"/>
      <w:bookmarkEnd w:id="172"/>
      <w:bookmarkStart w:id="173" w:name="_Toc184314425"/>
      <w:bookmarkEnd w:id="173"/>
      <w:bookmarkStart w:id="174" w:name="_Toc184310334"/>
      <w:bookmarkEnd w:id="174"/>
      <w:bookmarkStart w:id="175" w:name="_Toc184310287"/>
      <w:bookmarkEnd w:id="175"/>
      <w:bookmarkStart w:id="176" w:name="_Toc184314468"/>
      <w:bookmarkEnd w:id="176"/>
      <w:bookmarkStart w:id="177" w:name="_Toc184314451"/>
      <w:bookmarkEnd w:id="177"/>
      <w:bookmarkStart w:id="178" w:name="_Toc184313281"/>
      <w:bookmarkEnd w:id="178"/>
      <w:bookmarkStart w:id="179" w:name="_Toc184312127"/>
      <w:bookmarkEnd w:id="179"/>
      <w:bookmarkStart w:id="180" w:name="_Toc184313243"/>
      <w:bookmarkEnd w:id="180"/>
      <w:bookmarkStart w:id="181" w:name="_Toc184312076"/>
      <w:bookmarkEnd w:id="181"/>
      <w:bookmarkStart w:id="182" w:name="_Toc184310282"/>
      <w:bookmarkEnd w:id="182"/>
      <w:bookmarkStart w:id="183" w:name="_Toc184312129"/>
      <w:bookmarkEnd w:id="183"/>
      <w:bookmarkStart w:id="184" w:name="_Toc184308043"/>
      <w:bookmarkEnd w:id="184"/>
      <w:bookmarkStart w:id="185" w:name="_Toc184310324"/>
      <w:bookmarkEnd w:id="185"/>
      <w:bookmarkStart w:id="186" w:name="_Toc184313301"/>
      <w:bookmarkEnd w:id="186"/>
      <w:bookmarkStart w:id="187" w:name="_Toc184313296"/>
      <w:bookmarkEnd w:id="187"/>
      <w:bookmarkStart w:id="188" w:name="_Toc184314415"/>
      <w:bookmarkEnd w:id="188"/>
      <w:bookmarkStart w:id="189" w:name="_Toc184314434"/>
      <w:bookmarkEnd w:id="189"/>
      <w:bookmarkStart w:id="190" w:name="_Toc184313241"/>
      <w:bookmarkEnd w:id="190"/>
      <w:bookmarkStart w:id="191" w:name="_Toc184313282"/>
      <w:bookmarkEnd w:id="191"/>
      <w:bookmarkStart w:id="192" w:name="_Toc184312123"/>
      <w:bookmarkEnd w:id="192"/>
      <w:bookmarkStart w:id="193" w:name="_Toc184308036"/>
      <w:bookmarkEnd w:id="193"/>
      <w:bookmarkStart w:id="194" w:name="_Toc184313242"/>
      <w:bookmarkEnd w:id="194"/>
      <w:bookmarkStart w:id="195" w:name="_Toc184312092"/>
      <w:bookmarkEnd w:id="195"/>
      <w:bookmarkStart w:id="196" w:name="_Toc184310325"/>
      <w:bookmarkEnd w:id="196"/>
      <w:bookmarkStart w:id="197" w:name="_Toc184314418"/>
      <w:bookmarkEnd w:id="197"/>
      <w:bookmarkStart w:id="198" w:name="_Toc184313252"/>
      <w:bookmarkEnd w:id="198"/>
      <w:bookmarkStart w:id="199" w:name="_Toc184308077"/>
      <w:bookmarkEnd w:id="199"/>
      <w:bookmarkStart w:id="200" w:name="_Toc184312097"/>
      <w:bookmarkEnd w:id="200"/>
      <w:bookmarkStart w:id="201" w:name="_Toc184314426"/>
      <w:bookmarkEnd w:id="201"/>
      <w:bookmarkStart w:id="202" w:name="_Toc184310276"/>
      <w:bookmarkEnd w:id="202"/>
      <w:bookmarkStart w:id="203" w:name="_Toc184314423"/>
      <w:bookmarkEnd w:id="203"/>
      <w:bookmarkStart w:id="204" w:name="_Toc184308082"/>
      <w:bookmarkEnd w:id="204"/>
      <w:bookmarkStart w:id="205" w:name="_Toc184308103"/>
      <w:bookmarkEnd w:id="205"/>
      <w:bookmarkStart w:id="206" w:name="_Toc184312083"/>
      <w:bookmarkEnd w:id="206"/>
      <w:bookmarkStart w:id="207" w:name="_Toc184312099"/>
      <w:bookmarkEnd w:id="207"/>
      <w:bookmarkStart w:id="208" w:name="_Toc184313249"/>
      <w:bookmarkEnd w:id="208"/>
      <w:bookmarkStart w:id="209" w:name="_Toc184310323"/>
      <w:bookmarkEnd w:id="209"/>
      <w:bookmarkStart w:id="210" w:name="_Toc184308089"/>
      <w:bookmarkEnd w:id="210"/>
      <w:bookmarkStart w:id="211" w:name="_Toc184313269"/>
      <w:bookmarkEnd w:id="211"/>
      <w:bookmarkStart w:id="212" w:name="_Toc184310305"/>
      <w:bookmarkEnd w:id="212"/>
      <w:bookmarkStart w:id="213" w:name="_Toc184312110"/>
      <w:bookmarkEnd w:id="213"/>
      <w:bookmarkStart w:id="214" w:name="_Toc184308057"/>
      <w:bookmarkEnd w:id="214"/>
      <w:bookmarkStart w:id="215" w:name="_Toc184310297"/>
      <w:bookmarkEnd w:id="215"/>
      <w:bookmarkStart w:id="216" w:name="_Toc184308060"/>
      <w:bookmarkEnd w:id="216"/>
      <w:bookmarkStart w:id="217" w:name="_Toc184310304"/>
      <w:bookmarkEnd w:id="217"/>
      <w:bookmarkStart w:id="218" w:name="_Toc184310280"/>
      <w:bookmarkEnd w:id="218"/>
      <w:bookmarkStart w:id="219" w:name="_Toc184314471"/>
      <w:bookmarkEnd w:id="219"/>
      <w:bookmarkStart w:id="220" w:name="_Toc184308079"/>
      <w:bookmarkEnd w:id="220"/>
      <w:bookmarkStart w:id="221" w:name="_Toc184312109"/>
      <w:bookmarkEnd w:id="221"/>
      <w:bookmarkStart w:id="222" w:name="_Toc184314475"/>
      <w:bookmarkEnd w:id="222"/>
      <w:bookmarkStart w:id="223" w:name="_Toc184313260"/>
      <w:bookmarkEnd w:id="223"/>
      <w:bookmarkStart w:id="224" w:name="_Toc184313285"/>
      <w:bookmarkEnd w:id="224"/>
      <w:bookmarkStart w:id="225" w:name="_Toc184314457"/>
      <w:bookmarkEnd w:id="225"/>
      <w:bookmarkStart w:id="226" w:name="_Toc184310303"/>
      <w:bookmarkEnd w:id="226"/>
      <w:bookmarkStart w:id="227" w:name="_Toc184314460"/>
      <w:bookmarkEnd w:id="227"/>
      <w:bookmarkStart w:id="228" w:name="_Toc184312100"/>
      <w:bookmarkEnd w:id="228"/>
      <w:bookmarkStart w:id="229" w:name="_Toc184314416"/>
      <w:bookmarkEnd w:id="229"/>
      <w:bookmarkStart w:id="230" w:name="_Toc184308039"/>
      <w:bookmarkEnd w:id="230"/>
      <w:bookmarkStart w:id="231" w:name="_Toc184313289"/>
      <w:bookmarkEnd w:id="231"/>
      <w:bookmarkStart w:id="232" w:name="_Toc184314436"/>
      <w:bookmarkEnd w:id="232"/>
      <w:bookmarkStart w:id="233" w:name="_Toc184314411"/>
      <w:bookmarkEnd w:id="233"/>
      <w:bookmarkStart w:id="234" w:name="_Toc184312078"/>
      <w:bookmarkEnd w:id="234"/>
      <w:bookmarkStart w:id="235" w:name="_Toc184312126"/>
      <w:bookmarkEnd w:id="235"/>
      <w:bookmarkStart w:id="236" w:name="_Toc184310300"/>
      <w:bookmarkEnd w:id="236"/>
      <w:bookmarkStart w:id="237" w:name="_Toc184314452"/>
      <w:bookmarkEnd w:id="237"/>
      <w:bookmarkStart w:id="238" w:name="_Toc184314432"/>
      <w:bookmarkEnd w:id="238"/>
      <w:bookmarkStart w:id="239" w:name="_Toc184310288"/>
      <w:bookmarkEnd w:id="239"/>
      <w:bookmarkStart w:id="240" w:name="_Toc184310308"/>
      <w:bookmarkEnd w:id="240"/>
      <w:bookmarkStart w:id="241" w:name="_Toc184312094"/>
      <w:bookmarkEnd w:id="241"/>
      <w:bookmarkStart w:id="242" w:name="_Toc184308080"/>
      <w:bookmarkEnd w:id="242"/>
      <w:bookmarkStart w:id="243" w:name="_Toc184314454"/>
      <w:bookmarkEnd w:id="243"/>
      <w:bookmarkStart w:id="244" w:name="_Toc184308047"/>
      <w:bookmarkEnd w:id="244"/>
      <w:bookmarkStart w:id="245" w:name="_Toc184310341"/>
      <w:bookmarkEnd w:id="245"/>
      <w:bookmarkStart w:id="246" w:name="_Toc184314478"/>
      <w:bookmarkEnd w:id="246"/>
      <w:bookmarkStart w:id="247" w:name="_Toc184312073"/>
      <w:bookmarkEnd w:id="247"/>
      <w:bookmarkStart w:id="248" w:name="_Toc184314412"/>
      <w:bookmarkEnd w:id="248"/>
      <w:bookmarkStart w:id="249" w:name="_Toc184312131"/>
      <w:bookmarkEnd w:id="249"/>
      <w:bookmarkStart w:id="250" w:name="_Toc184314417"/>
      <w:bookmarkEnd w:id="250"/>
      <w:bookmarkStart w:id="251" w:name="_Toc184310344"/>
      <w:bookmarkEnd w:id="251"/>
      <w:bookmarkStart w:id="252" w:name="_Toc184313270"/>
      <w:bookmarkEnd w:id="252"/>
      <w:bookmarkStart w:id="253" w:name="_Toc184312128"/>
      <w:bookmarkEnd w:id="253"/>
      <w:bookmarkStart w:id="254" w:name="_Toc184308083"/>
      <w:bookmarkEnd w:id="254"/>
      <w:bookmarkStart w:id="255" w:name="_Toc184308058"/>
      <w:bookmarkEnd w:id="255"/>
      <w:bookmarkStart w:id="256" w:name="_Toc184314469"/>
      <w:bookmarkEnd w:id="256"/>
      <w:bookmarkStart w:id="257" w:name="_Toc184312089"/>
      <w:bookmarkEnd w:id="257"/>
      <w:bookmarkStart w:id="258" w:name="_Toc184312074"/>
      <w:bookmarkEnd w:id="258"/>
      <w:bookmarkStart w:id="259" w:name="_Toc184314420"/>
      <w:bookmarkEnd w:id="259"/>
      <w:bookmarkStart w:id="260" w:name="_Toc184310290"/>
      <w:bookmarkEnd w:id="260"/>
      <w:bookmarkStart w:id="261" w:name="_Toc184312067"/>
      <w:bookmarkEnd w:id="261"/>
      <w:bookmarkStart w:id="262" w:name="_Toc184314472"/>
      <w:bookmarkEnd w:id="262"/>
      <w:bookmarkStart w:id="263" w:name="_Toc184314438"/>
      <w:bookmarkEnd w:id="263"/>
      <w:bookmarkStart w:id="264" w:name="_Toc184308063"/>
      <w:bookmarkEnd w:id="264"/>
      <w:bookmarkStart w:id="265" w:name="_Toc184314439"/>
      <w:bookmarkEnd w:id="265"/>
      <w:bookmarkStart w:id="266" w:name="_Toc184313309"/>
      <w:bookmarkEnd w:id="266"/>
      <w:bookmarkStart w:id="267" w:name="_Toc184308049"/>
      <w:bookmarkEnd w:id="267"/>
      <w:bookmarkStart w:id="268" w:name="_Toc184313245"/>
      <w:bookmarkEnd w:id="268"/>
      <w:bookmarkStart w:id="269" w:name="_Toc184313306"/>
      <w:bookmarkEnd w:id="269"/>
      <w:bookmarkStart w:id="270" w:name="_Toc184312118"/>
      <w:bookmarkEnd w:id="270"/>
      <w:bookmarkStart w:id="271" w:name="_Toc184310307"/>
      <w:bookmarkEnd w:id="271"/>
      <w:bookmarkStart w:id="272" w:name="_Toc184313271"/>
      <w:bookmarkEnd w:id="272"/>
      <w:bookmarkStart w:id="273" w:name="_Toc184312075"/>
      <w:bookmarkEnd w:id="273"/>
      <w:bookmarkStart w:id="274" w:name="_Toc184313310"/>
      <w:bookmarkEnd w:id="274"/>
      <w:bookmarkStart w:id="275" w:name="_Toc184313302"/>
      <w:bookmarkEnd w:id="275"/>
      <w:bookmarkStart w:id="276" w:name="_Toc184312107"/>
      <w:bookmarkEnd w:id="276"/>
      <w:bookmarkStart w:id="277" w:name="_Toc184312120"/>
      <w:bookmarkEnd w:id="277"/>
      <w:bookmarkStart w:id="278" w:name="_Toc184312088"/>
      <w:bookmarkEnd w:id="278"/>
      <w:bookmarkStart w:id="279" w:name="_Toc184314477"/>
      <w:bookmarkEnd w:id="279"/>
      <w:bookmarkStart w:id="280" w:name="_Toc184313305"/>
      <w:bookmarkEnd w:id="280"/>
      <w:bookmarkStart w:id="281" w:name="_Toc184312121"/>
      <w:bookmarkEnd w:id="281"/>
      <w:bookmarkStart w:id="282" w:name="_Toc184313294"/>
      <w:bookmarkEnd w:id="282"/>
      <w:bookmarkStart w:id="283" w:name="_Toc184312108"/>
      <w:bookmarkEnd w:id="283"/>
      <w:bookmarkStart w:id="284" w:name="_Toc184314435"/>
      <w:bookmarkEnd w:id="284"/>
      <w:bookmarkStart w:id="285" w:name="_Toc184312080"/>
      <w:bookmarkEnd w:id="285"/>
      <w:bookmarkStart w:id="286" w:name="_Toc184312086"/>
      <w:bookmarkEnd w:id="286"/>
      <w:bookmarkStart w:id="287" w:name="_Toc184314422"/>
      <w:bookmarkEnd w:id="287"/>
      <w:bookmarkStart w:id="288" w:name="_Toc184308069"/>
      <w:bookmarkEnd w:id="288"/>
      <w:bookmarkStart w:id="289" w:name="_Toc184308048"/>
      <w:bookmarkEnd w:id="289"/>
      <w:bookmarkStart w:id="290" w:name="_Toc184310338"/>
      <w:bookmarkEnd w:id="290"/>
      <w:bookmarkStart w:id="291" w:name="_Toc184308051"/>
      <w:bookmarkEnd w:id="291"/>
      <w:bookmarkStart w:id="292" w:name="_Toc184310317"/>
      <w:bookmarkEnd w:id="292"/>
      <w:bookmarkStart w:id="293" w:name="_Toc184312125"/>
      <w:bookmarkEnd w:id="293"/>
      <w:bookmarkStart w:id="294" w:name="_Toc184313261"/>
      <w:bookmarkEnd w:id="294"/>
      <w:bookmarkStart w:id="295" w:name="_Toc184313304"/>
      <w:bookmarkEnd w:id="295"/>
      <w:bookmarkStart w:id="296" w:name="_Toc184310277"/>
      <w:bookmarkEnd w:id="296"/>
      <w:bookmarkStart w:id="297" w:name="_Toc184310340"/>
      <w:bookmarkEnd w:id="297"/>
      <w:bookmarkStart w:id="298" w:name="_Toc184310292"/>
      <w:bookmarkEnd w:id="298"/>
      <w:bookmarkStart w:id="299" w:name="_Toc184312068"/>
      <w:bookmarkEnd w:id="299"/>
      <w:bookmarkStart w:id="300" w:name="_Toc184308041"/>
      <w:bookmarkEnd w:id="300"/>
      <w:bookmarkStart w:id="301" w:name="_Toc184314419"/>
      <w:bookmarkEnd w:id="301"/>
      <w:bookmarkStart w:id="302" w:name="_Toc184308056"/>
      <w:bookmarkEnd w:id="302"/>
      <w:bookmarkStart w:id="303" w:name="_Toc184314427"/>
      <w:bookmarkEnd w:id="303"/>
      <w:bookmarkStart w:id="304" w:name="_Toc184314443"/>
      <w:bookmarkEnd w:id="304"/>
      <w:bookmarkStart w:id="305" w:name="_Toc184308055"/>
      <w:bookmarkEnd w:id="305"/>
      <w:bookmarkStart w:id="306" w:name="_Toc184314467"/>
      <w:bookmarkEnd w:id="306"/>
      <w:bookmarkStart w:id="307" w:name="_Toc184314459"/>
      <w:bookmarkEnd w:id="307"/>
      <w:bookmarkStart w:id="308" w:name="_Toc184308042"/>
      <w:bookmarkEnd w:id="308"/>
      <w:bookmarkStart w:id="309" w:name="_Toc184314424"/>
      <w:bookmarkEnd w:id="309"/>
      <w:bookmarkStart w:id="310" w:name="_Toc184308096"/>
      <w:bookmarkEnd w:id="310"/>
      <w:bookmarkStart w:id="311" w:name="_Toc184308038"/>
      <w:bookmarkEnd w:id="311"/>
      <w:bookmarkStart w:id="312" w:name="_Toc184312136"/>
      <w:bookmarkEnd w:id="312"/>
      <w:bookmarkStart w:id="313" w:name="_Toc184312119"/>
      <w:bookmarkEnd w:id="313"/>
      <w:bookmarkStart w:id="314" w:name="_Toc184313257"/>
      <w:bookmarkEnd w:id="314"/>
      <w:bookmarkStart w:id="315" w:name="_Toc184313287"/>
      <w:bookmarkEnd w:id="315"/>
      <w:bookmarkStart w:id="316" w:name="_Toc184312137"/>
      <w:bookmarkEnd w:id="316"/>
      <w:bookmarkStart w:id="317" w:name="_Toc184314448"/>
      <w:bookmarkEnd w:id="317"/>
      <w:bookmarkStart w:id="318" w:name="_Toc184308088"/>
      <w:bookmarkEnd w:id="318"/>
      <w:bookmarkStart w:id="319" w:name="_Toc184310296"/>
      <w:bookmarkEnd w:id="319"/>
      <w:bookmarkStart w:id="320" w:name="_Toc184310335"/>
      <w:bookmarkEnd w:id="320"/>
      <w:bookmarkStart w:id="321" w:name="_Toc184313292"/>
      <w:bookmarkEnd w:id="321"/>
      <w:bookmarkStart w:id="322" w:name="_Toc184312135"/>
      <w:bookmarkEnd w:id="322"/>
      <w:bookmarkStart w:id="323" w:name="_Toc184310339"/>
      <w:bookmarkEnd w:id="323"/>
      <w:bookmarkStart w:id="324" w:name="_Toc184312090"/>
      <w:bookmarkEnd w:id="324"/>
      <w:bookmarkStart w:id="325" w:name="_Toc184314456"/>
      <w:bookmarkEnd w:id="325"/>
      <w:bookmarkStart w:id="326" w:name="_Toc184308101"/>
      <w:bookmarkEnd w:id="326"/>
      <w:bookmarkStart w:id="327" w:name="_Toc184313267"/>
      <w:bookmarkEnd w:id="327"/>
      <w:bookmarkStart w:id="328" w:name="_Toc184308085"/>
      <w:bookmarkEnd w:id="328"/>
      <w:bookmarkStart w:id="329" w:name="_Toc184308046"/>
      <w:bookmarkEnd w:id="329"/>
      <w:bookmarkStart w:id="330" w:name="_Toc184314440"/>
      <w:bookmarkEnd w:id="330"/>
      <w:bookmarkStart w:id="331" w:name="_Toc184310309"/>
      <w:bookmarkEnd w:id="331"/>
      <w:bookmarkStart w:id="332" w:name="_Toc184308044"/>
      <w:bookmarkEnd w:id="332"/>
      <w:bookmarkStart w:id="333" w:name="_Toc184312102"/>
      <w:bookmarkEnd w:id="333"/>
      <w:bookmarkStart w:id="334" w:name="_Toc184314463"/>
      <w:bookmarkEnd w:id="334"/>
      <w:bookmarkStart w:id="335" w:name="_Toc184314482"/>
      <w:bookmarkEnd w:id="335"/>
      <w:bookmarkStart w:id="336" w:name="_Toc184313246"/>
      <w:bookmarkEnd w:id="336"/>
      <w:bookmarkStart w:id="337" w:name="_Toc184310289"/>
      <w:bookmarkEnd w:id="337"/>
      <w:bookmarkStart w:id="338" w:name="_Toc184314421"/>
      <w:bookmarkEnd w:id="338"/>
      <w:bookmarkStart w:id="339" w:name="_Toc184310327"/>
      <w:bookmarkEnd w:id="339"/>
      <w:bookmarkStart w:id="340" w:name="_Toc184308073"/>
      <w:bookmarkEnd w:id="340"/>
      <w:bookmarkStart w:id="341" w:name="_Toc184314481"/>
      <w:bookmarkEnd w:id="341"/>
      <w:bookmarkStart w:id="342" w:name="_Toc184312096"/>
      <w:bookmarkEnd w:id="342"/>
      <w:bookmarkStart w:id="343" w:name="_Toc184313264"/>
      <w:bookmarkEnd w:id="343"/>
      <w:bookmarkStart w:id="344" w:name="_Toc184310279"/>
      <w:bookmarkEnd w:id="344"/>
      <w:bookmarkStart w:id="345" w:name="_Toc184308091"/>
      <w:bookmarkEnd w:id="345"/>
      <w:bookmarkStart w:id="346" w:name="_Toc184314455"/>
      <w:bookmarkEnd w:id="346"/>
      <w:bookmarkStart w:id="347" w:name="_Toc184308094"/>
      <w:bookmarkEnd w:id="347"/>
      <w:bookmarkStart w:id="348" w:name="_Toc184313255"/>
      <w:bookmarkEnd w:id="348"/>
      <w:bookmarkStart w:id="349" w:name="_Toc184312085"/>
      <w:bookmarkEnd w:id="349"/>
      <w:bookmarkStart w:id="350" w:name="_Toc184310343"/>
      <w:bookmarkEnd w:id="350"/>
      <w:bookmarkStart w:id="351" w:name="_Toc184308076"/>
      <w:bookmarkEnd w:id="351"/>
      <w:bookmarkStart w:id="352" w:name="_Toc184308093"/>
      <w:bookmarkEnd w:id="352"/>
      <w:bookmarkStart w:id="353" w:name="_Toc184312079"/>
      <w:bookmarkEnd w:id="353"/>
      <w:bookmarkStart w:id="354" w:name="_Toc184312132"/>
      <w:bookmarkEnd w:id="354"/>
      <w:bookmarkStart w:id="355" w:name="_Toc184313275"/>
      <w:bookmarkEnd w:id="355"/>
      <w:bookmarkStart w:id="356" w:name="_Toc184310310"/>
      <w:bookmarkEnd w:id="356"/>
      <w:bookmarkStart w:id="357" w:name="_Toc184314473"/>
      <w:bookmarkEnd w:id="357"/>
      <w:bookmarkStart w:id="358" w:name="_Toc184308078"/>
      <w:bookmarkEnd w:id="358"/>
      <w:bookmarkStart w:id="359" w:name="_Toc184313286"/>
      <w:bookmarkEnd w:id="359"/>
      <w:bookmarkStart w:id="360" w:name="_Toc184308052"/>
      <w:bookmarkEnd w:id="360"/>
      <w:bookmarkStart w:id="361" w:name="_Toc184312124"/>
      <w:bookmarkEnd w:id="361"/>
      <w:bookmarkStart w:id="362" w:name="_Toc184313291"/>
      <w:bookmarkEnd w:id="362"/>
      <w:bookmarkStart w:id="363" w:name="_Toc184312111"/>
      <w:bookmarkEnd w:id="363"/>
      <w:bookmarkStart w:id="364" w:name="_Toc184308071"/>
      <w:bookmarkEnd w:id="364"/>
      <w:bookmarkStart w:id="365" w:name="_Toc184308037"/>
      <w:bookmarkEnd w:id="365"/>
      <w:bookmarkStart w:id="366" w:name="_Toc184313283"/>
      <w:bookmarkEnd w:id="366"/>
      <w:bookmarkStart w:id="367" w:name="_Toc184314430"/>
      <w:bookmarkEnd w:id="367"/>
      <w:bookmarkStart w:id="368" w:name="_Toc184308095"/>
      <w:bookmarkEnd w:id="368"/>
      <w:bookmarkStart w:id="369" w:name="_Toc184314437"/>
      <w:bookmarkEnd w:id="369"/>
      <w:bookmarkStart w:id="370" w:name="_Toc184313279"/>
      <w:bookmarkEnd w:id="370"/>
      <w:bookmarkStart w:id="371" w:name="_Toc184310284"/>
      <w:bookmarkEnd w:id="371"/>
      <w:bookmarkStart w:id="372" w:name="_Toc184314446"/>
      <w:bookmarkEnd w:id="372"/>
      <w:bookmarkStart w:id="373" w:name="_Toc184313276"/>
      <w:bookmarkEnd w:id="373"/>
      <w:bookmarkStart w:id="374" w:name="_Toc184314414"/>
      <w:bookmarkEnd w:id="374"/>
      <w:bookmarkStart w:id="375" w:name="_Toc184314444"/>
      <w:bookmarkEnd w:id="375"/>
      <w:bookmarkStart w:id="376" w:name="_Toc184308068"/>
      <w:bookmarkEnd w:id="376"/>
      <w:bookmarkStart w:id="377" w:name="_Toc184313280"/>
      <w:bookmarkEnd w:id="377"/>
      <w:bookmarkStart w:id="378" w:name="_Toc184312138"/>
      <w:bookmarkEnd w:id="378"/>
      <w:bookmarkStart w:id="379" w:name="_Toc184313300"/>
      <w:bookmarkEnd w:id="379"/>
      <w:bookmarkStart w:id="380" w:name="_Toc184310313"/>
      <w:bookmarkEnd w:id="380"/>
      <w:bookmarkStart w:id="381" w:name="_Toc184308067"/>
      <w:bookmarkEnd w:id="381"/>
      <w:bookmarkStart w:id="382" w:name="_Toc184312101"/>
      <w:bookmarkEnd w:id="382"/>
      <w:bookmarkStart w:id="383" w:name="_Toc184308107"/>
      <w:bookmarkEnd w:id="383"/>
      <w:bookmarkStart w:id="384" w:name="_Toc184313250"/>
      <w:bookmarkEnd w:id="384"/>
      <w:bookmarkStart w:id="385" w:name="_Toc184308059"/>
      <w:bookmarkEnd w:id="385"/>
      <w:bookmarkStart w:id="386" w:name="_Toc184313259"/>
      <w:bookmarkEnd w:id="386"/>
      <w:bookmarkStart w:id="387" w:name="_Toc184313272"/>
      <w:bookmarkEnd w:id="387"/>
      <w:bookmarkStart w:id="388" w:name="_Toc184310331"/>
      <w:bookmarkEnd w:id="388"/>
      <w:bookmarkStart w:id="389" w:name="_Toc184310322"/>
      <w:bookmarkEnd w:id="389"/>
      <w:bookmarkStart w:id="390" w:name="_Toc184310283"/>
      <w:bookmarkEnd w:id="390"/>
      <w:bookmarkStart w:id="391" w:name="_Toc184310301"/>
      <w:bookmarkEnd w:id="391"/>
      <w:bookmarkStart w:id="392" w:name="_Toc184308098"/>
      <w:bookmarkEnd w:id="392"/>
      <w:bookmarkStart w:id="393" w:name="_Toc184312069"/>
      <w:bookmarkEnd w:id="393"/>
      <w:bookmarkStart w:id="394" w:name="_Toc184312081"/>
      <w:bookmarkEnd w:id="394"/>
      <w:bookmarkStart w:id="395" w:name="_Toc184312103"/>
      <w:bookmarkEnd w:id="395"/>
      <w:bookmarkStart w:id="396" w:name="_Toc184310291"/>
      <w:bookmarkEnd w:id="396"/>
      <w:bookmarkStart w:id="397" w:name="_Toc184312087"/>
      <w:bookmarkEnd w:id="397"/>
      <w:bookmarkStart w:id="398" w:name="_Toc184310311"/>
      <w:bookmarkEnd w:id="398"/>
      <w:bookmarkStart w:id="399" w:name="_Toc184310275"/>
      <w:bookmarkEnd w:id="399"/>
      <w:bookmarkStart w:id="400" w:name="_Toc184313307"/>
      <w:bookmarkEnd w:id="400"/>
      <w:bookmarkStart w:id="401" w:name="_Toc184314433"/>
      <w:bookmarkEnd w:id="401"/>
      <w:bookmarkStart w:id="402" w:name="_Toc184310293"/>
      <w:bookmarkEnd w:id="402"/>
      <w:bookmarkStart w:id="403" w:name="_Toc184308100"/>
      <w:bookmarkEnd w:id="403"/>
      <w:bookmarkStart w:id="404" w:name="_Toc184313262"/>
      <w:bookmarkEnd w:id="404"/>
      <w:bookmarkStart w:id="405" w:name="_Toc184312106"/>
      <w:bookmarkEnd w:id="405"/>
      <w:bookmarkStart w:id="406" w:name="_Toc184310274"/>
      <w:bookmarkEnd w:id="406"/>
      <w:bookmarkStart w:id="407" w:name="_Toc184313295"/>
      <w:bookmarkEnd w:id="407"/>
      <w:bookmarkStart w:id="408" w:name="_Toc184313268"/>
      <w:bookmarkEnd w:id="408"/>
      <w:bookmarkStart w:id="409" w:name="_Toc184310278"/>
      <w:bookmarkEnd w:id="409"/>
      <w:bookmarkStart w:id="410" w:name="_Toc184314462"/>
      <w:bookmarkEnd w:id="410"/>
      <w:bookmarkStart w:id="411" w:name="_Toc184313263"/>
      <w:bookmarkEnd w:id="411"/>
      <w:bookmarkStart w:id="412" w:name="_Toc184313298"/>
      <w:bookmarkEnd w:id="412"/>
      <w:bookmarkStart w:id="413" w:name="_Toc184308084"/>
      <w:bookmarkEnd w:id="413"/>
      <w:bookmarkStart w:id="414" w:name="_Toc184313253"/>
      <w:bookmarkEnd w:id="414"/>
      <w:bookmarkStart w:id="415" w:name="_Toc184310298"/>
      <w:bookmarkEnd w:id="415"/>
      <w:bookmarkStart w:id="416" w:name="_Toc184312084"/>
      <w:bookmarkEnd w:id="416"/>
      <w:bookmarkStart w:id="417" w:name="_Toc184314476"/>
      <w:bookmarkEnd w:id="417"/>
      <w:bookmarkStart w:id="418" w:name="_Toc184313297"/>
      <w:bookmarkEnd w:id="418"/>
      <w:bookmarkStart w:id="419" w:name="_Toc184308108"/>
      <w:bookmarkEnd w:id="419"/>
      <w:bookmarkStart w:id="420" w:name="_Toc184308097"/>
      <w:bookmarkEnd w:id="420"/>
      <w:bookmarkStart w:id="421" w:name="_Toc184312116"/>
      <w:bookmarkEnd w:id="421"/>
      <w:bookmarkStart w:id="422" w:name="_Toc184310333"/>
      <w:bookmarkEnd w:id="422"/>
      <w:bookmarkStart w:id="423" w:name="_Toc184314429"/>
      <w:bookmarkEnd w:id="423"/>
      <w:bookmarkStart w:id="424" w:name="_Toc184308064"/>
      <w:bookmarkEnd w:id="424"/>
      <w:bookmarkStart w:id="425" w:name="_Toc184312122"/>
      <w:bookmarkEnd w:id="425"/>
      <w:bookmarkStart w:id="426" w:name="_Toc184313247"/>
      <w:bookmarkEnd w:id="426"/>
      <w:bookmarkStart w:id="427" w:name="_Toc184314442"/>
      <w:bookmarkEnd w:id="427"/>
      <w:bookmarkStart w:id="428" w:name="_Toc184314458"/>
      <w:bookmarkEnd w:id="428"/>
      <w:bookmarkStart w:id="429" w:name="_Toc184308072"/>
      <w:bookmarkEnd w:id="429"/>
      <w:bookmarkStart w:id="430" w:name="_Toc184312072"/>
      <w:bookmarkEnd w:id="430"/>
      <w:bookmarkStart w:id="431" w:name="_Toc184310299"/>
      <w:bookmarkEnd w:id="431"/>
      <w:bookmarkStart w:id="432" w:name="_Toc184310302"/>
      <w:bookmarkEnd w:id="432"/>
      <w:bookmarkStart w:id="433" w:name="_Toc184308066"/>
      <w:bookmarkEnd w:id="433"/>
      <w:bookmarkStart w:id="434" w:name="_Toc184312077"/>
      <w:bookmarkEnd w:id="434"/>
      <w:bookmarkStart w:id="435" w:name="_Toc184313284"/>
      <w:bookmarkEnd w:id="435"/>
      <w:bookmarkStart w:id="436" w:name="_Toc184313244"/>
      <w:bookmarkEnd w:id="436"/>
      <w:bookmarkStart w:id="437" w:name="_Toc184314413"/>
      <w:bookmarkEnd w:id="437"/>
      <w:bookmarkStart w:id="438" w:name="_Toc184313293"/>
      <w:bookmarkEnd w:id="438"/>
      <w:bookmarkStart w:id="439" w:name="_Toc184312093"/>
      <w:bookmarkEnd w:id="439"/>
      <w:bookmarkStart w:id="440" w:name="_Toc184308070"/>
      <w:bookmarkEnd w:id="440"/>
      <w:bookmarkStart w:id="441" w:name="_Toc184308092"/>
      <w:bookmarkEnd w:id="441"/>
      <w:bookmarkStart w:id="442" w:name="_Toc184313273"/>
      <w:bookmarkEnd w:id="442"/>
      <w:bookmarkStart w:id="443" w:name="_Toc184314470"/>
      <w:bookmarkEnd w:id="443"/>
      <w:bookmarkStart w:id="444" w:name="_Toc184314466"/>
      <w:bookmarkEnd w:id="444"/>
      <w:bookmarkStart w:id="445" w:name="_Toc184313303"/>
      <w:bookmarkEnd w:id="445"/>
      <w:bookmarkStart w:id="446" w:name="_Toc184310326"/>
      <w:bookmarkEnd w:id="446"/>
      <w:bookmarkStart w:id="447" w:name="_Toc184312139"/>
      <w:bookmarkEnd w:id="447"/>
      <w:bookmarkStart w:id="448" w:name="_Toc184313265"/>
      <w:bookmarkEnd w:id="448"/>
      <w:bookmarkStart w:id="449" w:name="_Toc184310342"/>
      <w:bookmarkEnd w:id="449"/>
      <w:bookmarkStart w:id="450" w:name="_Toc184310330"/>
      <w:bookmarkEnd w:id="450"/>
      <w:bookmarkStart w:id="451" w:name="_Toc184308090"/>
      <w:bookmarkEnd w:id="451"/>
      <w:bookmarkStart w:id="452" w:name="_Toc184314431"/>
      <w:bookmarkEnd w:id="452"/>
      <w:bookmarkStart w:id="453" w:name="_Toc184308081"/>
      <w:bookmarkEnd w:id="453"/>
      <w:bookmarkStart w:id="454" w:name="_Toc184310285"/>
      <w:bookmarkEnd w:id="454"/>
      <w:bookmarkStart w:id="455" w:name="_Toc184313258"/>
      <w:bookmarkEnd w:id="455"/>
      <w:bookmarkStart w:id="456" w:name="_Toc184310318"/>
      <w:bookmarkEnd w:id="456"/>
      <w:bookmarkStart w:id="457" w:name="_Toc184313251"/>
      <w:bookmarkEnd w:id="457"/>
      <w:bookmarkStart w:id="458" w:name="_Toc184314479"/>
      <w:bookmarkEnd w:id="458"/>
      <w:bookmarkStart w:id="459" w:name="_Toc184314449"/>
      <w:bookmarkEnd w:id="459"/>
      <w:bookmarkStart w:id="460" w:name="_Toc184312130"/>
      <w:bookmarkEnd w:id="460"/>
      <w:bookmarkStart w:id="461" w:name="_Toc184314447"/>
      <w:bookmarkEnd w:id="461"/>
      <w:bookmarkStart w:id="462" w:name="_Toc184310314"/>
      <w:bookmarkEnd w:id="462"/>
      <w:bookmarkStart w:id="463" w:name="_Toc184310312"/>
      <w:bookmarkEnd w:id="463"/>
      <w:bookmarkStart w:id="464" w:name="_Toc184312117"/>
      <w:bookmarkEnd w:id="464"/>
      <w:bookmarkStart w:id="465" w:name="_Toc184312133"/>
      <w:bookmarkEnd w:id="465"/>
      <w:bookmarkStart w:id="466" w:name="_Toc184308050"/>
      <w:bookmarkEnd w:id="466"/>
      <w:bookmarkStart w:id="467" w:name="_Toc184308087"/>
      <w:bookmarkEnd w:id="467"/>
      <w:bookmarkStart w:id="468" w:name="_Toc184314461"/>
      <w:bookmarkEnd w:id="468"/>
      <w:bookmarkStart w:id="469" w:name="_Toc184314474"/>
      <w:bookmarkEnd w:id="469"/>
      <w:bookmarkStart w:id="470" w:name="_Toc184308105"/>
      <w:bookmarkEnd w:id="470"/>
      <w:bookmarkStart w:id="471" w:name="_Toc184310336"/>
      <w:bookmarkEnd w:id="471"/>
      <w:bookmarkStart w:id="472" w:name="_Toc184310320"/>
      <w:bookmarkEnd w:id="472"/>
      <w:bookmarkStart w:id="473" w:name="_Toc184308074"/>
      <w:bookmarkEnd w:id="473"/>
      <w:bookmarkStart w:id="474" w:name="_Toc184310281"/>
      <w:bookmarkEnd w:id="474"/>
      <w:bookmarkStart w:id="475" w:name="_Toc184313278"/>
      <w:bookmarkEnd w:id="475"/>
      <w:bookmarkStart w:id="476" w:name="_Toc184308053"/>
      <w:bookmarkEnd w:id="476"/>
      <w:bookmarkStart w:id="477" w:name="_Toc184312095"/>
      <w:bookmarkEnd w:id="477"/>
      <w:bookmarkStart w:id="478" w:name="_Toc184310315"/>
      <w:bookmarkEnd w:id="478"/>
      <w:bookmarkStart w:id="479" w:name="_Toc184313277"/>
      <w:bookmarkEnd w:id="479"/>
      <w:bookmarkStart w:id="480" w:name="_Toc184314428"/>
      <w:bookmarkEnd w:id="480"/>
      <w:bookmarkStart w:id="481" w:name="_Toc184312115"/>
      <w:bookmarkEnd w:id="481"/>
      <w:bookmarkStart w:id="482" w:name="_Toc184314450"/>
      <w:bookmarkEnd w:id="482"/>
      <w:bookmarkStart w:id="483" w:name="_Toc184313308"/>
      <w:bookmarkEnd w:id="483"/>
      <w:bookmarkStart w:id="484" w:name="_Toc184308075"/>
      <w:bookmarkEnd w:id="484"/>
      <w:bookmarkStart w:id="485" w:name="_Toc184312104"/>
      <w:bookmarkEnd w:id="485"/>
      <w:bookmarkStart w:id="486" w:name="_Toc184310306"/>
      <w:bookmarkEnd w:id="486"/>
      <w:bookmarkStart w:id="487" w:name="_Toc184312070"/>
      <w:bookmarkEnd w:id="487"/>
      <w:bookmarkStart w:id="488" w:name="_Toc184310295"/>
      <w:bookmarkEnd w:id="488"/>
      <w:bookmarkStart w:id="489" w:name="_Toc184312112"/>
      <w:bookmarkEnd w:id="489"/>
      <w:bookmarkStart w:id="490" w:name="_Toc184312134"/>
      <w:bookmarkEnd w:id="490"/>
      <w:bookmarkStart w:id="491" w:name="_Toc184310272"/>
      <w:bookmarkEnd w:id="491"/>
      <w:bookmarkStart w:id="492" w:name="_Toc184310319"/>
      <w:bookmarkEnd w:id="492"/>
      <w:bookmarkStart w:id="493" w:name="_Toc184313266"/>
      <w:bookmarkEnd w:id="493"/>
      <w:bookmarkStart w:id="494" w:name="_Toc184312098"/>
      <w:bookmarkEnd w:id="494"/>
      <w:bookmarkStart w:id="495" w:name="_Toc184313238"/>
      <w:bookmarkEnd w:id="495"/>
      <w:bookmarkStart w:id="496" w:name="_Toc184310294"/>
      <w:bookmarkEnd w:id="496"/>
      <w:bookmarkStart w:id="497" w:name="_Toc184314410"/>
      <w:bookmarkEnd w:id="497"/>
      <w:bookmarkStart w:id="498" w:name="_Toc184308106"/>
      <w:bookmarkEnd w:id="498"/>
      <w:bookmarkStart w:id="499" w:name="_Toc184310316"/>
      <w:bookmarkEnd w:id="499"/>
      <w:bookmarkStart w:id="500" w:name="_Toc184313274"/>
      <w:bookmarkEnd w:id="500"/>
      <w:bookmarkStart w:id="501" w:name="_Toc184308102"/>
      <w:bookmarkEnd w:id="501"/>
      <w:bookmarkStart w:id="502" w:name="_Toc184310286"/>
      <w:bookmarkEnd w:id="502"/>
      <w:bookmarkStart w:id="503" w:name="_Toc184313239"/>
      <w:bookmarkEnd w:id="503"/>
      <w:r>
        <w:rPr>
          <w:rFonts w:hint="eastAsia" w:ascii="仿宋" w:hAnsi="仿宋" w:eastAsia="仿宋" w:cs="仿宋"/>
          <w:b/>
          <w:sz w:val="36"/>
          <w:szCs w:val="36"/>
        </w:rPr>
        <w:t>评标办法</w:t>
      </w:r>
      <w:bookmarkEnd w:id="137"/>
      <w:bookmarkEnd w:id="138"/>
    </w:p>
    <w:p w14:paraId="7BFD0799">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7649"/>
        <w:gridCol w:w="701"/>
      </w:tblGrid>
      <w:tr w14:paraId="187E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10" w:type="dxa"/>
            <w:noWrap w:val="0"/>
            <w:vAlign w:val="center"/>
          </w:tcPr>
          <w:p w14:paraId="659852BF">
            <w:pPr>
              <w:spacing w:line="400" w:lineRule="exact"/>
              <w:jc w:val="center"/>
              <w:rPr>
                <w:rFonts w:ascii="仿宋" w:hAnsi="仿宋" w:eastAsia="仿宋"/>
                <w:b/>
                <w:bCs/>
                <w:sz w:val="21"/>
                <w:szCs w:val="21"/>
              </w:rPr>
            </w:pPr>
            <w:r>
              <w:rPr>
                <w:rFonts w:hint="eastAsia" w:ascii="仿宋" w:hAnsi="仿宋" w:eastAsia="仿宋"/>
                <w:b/>
                <w:bCs/>
                <w:sz w:val="21"/>
                <w:szCs w:val="21"/>
              </w:rPr>
              <w:t>序号</w:t>
            </w:r>
          </w:p>
        </w:tc>
        <w:tc>
          <w:tcPr>
            <w:tcW w:w="7649" w:type="dxa"/>
            <w:noWrap w:val="0"/>
            <w:vAlign w:val="center"/>
          </w:tcPr>
          <w:p w14:paraId="1BDCF09E">
            <w:pPr>
              <w:spacing w:line="400" w:lineRule="exact"/>
              <w:jc w:val="center"/>
              <w:rPr>
                <w:rFonts w:ascii="仿宋" w:hAnsi="仿宋" w:eastAsia="仿宋"/>
                <w:b/>
                <w:bCs/>
                <w:sz w:val="21"/>
                <w:szCs w:val="21"/>
              </w:rPr>
            </w:pPr>
            <w:r>
              <w:rPr>
                <w:rFonts w:hint="eastAsia" w:ascii="仿宋" w:hAnsi="仿宋" w:eastAsia="仿宋"/>
                <w:b/>
                <w:bCs/>
                <w:sz w:val="21"/>
                <w:szCs w:val="21"/>
              </w:rPr>
              <w:t>评分内容和标准</w:t>
            </w:r>
          </w:p>
        </w:tc>
        <w:tc>
          <w:tcPr>
            <w:tcW w:w="701" w:type="dxa"/>
            <w:noWrap w:val="0"/>
            <w:vAlign w:val="center"/>
          </w:tcPr>
          <w:p w14:paraId="6B9FD4A3">
            <w:pPr>
              <w:spacing w:line="400" w:lineRule="exact"/>
              <w:jc w:val="center"/>
              <w:rPr>
                <w:rFonts w:ascii="仿宋" w:hAnsi="仿宋" w:eastAsia="仿宋"/>
                <w:b/>
                <w:bCs/>
                <w:sz w:val="21"/>
                <w:szCs w:val="21"/>
              </w:rPr>
            </w:pPr>
            <w:r>
              <w:rPr>
                <w:rFonts w:hint="eastAsia" w:ascii="仿宋" w:hAnsi="仿宋" w:eastAsia="仿宋"/>
                <w:b/>
                <w:bCs/>
                <w:sz w:val="21"/>
                <w:szCs w:val="21"/>
              </w:rPr>
              <w:t>分值</w:t>
            </w:r>
          </w:p>
        </w:tc>
      </w:tr>
      <w:tr w14:paraId="619F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0" w:type="dxa"/>
            <w:noWrap w:val="0"/>
            <w:vAlign w:val="center"/>
          </w:tcPr>
          <w:p w14:paraId="272666AC">
            <w:pPr>
              <w:spacing w:line="400" w:lineRule="exact"/>
              <w:jc w:val="center"/>
              <w:rPr>
                <w:rFonts w:hint="eastAsia" w:ascii="仿宋" w:hAnsi="仿宋" w:eastAsia="仿宋"/>
                <w:sz w:val="21"/>
                <w:szCs w:val="21"/>
              </w:rPr>
            </w:pPr>
            <w:r>
              <w:rPr>
                <w:rFonts w:hint="eastAsia" w:ascii="仿宋" w:hAnsi="仿宋" w:eastAsia="仿宋"/>
                <w:sz w:val="21"/>
                <w:szCs w:val="21"/>
              </w:rPr>
              <w:t>1</w:t>
            </w:r>
          </w:p>
        </w:tc>
        <w:tc>
          <w:tcPr>
            <w:tcW w:w="7649" w:type="dxa"/>
            <w:noWrap w:val="0"/>
            <w:vAlign w:val="center"/>
          </w:tcPr>
          <w:p w14:paraId="2136056F">
            <w:pPr>
              <w:spacing w:line="400" w:lineRule="exact"/>
              <w:rPr>
                <w:rFonts w:hint="eastAsia" w:ascii="仿宋" w:hAnsi="仿宋" w:eastAsia="仿宋"/>
                <w:sz w:val="21"/>
                <w:szCs w:val="21"/>
              </w:rPr>
            </w:pPr>
            <w:r>
              <w:rPr>
                <w:rFonts w:hint="eastAsia" w:ascii="仿宋" w:hAnsi="仿宋" w:eastAsia="仿宋"/>
                <w:sz w:val="21"/>
                <w:szCs w:val="21"/>
              </w:rPr>
              <w:t>技术参数响应性（40分）</w:t>
            </w:r>
          </w:p>
          <w:p w14:paraId="5C496B22">
            <w:pPr>
              <w:spacing w:line="400" w:lineRule="exact"/>
              <w:rPr>
                <w:rFonts w:hint="eastAsia" w:ascii="仿宋" w:hAnsi="仿宋" w:eastAsia="仿宋"/>
                <w:sz w:val="21"/>
                <w:szCs w:val="21"/>
              </w:rPr>
            </w:pPr>
            <w:r>
              <w:rPr>
                <w:rFonts w:hint="eastAsia" w:ascii="仿宋" w:hAnsi="仿宋" w:eastAsia="仿宋"/>
                <w:sz w:val="21"/>
                <w:szCs w:val="21"/>
              </w:rPr>
              <w:t>投标人所投车辆技术参数完全满足或优于招标文件第三部分 采购需求 二、车辆技术参数要求的得满分40分，标“★”为实质性条款负偏离作无效标处理，标</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”为重要条款每负偏离一条扣</w:t>
            </w:r>
            <w:r>
              <w:rPr>
                <w:rFonts w:hint="eastAsia" w:ascii="仿宋" w:hAnsi="仿宋" w:eastAsia="仿宋"/>
                <w:sz w:val="21"/>
                <w:szCs w:val="21"/>
              </w:rPr>
              <w:t>3分，其他条款每负偏离一条扣1分</w:t>
            </w:r>
            <w:r>
              <w:rPr>
                <w:rFonts w:ascii="仿宋" w:hAnsi="仿宋" w:eastAsia="仿宋"/>
                <w:sz w:val="21"/>
                <w:szCs w:val="21"/>
              </w:rPr>
              <w:t>，</w:t>
            </w:r>
            <w:r>
              <w:rPr>
                <w:rFonts w:hint="eastAsia" w:ascii="仿宋" w:hAnsi="仿宋" w:eastAsia="仿宋"/>
                <w:sz w:val="21"/>
                <w:szCs w:val="21"/>
              </w:rPr>
              <w:t>当扣减分数≥40分时，作无效标处理。</w:t>
            </w:r>
          </w:p>
          <w:p w14:paraId="6399E724">
            <w:pPr>
              <w:spacing w:line="400" w:lineRule="exact"/>
              <w:rPr>
                <w:rFonts w:hint="eastAsia" w:ascii="仿宋" w:hAnsi="仿宋" w:eastAsia="仿宋"/>
                <w:sz w:val="21"/>
                <w:szCs w:val="21"/>
              </w:rPr>
            </w:pPr>
            <w:r>
              <w:rPr>
                <w:rFonts w:hint="eastAsia" w:ascii="仿宋" w:hAnsi="仿宋" w:eastAsia="仿宋"/>
                <w:b/>
                <w:bCs/>
                <w:sz w:val="21"/>
                <w:szCs w:val="21"/>
                <w:lang w:val="en-US" w:eastAsia="zh-CN"/>
              </w:rPr>
              <w:t>注</w:t>
            </w:r>
            <w:r>
              <w:rPr>
                <w:rFonts w:hint="eastAsia" w:ascii="仿宋" w:hAnsi="仿宋" w:eastAsia="仿宋"/>
                <w:b/>
                <w:bCs/>
                <w:sz w:val="21"/>
                <w:szCs w:val="21"/>
                <w:lang w:val="zh-CN"/>
              </w:rPr>
              <w:t>：</w:t>
            </w:r>
            <w:r>
              <w:rPr>
                <w:rFonts w:hint="eastAsia" w:ascii="仿宋" w:hAnsi="仿宋" w:eastAsia="仿宋"/>
                <w:b/>
                <w:bCs/>
                <w:sz w:val="21"/>
                <w:szCs w:val="21"/>
              </w:rPr>
              <w:t>招标技术要求</w:t>
            </w:r>
            <w:r>
              <w:rPr>
                <w:rFonts w:hint="eastAsia" w:ascii="仿宋" w:hAnsi="仿宋" w:eastAsia="仿宋"/>
                <w:b/>
                <w:bCs/>
                <w:sz w:val="21"/>
                <w:szCs w:val="21"/>
                <w:lang w:val="zh-CN"/>
              </w:rPr>
              <w:t>内要求提供证明材料的以证明资料为准，否则不予认可。</w:t>
            </w:r>
          </w:p>
        </w:tc>
        <w:tc>
          <w:tcPr>
            <w:tcW w:w="701" w:type="dxa"/>
            <w:noWrap w:val="0"/>
            <w:vAlign w:val="center"/>
          </w:tcPr>
          <w:p w14:paraId="2667CA58">
            <w:pPr>
              <w:spacing w:line="400" w:lineRule="exact"/>
              <w:jc w:val="center"/>
              <w:rPr>
                <w:rFonts w:hint="eastAsia" w:ascii="仿宋" w:hAnsi="仿宋" w:eastAsia="仿宋"/>
                <w:sz w:val="21"/>
                <w:szCs w:val="21"/>
              </w:rPr>
            </w:pPr>
            <w:r>
              <w:rPr>
                <w:rFonts w:hint="eastAsia" w:ascii="仿宋" w:hAnsi="仿宋" w:eastAsia="仿宋"/>
                <w:sz w:val="21"/>
                <w:szCs w:val="21"/>
              </w:rPr>
              <w:t>40</w:t>
            </w:r>
          </w:p>
        </w:tc>
      </w:tr>
      <w:tr w14:paraId="27BD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0" w:type="dxa"/>
            <w:noWrap w:val="0"/>
            <w:vAlign w:val="center"/>
          </w:tcPr>
          <w:p w14:paraId="505C7299">
            <w:pPr>
              <w:spacing w:line="400" w:lineRule="exact"/>
              <w:jc w:val="center"/>
              <w:rPr>
                <w:rFonts w:hint="eastAsia" w:ascii="仿宋" w:hAnsi="仿宋" w:eastAsia="仿宋"/>
                <w:sz w:val="21"/>
                <w:szCs w:val="21"/>
              </w:rPr>
            </w:pPr>
            <w:r>
              <w:rPr>
                <w:rFonts w:hint="eastAsia" w:ascii="仿宋" w:hAnsi="仿宋" w:eastAsia="仿宋"/>
                <w:sz w:val="21"/>
                <w:szCs w:val="21"/>
              </w:rPr>
              <w:t>2</w:t>
            </w:r>
          </w:p>
        </w:tc>
        <w:tc>
          <w:tcPr>
            <w:tcW w:w="7649" w:type="dxa"/>
            <w:noWrap w:val="0"/>
            <w:vAlign w:val="center"/>
          </w:tcPr>
          <w:p w14:paraId="292234F9">
            <w:pPr>
              <w:spacing w:line="400" w:lineRule="exact"/>
              <w:jc w:val="left"/>
              <w:rPr>
                <w:rFonts w:hint="eastAsia" w:ascii="仿宋" w:hAnsi="仿宋" w:eastAsia="仿宋"/>
                <w:sz w:val="21"/>
                <w:szCs w:val="21"/>
                <w:lang w:val="zh-CN"/>
              </w:rPr>
            </w:pPr>
            <w:r>
              <w:rPr>
                <w:rFonts w:hint="eastAsia" w:ascii="仿宋" w:hAnsi="仿宋" w:eastAsia="仿宋"/>
                <w:sz w:val="21"/>
                <w:szCs w:val="21"/>
                <w:lang w:val="zh-CN"/>
              </w:rPr>
              <w:t>车辆性能（12分）</w:t>
            </w:r>
          </w:p>
          <w:p w14:paraId="4E2CE391">
            <w:pPr>
              <w:spacing w:line="400" w:lineRule="exact"/>
              <w:rPr>
                <w:rFonts w:hint="eastAsia" w:ascii="仿宋" w:hAnsi="仿宋" w:eastAsia="仿宋"/>
                <w:sz w:val="21"/>
                <w:szCs w:val="21"/>
              </w:rPr>
            </w:pPr>
            <w:r>
              <w:rPr>
                <w:rFonts w:hint="eastAsia" w:ascii="仿宋" w:hAnsi="仿宋" w:eastAsia="仿宋"/>
                <w:sz w:val="21"/>
                <w:szCs w:val="21"/>
              </w:rPr>
              <w:t>1）车辆的先进性情况包括车辆主要部件性能指标优劣、配套部件性能指标优劣：主要部件内容完整、技术指标搭配合理，配套部件内容完整、技术指标搭配合理的得3分；主要部件内容基本完整、技术指标搭配基本合理，配套部件内容基本完整、技术指标搭配基本合理的得1分；未提供车辆先进性情况说明的不得分。</w:t>
            </w:r>
          </w:p>
          <w:p w14:paraId="16186171">
            <w:pPr>
              <w:spacing w:line="400" w:lineRule="exact"/>
              <w:rPr>
                <w:rFonts w:ascii="仿宋" w:hAnsi="仿宋" w:eastAsia="仿宋"/>
                <w:b/>
                <w:bCs/>
                <w:sz w:val="21"/>
                <w:szCs w:val="21"/>
              </w:rPr>
            </w:pPr>
            <w:r>
              <w:rPr>
                <w:rFonts w:hint="eastAsia" w:ascii="仿宋" w:hAnsi="仿宋" w:eastAsia="仿宋"/>
                <w:b/>
                <w:bCs/>
                <w:sz w:val="21"/>
                <w:szCs w:val="21"/>
              </w:rPr>
              <w:t>备注：主要部件指底盘、发动机、车身、电气设备和轮胎；配套部件指发动机配件、传动系配件、制动系配件、转向系配件、行走系配件、电器仪表系配件、汽车灯具。</w:t>
            </w:r>
          </w:p>
          <w:p w14:paraId="626F4EA1">
            <w:pPr>
              <w:spacing w:line="400" w:lineRule="exact"/>
              <w:rPr>
                <w:rFonts w:ascii="仿宋" w:hAnsi="仿宋" w:eastAsia="仿宋"/>
                <w:sz w:val="21"/>
                <w:szCs w:val="21"/>
              </w:rPr>
            </w:pPr>
            <w:r>
              <w:rPr>
                <w:rFonts w:hint="eastAsia" w:ascii="仿宋" w:hAnsi="仿宋" w:eastAsia="仿宋"/>
                <w:sz w:val="21"/>
                <w:szCs w:val="21"/>
              </w:rPr>
              <w:t>2）使用寿命长短情况及相应的保障措施科学合理：车辆使用寿命时间长、相应的保障措施科学合理的得3分；车辆使用寿命时间符合基本要求年限、相应的保障措施基本科学合理的得1分；未提供车辆使用寿命长短情况及相应的保障措施的不得分。</w:t>
            </w:r>
          </w:p>
          <w:p w14:paraId="563E867B">
            <w:pPr>
              <w:spacing w:line="400" w:lineRule="exact"/>
              <w:rPr>
                <w:rFonts w:ascii="仿宋" w:hAnsi="仿宋" w:eastAsia="仿宋"/>
                <w:sz w:val="21"/>
                <w:szCs w:val="21"/>
              </w:rPr>
            </w:pPr>
            <w:r>
              <w:rPr>
                <w:rFonts w:hint="eastAsia" w:ascii="仿宋" w:hAnsi="仿宋" w:eastAsia="仿宋"/>
                <w:sz w:val="21"/>
                <w:szCs w:val="21"/>
              </w:rPr>
              <w:t>3）车辆稳定性情况包括车辆使用故障率低，维修保养频率低及相应的保障措施科学合理：车辆使用故障率低、维修保养频率低、相应的保障措施科学合理的得3分；车辆使用故障率高、维修保养频率高、相应的保障措施基本科学合理的得1分；未提供车辆稳定性情况的不得分。</w:t>
            </w:r>
          </w:p>
          <w:p w14:paraId="15390349">
            <w:pPr>
              <w:spacing w:line="400" w:lineRule="exact"/>
              <w:rPr>
                <w:rFonts w:hint="eastAsia" w:ascii="仿宋" w:hAnsi="仿宋" w:eastAsia="仿宋"/>
                <w:sz w:val="21"/>
                <w:szCs w:val="21"/>
              </w:rPr>
            </w:pPr>
            <w:r>
              <w:rPr>
                <w:rFonts w:hint="eastAsia" w:ascii="仿宋" w:hAnsi="仿宋" w:eastAsia="仿宋"/>
                <w:sz w:val="21"/>
                <w:szCs w:val="21"/>
              </w:rPr>
              <w:t>4）车辆可靠性情况包括车辆连续作业时间长度及相应的保障措施科学合理：车辆连续作业时间长、相应的保障措施科学合理的得3分；车辆连续作业时间能力不足、相应的保障措施基本科学合理的得1分；未提供车辆可靠性情况的不得分。</w:t>
            </w:r>
          </w:p>
        </w:tc>
        <w:tc>
          <w:tcPr>
            <w:tcW w:w="701" w:type="dxa"/>
            <w:noWrap w:val="0"/>
            <w:vAlign w:val="center"/>
          </w:tcPr>
          <w:p w14:paraId="69DE9E79">
            <w:pPr>
              <w:spacing w:line="400" w:lineRule="exact"/>
              <w:jc w:val="center"/>
              <w:rPr>
                <w:rFonts w:hint="eastAsia" w:ascii="仿宋" w:hAnsi="仿宋" w:eastAsia="仿宋"/>
                <w:sz w:val="21"/>
                <w:szCs w:val="21"/>
              </w:rPr>
            </w:pPr>
            <w:r>
              <w:rPr>
                <w:rFonts w:hint="eastAsia" w:ascii="仿宋" w:hAnsi="仿宋" w:eastAsia="仿宋"/>
                <w:sz w:val="21"/>
                <w:szCs w:val="21"/>
              </w:rPr>
              <w:t>12</w:t>
            </w:r>
          </w:p>
        </w:tc>
      </w:tr>
      <w:tr w14:paraId="4E3A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0" w:type="dxa"/>
            <w:noWrap w:val="0"/>
            <w:vAlign w:val="center"/>
          </w:tcPr>
          <w:p w14:paraId="59D5E96B">
            <w:pPr>
              <w:spacing w:line="400" w:lineRule="exact"/>
              <w:jc w:val="center"/>
              <w:rPr>
                <w:rFonts w:hint="eastAsia" w:ascii="仿宋" w:hAnsi="仿宋" w:eastAsia="仿宋"/>
                <w:sz w:val="21"/>
                <w:szCs w:val="21"/>
              </w:rPr>
            </w:pPr>
            <w:r>
              <w:rPr>
                <w:rFonts w:hint="eastAsia" w:ascii="仿宋" w:hAnsi="仿宋" w:eastAsia="仿宋"/>
                <w:sz w:val="21"/>
                <w:szCs w:val="21"/>
              </w:rPr>
              <w:t>3</w:t>
            </w:r>
          </w:p>
        </w:tc>
        <w:tc>
          <w:tcPr>
            <w:tcW w:w="7649" w:type="dxa"/>
            <w:noWrap w:val="0"/>
            <w:vAlign w:val="center"/>
          </w:tcPr>
          <w:p w14:paraId="0143EA4D">
            <w:pPr>
              <w:spacing w:line="400" w:lineRule="exact"/>
              <w:rPr>
                <w:rFonts w:hint="eastAsia" w:ascii="仿宋" w:hAnsi="仿宋" w:eastAsia="仿宋"/>
                <w:sz w:val="21"/>
                <w:szCs w:val="21"/>
              </w:rPr>
            </w:pPr>
            <w:r>
              <w:rPr>
                <w:rFonts w:hint="eastAsia" w:ascii="仿宋" w:hAnsi="仿宋" w:eastAsia="仿宋"/>
                <w:sz w:val="21"/>
                <w:szCs w:val="21"/>
              </w:rPr>
              <w:t>车辆交接验收方案（5分）</w:t>
            </w:r>
          </w:p>
          <w:p w14:paraId="7DEC4190">
            <w:pPr>
              <w:spacing w:line="400" w:lineRule="exact"/>
              <w:rPr>
                <w:rFonts w:hint="eastAsia" w:ascii="仿宋" w:hAnsi="仿宋" w:eastAsia="仿宋"/>
                <w:sz w:val="21"/>
                <w:szCs w:val="21"/>
              </w:rPr>
            </w:pPr>
            <w:r>
              <w:rPr>
                <w:rFonts w:hint="eastAsia" w:ascii="仿宋" w:hAnsi="仿宋" w:eastAsia="仿宋"/>
                <w:sz w:val="21"/>
                <w:szCs w:val="21"/>
              </w:rPr>
              <w:t>评委根据投标人提供的交接验收方案进行评议：交接验收方案有明确的内容及流程，内容详细完整、流程清晰明确可执行的得5分；交接验收方案内容基本完整、流程基本明确尚可执行的得3分；</w:t>
            </w:r>
            <w:r>
              <w:rPr>
                <w:rFonts w:hint="eastAsia" w:ascii="仿宋" w:hAnsi="仿宋" w:eastAsia="仿宋"/>
                <w:sz w:val="21"/>
                <w:szCs w:val="21"/>
                <w:lang w:val="en-US" w:eastAsia="zh-CN"/>
              </w:rPr>
              <w:t>有交接验收方案、但内容有所欠缺的得1分；</w:t>
            </w:r>
            <w:r>
              <w:rPr>
                <w:rFonts w:hint="eastAsia" w:ascii="仿宋" w:hAnsi="仿宋" w:eastAsia="仿宋"/>
                <w:sz w:val="21"/>
                <w:szCs w:val="21"/>
              </w:rPr>
              <w:t>无交接验收方案不得分。</w:t>
            </w:r>
          </w:p>
          <w:p w14:paraId="3CAD80AC">
            <w:pPr>
              <w:spacing w:line="400" w:lineRule="exact"/>
              <w:rPr>
                <w:rFonts w:hint="eastAsia" w:ascii="仿宋" w:hAnsi="仿宋" w:eastAsia="仿宋"/>
                <w:sz w:val="21"/>
                <w:szCs w:val="21"/>
                <w:lang w:val="zh-CN"/>
              </w:rPr>
            </w:pPr>
            <w:r>
              <w:rPr>
                <w:rFonts w:hint="eastAsia" w:ascii="仿宋" w:hAnsi="仿宋" w:eastAsia="仿宋"/>
                <w:b/>
                <w:bCs/>
                <w:sz w:val="21"/>
                <w:szCs w:val="21"/>
                <w:lang w:val="en-US" w:eastAsia="zh-CN"/>
              </w:rPr>
              <w:t>注：</w:t>
            </w:r>
            <w:r>
              <w:rPr>
                <w:rFonts w:hint="eastAsia" w:ascii="仿宋" w:hAnsi="仿宋" w:eastAsia="仿宋"/>
                <w:b/>
                <w:bCs/>
                <w:sz w:val="21"/>
                <w:szCs w:val="21"/>
              </w:rPr>
              <w:t>交接验收内容指供货时甲乙双方需要为交车时的准备工作和车辆验收时乙方需要提供的车辆技术规格和要求（及车辆技术指标）的证明资料及验收的流程步骤。</w:t>
            </w:r>
          </w:p>
        </w:tc>
        <w:tc>
          <w:tcPr>
            <w:tcW w:w="701" w:type="dxa"/>
            <w:noWrap w:val="0"/>
            <w:vAlign w:val="center"/>
          </w:tcPr>
          <w:p w14:paraId="2040BD8B">
            <w:pPr>
              <w:spacing w:line="400" w:lineRule="exact"/>
              <w:jc w:val="center"/>
              <w:rPr>
                <w:rFonts w:hint="eastAsia" w:ascii="仿宋" w:hAnsi="仿宋" w:eastAsia="仿宋"/>
                <w:sz w:val="21"/>
                <w:szCs w:val="21"/>
              </w:rPr>
            </w:pPr>
            <w:r>
              <w:rPr>
                <w:rFonts w:hint="eastAsia" w:ascii="仿宋" w:hAnsi="仿宋" w:eastAsia="仿宋"/>
                <w:sz w:val="21"/>
                <w:szCs w:val="21"/>
              </w:rPr>
              <w:t>5</w:t>
            </w:r>
          </w:p>
        </w:tc>
      </w:tr>
      <w:tr w14:paraId="2882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0" w:type="dxa"/>
            <w:noWrap w:val="0"/>
            <w:vAlign w:val="center"/>
          </w:tcPr>
          <w:p w14:paraId="5706ECF4">
            <w:pPr>
              <w:spacing w:line="400" w:lineRule="exact"/>
              <w:jc w:val="center"/>
              <w:rPr>
                <w:rFonts w:hint="eastAsia" w:ascii="仿宋" w:hAnsi="仿宋" w:eastAsia="仿宋"/>
                <w:sz w:val="21"/>
                <w:szCs w:val="21"/>
              </w:rPr>
            </w:pPr>
            <w:r>
              <w:rPr>
                <w:rFonts w:hint="eastAsia" w:ascii="仿宋" w:hAnsi="仿宋" w:eastAsia="仿宋"/>
                <w:sz w:val="21"/>
                <w:szCs w:val="21"/>
              </w:rPr>
              <w:t>4</w:t>
            </w:r>
          </w:p>
        </w:tc>
        <w:tc>
          <w:tcPr>
            <w:tcW w:w="7649" w:type="dxa"/>
            <w:noWrap w:val="0"/>
            <w:vAlign w:val="center"/>
          </w:tcPr>
          <w:p w14:paraId="1A29D648">
            <w:pPr>
              <w:spacing w:line="400" w:lineRule="exact"/>
              <w:rPr>
                <w:rFonts w:hint="eastAsia" w:ascii="仿宋" w:hAnsi="仿宋" w:eastAsia="仿宋"/>
                <w:sz w:val="21"/>
                <w:szCs w:val="21"/>
              </w:rPr>
            </w:pPr>
            <w:r>
              <w:rPr>
                <w:rFonts w:hint="eastAsia" w:ascii="仿宋" w:hAnsi="仿宋" w:eastAsia="仿宋"/>
                <w:sz w:val="21"/>
                <w:szCs w:val="21"/>
              </w:rPr>
              <w:t>技术服务和技术培训方案（</w:t>
            </w:r>
            <w:r>
              <w:rPr>
                <w:rFonts w:ascii="仿宋" w:hAnsi="仿宋" w:eastAsia="仿宋"/>
                <w:sz w:val="21"/>
                <w:szCs w:val="21"/>
              </w:rPr>
              <w:t>5</w:t>
            </w:r>
            <w:r>
              <w:rPr>
                <w:rFonts w:hint="eastAsia" w:ascii="仿宋" w:hAnsi="仿宋" w:eastAsia="仿宋"/>
                <w:sz w:val="21"/>
                <w:szCs w:val="21"/>
              </w:rPr>
              <w:t>分）</w:t>
            </w:r>
          </w:p>
          <w:p w14:paraId="0987FB7D">
            <w:pPr>
              <w:spacing w:line="400" w:lineRule="exact"/>
              <w:rPr>
                <w:rFonts w:hint="eastAsia" w:ascii="仿宋" w:hAnsi="仿宋" w:eastAsia="仿宋"/>
                <w:sz w:val="21"/>
                <w:szCs w:val="21"/>
                <w:lang w:eastAsia="zh-CN"/>
              </w:rPr>
            </w:pPr>
            <w:r>
              <w:rPr>
                <w:rFonts w:hint="eastAsia" w:ascii="仿宋" w:hAnsi="仿宋" w:eastAsia="仿宋"/>
                <w:sz w:val="21"/>
                <w:szCs w:val="21"/>
              </w:rPr>
              <w:t>评委根据投标人所提供的技术培训服务内容进行评议，包括培训时间安排、培训内容、培训人员、培训次数、培训场地安排</w:t>
            </w:r>
            <w:r>
              <w:rPr>
                <w:rFonts w:hint="eastAsia" w:ascii="仿宋" w:hAnsi="仿宋" w:eastAsia="仿宋"/>
                <w:sz w:val="21"/>
                <w:szCs w:val="21"/>
                <w:lang w:eastAsia="zh-CN"/>
              </w:rPr>
              <w:t>。</w:t>
            </w:r>
          </w:p>
          <w:p w14:paraId="43FA1215">
            <w:pPr>
              <w:spacing w:line="40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培训方案</w:t>
            </w:r>
            <w:r>
              <w:rPr>
                <w:rFonts w:hint="eastAsia" w:ascii="仿宋" w:hAnsi="仿宋" w:eastAsia="仿宋" w:cs="仿宋"/>
                <w:sz w:val="21"/>
                <w:szCs w:val="21"/>
                <w:highlight w:val="none"/>
                <w:lang w:val="zh-CN"/>
              </w:rPr>
              <w:t>内容全面、</w:t>
            </w:r>
            <w:r>
              <w:rPr>
                <w:rFonts w:hint="eastAsia" w:ascii="仿宋" w:hAnsi="仿宋" w:eastAsia="仿宋" w:cs="仿宋"/>
                <w:sz w:val="21"/>
                <w:szCs w:val="21"/>
                <w:highlight w:val="none"/>
                <w:lang w:val="en-US" w:eastAsia="zh-CN"/>
              </w:rPr>
              <w:t>合理、可操作性强</w:t>
            </w:r>
            <w:r>
              <w:rPr>
                <w:rFonts w:hint="eastAsia" w:ascii="仿宋" w:hAnsi="仿宋" w:eastAsia="仿宋" w:cs="仿宋"/>
                <w:sz w:val="21"/>
                <w:szCs w:val="21"/>
                <w:highlight w:val="none"/>
                <w:lang w:val="zh-CN"/>
              </w:rPr>
              <w:t>的得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val="zh-CN"/>
              </w:rPr>
              <w:t>分；</w:t>
            </w:r>
          </w:p>
          <w:p w14:paraId="70FF3268">
            <w:pPr>
              <w:spacing w:line="40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培训方案</w:t>
            </w:r>
            <w:r>
              <w:rPr>
                <w:rFonts w:hint="eastAsia" w:ascii="仿宋" w:hAnsi="仿宋" w:eastAsia="仿宋" w:cs="仿宋"/>
                <w:sz w:val="21"/>
                <w:szCs w:val="21"/>
                <w:highlight w:val="none"/>
                <w:lang w:val="zh-CN"/>
              </w:rPr>
              <w:t>内容全面、</w:t>
            </w:r>
            <w:r>
              <w:rPr>
                <w:rFonts w:hint="eastAsia" w:ascii="仿宋" w:hAnsi="仿宋" w:eastAsia="仿宋" w:cs="仿宋"/>
                <w:sz w:val="21"/>
                <w:szCs w:val="21"/>
                <w:highlight w:val="none"/>
                <w:lang w:val="en-US" w:eastAsia="zh-CN"/>
              </w:rPr>
              <w:t>合理、具有可操作性</w:t>
            </w:r>
            <w:r>
              <w:rPr>
                <w:rFonts w:hint="eastAsia" w:ascii="仿宋" w:hAnsi="仿宋" w:eastAsia="仿宋" w:cs="仿宋"/>
                <w:sz w:val="21"/>
                <w:szCs w:val="21"/>
                <w:highlight w:val="none"/>
                <w:lang w:val="zh-CN"/>
              </w:rPr>
              <w:t>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val="zh-CN"/>
              </w:rPr>
              <w:t>分；</w:t>
            </w:r>
          </w:p>
          <w:p w14:paraId="17887633">
            <w:pPr>
              <w:spacing w:line="400" w:lineRule="exac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培训方案</w:t>
            </w:r>
            <w:r>
              <w:rPr>
                <w:rFonts w:hint="eastAsia" w:ascii="仿宋" w:hAnsi="仿宋" w:eastAsia="仿宋" w:cs="仿宋"/>
                <w:sz w:val="21"/>
                <w:szCs w:val="21"/>
                <w:highlight w:val="none"/>
                <w:lang w:val="zh-CN"/>
              </w:rPr>
              <w:t>内容</w:t>
            </w:r>
            <w:r>
              <w:rPr>
                <w:rFonts w:hint="eastAsia" w:ascii="仿宋" w:hAnsi="仿宋" w:eastAsia="仿宋" w:cs="仿宋"/>
                <w:sz w:val="21"/>
                <w:szCs w:val="21"/>
                <w:highlight w:val="none"/>
                <w:lang w:val="en-US" w:eastAsia="zh-CN"/>
              </w:rPr>
              <w:t>不</w:t>
            </w:r>
            <w:r>
              <w:rPr>
                <w:rFonts w:hint="eastAsia" w:ascii="仿宋" w:hAnsi="仿宋" w:eastAsia="仿宋" w:cs="仿宋"/>
                <w:sz w:val="21"/>
                <w:szCs w:val="21"/>
                <w:highlight w:val="none"/>
                <w:lang w:val="zh-CN"/>
              </w:rPr>
              <w:t>全面、</w:t>
            </w:r>
            <w:r>
              <w:rPr>
                <w:rFonts w:hint="eastAsia" w:ascii="仿宋" w:hAnsi="仿宋" w:eastAsia="仿宋" w:cs="仿宋"/>
                <w:sz w:val="21"/>
                <w:szCs w:val="21"/>
                <w:highlight w:val="none"/>
                <w:lang w:val="en-US" w:eastAsia="zh-CN"/>
              </w:rPr>
              <w:t>缺乏可操作性但尚不影响履约</w:t>
            </w:r>
            <w:r>
              <w:rPr>
                <w:rFonts w:hint="eastAsia" w:ascii="仿宋" w:hAnsi="仿宋" w:eastAsia="仿宋" w:cs="仿宋"/>
                <w:sz w:val="21"/>
                <w:szCs w:val="21"/>
                <w:highlight w:val="none"/>
                <w:lang w:val="zh-CN"/>
              </w:rPr>
              <w:t>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分；</w:t>
            </w:r>
          </w:p>
          <w:p w14:paraId="59A05FEC">
            <w:pPr>
              <w:spacing w:line="400" w:lineRule="exact"/>
              <w:rPr>
                <w:rFonts w:hint="eastAsia" w:ascii="仿宋" w:hAnsi="仿宋" w:eastAsia="仿宋"/>
                <w:sz w:val="21"/>
                <w:szCs w:val="21"/>
              </w:rPr>
            </w:pPr>
            <w:r>
              <w:rPr>
                <w:rFonts w:hint="eastAsia" w:ascii="仿宋" w:hAnsi="仿宋" w:eastAsia="仿宋" w:cs="仿宋"/>
                <w:sz w:val="21"/>
                <w:szCs w:val="21"/>
                <w:highlight w:val="none"/>
                <w:lang w:val="zh-CN"/>
              </w:rPr>
              <w:t>未提供</w:t>
            </w:r>
            <w:r>
              <w:rPr>
                <w:rFonts w:hint="eastAsia" w:ascii="仿宋" w:hAnsi="仿宋" w:eastAsia="仿宋" w:cs="仿宋"/>
                <w:sz w:val="21"/>
                <w:szCs w:val="21"/>
                <w:highlight w:val="none"/>
                <w:lang w:val="en-US" w:eastAsia="zh-CN"/>
              </w:rPr>
              <w:t>方案的</w:t>
            </w:r>
            <w:r>
              <w:rPr>
                <w:rFonts w:hint="eastAsia" w:ascii="仿宋" w:hAnsi="仿宋" w:eastAsia="仿宋" w:cs="仿宋"/>
                <w:sz w:val="21"/>
                <w:szCs w:val="21"/>
                <w:highlight w:val="none"/>
                <w:lang w:val="zh-CN"/>
              </w:rPr>
              <w:t>不得分。</w:t>
            </w:r>
          </w:p>
        </w:tc>
        <w:tc>
          <w:tcPr>
            <w:tcW w:w="701" w:type="dxa"/>
            <w:noWrap w:val="0"/>
            <w:vAlign w:val="center"/>
          </w:tcPr>
          <w:p w14:paraId="720DAE98">
            <w:pPr>
              <w:spacing w:line="400" w:lineRule="exact"/>
              <w:jc w:val="center"/>
              <w:rPr>
                <w:rFonts w:hint="eastAsia" w:ascii="仿宋" w:hAnsi="仿宋" w:eastAsia="仿宋"/>
                <w:sz w:val="21"/>
                <w:szCs w:val="21"/>
              </w:rPr>
            </w:pPr>
            <w:r>
              <w:rPr>
                <w:rFonts w:hint="eastAsia" w:ascii="仿宋" w:hAnsi="仿宋" w:eastAsia="仿宋"/>
                <w:sz w:val="21"/>
                <w:szCs w:val="21"/>
              </w:rPr>
              <w:t>5</w:t>
            </w:r>
          </w:p>
        </w:tc>
      </w:tr>
      <w:tr w14:paraId="533C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10" w:type="dxa"/>
            <w:noWrap w:val="0"/>
            <w:vAlign w:val="center"/>
          </w:tcPr>
          <w:p w14:paraId="753D2DEA">
            <w:pPr>
              <w:spacing w:line="400" w:lineRule="exact"/>
              <w:jc w:val="center"/>
              <w:rPr>
                <w:rFonts w:hint="eastAsia" w:ascii="仿宋" w:hAnsi="仿宋" w:eastAsia="仿宋"/>
                <w:sz w:val="21"/>
                <w:szCs w:val="21"/>
              </w:rPr>
            </w:pPr>
            <w:r>
              <w:rPr>
                <w:rFonts w:hint="eastAsia" w:ascii="仿宋" w:hAnsi="仿宋" w:eastAsia="仿宋"/>
                <w:sz w:val="21"/>
                <w:szCs w:val="21"/>
              </w:rPr>
              <w:t>5</w:t>
            </w:r>
          </w:p>
        </w:tc>
        <w:tc>
          <w:tcPr>
            <w:tcW w:w="7649" w:type="dxa"/>
            <w:noWrap w:val="0"/>
            <w:vAlign w:val="center"/>
          </w:tcPr>
          <w:p w14:paraId="44B240BB">
            <w:pPr>
              <w:spacing w:line="400" w:lineRule="exact"/>
              <w:rPr>
                <w:rFonts w:hint="eastAsia" w:ascii="仿宋" w:hAnsi="仿宋" w:eastAsia="仿宋"/>
                <w:sz w:val="21"/>
                <w:szCs w:val="21"/>
              </w:rPr>
            </w:pPr>
            <w:r>
              <w:rPr>
                <w:rFonts w:hint="eastAsia" w:ascii="仿宋" w:hAnsi="仿宋" w:eastAsia="仿宋"/>
                <w:sz w:val="21"/>
                <w:szCs w:val="21"/>
              </w:rPr>
              <w:t>售后服务方案（5分）</w:t>
            </w:r>
          </w:p>
          <w:p w14:paraId="03ECE2AB">
            <w:pPr>
              <w:spacing w:line="400" w:lineRule="exact"/>
              <w:rPr>
                <w:rFonts w:hint="eastAsia" w:ascii="仿宋" w:hAnsi="仿宋" w:eastAsia="仿宋"/>
                <w:sz w:val="21"/>
                <w:szCs w:val="21"/>
              </w:rPr>
            </w:pPr>
            <w:r>
              <w:rPr>
                <w:rFonts w:hint="eastAsia" w:ascii="仿宋" w:hAnsi="仿宋" w:eastAsia="仿宋"/>
                <w:sz w:val="21"/>
                <w:szCs w:val="21"/>
              </w:rPr>
              <w:t>评委根据投标人提供的售后服务内容、响应时间、售后服务便捷性及相应的措施包括售后服务内容完善、响应时间合理、及时进行评议：</w:t>
            </w:r>
          </w:p>
          <w:p w14:paraId="2174C14A">
            <w:pPr>
              <w:spacing w:line="400" w:lineRule="exact"/>
              <w:rPr>
                <w:rFonts w:hint="eastAsia" w:ascii="仿宋" w:hAnsi="仿宋" w:eastAsia="仿宋"/>
                <w:sz w:val="21"/>
                <w:szCs w:val="21"/>
              </w:rPr>
            </w:pPr>
            <w:r>
              <w:rPr>
                <w:rFonts w:hint="eastAsia" w:ascii="仿宋" w:hAnsi="仿宋" w:eastAsia="仿宋"/>
                <w:sz w:val="21"/>
                <w:szCs w:val="21"/>
              </w:rPr>
              <w:t>售后服务内容完整齐全、响应时间优于采购需求且相应的措施合理有效、售后服务便捷性措施合理的得5分；</w:t>
            </w:r>
          </w:p>
          <w:p w14:paraId="33D7FB69">
            <w:pPr>
              <w:spacing w:line="400" w:lineRule="exact"/>
              <w:rPr>
                <w:rFonts w:hint="eastAsia" w:ascii="仿宋" w:hAnsi="仿宋" w:eastAsia="仿宋"/>
                <w:sz w:val="21"/>
                <w:szCs w:val="21"/>
              </w:rPr>
            </w:pPr>
            <w:r>
              <w:rPr>
                <w:rFonts w:hint="eastAsia" w:ascii="仿宋" w:hAnsi="仿宋" w:eastAsia="仿宋"/>
                <w:sz w:val="21"/>
                <w:szCs w:val="21"/>
              </w:rPr>
              <w:t>售后服务内容较为完整、响应时间满足采购需求且相应的措施合理有效、有售后服务便捷性保障措施的得3分；</w:t>
            </w:r>
          </w:p>
          <w:p w14:paraId="18171DBA">
            <w:pPr>
              <w:spacing w:line="400" w:lineRule="exact"/>
              <w:rPr>
                <w:rFonts w:hint="eastAsia" w:ascii="仿宋" w:hAnsi="仿宋" w:eastAsia="仿宋"/>
                <w:sz w:val="21"/>
                <w:szCs w:val="21"/>
              </w:rPr>
            </w:pPr>
            <w:r>
              <w:rPr>
                <w:rFonts w:hint="eastAsia" w:ascii="仿宋" w:hAnsi="仿宋" w:eastAsia="仿宋"/>
                <w:sz w:val="21"/>
                <w:szCs w:val="21"/>
              </w:rPr>
              <w:t>售后服务方案内容不完整但尚不影响履约的得1分；</w:t>
            </w:r>
          </w:p>
          <w:p w14:paraId="1F42AAE0">
            <w:pPr>
              <w:spacing w:line="400" w:lineRule="exact"/>
              <w:rPr>
                <w:rFonts w:hint="eastAsia"/>
                <w:sz w:val="21"/>
                <w:szCs w:val="21"/>
              </w:rPr>
            </w:pPr>
            <w:r>
              <w:rPr>
                <w:rFonts w:hint="eastAsia" w:ascii="仿宋" w:hAnsi="仿宋" w:eastAsia="仿宋"/>
                <w:sz w:val="21"/>
                <w:szCs w:val="21"/>
              </w:rPr>
              <w:t>无售后服务方案不得分。</w:t>
            </w:r>
          </w:p>
        </w:tc>
        <w:tc>
          <w:tcPr>
            <w:tcW w:w="701" w:type="dxa"/>
            <w:noWrap w:val="0"/>
            <w:vAlign w:val="center"/>
          </w:tcPr>
          <w:p w14:paraId="47B19A5B">
            <w:pPr>
              <w:spacing w:line="400" w:lineRule="exact"/>
              <w:jc w:val="center"/>
              <w:rPr>
                <w:rFonts w:hint="eastAsia" w:ascii="仿宋" w:hAnsi="仿宋" w:eastAsia="仿宋"/>
                <w:sz w:val="21"/>
                <w:szCs w:val="21"/>
              </w:rPr>
            </w:pPr>
            <w:r>
              <w:rPr>
                <w:rFonts w:hint="eastAsia" w:ascii="仿宋" w:hAnsi="仿宋" w:eastAsia="仿宋"/>
                <w:sz w:val="21"/>
                <w:szCs w:val="21"/>
              </w:rPr>
              <w:t>5</w:t>
            </w:r>
          </w:p>
        </w:tc>
      </w:tr>
      <w:tr w14:paraId="183B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10" w:type="dxa"/>
            <w:noWrap w:val="0"/>
            <w:vAlign w:val="center"/>
          </w:tcPr>
          <w:p w14:paraId="0EAA65EB">
            <w:pPr>
              <w:spacing w:line="400" w:lineRule="exact"/>
              <w:jc w:val="center"/>
              <w:rPr>
                <w:rFonts w:hint="eastAsia" w:ascii="仿宋" w:hAnsi="仿宋" w:eastAsia="仿宋"/>
                <w:sz w:val="21"/>
                <w:szCs w:val="21"/>
              </w:rPr>
            </w:pPr>
            <w:r>
              <w:rPr>
                <w:rFonts w:hint="eastAsia" w:ascii="仿宋" w:hAnsi="仿宋" w:eastAsia="仿宋"/>
                <w:sz w:val="21"/>
                <w:szCs w:val="21"/>
              </w:rPr>
              <w:t>6</w:t>
            </w:r>
          </w:p>
        </w:tc>
        <w:tc>
          <w:tcPr>
            <w:tcW w:w="7649" w:type="dxa"/>
            <w:noWrap w:val="0"/>
            <w:vAlign w:val="center"/>
          </w:tcPr>
          <w:p w14:paraId="0B67AFA7">
            <w:pPr>
              <w:spacing w:line="400" w:lineRule="exact"/>
              <w:rPr>
                <w:rFonts w:hint="eastAsia" w:ascii="仿宋" w:hAnsi="仿宋" w:eastAsia="仿宋"/>
                <w:sz w:val="21"/>
                <w:szCs w:val="21"/>
              </w:rPr>
            </w:pPr>
            <w:r>
              <w:rPr>
                <w:rFonts w:hint="eastAsia" w:ascii="仿宋" w:hAnsi="仿宋" w:eastAsia="仿宋"/>
                <w:sz w:val="21"/>
                <w:szCs w:val="21"/>
              </w:rPr>
              <w:t>业绩（3分）</w:t>
            </w:r>
          </w:p>
          <w:p w14:paraId="6B08C0DF">
            <w:pPr>
              <w:spacing w:line="400" w:lineRule="exact"/>
              <w:rPr>
                <w:rFonts w:hint="eastAsia" w:ascii="仿宋" w:hAnsi="仿宋" w:eastAsia="仿宋"/>
                <w:sz w:val="21"/>
                <w:szCs w:val="21"/>
              </w:rPr>
            </w:pPr>
            <w:r>
              <w:rPr>
                <w:rFonts w:hint="eastAsia" w:ascii="仿宋" w:hAnsi="仿宋" w:eastAsia="仿宋"/>
                <w:sz w:val="21"/>
                <w:szCs w:val="21"/>
              </w:rPr>
              <w:t>202</w:t>
            </w:r>
            <w:r>
              <w:rPr>
                <w:rFonts w:hint="eastAsia" w:ascii="仿宋" w:hAnsi="仿宋" w:eastAsia="仿宋"/>
                <w:sz w:val="21"/>
                <w:szCs w:val="21"/>
                <w:lang w:val="en-US" w:eastAsia="zh-CN"/>
              </w:rPr>
              <w:t>1</w:t>
            </w:r>
            <w:r>
              <w:rPr>
                <w:rFonts w:hint="eastAsia" w:ascii="仿宋" w:hAnsi="仿宋" w:eastAsia="仿宋"/>
                <w:sz w:val="21"/>
                <w:szCs w:val="21"/>
              </w:rPr>
              <w:t>年1月1日（以合同签订日期为准）-至今，投标人承担过救护车供货业绩的每提供1个得1分，满分3分。</w:t>
            </w:r>
          </w:p>
          <w:p w14:paraId="03D9F811">
            <w:pPr>
              <w:spacing w:line="400" w:lineRule="exact"/>
              <w:rPr>
                <w:rFonts w:hint="eastAsia" w:ascii="仿宋" w:hAnsi="仿宋" w:eastAsia="仿宋"/>
                <w:sz w:val="21"/>
                <w:szCs w:val="21"/>
              </w:rPr>
            </w:pPr>
            <w:r>
              <w:rPr>
                <w:rFonts w:hint="eastAsia" w:ascii="仿宋" w:hAnsi="仿宋" w:eastAsia="仿宋"/>
                <w:b/>
                <w:bCs/>
                <w:sz w:val="21"/>
                <w:szCs w:val="21"/>
              </w:rPr>
              <w:t>注：以上业绩需提供</w:t>
            </w:r>
            <w:bookmarkStart w:id="569" w:name="_GoBack"/>
            <w:bookmarkEnd w:id="569"/>
            <w:r>
              <w:rPr>
                <w:rFonts w:hint="eastAsia" w:ascii="仿宋" w:hAnsi="仿宋" w:eastAsia="仿宋"/>
                <w:b/>
                <w:bCs/>
                <w:sz w:val="21"/>
                <w:szCs w:val="21"/>
              </w:rPr>
              <w:t>合同复印件加盖单位公章，证明资料缺一不得分。</w:t>
            </w:r>
          </w:p>
        </w:tc>
        <w:tc>
          <w:tcPr>
            <w:tcW w:w="701" w:type="dxa"/>
            <w:noWrap w:val="0"/>
            <w:vAlign w:val="center"/>
          </w:tcPr>
          <w:p w14:paraId="4AE09A70">
            <w:pPr>
              <w:spacing w:line="400" w:lineRule="exact"/>
              <w:jc w:val="center"/>
              <w:rPr>
                <w:rFonts w:hint="eastAsia" w:ascii="仿宋" w:hAnsi="仿宋" w:eastAsia="仿宋"/>
                <w:sz w:val="21"/>
                <w:szCs w:val="21"/>
              </w:rPr>
            </w:pPr>
            <w:r>
              <w:rPr>
                <w:rFonts w:hint="eastAsia" w:ascii="仿宋" w:hAnsi="仿宋" w:eastAsia="仿宋"/>
                <w:sz w:val="21"/>
                <w:szCs w:val="21"/>
              </w:rPr>
              <w:t>3</w:t>
            </w:r>
          </w:p>
        </w:tc>
      </w:tr>
      <w:tr w14:paraId="26A5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0" w:type="dxa"/>
            <w:noWrap w:val="0"/>
            <w:vAlign w:val="center"/>
          </w:tcPr>
          <w:p w14:paraId="66F93D40">
            <w:pPr>
              <w:spacing w:line="400" w:lineRule="exact"/>
              <w:jc w:val="center"/>
              <w:rPr>
                <w:rFonts w:hint="eastAsia" w:ascii="仿宋" w:hAnsi="仿宋" w:eastAsia="仿宋"/>
                <w:sz w:val="21"/>
                <w:szCs w:val="21"/>
              </w:rPr>
            </w:pPr>
            <w:r>
              <w:rPr>
                <w:rFonts w:hint="eastAsia" w:ascii="仿宋" w:hAnsi="仿宋" w:eastAsia="仿宋"/>
                <w:sz w:val="21"/>
                <w:szCs w:val="21"/>
              </w:rPr>
              <w:t>7</w:t>
            </w:r>
          </w:p>
        </w:tc>
        <w:tc>
          <w:tcPr>
            <w:tcW w:w="7649" w:type="dxa"/>
            <w:noWrap w:val="0"/>
            <w:vAlign w:val="center"/>
          </w:tcPr>
          <w:p w14:paraId="7F65344B">
            <w:pPr>
              <w:spacing w:line="400" w:lineRule="exact"/>
              <w:jc w:val="left"/>
              <w:rPr>
                <w:rFonts w:hint="eastAsia" w:ascii="仿宋" w:hAnsi="仿宋" w:eastAsia="仿宋"/>
                <w:sz w:val="21"/>
                <w:szCs w:val="21"/>
              </w:rPr>
            </w:pPr>
            <w:r>
              <w:rPr>
                <w:rFonts w:hint="eastAsia" w:ascii="仿宋" w:hAnsi="仿宋" w:eastAsia="仿宋"/>
                <w:sz w:val="21"/>
                <w:szCs w:val="21"/>
              </w:rPr>
              <w:t>满足招标文件要求且参与评审价格最低为评标基准价，其价格分为满分。</w:t>
            </w:r>
          </w:p>
          <w:p w14:paraId="3219E9BD">
            <w:pPr>
              <w:spacing w:line="400" w:lineRule="exact"/>
              <w:jc w:val="left"/>
              <w:rPr>
                <w:rFonts w:hint="eastAsia" w:ascii="仿宋" w:hAnsi="仿宋" w:eastAsia="仿宋"/>
                <w:sz w:val="21"/>
                <w:szCs w:val="21"/>
              </w:rPr>
            </w:pPr>
            <w:r>
              <w:rPr>
                <w:rFonts w:hint="eastAsia" w:ascii="仿宋" w:hAnsi="仿宋" w:eastAsia="仿宋"/>
                <w:sz w:val="21"/>
                <w:szCs w:val="21"/>
              </w:rPr>
              <w:t>其他投标人的价格分按照下列公式计算：</w:t>
            </w:r>
          </w:p>
          <w:p w14:paraId="604A55F1">
            <w:pPr>
              <w:spacing w:line="400" w:lineRule="exact"/>
              <w:jc w:val="left"/>
              <w:rPr>
                <w:rFonts w:hint="eastAsia" w:ascii="仿宋" w:hAnsi="仿宋" w:eastAsia="仿宋"/>
                <w:sz w:val="21"/>
                <w:szCs w:val="21"/>
              </w:rPr>
            </w:pPr>
            <w:r>
              <w:rPr>
                <w:rFonts w:hint="eastAsia" w:ascii="仿宋" w:hAnsi="仿宋" w:eastAsia="仿宋"/>
                <w:sz w:val="21"/>
                <w:szCs w:val="21"/>
              </w:rPr>
              <w:t>参与评审价格=投标报价－小微企业价格扣除优惠值10%（如有）</w:t>
            </w:r>
          </w:p>
          <w:p w14:paraId="044741DE">
            <w:pPr>
              <w:spacing w:line="400" w:lineRule="exact"/>
              <w:jc w:val="left"/>
              <w:rPr>
                <w:rFonts w:hint="eastAsia" w:ascii="仿宋" w:hAnsi="仿宋" w:eastAsia="仿宋"/>
                <w:sz w:val="21"/>
                <w:szCs w:val="21"/>
              </w:rPr>
            </w:pPr>
            <w:r>
              <w:rPr>
                <w:rFonts w:hint="eastAsia" w:ascii="仿宋" w:hAnsi="仿宋" w:eastAsia="仿宋"/>
                <w:sz w:val="21"/>
                <w:szCs w:val="21"/>
              </w:rPr>
              <w:t>价格分=（评标基准价/参与评审的价格）×30</w:t>
            </w:r>
          </w:p>
          <w:p w14:paraId="35872B30">
            <w:pPr>
              <w:spacing w:line="400" w:lineRule="exact"/>
              <w:rPr>
                <w:rFonts w:hint="eastAsia" w:ascii="仿宋" w:hAnsi="仿宋" w:eastAsia="仿宋" w:cs="宋体"/>
                <w:sz w:val="21"/>
                <w:szCs w:val="21"/>
                <w:lang w:bidi="ar"/>
              </w:rPr>
            </w:pPr>
            <w:r>
              <w:rPr>
                <w:rFonts w:hint="eastAsia" w:ascii="仿宋" w:hAnsi="仿宋" w:eastAsia="仿宋"/>
                <w:sz w:val="21"/>
                <w:szCs w:val="21"/>
              </w:rPr>
              <w:t>投标报价得分以四舍五入保留小数点后二位。</w:t>
            </w:r>
          </w:p>
        </w:tc>
        <w:tc>
          <w:tcPr>
            <w:tcW w:w="701" w:type="dxa"/>
            <w:noWrap w:val="0"/>
            <w:vAlign w:val="center"/>
          </w:tcPr>
          <w:p w14:paraId="7FF03EAD">
            <w:pPr>
              <w:spacing w:line="400" w:lineRule="exact"/>
              <w:jc w:val="center"/>
              <w:rPr>
                <w:rFonts w:hint="eastAsia" w:ascii="仿宋" w:hAnsi="仿宋" w:eastAsia="仿宋"/>
                <w:sz w:val="21"/>
                <w:szCs w:val="21"/>
              </w:rPr>
            </w:pPr>
            <w:r>
              <w:rPr>
                <w:rFonts w:hint="eastAsia" w:ascii="仿宋" w:hAnsi="仿宋" w:eastAsia="仿宋"/>
                <w:sz w:val="21"/>
                <w:szCs w:val="21"/>
              </w:rPr>
              <w:t>30</w:t>
            </w:r>
          </w:p>
        </w:tc>
      </w:tr>
    </w:tbl>
    <w:p w14:paraId="36EF3524">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kern w:val="0"/>
          <w:sz w:val="24"/>
          <w:lang w:val="zh-CN"/>
        </w:rPr>
        <w:t>供应商</w:t>
      </w:r>
      <w:r>
        <w:rPr>
          <w:rFonts w:hint="eastAsia" w:ascii="仿宋" w:hAnsi="仿宋" w:eastAsia="仿宋" w:cs="仿宋"/>
          <w:sz w:val="24"/>
        </w:rPr>
        <w:t>编制投标文件（商务技术文件部分）时，建议按此目录（序号和内容）提供评标标准相应的商务技术资料。</w:t>
      </w:r>
    </w:p>
    <w:p w14:paraId="3F937453">
      <w:pPr>
        <w:snapToGrid w:val="0"/>
        <w:spacing w:line="360" w:lineRule="auto"/>
        <w:ind w:firstLine="482" w:firstLineChars="150"/>
        <w:jc w:val="center"/>
        <w:rPr>
          <w:rFonts w:hint="eastAsia" w:ascii="仿宋" w:hAnsi="仿宋" w:eastAsia="仿宋" w:cs="仿宋"/>
          <w:b/>
          <w:sz w:val="32"/>
        </w:rPr>
      </w:pPr>
      <w:r>
        <w:rPr>
          <w:rFonts w:hint="eastAsia" w:ascii="仿宋" w:hAnsi="仿宋" w:eastAsia="仿宋" w:cs="仿宋"/>
          <w:b/>
          <w:sz w:val="32"/>
        </w:rPr>
        <w:t>一、评标方法</w:t>
      </w:r>
    </w:p>
    <w:p w14:paraId="7F5BA97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w:t>
      </w:r>
      <w:r>
        <w:rPr>
          <w:rFonts w:hint="eastAsia" w:ascii="仿宋" w:hAnsi="仿宋" w:eastAsia="仿宋" w:cs="仿宋"/>
          <w:kern w:val="0"/>
          <w:sz w:val="24"/>
          <w:lang w:val="zh-CN"/>
        </w:rPr>
        <w:t>供应商</w:t>
      </w:r>
      <w:r>
        <w:rPr>
          <w:rFonts w:hint="eastAsia" w:ascii="仿宋" w:hAnsi="仿宋" w:eastAsia="仿宋" w:cs="仿宋"/>
          <w:kern w:val="0"/>
          <w:sz w:val="24"/>
        </w:rPr>
        <w:t>为中标候选人的评标方法。</w:t>
      </w:r>
    </w:p>
    <w:p w14:paraId="4BD8E56A">
      <w:pPr>
        <w:snapToGrid w:val="0"/>
        <w:spacing w:before="120" w:beforeLines="50" w:line="360" w:lineRule="auto"/>
        <w:ind w:firstLine="482" w:firstLineChars="150"/>
        <w:jc w:val="center"/>
        <w:rPr>
          <w:rFonts w:hint="eastAsia" w:ascii="仿宋" w:hAnsi="仿宋" w:eastAsia="仿宋" w:cs="仿宋"/>
          <w:b/>
          <w:sz w:val="32"/>
        </w:rPr>
      </w:pPr>
      <w:r>
        <w:rPr>
          <w:rFonts w:hint="eastAsia" w:ascii="仿宋" w:hAnsi="仿宋" w:eastAsia="仿宋" w:cs="仿宋"/>
          <w:b/>
          <w:sz w:val="32"/>
        </w:rPr>
        <w:t>二、评标标准</w:t>
      </w:r>
    </w:p>
    <w:p w14:paraId="45F82DB8">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A0120D4">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三、评标程序</w:t>
      </w:r>
    </w:p>
    <w:p w14:paraId="756C4A26">
      <w:pPr>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本项目为两阶段评标，先评商务技术文件，公布商务技术文件评审结果后，评审报价文件。具体流程参照浙财采监(2015)13号文件规定的评标流程。</w:t>
      </w:r>
    </w:p>
    <w:p w14:paraId="5D620768">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评标委员会应当对符合资格的</w:t>
      </w:r>
      <w:r>
        <w:rPr>
          <w:rFonts w:hint="eastAsia" w:ascii="仿宋" w:hAnsi="仿宋" w:eastAsia="仿宋" w:cs="仿宋"/>
          <w:kern w:val="0"/>
          <w:sz w:val="24"/>
          <w:lang w:val="zh-CN"/>
        </w:rPr>
        <w:t>供应商</w:t>
      </w:r>
      <w:r>
        <w:rPr>
          <w:rFonts w:hint="eastAsia" w:ascii="仿宋" w:hAnsi="仿宋" w:eastAsia="仿宋" w:cs="仿宋"/>
          <w:kern w:val="0"/>
          <w:sz w:val="24"/>
        </w:rPr>
        <w:t>的投标文件进行符合性审查，以确定其是否满足招标文件的实质性要求。不满足招标文件的实质性要求的，投标无效。</w:t>
      </w:r>
    </w:p>
    <w:p w14:paraId="17037578">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3.2 商务技术评审。</w:t>
      </w:r>
      <w:r>
        <w:rPr>
          <w:rFonts w:hint="eastAsia" w:ascii="仿宋" w:hAnsi="仿宋" w:eastAsia="仿宋" w:cs="仿宋"/>
          <w:kern w:val="0"/>
          <w:sz w:val="24"/>
        </w:rPr>
        <w:t>评标委员会应当按照招标文件中规定的评标方法和标准，对符合性审查合格的投标文件进行商务和技术评估。</w:t>
      </w:r>
    </w:p>
    <w:p w14:paraId="2EFB5072">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3.3 汇总商务技术得分。</w:t>
      </w:r>
      <w:r>
        <w:rPr>
          <w:rFonts w:hint="eastAsia" w:ascii="仿宋" w:hAnsi="仿宋" w:eastAsia="仿宋" w:cs="仿宋"/>
          <w:kern w:val="0"/>
          <w:sz w:val="24"/>
        </w:rPr>
        <w:t>评标委员会各成员应当独立对每个</w:t>
      </w:r>
      <w:r>
        <w:rPr>
          <w:rFonts w:hint="eastAsia" w:ascii="仿宋" w:hAnsi="仿宋" w:eastAsia="仿宋" w:cs="仿宋"/>
          <w:kern w:val="0"/>
          <w:sz w:val="24"/>
          <w:lang w:val="zh-CN"/>
        </w:rPr>
        <w:t>供应商</w:t>
      </w:r>
      <w:r>
        <w:rPr>
          <w:rFonts w:hint="eastAsia" w:ascii="仿宋" w:hAnsi="仿宋" w:eastAsia="仿宋" w:cs="仿宋"/>
          <w:kern w:val="0"/>
          <w:sz w:val="24"/>
        </w:rPr>
        <w:t>的商务和技术文件进行评价，并汇总商务技术得分情况。</w:t>
      </w:r>
    </w:p>
    <w:p w14:paraId="42258469">
      <w:pPr>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3.4 报价评审。</w:t>
      </w:r>
    </w:p>
    <w:p w14:paraId="534D52BC">
      <w:pPr>
        <w:pStyle w:val="73"/>
        <w:spacing w:before="0"/>
        <w:ind w:firstLine="480"/>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44BF5D3B">
      <w:pPr>
        <w:pStyle w:val="73"/>
        <w:spacing w:before="0"/>
        <w:ind w:firstLine="480"/>
        <w:rPr>
          <w:rFonts w:hint="eastAsia" w:ascii="仿宋" w:hAnsi="仿宋" w:eastAsia="仿宋" w:cs="仿宋"/>
          <w:kern w:val="0"/>
        </w:rPr>
      </w:pPr>
      <w:r>
        <w:rPr>
          <w:rFonts w:hint="eastAsia" w:ascii="仿宋" w:hAnsi="仿宋" w:eastAsia="仿宋" w:cs="仿宋"/>
          <w:kern w:val="0"/>
        </w:rPr>
        <w:t>3.4.1.1电子交易平台生成的开标记录表(报价表)内容与投标文件中开标一览表(报价表)不一致的，以投标文件中开标一览表(报价表)为准；</w:t>
      </w:r>
    </w:p>
    <w:p w14:paraId="7FA93FC2">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3.4.1.2</w:t>
      </w:r>
      <w:r>
        <w:rPr>
          <w:rFonts w:hint="eastAsia" w:ascii="仿宋" w:hAnsi="仿宋" w:eastAsia="仿宋" w:cs="仿宋"/>
          <w:kern w:val="0"/>
        </w:rPr>
        <w:t>投标文件中开标一览表(报价表)内容与投标文件中相应内容不一致的，以开标一览表(报价表)为准；</w:t>
      </w:r>
    </w:p>
    <w:p w14:paraId="7816656A">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3.4.1.3 大写金额和小写金额不一致的，以大写金额为准;</w:t>
      </w:r>
    </w:p>
    <w:p w14:paraId="007238EE">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3.4.1.4 单价金额小数点或者百分比有明显错位的，以开标一览表的总价为准，并修改单价;</w:t>
      </w:r>
    </w:p>
    <w:p w14:paraId="03CEA043">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3.4.1.5 总价金额与按单价汇总金额不一致的，以单价金额计算结果为准；</w:t>
      </w:r>
    </w:p>
    <w:p w14:paraId="3713073E">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3.4.1.6同时出现两种以上不一致的，按照3.4.1规定的顺序修正。修正后的报价按照财政部第87号令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kern w:val="0"/>
          <w:lang w:val="zh-CN"/>
        </w:rPr>
        <w:t>供应商</w:t>
      </w:r>
      <w:r>
        <w:rPr>
          <w:rFonts w:hint="eastAsia" w:ascii="仿宋" w:hAnsi="仿宋" w:eastAsia="仿宋" w:cs="仿宋"/>
          <w:kern w:val="0"/>
          <w:szCs w:val="24"/>
        </w:rPr>
        <w:t>确认后产生约束力。</w:t>
      </w:r>
    </w:p>
    <w:p w14:paraId="3950FF3F">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4B92C6BC">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77A33B93">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w:t>
      </w:r>
      <w:r>
        <w:rPr>
          <w:rFonts w:hint="eastAsia" w:ascii="仿宋" w:hAnsi="仿宋" w:eastAsia="仿宋" w:cs="仿宋"/>
          <w:kern w:val="0"/>
          <w:lang w:val="zh-CN"/>
        </w:rPr>
        <w:t>供应商</w:t>
      </w:r>
      <w:r>
        <w:rPr>
          <w:rFonts w:hint="eastAsia" w:ascii="仿宋" w:hAnsi="仿宋" w:eastAsia="仿宋" w:cs="仿宋"/>
          <w:kern w:val="0"/>
          <w:szCs w:val="24"/>
        </w:rPr>
        <w:t>的报价明显低于其他通过符合性审查</w:t>
      </w:r>
      <w:r>
        <w:rPr>
          <w:rFonts w:hint="eastAsia" w:ascii="仿宋" w:hAnsi="仿宋" w:eastAsia="仿宋" w:cs="仿宋"/>
          <w:kern w:val="0"/>
          <w:lang w:val="zh-CN"/>
        </w:rPr>
        <w:t>供应商</w:t>
      </w:r>
      <w:r>
        <w:rPr>
          <w:rFonts w:hint="eastAsia" w:ascii="仿宋" w:hAnsi="仿宋" w:eastAsia="仿宋" w:cs="仿宋"/>
          <w:kern w:val="0"/>
          <w:szCs w:val="24"/>
        </w:rPr>
        <w:t>的报价，有可能影响产品质量或者不能诚信履约的，应当要求其在30分钟内提供书面说明，必要时提交相关证明材料;</w:t>
      </w:r>
      <w:r>
        <w:rPr>
          <w:rFonts w:hint="eastAsia" w:ascii="仿宋" w:hAnsi="仿宋" w:eastAsia="仿宋" w:cs="仿宋"/>
          <w:kern w:val="0"/>
          <w:lang w:val="zh-CN"/>
        </w:rPr>
        <w:t>供应商</w:t>
      </w:r>
      <w:r>
        <w:rPr>
          <w:rFonts w:hint="eastAsia" w:ascii="仿宋" w:hAnsi="仿宋" w:eastAsia="仿宋" w:cs="仿宋"/>
          <w:kern w:val="0"/>
          <w:szCs w:val="24"/>
        </w:rPr>
        <w:t>不能证明其报价合理性的，评标委员会应当将其作为无效投标处理。</w:t>
      </w:r>
    </w:p>
    <w:p w14:paraId="17F3932A">
      <w:pPr>
        <w:pStyle w:val="73"/>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4</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7D76E251">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373905">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四、评标中的其他事项</w:t>
      </w:r>
    </w:p>
    <w:p w14:paraId="18D27ABC">
      <w:pPr>
        <w:pStyle w:val="73"/>
        <w:spacing w:before="0"/>
        <w:ind w:firstLine="482"/>
        <w:rPr>
          <w:rFonts w:hint="eastAsia" w:ascii="仿宋" w:hAnsi="仿宋" w:eastAsia="仿宋" w:cs="仿宋"/>
          <w:kern w:val="0"/>
          <w:szCs w:val="24"/>
        </w:rPr>
      </w:pPr>
      <w:r>
        <w:rPr>
          <w:rFonts w:hint="eastAsia" w:ascii="仿宋" w:hAnsi="仿宋" w:eastAsia="仿宋" w:cs="仿宋"/>
          <w:b/>
          <w:kern w:val="0"/>
          <w:szCs w:val="24"/>
        </w:rPr>
        <w:t>4.1投标澄清、说明或者补正。</w:t>
      </w:r>
      <w:r>
        <w:rPr>
          <w:rFonts w:hint="eastAsia" w:ascii="仿宋" w:hAnsi="仿宋" w:eastAsia="仿宋" w:cs="仿宋"/>
          <w:kern w:val="0"/>
          <w:szCs w:val="24"/>
        </w:rPr>
        <w:t>对于投标文件中含义不明确、同类问题表述不一致或者有明显文字和计算错误的内容需要</w:t>
      </w:r>
      <w:r>
        <w:rPr>
          <w:rFonts w:hint="eastAsia" w:ascii="仿宋" w:hAnsi="仿宋" w:eastAsia="仿宋" w:cs="仿宋"/>
          <w:kern w:val="0"/>
          <w:lang w:val="zh-CN"/>
        </w:rPr>
        <w:t>供应商</w:t>
      </w:r>
      <w:r>
        <w:rPr>
          <w:rFonts w:hint="eastAsia" w:ascii="仿宋" w:hAnsi="仿宋" w:eastAsia="仿宋" w:cs="仿宋"/>
          <w:kern w:val="0"/>
          <w:szCs w:val="24"/>
        </w:rPr>
        <w:t>作出必要的澄清、说明或者补正的，评标委员会和</w:t>
      </w:r>
      <w:r>
        <w:rPr>
          <w:rFonts w:hint="eastAsia" w:ascii="仿宋" w:hAnsi="仿宋" w:eastAsia="仿宋" w:cs="仿宋"/>
          <w:kern w:val="0"/>
          <w:lang w:val="zh-CN"/>
        </w:rPr>
        <w:t>供应商</w:t>
      </w:r>
      <w:r>
        <w:rPr>
          <w:rFonts w:hint="eastAsia" w:ascii="仿宋" w:hAnsi="仿宋" w:eastAsia="仿宋" w:cs="仿宋"/>
          <w:kern w:val="0"/>
          <w:szCs w:val="24"/>
        </w:rPr>
        <w:t>通过电子交易平台交换数据电文，</w:t>
      </w:r>
      <w:r>
        <w:rPr>
          <w:rFonts w:hint="eastAsia" w:ascii="仿宋" w:hAnsi="仿宋" w:eastAsia="仿宋" w:cs="仿宋"/>
          <w:kern w:val="0"/>
          <w:lang w:val="zh-CN"/>
        </w:rPr>
        <w:t>供应商</w:t>
      </w:r>
      <w:r>
        <w:rPr>
          <w:rFonts w:hint="eastAsia" w:ascii="仿宋" w:hAnsi="仿宋" w:eastAsia="仿宋" w:cs="仿宋"/>
          <w:kern w:val="0"/>
          <w:szCs w:val="24"/>
        </w:rPr>
        <w:t>提交使用电子签名的相关数据电文或通过平台上传加盖公章的扫描件。给予</w:t>
      </w:r>
      <w:r>
        <w:rPr>
          <w:rFonts w:hint="eastAsia" w:ascii="仿宋" w:hAnsi="仿宋" w:eastAsia="仿宋" w:cs="仿宋"/>
          <w:kern w:val="0"/>
          <w:lang w:val="zh-CN"/>
        </w:rPr>
        <w:t>供应商</w:t>
      </w:r>
      <w:r>
        <w:rPr>
          <w:rFonts w:hint="eastAsia" w:ascii="仿宋" w:hAnsi="仿宋" w:eastAsia="仿宋" w:cs="仿宋"/>
          <w:kern w:val="0"/>
          <w:szCs w:val="24"/>
        </w:rPr>
        <w:t>提交澄清、说明或补正的时间不得少于半小时，</w:t>
      </w:r>
      <w:r>
        <w:rPr>
          <w:rFonts w:hint="eastAsia" w:ascii="仿宋" w:hAnsi="仿宋" w:eastAsia="仿宋" w:cs="仿宋"/>
          <w:kern w:val="0"/>
          <w:lang w:val="zh-CN"/>
        </w:rPr>
        <w:t>供应商</w:t>
      </w:r>
      <w:r>
        <w:rPr>
          <w:rFonts w:hint="eastAsia" w:ascii="仿宋" w:hAnsi="仿宋" w:eastAsia="仿宋" w:cs="仿宋"/>
          <w:kern w:val="0"/>
          <w:szCs w:val="24"/>
        </w:rPr>
        <w:t>已经明确表示澄清说明或补正完毕的除外。</w:t>
      </w:r>
      <w:r>
        <w:rPr>
          <w:rFonts w:hint="eastAsia" w:ascii="仿宋" w:hAnsi="仿宋" w:eastAsia="仿宋" w:cs="仿宋"/>
          <w:kern w:val="0"/>
          <w:lang w:val="zh-CN"/>
        </w:rPr>
        <w:t>供应商</w:t>
      </w:r>
      <w:r>
        <w:rPr>
          <w:rFonts w:hint="eastAsia" w:ascii="仿宋" w:hAnsi="仿宋" w:eastAsia="仿宋" w:cs="仿宋"/>
          <w:kern w:val="0"/>
          <w:szCs w:val="24"/>
        </w:rPr>
        <w:t>的澄清、说明或者补正不得超出投标文件的范围或者改变投标文件的实质性内容。</w:t>
      </w:r>
    </w:p>
    <w:p w14:paraId="4E281DDC">
      <w:pPr>
        <w:pStyle w:val="16"/>
        <w:spacing w:line="360" w:lineRule="auto"/>
        <w:ind w:firstLine="482"/>
        <w:rPr>
          <w:rFonts w:hint="eastAsia" w:ascii="仿宋" w:hAnsi="仿宋" w:eastAsia="仿宋" w:cs="仿宋"/>
          <w:szCs w:val="21"/>
        </w:rPr>
      </w:pPr>
      <w:r>
        <w:rPr>
          <w:rFonts w:hint="eastAsia" w:ascii="仿宋" w:hAnsi="仿宋" w:eastAsia="仿宋" w:cs="仿宋"/>
          <w:b/>
          <w:kern w:val="0"/>
        </w:rPr>
        <w:t>4.2投标无效的情形。</w:t>
      </w:r>
    </w:p>
    <w:p w14:paraId="0CDAE56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 没有响应招标文件实质性要求的投标将被视为无效投标。</w:t>
      </w:r>
      <w:r>
        <w:rPr>
          <w:rFonts w:hint="eastAsia" w:ascii="仿宋" w:hAnsi="仿宋" w:eastAsia="仿宋" w:cs="仿宋"/>
          <w:kern w:val="0"/>
          <w:sz w:val="24"/>
          <w:lang w:val="zh-CN"/>
        </w:rPr>
        <w:t>供应商</w:t>
      </w:r>
      <w:r>
        <w:rPr>
          <w:rFonts w:hint="eastAsia" w:ascii="仿宋" w:hAnsi="仿宋" w:eastAsia="仿宋" w:cs="仿宋"/>
          <w:kern w:val="0"/>
          <w:sz w:val="24"/>
        </w:rPr>
        <w:t>不得通过修正或撤消不合要求的偏离或保留从而使其投标成为实质上响应的投标，但经评标委员会认定属于</w:t>
      </w:r>
      <w:r>
        <w:rPr>
          <w:rFonts w:hint="eastAsia" w:ascii="仿宋" w:hAnsi="仿宋" w:eastAsia="仿宋" w:cs="仿宋"/>
          <w:kern w:val="0"/>
          <w:sz w:val="24"/>
          <w:lang w:val="zh-CN"/>
        </w:rPr>
        <w:t>供应商</w:t>
      </w:r>
      <w:r>
        <w:rPr>
          <w:rFonts w:hint="eastAsia" w:ascii="仿宋" w:hAnsi="仿宋" w:eastAsia="仿宋" w:cs="仿宋"/>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仿宋" w:hAnsi="仿宋" w:eastAsia="仿宋" w:cs="仿宋"/>
          <w:kern w:val="0"/>
          <w:sz w:val="24"/>
          <w:lang w:val="zh-CN"/>
        </w:rPr>
        <w:t>供应商</w:t>
      </w:r>
      <w:r>
        <w:rPr>
          <w:rFonts w:hint="eastAsia" w:ascii="仿宋" w:hAnsi="仿宋" w:eastAsia="仿宋" w:cs="仿宋"/>
          <w:kern w:val="0"/>
          <w:sz w:val="24"/>
        </w:rPr>
        <w:t>修改、补正投标文件后，不影响评标委员会对其投标文件所作的评价和评分结果。</w:t>
      </w:r>
    </w:p>
    <w:p w14:paraId="154D2E5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 在电子开评标时，如发现下列情形之一的，将被视为投标无效：</w:t>
      </w:r>
    </w:p>
    <w:p w14:paraId="381AA29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4.2.2.1电子投标文件解密失败的；</w:t>
      </w:r>
    </w:p>
    <w:p w14:paraId="6B0A2BB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4.2.2.2投标文件未按招标文件要求加密、签字、盖章的；（投标文件中加盖</w:t>
      </w:r>
      <w:r>
        <w:rPr>
          <w:rFonts w:hint="eastAsia" w:ascii="仿宋" w:hAnsi="仿宋" w:eastAsia="仿宋" w:cs="仿宋"/>
          <w:kern w:val="0"/>
          <w:sz w:val="24"/>
          <w:lang w:val="zh-CN"/>
        </w:rPr>
        <w:t>供应商</w:t>
      </w:r>
      <w:r>
        <w:rPr>
          <w:rFonts w:hint="eastAsia" w:ascii="仿宋" w:hAnsi="仿宋" w:eastAsia="仿宋" w:cs="仿宋"/>
          <w:kern w:val="0"/>
          <w:sz w:val="24"/>
        </w:rPr>
        <w:t>公章部分均须CA签章。）</w:t>
      </w:r>
    </w:p>
    <w:p w14:paraId="734DB1D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 在资格审查、符合性审查和商务评审时，如发现下列情形之一的，将被视为投标无效：</w:t>
      </w:r>
    </w:p>
    <w:p w14:paraId="6882902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4.2.3.1 资格证明文件不全的或者不符合招标文件标明的资格要求的；</w:t>
      </w:r>
    </w:p>
    <w:p w14:paraId="5158C61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4.2.3.2 投标文件未按招标文件要求签署、盖章影响效力的；</w:t>
      </w:r>
    </w:p>
    <w:p w14:paraId="7796486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4.2.3.3 投标代表人未能出具身份证明或身份证明与法定代表授权委托书不符的。</w:t>
      </w:r>
    </w:p>
    <w:p w14:paraId="6377281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4.2.3.4 投标文件格式不规范影响效力或影响评审的、项目不齐全或者内容虚假的；</w:t>
      </w:r>
    </w:p>
    <w:p w14:paraId="2797E4B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4.2.3.5 投标文件的实质性内容未使用中文表述、意思表述不明确、前后矛盾或者使用计量单位不符合招标文件要求的（经评标委员会认定并允许其当场更正的笔误除外）；</w:t>
      </w:r>
    </w:p>
    <w:p w14:paraId="3F36E78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4.2.3.6 投标有效期、交货时间、质保期等商务条款不能满足招标文件要求的；</w:t>
      </w:r>
    </w:p>
    <w:p w14:paraId="0FE807D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4.2.3.7 带“★”的条款不能满足招标文件要求、未实质性响应招标文件要求或者投标文件有采购人不能接受的附加条件的；</w:t>
      </w:r>
    </w:p>
    <w:p w14:paraId="03F61C6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4.2.3.8 单位负责人为同一人或者存在直接控股、管理关系的不同供应商参加同一合同项下的政府采购活动的；</w:t>
      </w:r>
    </w:p>
    <w:p w14:paraId="51D72F0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4.2.3.9 为采购项目提供整体设计、规范编制或者项目管理、监理、检测等服务的供应商参加该采购项目的其他采购活动的；</w:t>
      </w:r>
    </w:p>
    <w:p w14:paraId="59ED36F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4.2.3.10 商务技术文件中出现本项目投标报价或单价的。</w:t>
      </w:r>
    </w:p>
    <w:p w14:paraId="1372A97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4.3.在技术评审时，如发现下列情形之一的，将被视为投标无效：</w:t>
      </w:r>
    </w:p>
    <w:p w14:paraId="65E0CD8F">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4.3.1未提供或未如实提供投标货物的技术参数，或者投标文件标明的响应或偏离与事实不符或虚假投标的；</w:t>
      </w:r>
    </w:p>
    <w:p w14:paraId="2A591F0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4.3.2 明显不符合招标文件要求的规格型号、质量标准，或者与招标文件中标“★”的技术指标、主要功能项目发生实质性偏离的；</w:t>
      </w:r>
    </w:p>
    <w:p w14:paraId="73DE714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4.3.3 允许偏离的技术、性能指标或辅助功能项目发生负偏离达/项（含）以上的；</w:t>
      </w:r>
    </w:p>
    <w:p w14:paraId="2BBCD13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4.3.4 投标技术方案不明确，存在一个或一个以上备选（替代）投标方案的；</w:t>
      </w:r>
    </w:p>
    <w:p w14:paraId="58F0027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4.3.5 与其他参加本次投标</w:t>
      </w:r>
      <w:r>
        <w:rPr>
          <w:rFonts w:hint="eastAsia" w:ascii="仿宋" w:hAnsi="仿宋" w:eastAsia="仿宋" w:cs="仿宋"/>
          <w:kern w:val="0"/>
          <w:sz w:val="24"/>
          <w:lang w:val="zh-CN"/>
        </w:rPr>
        <w:t>供应商</w:t>
      </w:r>
      <w:r>
        <w:rPr>
          <w:rFonts w:hint="eastAsia" w:ascii="仿宋" w:hAnsi="仿宋" w:eastAsia="仿宋" w:cs="仿宋"/>
          <w:kern w:val="0"/>
          <w:sz w:val="24"/>
        </w:rPr>
        <w:t>的投标文件（技术文件）的文字表述内容差错相同2处以上的；</w:t>
      </w:r>
    </w:p>
    <w:p w14:paraId="101908E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4.3.6 采购人拟采购的产品属于政府强制采购的节能产品品目清单范围的，</w:t>
      </w:r>
      <w:r>
        <w:rPr>
          <w:rFonts w:hint="eastAsia" w:ascii="仿宋" w:hAnsi="仿宋" w:eastAsia="仿宋" w:cs="仿宋"/>
          <w:kern w:val="0"/>
          <w:sz w:val="24"/>
          <w:lang w:val="zh-CN"/>
        </w:rPr>
        <w:t>供应商</w:t>
      </w:r>
      <w:r>
        <w:rPr>
          <w:rFonts w:hint="eastAsia" w:ascii="仿宋" w:hAnsi="仿宋" w:eastAsia="仿宋" w:cs="仿宋"/>
          <w:kern w:val="0"/>
          <w:sz w:val="24"/>
        </w:rPr>
        <w:t>未按招标文件要求提供国家确定的认证机构出具的、处于有效期之内的节能产品认证证书的。</w:t>
      </w:r>
    </w:p>
    <w:p w14:paraId="25B500B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 在报价评审时，如发现下列情形之一的，投标文件将被视为无效：</w:t>
      </w:r>
    </w:p>
    <w:p w14:paraId="56134E5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4.4.1 未采用人民币报价或者未按照招标文件标明的币种报价的；</w:t>
      </w:r>
    </w:p>
    <w:p w14:paraId="2A1B473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4.4.2 报价超出最高限价，或者超出采购预算金额的；</w:t>
      </w:r>
    </w:p>
    <w:p w14:paraId="110EDE9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4.4.3 投标报价具有选择性的；</w:t>
      </w:r>
    </w:p>
    <w:p w14:paraId="71C6AEC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4.4.4 投标报价中出现缺项、漏项或被评标委员会认定为有可能影响产品质量或者不能诚信履约的且不能在合理的时间内证明其报价合理性的；</w:t>
      </w:r>
    </w:p>
    <w:p w14:paraId="5713192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4.4.5供应商对根据修正原则修正后的报价不确认的。</w:t>
      </w:r>
    </w:p>
    <w:p w14:paraId="78AE702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4.5其他投标无效情形：</w:t>
      </w:r>
    </w:p>
    <w:p w14:paraId="6BEBE7F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4.5.1 不同</w:t>
      </w:r>
      <w:r>
        <w:rPr>
          <w:rFonts w:hint="eastAsia" w:ascii="仿宋" w:hAnsi="仿宋" w:eastAsia="仿宋" w:cs="仿宋"/>
          <w:kern w:val="0"/>
          <w:sz w:val="24"/>
          <w:lang w:val="zh-CN"/>
        </w:rPr>
        <w:t>供应商</w:t>
      </w:r>
      <w:r>
        <w:rPr>
          <w:rFonts w:hint="eastAsia" w:ascii="仿宋" w:hAnsi="仿宋" w:eastAsia="仿宋" w:cs="仿宋"/>
          <w:kern w:val="0"/>
          <w:sz w:val="24"/>
        </w:rPr>
        <w:t>的投标文件出自同一终端设备或在相同Internet主机分配地址（相同IP地址）进行网上报名、投标的；</w:t>
      </w:r>
    </w:p>
    <w:p w14:paraId="1764BFF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4.5.2 法律、法规、规章（适用本市的）及省级以上规范性文件（适用本市的）规定的其他无效情形。</w:t>
      </w:r>
    </w:p>
    <w:p w14:paraId="231EFDC5">
      <w:pPr>
        <w:pStyle w:val="16"/>
        <w:snapToGrid w:val="0"/>
        <w:spacing w:line="360" w:lineRule="auto"/>
        <w:ind w:firstLine="482"/>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721E66EA">
      <w:pPr>
        <w:pStyle w:val="1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1749C2E7">
      <w:pPr>
        <w:pStyle w:val="1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0552D4A5">
      <w:pPr>
        <w:pStyle w:val="16"/>
        <w:snapToGrid w:val="0"/>
        <w:spacing w:line="360" w:lineRule="auto"/>
        <w:rPr>
          <w:rFonts w:hint="eastAsia" w:ascii="仿宋" w:hAnsi="仿宋" w:eastAsia="仿宋" w:cs="仿宋"/>
        </w:rPr>
      </w:pPr>
      <w:r>
        <w:rPr>
          <w:rFonts w:hint="eastAsia" w:ascii="仿宋" w:hAnsi="仿宋" w:eastAsia="仿宋" w:cs="仿宋"/>
        </w:rPr>
        <w:t>5.3</w:t>
      </w:r>
      <w:r>
        <w:rPr>
          <w:rFonts w:hint="eastAsia" w:ascii="仿宋" w:hAnsi="仿宋" w:eastAsia="仿宋" w:cs="仿宋"/>
          <w:kern w:val="0"/>
          <w:lang w:val="zh-CN"/>
        </w:rPr>
        <w:t>供应商</w:t>
      </w:r>
      <w:r>
        <w:rPr>
          <w:rFonts w:hint="eastAsia" w:ascii="仿宋" w:hAnsi="仿宋" w:eastAsia="仿宋" w:cs="仿宋"/>
        </w:rPr>
        <w:t>的报价均超过了采购预算，采购人不能支付的；</w:t>
      </w:r>
    </w:p>
    <w:p w14:paraId="3FD0BD66">
      <w:pPr>
        <w:pStyle w:val="1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738DA14A">
      <w:pPr>
        <w:pStyle w:val="16"/>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w:t>
      </w:r>
      <w:r>
        <w:rPr>
          <w:rFonts w:hint="eastAsia" w:ascii="仿宋" w:hAnsi="仿宋" w:eastAsia="仿宋" w:cs="仿宋"/>
          <w:kern w:val="0"/>
          <w:lang w:val="zh-CN"/>
        </w:rPr>
        <w:t>供应商</w:t>
      </w:r>
      <w:r>
        <w:rPr>
          <w:rFonts w:hint="eastAsia" w:ascii="仿宋" w:hAnsi="仿宋" w:eastAsia="仿宋" w:cs="仿宋"/>
        </w:rPr>
        <w:t>。</w:t>
      </w:r>
    </w:p>
    <w:p w14:paraId="12A13733">
      <w:pPr>
        <w:pStyle w:val="16"/>
        <w:snapToGrid w:val="0"/>
        <w:spacing w:line="360" w:lineRule="auto"/>
        <w:ind w:firstLine="482"/>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668D2B1">
      <w:pPr>
        <w:pStyle w:val="16"/>
        <w:adjustRightInd w:val="0"/>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69B30998">
      <w:pPr>
        <w:pStyle w:val="16"/>
        <w:adjustRightInd w:val="0"/>
        <w:snapToGrid w:val="0"/>
        <w:spacing w:line="360" w:lineRule="auto"/>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14:paraId="7DF1AE83">
      <w:pPr>
        <w:pStyle w:val="16"/>
        <w:adjustRightInd w:val="0"/>
        <w:snapToGrid w:val="0"/>
        <w:spacing w:line="360" w:lineRule="auto"/>
        <w:rPr>
          <w:rFonts w:hint="eastAsia" w:ascii="仿宋" w:hAnsi="仿宋" w:eastAsia="仿宋" w:cs="仿宋"/>
        </w:rPr>
      </w:pPr>
      <w:r>
        <w:rPr>
          <w:rFonts w:hint="eastAsia" w:ascii="仿宋" w:hAnsi="仿宋" w:eastAsia="仿宋" w:cs="仿宋"/>
        </w:rPr>
        <w:t>7.2已确定中标或者中标人但尚未签订政府采购合同的，中标或者成交结果无效，重新开展政府采购活动。</w:t>
      </w:r>
    </w:p>
    <w:p w14:paraId="3DD2C0EE">
      <w:pPr>
        <w:pStyle w:val="16"/>
        <w:adjustRightInd w:val="0"/>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7.3政府采购合同已签订但尚未履行的，撤销合同，重新开展政府采购活动。</w:t>
      </w:r>
    </w:p>
    <w:p w14:paraId="573E5C8D">
      <w:pPr>
        <w:pStyle w:val="16"/>
        <w:adjustRightInd w:val="0"/>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3F6FA83C">
      <w:pPr>
        <w:pStyle w:val="16"/>
        <w:adjustRightInd w:val="0"/>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117"/>
      <w:bookmarkStart w:id="504" w:name="第五部分"/>
      <w:bookmarkStart w:id="505" w:name="_Toc86217003"/>
    </w:p>
    <w:p w14:paraId="3A535193">
      <w:pPr>
        <w:pStyle w:val="16"/>
        <w:numPr>
          <w:ilvl w:val="0"/>
          <w:numId w:val="5"/>
        </w:numPr>
        <w:adjustRightInd w:val="0"/>
        <w:snapToGrid w:val="0"/>
        <w:spacing w:line="360" w:lineRule="auto"/>
        <w:ind w:firstLine="0" w:firstLineChars="0"/>
        <w:jc w:val="center"/>
        <w:outlineLvl w:val="0"/>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 xml:space="preserve">   </w:t>
      </w:r>
      <w:r>
        <w:rPr>
          <w:rFonts w:hint="eastAsia" w:ascii="仿宋" w:hAnsi="仿宋" w:eastAsia="仿宋" w:cs="仿宋"/>
          <w:b/>
          <w:sz w:val="36"/>
          <w:szCs w:val="20"/>
        </w:rPr>
        <w:t>政府采购合同文本</w:t>
      </w:r>
    </w:p>
    <w:p w14:paraId="3564FB5B">
      <w:pPr>
        <w:spacing w:line="360" w:lineRule="auto"/>
        <w:rPr>
          <w:rFonts w:hint="eastAsia" w:ascii="仿宋" w:hAnsi="仿宋" w:eastAsia="仿宋" w:cs="仿宋"/>
          <w:sz w:val="24"/>
        </w:rPr>
      </w:pPr>
    </w:p>
    <w:p w14:paraId="37AC1137">
      <w:pPr>
        <w:spacing w:line="360" w:lineRule="auto"/>
        <w:rPr>
          <w:rFonts w:hint="eastAsia" w:ascii="仿宋" w:hAnsi="仿宋" w:eastAsia="仿宋" w:cs="仿宋"/>
          <w:sz w:val="24"/>
        </w:rPr>
      </w:pPr>
    </w:p>
    <w:p w14:paraId="6FFA266C">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117DA2D3">
      <w:pPr>
        <w:ind w:firstLine="560" w:firstLineChars="200"/>
        <w:rPr>
          <w:rFonts w:hint="eastAsia" w:ascii="Times New Roman" w:hAnsi="Times New Roman" w:eastAsia="仿宋_GB2312" w:cs="Times New Roman"/>
          <w:sz w:val="28"/>
        </w:rPr>
      </w:pPr>
    </w:p>
    <w:p w14:paraId="6AD59397">
      <w:pPr>
        <w:ind w:firstLine="560" w:firstLineChars="200"/>
        <w:rPr>
          <w:rFonts w:hint="eastAsia" w:ascii="Times New Roman" w:hAnsi="Times New Roman" w:eastAsia="仿宋_GB2312" w:cs="Times New Roman"/>
          <w:sz w:val="28"/>
        </w:rPr>
      </w:pPr>
    </w:p>
    <w:p w14:paraId="5BE9112B">
      <w:pPr>
        <w:ind w:firstLine="560" w:firstLineChars="200"/>
        <w:rPr>
          <w:rFonts w:ascii="Times New Roman" w:hAnsi="Times New Roman" w:eastAsia="仿宋_GB2312" w:cs="Times New Roman"/>
          <w:sz w:val="28"/>
        </w:rPr>
      </w:pPr>
    </w:p>
    <w:p w14:paraId="729FF449">
      <w:pPr>
        <w:snapToGrid w:val="0"/>
        <w:spacing w:before="156" w:after="156" w:line="720" w:lineRule="exact"/>
        <w:jc w:val="center"/>
        <w:rPr>
          <w:rFonts w:hint="eastAsia" w:ascii="仿宋" w:hAnsi="仿宋" w:eastAsia="仿宋" w:cs="Times New Roman"/>
          <w:b/>
          <w:snapToGrid w:val="0"/>
          <w:sz w:val="44"/>
          <w:szCs w:val="44"/>
        </w:rPr>
      </w:pPr>
      <w:r>
        <w:rPr>
          <w:rFonts w:hint="eastAsia" w:ascii="仿宋" w:hAnsi="仿宋" w:eastAsia="仿宋" w:cs="Times New Roman"/>
          <w:b/>
          <w:snapToGrid w:val="0"/>
          <w:sz w:val="44"/>
          <w:szCs w:val="44"/>
        </w:rPr>
        <w:t>宁波市急救中心北仑分中心救护车采购项目</w:t>
      </w:r>
    </w:p>
    <w:p w14:paraId="0CA89E6E">
      <w:pPr>
        <w:snapToGrid w:val="0"/>
        <w:spacing w:before="156" w:after="156" w:line="720" w:lineRule="exact"/>
        <w:jc w:val="center"/>
        <w:rPr>
          <w:rFonts w:hint="eastAsia" w:ascii="仿宋" w:hAnsi="仿宋" w:eastAsia="仿宋" w:cs="Times New Roman"/>
          <w:b/>
          <w:snapToGrid w:val="0"/>
          <w:sz w:val="44"/>
          <w:szCs w:val="44"/>
        </w:rPr>
      </w:pPr>
    </w:p>
    <w:p w14:paraId="61BDFF61">
      <w:pPr>
        <w:snapToGrid w:val="0"/>
        <w:spacing w:before="156" w:after="156" w:line="720" w:lineRule="exact"/>
        <w:jc w:val="center"/>
        <w:rPr>
          <w:rFonts w:hint="eastAsia" w:ascii="仿宋" w:hAnsi="仿宋" w:eastAsia="仿宋" w:cs="Times New Roman"/>
          <w:b/>
          <w:snapToGrid w:val="0"/>
          <w:sz w:val="44"/>
          <w:szCs w:val="44"/>
        </w:rPr>
      </w:pPr>
      <w:r>
        <w:rPr>
          <w:rFonts w:hint="eastAsia" w:ascii="仿宋" w:hAnsi="仿宋" w:eastAsia="仿宋" w:cs="Times New Roman"/>
          <w:b/>
          <w:snapToGrid w:val="0"/>
          <w:sz w:val="44"/>
          <w:szCs w:val="44"/>
        </w:rPr>
        <w:t>供货合同</w:t>
      </w:r>
    </w:p>
    <w:p w14:paraId="3487D44F">
      <w:pPr>
        <w:spacing w:before="120" w:line="360" w:lineRule="auto"/>
        <w:rPr>
          <w:rFonts w:hint="eastAsia" w:ascii="仿宋" w:hAnsi="仿宋" w:eastAsia="仿宋" w:cs="仿宋"/>
          <w:sz w:val="28"/>
          <w:szCs w:val="28"/>
        </w:rPr>
      </w:pPr>
    </w:p>
    <w:p w14:paraId="5C0F4D90">
      <w:pPr>
        <w:rPr>
          <w:rFonts w:ascii="Times New Roman" w:hAnsi="Times New Roman" w:eastAsia="宋体" w:cs="Times New Roman"/>
        </w:rPr>
      </w:pPr>
    </w:p>
    <w:p w14:paraId="2F4D5FD3">
      <w:pPr>
        <w:spacing w:line="360" w:lineRule="auto"/>
        <w:rPr>
          <w:rFonts w:ascii="仿宋" w:hAnsi="仿宋" w:eastAsia="仿宋" w:cs="仿宋"/>
          <w:sz w:val="28"/>
          <w:szCs w:val="28"/>
        </w:rPr>
      </w:pPr>
    </w:p>
    <w:p w14:paraId="6F69EE69">
      <w:pPr>
        <w:spacing w:before="120" w:line="480" w:lineRule="auto"/>
        <w:ind w:firstLine="840" w:firstLineChars="300"/>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 xml:space="preserve">宁波市急救中心北仑分中心               </w:t>
      </w:r>
    </w:p>
    <w:p w14:paraId="29A5FC49">
      <w:pPr>
        <w:spacing w:before="120" w:line="480" w:lineRule="auto"/>
        <w:ind w:firstLine="840" w:firstLineChars="300"/>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p>
    <w:p w14:paraId="14C23E10">
      <w:pPr>
        <w:spacing w:before="120" w:line="480" w:lineRule="auto"/>
        <w:rPr>
          <w:rFonts w:ascii="仿宋" w:hAnsi="仿宋" w:eastAsia="仿宋" w:cs="仿宋"/>
          <w:sz w:val="28"/>
          <w:szCs w:val="28"/>
        </w:rPr>
      </w:pPr>
    </w:p>
    <w:p w14:paraId="5ADD495F">
      <w:pPr>
        <w:spacing w:before="120" w:line="480" w:lineRule="auto"/>
        <w:ind w:firstLine="840" w:firstLineChars="300"/>
        <w:rPr>
          <w:rFonts w:ascii="仿宋" w:hAnsi="仿宋" w:eastAsia="仿宋" w:cs="仿宋"/>
          <w:sz w:val="28"/>
          <w:szCs w:val="28"/>
        </w:rPr>
      </w:pPr>
      <w:r>
        <w:rPr>
          <w:rFonts w:hint="eastAsia" w:ascii="仿宋" w:hAnsi="仿宋" w:eastAsia="仿宋" w:cs="仿宋"/>
          <w:sz w:val="28"/>
          <w:szCs w:val="28"/>
        </w:rPr>
        <w:t>签订地：</w:t>
      </w:r>
      <w:r>
        <w:rPr>
          <w:rFonts w:hint="eastAsia" w:ascii="仿宋" w:hAnsi="仿宋" w:eastAsia="仿宋" w:cs="仿宋"/>
          <w:sz w:val="28"/>
          <w:szCs w:val="28"/>
          <w:u w:val="single"/>
        </w:rPr>
        <w:t>宁波</w:t>
      </w:r>
      <w:r>
        <w:rPr>
          <w:rFonts w:hint="eastAsia" w:ascii="仿宋" w:hAnsi="仿宋" w:eastAsia="仿宋" w:cs="仿宋"/>
          <w:sz w:val="28"/>
          <w:szCs w:val="28"/>
          <w:u w:val="single"/>
          <w:lang w:val="en-US" w:eastAsia="zh-CN"/>
        </w:rPr>
        <w:t>北仑</w:t>
      </w:r>
      <w:r>
        <w:rPr>
          <w:rFonts w:hint="eastAsia" w:ascii="仿宋" w:hAnsi="仿宋" w:eastAsia="仿宋" w:cs="仿宋"/>
          <w:sz w:val="28"/>
          <w:szCs w:val="28"/>
          <w:u w:val="single"/>
        </w:rPr>
        <w:t xml:space="preserve">                             </w:t>
      </w:r>
    </w:p>
    <w:p w14:paraId="04FEDFF6">
      <w:pPr>
        <w:pStyle w:val="17"/>
        <w:snapToGrid w:val="0"/>
        <w:spacing w:before="156" w:after="156" w:line="420" w:lineRule="exact"/>
        <w:ind w:firstLine="840" w:firstLineChars="300"/>
        <w:jc w:val="both"/>
        <w:rPr>
          <w:rFonts w:hint="eastAsia" w:ascii="仿宋" w:hAnsi="仿宋" w:eastAsia="仿宋" w:cs="仿宋"/>
          <w:sz w:val="28"/>
          <w:szCs w:val="28"/>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3DDAB8B">
      <w:pPr>
        <w:pStyle w:val="17"/>
        <w:snapToGrid w:val="0"/>
        <w:spacing w:before="156" w:after="156" w:line="420" w:lineRule="exact"/>
        <w:ind w:firstLine="840" w:firstLineChars="300"/>
        <w:jc w:val="center"/>
        <w:rPr>
          <w:rFonts w:hint="eastAsia" w:ascii="仿宋" w:hAnsi="仿宋" w:eastAsia="仿宋"/>
          <w:b/>
          <w:sz w:val="28"/>
          <w:szCs w:val="28"/>
        </w:rPr>
      </w:pPr>
      <w:r>
        <w:rPr>
          <w:rFonts w:hint="eastAsia" w:ascii="仿宋" w:hAnsi="仿宋" w:eastAsia="仿宋" w:cs="仿宋"/>
          <w:sz w:val="28"/>
          <w:szCs w:val="28"/>
        </w:rPr>
        <w:br w:type="page"/>
      </w:r>
      <w:r>
        <w:rPr>
          <w:rFonts w:hint="eastAsia" w:ascii="仿宋" w:hAnsi="仿宋" w:eastAsia="仿宋"/>
          <w:b/>
          <w:sz w:val="28"/>
          <w:szCs w:val="28"/>
        </w:rPr>
        <w:t>宁波市急救中心北仑分中心救护车采购项目</w:t>
      </w:r>
      <w:r>
        <w:rPr>
          <w:rFonts w:hint="eastAsia" w:ascii="仿宋" w:hAnsi="仿宋" w:eastAsia="仿宋"/>
          <w:b/>
          <w:sz w:val="28"/>
          <w:szCs w:val="28"/>
          <w:lang w:val="en-US" w:eastAsia="zh-CN"/>
        </w:rPr>
        <w:t>供货</w:t>
      </w:r>
      <w:r>
        <w:rPr>
          <w:rFonts w:hint="eastAsia" w:ascii="仿宋" w:hAnsi="仿宋" w:eastAsia="仿宋"/>
          <w:b/>
          <w:sz w:val="28"/>
          <w:szCs w:val="28"/>
        </w:rPr>
        <w:t>合同</w:t>
      </w:r>
    </w:p>
    <w:p w14:paraId="69A338D2">
      <w:pPr>
        <w:pStyle w:val="17"/>
        <w:snapToGrid w:val="0"/>
        <w:spacing w:before="156" w:after="156" w:line="420" w:lineRule="exact"/>
        <w:jc w:val="center"/>
        <w:rPr>
          <w:rFonts w:hint="eastAsia" w:ascii="仿宋" w:hAnsi="仿宋" w:eastAsia="仿宋"/>
          <w:b/>
          <w:sz w:val="28"/>
          <w:szCs w:val="28"/>
        </w:rPr>
      </w:pPr>
    </w:p>
    <w:p w14:paraId="33DB954A">
      <w:pPr>
        <w:spacing w:line="360" w:lineRule="auto"/>
        <w:rPr>
          <w:rFonts w:ascii="仿宋" w:hAnsi="仿宋" w:eastAsia="仿宋"/>
          <w:b/>
          <w:sz w:val="24"/>
          <w:u w:val="single"/>
        </w:rPr>
      </w:pPr>
      <w:r>
        <w:rPr>
          <w:rFonts w:hint="eastAsia" w:ascii="仿宋" w:hAnsi="仿宋" w:eastAsia="仿宋"/>
          <w:b/>
          <w:sz w:val="24"/>
        </w:rPr>
        <w:t>甲方（发包人）：</w:t>
      </w:r>
      <w:r>
        <w:rPr>
          <w:rFonts w:hint="eastAsia" w:ascii="仿宋" w:hAnsi="仿宋" w:eastAsia="仿宋"/>
          <w:b/>
          <w:sz w:val="24"/>
          <w:u w:val="thick"/>
        </w:rPr>
        <w:t xml:space="preserve">宁波市急救中心北仑分中心 </w:t>
      </w:r>
      <w:r>
        <w:rPr>
          <w:rFonts w:hint="eastAsia" w:ascii="仿宋" w:hAnsi="仿宋" w:eastAsia="仿宋" w:cs="宋体"/>
          <w:bCs/>
          <w:szCs w:val="21"/>
        </w:rPr>
        <w:t>（以下简称甲方）</w:t>
      </w:r>
    </w:p>
    <w:p w14:paraId="57F0F802">
      <w:pPr>
        <w:spacing w:line="360" w:lineRule="auto"/>
        <w:rPr>
          <w:rFonts w:ascii="仿宋" w:hAnsi="仿宋" w:eastAsia="仿宋"/>
          <w:b/>
          <w:sz w:val="24"/>
        </w:rPr>
      </w:pPr>
      <w:r>
        <w:rPr>
          <w:rFonts w:hint="eastAsia" w:ascii="仿宋" w:hAnsi="仿宋" w:eastAsia="仿宋"/>
          <w:b/>
          <w:sz w:val="24"/>
        </w:rPr>
        <w:t>乙方（承包人）：</w:t>
      </w:r>
      <w:r>
        <w:rPr>
          <w:rFonts w:hint="eastAsia" w:ascii="仿宋" w:hAnsi="仿宋" w:eastAsia="仿宋"/>
          <w:b/>
          <w:sz w:val="24"/>
          <w:u w:val="single"/>
        </w:rPr>
        <w:t xml:space="preserve">                          </w:t>
      </w:r>
      <w:r>
        <w:rPr>
          <w:rFonts w:hint="eastAsia" w:ascii="仿宋" w:hAnsi="仿宋" w:eastAsia="仿宋" w:cs="宋体"/>
          <w:bCs/>
          <w:szCs w:val="21"/>
        </w:rPr>
        <w:t>（以下简称乙方）</w:t>
      </w:r>
    </w:p>
    <w:p w14:paraId="5E250B05">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202</w:t>
      </w:r>
      <w:r>
        <w:rPr>
          <w:rFonts w:hint="eastAsia" w:ascii="仿宋" w:hAnsi="仿宋" w:eastAsia="仿宋" w:cs="仿宋"/>
          <w:sz w:val="24"/>
          <w:u w:val="single"/>
        </w:rPr>
        <w:t>4</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rPr>
        <w:t>宁波市急救中心北仑分中心</w:t>
      </w:r>
      <w:r>
        <w:rPr>
          <w:rFonts w:hint="eastAsia" w:ascii="仿宋" w:hAnsi="仿宋" w:eastAsia="仿宋" w:cs="仿宋"/>
          <w:sz w:val="24"/>
          <w:lang w:val="zh-CN"/>
        </w:rPr>
        <w:t>以</w:t>
      </w:r>
      <w:r>
        <w:rPr>
          <w:rFonts w:hint="eastAsia" w:ascii="仿宋" w:hAnsi="仿宋" w:eastAsia="仿宋" w:cs="仿宋"/>
          <w:sz w:val="24"/>
          <w:u w:val="single"/>
          <w:lang w:val="zh-CN"/>
        </w:rPr>
        <w:t>公开招标方式</w:t>
      </w:r>
      <w:r>
        <w:rPr>
          <w:rFonts w:hint="eastAsia" w:ascii="仿宋" w:hAnsi="仿宋" w:eastAsia="仿宋" w:cs="仿宋"/>
          <w:sz w:val="24"/>
          <w:lang w:val="zh-CN"/>
        </w:rPr>
        <w:t>对</w:t>
      </w:r>
      <w:r>
        <w:rPr>
          <w:rFonts w:hint="eastAsia" w:ascii="仿宋" w:hAnsi="仿宋" w:eastAsia="仿宋" w:cs="仿宋"/>
          <w:sz w:val="24"/>
          <w:u w:val="single"/>
          <w:lang w:val="zh-CN"/>
        </w:rPr>
        <w:t>宁波市急救中心北仑分中心救护车采购项目</w:t>
      </w:r>
      <w:r>
        <w:rPr>
          <w:rFonts w:hint="eastAsia" w:ascii="仿宋" w:hAnsi="仿宋" w:eastAsia="仿宋" w:cs="仿宋"/>
          <w:sz w:val="24"/>
          <w:lang w:val="zh-CN"/>
        </w:rPr>
        <w:t>进行了采购。经评标委员会评审，</w:t>
      </w:r>
      <w:r>
        <w:rPr>
          <w:rFonts w:hint="eastAsia" w:ascii="仿宋" w:hAnsi="仿宋" w:eastAsia="仿宋" w:cs="仿宋"/>
          <w:sz w:val="24"/>
          <w:u w:val="single"/>
        </w:rPr>
        <w:t>宁波市急救中心北仑分中心</w:t>
      </w:r>
      <w:r>
        <w:rPr>
          <w:rFonts w:hint="eastAsia" w:ascii="仿宋" w:hAnsi="仿宋" w:eastAsia="仿宋" w:cs="仿宋"/>
          <w:sz w:val="24"/>
          <w:lang w:val="zh-CN"/>
        </w:rPr>
        <w:t>确定，</w:t>
      </w:r>
      <w:r>
        <w:rPr>
          <w:rFonts w:hint="eastAsia" w:ascii="仿宋" w:hAnsi="仿宋" w:eastAsia="仿宋" w:cs="仿宋"/>
          <w:sz w:val="24"/>
          <w:u w:val="single"/>
          <w:lang w:val="zh-CN"/>
        </w:rPr>
        <w:t xml:space="preserve">   （中标供应商名称）   </w:t>
      </w:r>
      <w:r>
        <w:rPr>
          <w:rFonts w:hint="eastAsia" w:ascii="仿宋" w:hAnsi="仿宋" w:eastAsia="仿宋" w:cs="仿宋"/>
          <w:sz w:val="24"/>
          <w:lang w:val="zh-CN"/>
        </w:rPr>
        <w:t>为该项目中标供应商。现于中标通知书发出之日起三十日内，按照采购文件确定的事项签订本合同。</w:t>
      </w:r>
    </w:p>
    <w:p w14:paraId="661390B5">
      <w:pPr>
        <w:spacing w:line="360" w:lineRule="auto"/>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宁波市急救中心北仑分中心</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56314130">
      <w:pPr>
        <w:adjustRightInd w:val="0"/>
        <w:spacing w:line="360" w:lineRule="auto"/>
        <w:ind w:firstLine="482" w:firstLineChars="200"/>
        <w:outlineLvl w:val="0"/>
        <w:rPr>
          <w:rFonts w:ascii="仿宋" w:hAnsi="仿宋" w:eastAsia="仿宋" w:cs="仿宋"/>
          <w:b/>
          <w:sz w:val="24"/>
        </w:rPr>
      </w:pPr>
      <w:bookmarkStart w:id="506" w:name="_Toc2232"/>
      <w:bookmarkStart w:id="507" w:name="_Toc24059"/>
      <w:bookmarkStart w:id="508" w:name="_Toc3029"/>
      <w:r>
        <w:rPr>
          <w:rFonts w:hint="eastAsia" w:ascii="仿宋" w:hAnsi="仿宋" w:eastAsia="仿宋" w:cs="仿宋"/>
          <w:b/>
          <w:sz w:val="24"/>
        </w:rPr>
        <w:t>1、定义</w:t>
      </w:r>
    </w:p>
    <w:p w14:paraId="550A192A">
      <w:pPr>
        <w:spacing w:line="360" w:lineRule="auto"/>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3D3627EA">
      <w:pPr>
        <w:spacing w:line="360" w:lineRule="auto"/>
        <w:ind w:firstLine="480" w:firstLineChars="200"/>
        <w:rPr>
          <w:rFonts w:ascii="仿宋" w:hAnsi="仿宋" w:eastAsia="仿宋" w:cs="仿宋"/>
          <w:sz w:val="24"/>
        </w:rPr>
      </w:pPr>
      <w:r>
        <w:rPr>
          <w:rFonts w:hint="eastAsia" w:ascii="仿宋" w:hAnsi="仿宋" w:eastAsia="仿宋" w:cs="仿宋"/>
          <w:sz w:val="24"/>
        </w:rPr>
        <w:t>1.1“合同”系指采购人和中标供应商签订的载明双方当事人所达成的协议，并包括所有的附件、附录和构成合同的其他文件。</w:t>
      </w:r>
    </w:p>
    <w:p w14:paraId="630A3B56">
      <w:pPr>
        <w:spacing w:line="360" w:lineRule="auto"/>
        <w:ind w:firstLine="480" w:firstLineChars="200"/>
        <w:rPr>
          <w:rFonts w:ascii="仿宋" w:hAnsi="仿宋" w:eastAsia="仿宋" w:cs="仿宋"/>
          <w:sz w:val="24"/>
        </w:rPr>
      </w:pPr>
      <w:r>
        <w:rPr>
          <w:rFonts w:hint="eastAsia" w:ascii="仿宋" w:hAnsi="仿宋" w:eastAsia="仿宋" w:cs="仿宋"/>
          <w:sz w:val="24"/>
        </w:rPr>
        <w:t>1.2“合同价”系指根据合同约定，中标供应商在完全履行合同义务后，采购人应支付给中标供应商的价格。</w:t>
      </w:r>
    </w:p>
    <w:p w14:paraId="7AF91BCB">
      <w:pPr>
        <w:spacing w:line="360" w:lineRule="auto"/>
        <w:ind w:firstLine="480" w:firstLineChars="200"/>
        <w:rPr>
          <w:rFonts w:hint="eastAsia" w:ascii="仿宋" w:hAnsi="仿宋" w:eastAsia="仿宋" w:cs="仿宋"/>
          <w:sz w:val="24"/>
        </w:rPr>
      </w:pPr>
      <w:r>
        <w:rPr>
          <w:rFonts w:hint="eastAsia" w:ascii="仿宋" w:hAnsi="仿宋" w:eastAsia="仿宋" w:cs="仿宋"/>
          <w:sz w:val="24"/>
        </w:rPr>
        <w:t>1.3“货物”系指中标供应商根据合同约定应向采购人交付的一切各种形态和种类的物品，包括原材料、燃料、设备、机械、仪表、备件、计算机软件、产品等，并包括工具、手册等其他相关资料。“服务”系指中标供应商根据合同约定应为采购人提供的一切服务。</w:t>
      </w:r>
    </w:p>
    <w:p w14:paraId="667F9C20">
      <w:pPr>
        <w:spacing w:line="360" w:lineRule="auto"/>
        <w:ind w:firstLine="480" w:firstLineChars="200"/>
        <w:rPr>
          <w:rFonts w:ascii="仿宋" w:hAnsi="仿宋" w:eastAsia="仿宋" w:cs="仿宋"/>
          <w:sz w:val="24"/>
        </w:rPr>
      </w:pPr>
      <w:r>
        <w:rPr>
          <w:rFonts w:hint="eastAsia" w:ascii="仿宋" w:hAnsi="仿宋" w:eastAsia="仿宋" w:cs="仿宋"/>
          <w:sz w:val="24"/>
        </w:rPr>
        <w:t>1.4“甲方”系指与中标供应商签署合同的采购人；采购人委托采购代理机构代表其与乙方签订合同的，采购人的授权委托书作为合同附件。</w:t>
      </w:r>
    </w:p>
    <w:p w14:paraId="65F378A7">
      <w:pPr>
        <w:spacing w:line="360" w:lineRule="auto"/>
        <w:ind w:firstLine="480" w:firstLineChars="200"/>
        <w:rPr>
          <w:rFonts w:ascii="仿宋" w:hAnsi="仿宋" w:eastAsia="仿宋" w:cs="仿宋"/>
          <w:sz w:val="24"/>
        </w:rPr>
      </w:pPr>
      <w:r>
        <w:rPr>
          <w:rFonts w:hint="eastAsia" w:ascii="仿宋" w:hAnsi="仿宋" w:eastAsia="仿宋" w:cs="仿宋"/>
          <w:sz w:val="24"/>
        </w:rPr>
        <w:t>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9699851">
      <w:pPr>
        <w:spacing w:line="360" w:lineRule="auto"/>
        <w:ind w:firstLine="480" w:firstLineChars="200"/>
        <w:rPr>
          <w:rFonts w:ascii="仿宋" w:hAnsi="仿宋" w:eastAsia="仿宋" w:cs="仿宋"/>
          <w:b/>
          <w:sz w:val="24"/>
        </w:rPr>
      </w:pPr>
      <w:r>
        <w:rPr>
          <w:rFonts w:hint="eastAsia" w:ascii="仿宋" w:hAnsi="仿宋" w:eastAsia="仿宋" w:cs="仿宋"/>
          <w:sz w:val="24"/>
        </w:rPr>
        <w:t>1.6“现场”系指合同约定货物将要运至或者安装的地点。</w:t>
      </w:r>
    </w:p>
    <w:p w14:paraId="3F188240">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2、合同组成部分</w:t>
      </w:r>
      <w:bookmarkEnd w:id="506"/>
      <w:bookmarkEnd w:id="507"/>
      <w:bookmarkEnd w:id="508"/>
    </w:p>
    <w:p w14:paraId="506F9B8D">
      <w:pPr>
        <w:spacing w:line="360" w:lineRule="auto"/>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4BCBCEDB">
      <w:pPr>
        <w:spacing w:line="360" w:lineRule="auto"/>
        <w:ind w:firstLine="480" w:firstLineChars="200"/>
        <w:rPr>
          <w:rFonts w:ascii="仿宋" w:hAnsi="仿宋" w:eastAsia="仿宋" w:cs="仿宋"/>
          <w:sz w:val="24"/>
        </w:rPr>
      </w:pPr>
      <w:r>
        <w:rPr>
          <w:rFonts w:hint="eastAsia" w:ascii="仿宋" w:hAnsi="仿宋" w:eastAsia="仿宋" w:cs="仿宋"/>
          <w:sz w:val="24"/>
        </w:rPr>
        <w:t>2.1本合同及其补充合同、变更协议；</w:t>
      </w:r>
    </w:p>
    <w:p w14:paraId="3E5373A5">
      <w:pPr>
        <w:spacing w:line="360" w:lineRule="auto"/>
        <w:ind w:firstLine="480" w:firstLineChars="200"/>
        <w:rPr>
          <w:rFonts w:ascii="仿宋" w:hAnsi="仿宋" w:eastAsia="仿宋" w:cs="仿宋"/>
          <w:sz w:val="24"/>
        </w:rPr>
      </w:pPr>
      <w:r>
        <w:rPr>
          <w:rFonts w:hint="eastAsia" w:ascii="仿宋" w:hAnsi="仿宋" w:eastAsia="仿宋" w:cs="仿宋"/>
          <w:sz w:val="24"/>
        </w:rPr>
        <w:t>2.2中标通知书；</w:t>
      </w:r>
    </w:p>
    <w:p w14:paraId="590DECC0">
      <w:pPr>
        <w:spacing w:line="360" w:lineRule="auto"/>
        <w:ind w:firstLine="480" w:firstLineChars="200"/>
        <w:rPr>
          <w:rFonts w:ascii="仿宋" w:hAnsi="仿宋" w:eastAsia="仿宋" w:cs="仿宋"/>
          <w:sz w:val="24"/>
        </w:rPr>
      </w:pPr>
      <w:r>
        <w:rPr>
          <w:rFonts w:hint="eastAsia" w:ascii="仿宋" w:hAnsi="仿宋" w:eastAsia="仿宋" w:cs="仿宋"/>
          <w:sz w:val="24"/>
        </w:rPr>
        <w:t>2.3投标文件（含澄清或者说明文件）；</w:t>
      </w:r>
    </w:p>
    <w:p w14:paraId="3FD26CE7">
      <w:pPr>
        <w:spacing w:line="360" w:lineRule="auto"/>
        <w:ind w:firstLine="480" w:firstLineChars="200"/>
        <w:rPr>
          <w:rFonts w:ascii="仿宋" w:hAnsi="仿宋" w:eastAsia="仿宋" w:cs="仿宋"/>
          <w:sz w:val="24"/>
        </w:rPr>
      </w:pPr>
      <w:r>
        <w:rPr>
          <w:rFonts w:hint="eastAsia" w:ascii="仿宋" w:hAnsi="仿宋" w:eastAsia="仿宋" w:cs="仿宋"/>
          <w:sz w:val="24"/>
        </w:rPr>
        <w:t>2.4招标文件（含澄清或者修改文件）；</w:t>
      </w:r>
    </w:p>
    <w:p w14:paraId="65CD75A8">
      <w:pPr>
        <w:spacing w:line="360" w:lineRule="auto"/>
        <w:ind w:firstLine="480" w:firstLineChars="200"/>
        <w:rPr>
          <w:rFonts w:ascii="仿宋" w:hAnsi="仿宋" w:eastAsia="仿宋" w:cs="仿宋"/>
          <w:sz w:val="24"/>
        </w:rPr>
      </w:pPr>
      <w:r>
        <w:rPr>
          <w:rFonts w:hint="eastAsia" w:ascii="仿宋" w:hAnsi="仿宋" w:eastAsia="仿宋" w:cs="仿宋"/>
          <w:sz w:val="24"/>
        </w:rPr>
        <w:t>2.5其他相关采购文件。</w:t>
      </w:r>
    </w:p>
    <w:p w14:paraId="1E412341">
      <w:pPr>
        <w:adjustRightInd w:val="0"/>
        <w:spacing w:line="360" w:lineRule="auto"/>
        <w:ind w:firstLine="482" w:firstLineChars="200"/>
        <w:outlineLvl w:val="0"/>
        <w:rPr>
          <w:rFonts w:hint="eastAsia" w:ascii="仿宋" w:hAnsi="仿宋" w:eastAsia="仿宋" w:cs="仿宋"/>
          <w:b/>
          <w:sz w:val="24"/>
        </w:rPr>
      </w:pPr>
      <w:bookmarkStart w:id="509" w:name="_Toc24300"/>
      <w:bookmarkStart w:id="510" w:name="_Toc27126"/>
      <w:bookmarkStart w:id="511" w:name="_Toc21295"/>
      <w:r>
        <w:rPr>
          <w:rFonts w:hint="eastAsia" w:ascii="仿宋" w:hAnsi="仿宋" w:eastAsia="仿宋" w:cs="仿宋"/>
          <w:b/>
          <w:sz w:val="24"/>
        </w:rPr>
        <w:t>3、</w:t>
      </w:r>
      <w:bookmarkEnd w:id="509"/>
      <w:bookmarkEnd w:id="510"/>
      <w:bookmarkEnd w:id="511"/>
      <w:r>
        <w:rPr>
          <w:rFonts w:hint="eastAsia" w:ascii="仿宋" w:hAnsi="仿宋" w:eastAsia="仿宋" w:cs="仿宋"/>
          <w:b/>
          <w:sz w:val="24"/>
        </w:rPr>
        <w:t>货物</w:t>
      </w:r>
    </w:p>
    <w:p w14:paraId="77041855">
      <w:pPr>
        <w:spacing w:line="360" w:lineRule="auto"/>
        <w:ind w:firstLine="480" w:firstLineChars="200"/>
        <w:rPr>
          <w:rFonts w:ascii="仿宋" w:hAnsi="仿宋" w:eastAsia="仿宋" w:cs="仿宋"/>
          <w:sz w:val="24"/>
          <w:u w:val="single"/>
        </w:rPr>
      </w:pPr>
      <w:r>
        <w:rPr>
          <w:rFonts w:hint="eastAsia" w:ascii="仿宋" w:hAnsi="仿宋" w:eastAsia="仿宋" w:cs="仿宋"/>
          <w:sz w:val="24"/>
        </w:rPr>
        <w:t>3.1项目内容</w:t>
      </w:r>
      <w:r>
        <w:rPr>
          <w:rFonts w:ascii="仿宋" w:hAnsi="仿宋" w:eastAsia="仿宋" w:cs="仿宋"/>
          <w:sz w:val="24"/>
        </w:rPr>
        <w:t>：</w:t>
      </w:r>
      <w:r>
        <w:rPr>
          <w:rFonts w:hint="eastAsia" w:ascii="仿宋" w:hAnsi="仿宋" w:eastAsia="仿宋" w:cs="仿宋"/>
          <w:sz w:val="24"/>
          <w:u w:val="single"/>
        </w:rPr>
        <w:t>包括车辆的采购、运送、调试、验收合格及所有相关技术服务，同时包括质保期内售后服务等内容</w:t>
      </w:r>
      <w:r>
        <w:rPr>
          <w:rFonts w:hint="eastAsia" w:ascii="仿宋" w:hAnsi="仿宋" w:eastAsia="仿宋" w:cs="仿宋"/>
          <w:sz w:val="24"/>
        </w:rPr>
        <w:t>；</w:t>
      </w:r>
    </w:p>
    <w:p w14:paraId="4F15B281">
      <w:pPr>
        <w:spacing w:line="360" w:lineRule="auto"/>
        <w:ind w:firstLine="480" w:firstLineChars="200"/>
        <w:rPr>
          <w:rFonts w:hint="eastAsia" w:ascii="仿宋" w:hAnsi="仿宋" w:eastAsia="仿宋" w:cs="仿宋"/>
          <w:sz w:val="24"/>
        </w:rPr>
      </w:pPr>
      <w:r>
        <w:rPr>
          <w:rFonts w:hint="eastAsia" w:ascii="仿宋" w:hAnsi="仿宋" w:eastAsia="仿宋" w:cs="仿宋"/>
          <w:sz w:val="24"/>
        </w:rPr>
        <w:t>3.2合同产品清单及单价：</w:t>
      </w:r>
    </w:p>
    <w:tbl>
      <w:tblPr>
        <w:tblStyle w:val="29"/>
        <w:tblW w:w="9210" w:type="dxa"/>
        <w:jc w:val="center"/>
        <w:tblLayout w:type="autofit"/>
        <w:tblCellMar>
          <w:top w:w="0" w:type="dxa"/>
          <w:left w:w="108" w:type="dxa"/>
          <w:bottom w:w="0" w:type="dxa"/>
          <w:right w:w="108" w:type="dxa"/>
        </w:tblCellMar>
      </w:tblPr>
      <w:tblGrid>
        <w:gridCol w:w="738"/>
        <w:gridCol w:w="1746"/>
        <w:gridCol w:w="1167"/>
        <w:gridCol w:w="2268"/>
        <w:gridCol w:w="2141"/>
        <w:gridCol w:w="1150"/>
      </w:tblGrid>
      <w:tr w14:paraId="479AAF76">
        <w:tblPrEx>
          <w:tblCellMar>
            <w:top w:w="0" w:type="dxa"/>
            <w:left w:w="108" w:type="dxa"/>
            <w:bottom w:w="0" w:type="dxa"/>
            <w:right w:w="108" w:type="dxa"/>
          </w:tblCellMar>
        </w:tblPrEx>
        <w:trPr>
          <w:trHeight w:val="567" w:hRule="atLeast"/>
          <w:tblHeader/>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051F7DA5">
            <w:pPr>
              <w:spacing w:line="400" w:lineRule="exact"/>
              <w:jc w:val="center"/>
              <w:rPr>
                <w:rFonts w:hint="eastAsia" w:ascii="仿宋" w:hAnsi="仿宋" w:eastAsia="仿宋" w:cs="Times New Roman"/>
                <w:b/>
                <w:bCs/>
                <w:szCs w:val="21"/>
              </w:rPr>
            </w:pPr>
            <w:r>
              <w:rPr>
                <w:rFonts w:hint="eastAsia" w:ascii="仿宋" w:hAnsi="仿宋" w:eastAsia="仿宋" w:cs="Times New Roman"/>
                <w:b/>
                <w:bCs/>
                <w:szCs w:val="21"/>
              </w:rPr>
              <w:t>序号</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9059E6E">
            <w:pPr>
              <w:spacing w:line="400" w:lineRule="exact"/>
              <w:jc w:val="center"/>
              <w:rPr>
                <w:rFonts w:hint="eastAsia" w:ascii="仿宋" w:hAnsi="仿宋" w:eastAsia="仿宋" w:cs="Times New Roman"/>
                <w:b/>
                <w:bCs/>
                <w:szCs w:val="21"/>
              </w:rPr>
            </w:pPr>
            <w:r>
              <w:rPr>
                <w:rFonts w:hint="eastAsia" w:ascii="仿宋" w:hAnsi="仿宋" w:eastAsia="仿宋" w:cs="Times New Roman"/>
                <w:b/>
                <w:bCs/>
                <w:szCs w:val="21"/>
              </w:rPr>
              <w:t>产品名称</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F005874">
            <w:pPr>
              <w:spacing w:line="400" w:lineRule="exact"/>
              <w:jc w:val="center"/>
              <w:rPr>
                <w:rFonts w:hint="eastAsia" w:ascii="仿宋" w:hAnsi="仿宋" w:eastAsia="仿宋" w:cs="Times New Roman"/>
                <w:b/>
                <w:bCs/>
                <w:szCs w:val="21"/>
              </w:rPr>
            </w:pPr>
            <w:r>
              <w:rPr>
                <w:rFonts w:hint="eastAsia" w:ascii="仿宋" w:hAnsi="仿宋" w:eastAsia="仿宋" w:cs="Times New Roman"/>
                <w:b/>
                <w:bCs/>
                <w:szCs w:val="21"/>
              </w:rPr>
              <w:t>数量</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14:paraId="2943D74B">
            <w:pPr>
              <w:spacing w:line="400" w:lineRule="exact"/>
              <w:jc w:val="center"/>
              <w:rPr>
                <w:rFonts w:ascii="仿宋" w:hAnsi="仿宋" w:eastAsia="仿宋" w:cs="Times New Roman"/>
                <w:b/>
                <w:bCs/>
                <w:szCs w:val="21"/>
              </w:rPr>
            </w:pPr>
            <w:r>
              <w:rPr>
                <w:rFonts w:hint="eastAsia" w:ascii="仿宋" w:hAnsi="仿宋" w:eastAsia="仿宋" w:cs="Times New Roman"/>
                <w:b/>
                <w:bCs/>
                <w:szCs w:val="21"/>
              </w:rPr>
              <w:t>品牌、规格型号</w:t>
            </w:r>
          </w:p>
        </w:tc>
        <w:tc>
          <w:tcPr>
            <w:tcW w:w="2141" w:type="dxa"/>
            <w:tcBorders>
              <w:top w:val="single" w:color="000000" w:sz="4" w:space="0"/>
              <w:left w:val="single" w:color="auto" w:sz="4" w:space="0"/>
              <w:bottom w:val="single" w:color="000000" w:sz="4" w:space="0"/>
              <w:right w:val="single" w:color="000000" w:sz="4" w:space="0"/>
            </w:tcBorders>
            <w:noWrap w:val="0"/>
            <w:vAlign w:val="center"/>
          </w:tcPr>
          <w:p w14:paraId="2D14351F">
            <w:pPr>
              <w:spacing w:line="400" w:lineRule="exact"/>
              <w:jc w:val="center"/>
              <w:rPr>
                <w:rFonts w:hint="eastAsia" w:ascii="仿宋" w:hAnsi="仿宋" w:eastAsia="仿宋" w:cs="Times New Roman"/>
                <w:b/>
                <w:bCs/>
                <w:szCs w:val="21"/>
              </w:rPr>
            </w:pPr>
            <w:r>
              <w:rPr>
                <w:rFonts w:hint="eastAsia" w:ascii="仿宋" w:hAnsi="仿宋" w:eastAsia="仿宋" w:cs="Times New Roman"/>
                <w:b/>
                <w:bCs/>
                <w:szCs w:val="21"/>
              </w:rPr>
              <w:t>单价（元）</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CF37A1C">
            <w:pPr>
              <w:spacing w:line="400" w:lineRule="exact"/>
              <w:jc w:val="center"/>
              <w:rPr>
                <w:rFonts w:ascii="仿宋" w:hAnsi="仿宋" w:eastAsia="仿宋" w:cs="Times New Roman"/>
                <w:b/>
                <w:bCs/>
                <w:szCs w:val="21"/>
              </w:rPr>
            </w:pPr>
            <w:r>
              <w:rPr>
                <w:rFonts w:hint="eastAsia" w:ascii="仿宋" w:hAnsi="仿宋" w:eastAsia="仿宋" w:cs="Times New Roman"/>
                <w:b/>
                <w:bCs/>
                <w:szCs w:val="21"/>
              </w:rPr>
              <w:t>小计</w:t>
            </w:r>
          </w:p>
        </w:tc>
      </w:tr>
      <w:tr w14:paraId="7C185E53">
        <w:tblPrEx>
          <w:tblCellMar>
            <w:top w:w="0" w:type="dxa"/>
            <w:left w:w="108" w:type="dxa"/>
            <w:bottom w:w="0" w:type="dxa"/>
            <w:right w:w="108" w:type="dxa"/>
          </w:tblCellMar>
        </w:tblPrEx>
        <w:trPr>
          <w:trHeight w:val="681" w:hRule="atLeast"/>
          <w:jc w:val="center"/>
        </w:trPr>
        <w:tc>
          <w:tcPr>
            <w:tcW w:w="738" w:type="dxa"/>
            <w:tcBorders>
              <w:top w:val="single" w:color="000000" w:sz="4" w:space="0"/>
              <w:left w:val="single" w:color="000000" w:sz="4" w:space="0"/>
              <w:right w:val="single" w:color="000000" w:sz="4" w:space="0"/>
            </w:tcBorders>
            <w:noWrap w:val="0"/>
            <w:vAlign w:val="center"/>
          </w:tcPr>
          <w:p w14:paraId="2733BF4A">
            <w:pPr>
              <w:spacing w:line="400" w:lineRule="exact"/>
              <w:jc w:val="center"/>
              <w:rPr>
                <w:rFonts w:hint="eastAsia" w:ascii="仿宋" w:hAnsi="仿宋" w:eastAsia="仿宋" w:cs="Times New Roman"/>
                <w:szCs w:val="21"/>
              </w:rPr>
            </w:pPr>
            <w:r>
              <w:rPr>
                <w:rFonts w:hint="eastAsia" w:ascii="仿宋" w:hAnsi="仿宋" w:eastAsia="仿宋" w:cs="Times New Roman"/>
                <w:szCs w:val="21"/>
              </w:rPr>
              <w:t>1</w:t>
            </w:r>
          </w:p>
        </w:tc>
        <w:tc>
          <w:tcPr>
            <w:tcW w:w="1746" w:type="dxa"/>
            <w:tcBorders>
              <w:top w:val="single" w:color="000000" w:sz="4" w:space="0"/>
              <w:left w:val="single" w:color="000000" w:sz="4" w:space="0"/>
              <w:right w:val="single" w:color="000000" w:sz="4" w:space="0"/>
            </w:tcBorders>
            <w:noWrap w:val="0"/>
            <w:vAlign w:val="center"/>
          </w:tcPr>
          <w:p w14:paraId="3C97307E">
            <w:pPr>
              <w:jc w:val="center"/>
              <w:rPr>
                <w:rFonts w:ascii="仿宋" w:hAnsi="仿宋" w:eastAsia="仿宋" w:cs="Times New Roman"/>
                <w:szCs w:val="21"/>
              </w:rPr>
            </w:pPr>
            <w:r>
              <w:rPr>
                <w:rFonts w:hint="eastAsia" w:ascii="仿宋" w:hAnsi="仿宋" w:eastAsia="仿宋" w:cs="Times New Roman"/>
                <w:szCs w:val="21"/>
              </w:rPr>
              <w:t>救护车</w:t>
            </w:r>
          </w:p>
        </w:tc>
        <w:tc>
          <w:tcPr>
            <w:tcW w:w="1167" w:type="dxa"/>
            <w:tcBorders>
              <w:top w:val="single" w:color="000000" w:sz="4" w:space="0"/>
              <w:left w:val="single" w:color="000000" w:sz="4" w:space="0"/>
              <w:right w:val="single" w:color="000000" w:sz="4" w:space="0"/>
            </w:tcBorders>
            <w:noWrap w:val="0"/>
            <w:vAlign w:val="center"/>
          </w:tcPr>
          <w:p w14:paraId="004C3827">
            <w:pPr>
              <w:jc w:val="center"/>
              <w:rPr>
                <w:rFonts w:ascii="仿宋" w:hAnsi="仿宋" w:eastAsia="仿宋" w:cs="Times New Roman"/>
                <w:szCs w:val="21"/>
              </w:rPr>
            </w:pPr>
            <w:r>
              <w:rPr>
                <w:rFonts w:hint="eastAsia" w:ascii="仿宋" w:hAnsi="仿宋" w:eastAsia="仿宋" w:cs="Times New Roman"/>
                <w:szCs w:val="21"/>
                <w:lang w:val="en-US" w:eastAsia="zh-CN"/>
              </w:rPr>
              <w:t>2</w:t>
            </w:r>
            <w:r>
              <w:rPr>
                <w:rFonts w:hint="eastAsia" w:ascii="仿宋" w:hAnsi="仿宋" w:eastAsia="仿宋" w:cs="Times New Roman"/>
                <w:szCs w:val="21"/>
              </w:rPr>
              <w:t>辆</w:t>
            </w:r>
          </w:p>
        </w:tc>
        <w:tc>
          <w:tcPr>
            <w:tcW w:w="2268" w:type="dxa"/>
            <w:tcBorders>
              <w:top w:val="single" w:color="000000" w:sz="4" w:space="0"/>
              <w:left w:val="single" w:color="000000" w:sz="4" w:space="0"/>
              <w:right w:val="single" w:color="auto" w:sz="4" w:space="0"/>
            </w:tcBorders>
            <w:noWrap w:val="0"/>
            <w:vAlign w:val="center"/>
          </w:tcPr>
          <w:p w14:paraId="73FF65CE">
            <w:pPr>
              <w:spacing w:line="400" w:lineRule="exact"/>
              <w:jc w:val="center"/>
              <w:rPr>
                <w:rFonts w:hint="eastAsia" w:ascii="仿宋" w:hAnsi="仿宋" w:eastAsia="仿宋" w:cs="Times New Roman"/>
                <w:szCs w:val="21"/>
              </w:rPr>
            </w:pPr>
          </w:p>
        </w:tc>
        <w:tc>
          <w:tcPr>
            <w:tcW w:w="2141" w:type="dxa"/>
            <w:tcBorders>
              <w:top w:val="single" w:color="000000" w:sz="4" w:space="0"/>
              <w:left w:val="single" w:color="auto" w:sz="4" w:space="0"/>
              <w:right w:val="single" w:color="000000" w:sz="4" w:space="0"/>
            </w:tcBorders>
            <w:noWrap w:val="0"/>
            <w:vAlign w:val="center"/>
          </w:tcPr>
          <w:p w14:paraId="3DAA4261">
            <w:pPr>
              <w:spacing w:line="400" w:lineRule="exact"/>
              <w:jc w:val="center"/>
              <w:rPr>
                <w:rFonts w:hint="eastAsia" w:ascii="仿宋" w:hAnsi="仿宋" w:eastAsia="仿宋" w:cs="Times New Roman"/>
                <w:szCs w:val="21"/>
              </w:rPr>
            </w:pPr>
          </w:p>
        </w:tc>
        <w:tc>
          <w:tcPr>
            <w:tcW w:w="1150" w:type="dxa"/>
            <w:tcBorders>
              <w:top w:val="single" w:color="000000" w:sz="4" w:space="0"/>
              <w:left w:val="single" w:color="000000" w:sz="4" w:space="0"/>
              <w:right w:val="single" w:color="000000" w:sz="4" w:space="0"/>
            </w:tcBorders>
            <w:noWrap w:val="0"/>
            <w:vAlign w:val="center"/>
          </w:tcPr>
          <w:p w14:paraId="7925E2B2">
            <w:pPr>
              <w:spacing w:line="400" w:lineRule="exact"/>
              <w:jc w:val="center"/>
              <w:rPr>
                <w:rFonts w:ascii="仿宋" w:hAnsi="仿宋" w:eastAsia="仿宋" w:cs="Times New Roman"/>
                <w:szCs w:val="21"/>
              </w:rPr>
            </w:pPr>
          </w:p>
        </w:tc>
      </w:tr>
      <w:tr w14:paraId="3F4A86BE">
        <w:tblPrEx>
          <w:tblCellMar>
            <w:top w:w="0" w:type="dxa"/>
            <w:left w:w="108" w:type="dxa"/>
            <w:bottom w:w="0" w:type="dxa"/>
            <w:right w:w="108" w:type="dxa"/>
          </w:tblCellMar>
        </w:tblPrEx>
        <w:trPr>
          <w:trHeight w:val="69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6402C613">
            <w:pPr>
              <w:spacing w:line="400" w:lineRule="exact"/>
              <w:jc w:val="center"/>
              <w:rPr>
                <w:rFonts w:hint="eastAsia" w:ascii="仿宋" w:hAnsi="仿宋" w:eastAsia="仿宋" w:cs="Times New Roman"/>
                <w:szCs w:val="21"/>
              </w:rPr>
            </w:pPr>
            <w:r>
              <w:rPr>
                <w:rFonts w:hint="eastAsia" w:ascii="仿宋" w:hAnsi="仿宋" w:eastAsia="仿宋" w:cs="Times New Roman"/>
                <w:szCs w:val="21"/>
              </w:rPr>
              <w:t>2</w:t>
            </w:r>
          </w:p>
        </w:tc>
        <w:tc>
          <w:tcPr>
            <w:tcW w:w="7322" w:type="dxa"/>
            <w:gridSpan w:val="4"/>
            <w:tcBorders>
              <w:top w:val="single" w:color="000000" w:sz="4" w:space="0"/>
              <w:left w:val="single" w:color="000000" w:sz="4" w:space="0"/>
              <w:bottom w:val="single" w:color="000000" w:sz="4" w:space="0"/>
              <w:right w:val="single" w:color="000000" w:sz="4" w:space="0"/>
            </w:tcBorders>
            <w:noWrap w:val="0"/>
            <w:vAlign w:val="center"/>
          </w:tcPr>
          <w:p w14:paraId="3FA23EDF">
            <w:pPr>
              <w:spacing w:line="400" w:lineRule="exact"/>
              <w:jc w:val="center"/>
              <w:rPr>
                <w:rFonts w:hint="eastAsia" w:ascii="仿宋" w:hAnsi="仿宋" w:eastAsia="仿宋" w:cs="Times New Roman"/>
                <w:b/>
                <w:szCs w:val="21"/>
              </w:rPr>
            </w:pPr>
            <w:r>
              <w:rPr>
                <w:rFonts w:hint="eastAsia" w:ascii="仿宋" w:hAnsi="仿宋" w:eastAsia="仿宋" w:cs="Times New Roman"/>
                <w:b/>
                <w:szCs w:val="21"/>
              </w:rPr>
              <w:t>总价（元）</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4B87460">
            <w:pPr>
              <w:spacing w:line="400" w:lineRule="exact"/>
              <w:jc w:val="center"/>
              <w:rPr>
                <w:rFonts w:hint="eastAsia" w:ascii="仿宋" w:hAnsi="仿宋" w:eastAsia="仿宋" w:cs="Times New Roman"/>
                <w:szCs w:val="21"/>
              </w:rPr>
            </w:pPr>
          </w:p>
        </w:tc>
      </w:tr>
    </w:tbl>
    <w:p w14:paraId="3613F237">
      <w:pPr>
        <w:spacing w:line="360" w:lineRule="auto"/>
        <w:ind w:firstLine="480" w:firstLineChars="200"/>
        <w:rPr>
          <w:rFonts w:hint="eastAsia" w:ascii="仿宋" w:hAnsi="仿宋" w:eastAsia="仿宋" w:cs="仿宋"/>
          <w:sz w:val="24"/>
        </w:rPr>
      </w:pPr>
      <w:r>
        <w:rPr>
          <w:rFonts w:hint="eastAsia" w:ascii="仿宋" w:hAnsi="仿宋" w:eastAsia="仿宋" w:cs="仿宋"/>
          <w:sz w:val="24"/>
        </w:rPr>
        <w:t>3.3要求与标准</w:t>
      </w:r>
      <w:r>
        <w:rPr>
          <w:rFonts w:ascii="仿宋" w:hAnsi="仿宋" w:eastAsia="仿宋" w:cs="仿宋"/>
          <w:sz w:val="24"/>
        </w:rPr>
        <w:t>：</w:t>
      </w:r>
      <w:r>
        <w:rPr>
          <w:rFonts w:hint="eastAsia" w:ascii="仿宋" w:hAnsi="仿宋" w:eastAsia="仿宋" w:cs="仿宋"/>
          <w:sz w:val="24"/>
          <w:u w:val="single"/>
        </w:rPr>
        <w:t>乙方必须按照国家有关标准、规范和甲方有关要求进行供货并完成验收</w:t>
      </w:r>
      <w:r>
        <w:rPr>
          <w:rFonts w:hint="eastAsia" w:ascii="仿宋" w:hAnsi="仿宋" w:eastAsia="仿宋" w:cs="仿宋"/>
          <w:sz w:val="24"/>
        </w:rPr>
        <w:t>；</w:t>
      </w:r>
    </w:p>
    <w:p w14:paraId="265DD67C">
      <w:pPr>
        <w:adjustRightInd w:val="0"/>
        <w:spacing w:line="360" w:lineRule="auto"/>
        <w:ind w:firstLine="482" w:firstLineChars="200"/>
        <w:outlineLvl w:val="0"/>
        <w:rPr>
          <w:rFonts w:hint="eastAsia" w:ascii="仿宋" w:hAnsi="仿宋" w:eastAsia="仿宋" w:cs="仿宋"/>
          <w:b/>
          <w:sz w:val="24"/>
        </w:rPr>
      </w:pPr>
      <w:bookmarkStart w:id="512" w:name="_Toc23292"/>
      <w:bookmarkStart w:id="513" w:name="_Toc21551"/>
      <w:bookmarkStart w:id="514" w:name="_Toc21631"/>
      <w:r>
        <w:rPr>
          <w:rFonts w:hint="eastAsia" w:ascii="仿宋" w:hAnsi="仿宋" w:eastAsia="仿宋" w:cs="仿宋"/>
          <w:b/>
          <w:sz w:val="24"/>
        </w:rPr>
        <w:t>4、价款</w:t>
      </w:r>
      <w:bookmarkEnd w:id="512"/>
      <w:bookmarkEnd w:id="513"/>
      <w:bookmarkEnd w:id="514"/>
    </w:p>
    <w:p w14:paraId="41B4FD9E">
      <w:pPr>
        <w:spacing w:line="360" w:lineRule="auto"/>
        <w:ind w:firstLine="480" w:firstLineChars="200"/>
        <w:rPr>
          <w:rFonts w:ascii="仿宋" w:hAnsi="仿宋" w:eastAsia="仿宋" w:cs="Times New Roman"/>
          <w:sz w:val="24"/>
        </w:rPr>
      </w:pPr>
      <w:r>
        <w:rPr>
          <w:rFonts w:hint="eastAsia" w:ascii="仿宋" w:hAnsi="仿宋" w:eastAsia="仿宋" w:cs="仿宋"/>
          <w:sz w:val="24"/>
        </w:rPr>
        <w:t>4.1具体内容及单价金额详见上表。</w:t>
      </w:r>
    </w:p>
    <w:p w14:paraId="7F2AD5A1">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4</w:t>
      </w:r>
      <w:r>
        <w:rPr>
          <w:rFonts w:ascii="仿宋" w:hAnsi="仿宋" w:eastAsia="仿宋" w:cs="Times New Roman"/>
          <w:sz w:val="24"/>
        </w:rPr>
        <w:t>.</w:t>
      </w:r>
      <w:r>
        <w:rPr>
          <w:rFonts w:hint="eastAsia" w:ascii="仿宋" w:hAnsi="仿宋" w:eastAsia="仿宋" w:cs="Times New Roman"/>
          <w:sz w:val="24"/>
        </w:rPr>
        <w:t>2本合同总价（大写）：</w:t>
      </w:r>
      <w:r>
        <w:rPr>
          <w:rFonts w:hint="eastAsia" w:ascii="仿宋" w:hAnsi="仿宋" w:eastAsia="仿宋" w:cs="Times New Roman"/>
          <w:sz w:val="24"/>
          <w:u w:val="single"/>
        </w:rPr>
        <w:t xml:space="preserve">            </w:t>
      </w:r>
      <w:r>
        <w:rPr>
          <w:rFonts w:hint="eastAsia" w:ascii="仿宋" w:hAnsi="仿宋" w:eastAsia="仿宋" w:cs="Times New Roman"/>
          <w:sz w:val="24"/>
        </w:rPr>
        <w:t>；（小写）：</w:t>
      </w:r>
      <w:r>
        <w:rPr>
          <w:rFonts w:hint="eastAsia" w:ascii="仿宋" w:hAnsi="仿宋" w:eastAsia="仿宋" w:cs="Times New Roman"/>
          <w:sz w:val="24"/>
          <w:u w:val="single"/>
        </w:rPr>
        <w:t xml:space="preserve">            </w:t>
      </w:r>
      <w:r>
        <w:rPr>
          <w:rFonts w:hint="eastAsia" w:ascii="仿宋" w:hAnsi="仿宋" w:eastAsia="仿宋" w:cs="Times New Roman"/>
          <w:sz w:val="24"/>
        </w:rPr>
        <w:t>。</w:t>
      </w:r>
    </w:p>
    <w:p w14:paraId="43F459CE">
      <w:pPr>
        <w:adjustRightInd w:val="0"/>
        <w:spacing w:line="360" w:lineRule="auto"/>
        <w:ind w:firstLine="482" w:firstLineChars="200"/>
        <w:outlineLvl w:val="0"/>
        <w:rPr>
          <w:rFonts w:ascii="仿宋" w:hAnsi="仿宋" w:eastAsia="仿宋" w:cs="仿宋"/>
          <w:b/>
          <w:sz w:val="24"/>
        </w:rPr>
      </w:pPr>
      <w:bookmarkStart w:id="515" w:name="_Toc22618"/>
      <w:bookmarkStart w:id="516" w:name="_Toc1814"/>
      <w:bookmarkStart w:id="517" w:name="_Toc10340"/>
      <w:r>
        <w:rPr>
          <w:rFonts w:hint="eastAsia" w:ascii="仿宋" w:hAnsi="仿宋" w:eastAsia="仿宋" w:cs="仿宋"/>
          <w:b/>
          <w:sz w:val="24"/>
        </w:rPr>
        <w:t>5、付款</w:t>
      </w:r>
      <w:bookmarkEnd w:id="515"/>
      <w:bookmarkEnd w:id="516"/>
      <w:bookmarkEnd w:id="517"/>
      <w:r>
        <w:rPr>
          <w:rFonts w:hint="eastAsia" w:ascii="仿宋" w:hAnsi="仿宋" w:eastAsia="仿宋" w:cs="仿宋"/>
          <w:b/>
          <w:sz w:val="24"/>
        </w:rPr>
        <w:t>方式、时间和条件</w:t>
      </w:r>
    </w:p>
    <w:p w14:paraId="3D439764">
      <w:pPr>
        <w:widowControl/>
        <w:spacing w:line="360" w:lineRule="auto"/>
        <w:ind w:firstLine="480"/>
        <w:jc w:val="left"/>
        <w:rPr>
          <w:rFonts w:hint="eastAsia" w:ascii="仿宋" w:hAnsi="仿宋" w:eastAsia="仿宋" w:cs="仿宋"/>
          <w:sz w:val="24"/>
        </w:rPr>
      </w:pPr>
      <w:bookmarkStart w:id="518" w:name="_Toc2846"/>
      <w:bookmarkStart w:id="519" w:name="_Toc32071"/>
      <w:bookmarkStart w:id="520" w:name="_Toc19304"/>
      <w:r>
        <w:rPr>
          <w:rFonts w:hint="eastAsia" w:ascii="仿宋" w:hAnsi="仿宋" w:eastAsia="仿宋" w:cs="仿宋"/>
          <w:sz w:val="24"/>
        </w:rPr>
        <w:t>5.1资金支付的方式、时间和条件：</w:t>
      </w:r>
    </w:p>
    <w:p w14:paraId="657359DA">
      <w:pPr>
        <w:widowControl/>
        <w:spacing w:line="360" w:lineRule="auto"/>
        <w:ind w:firstLine="480"/>
        <w:jc w:val="left"/>
        <w:rPr>
          <w:rFonts w:hint="eastAsia" w:ascii="仿宋" w:hAnsi="仿宋" w:eastAsia="仿宋" w:cs="仿宋"/>
          <w:sz w:val="24"/>
          <w:u w:val="single"/>
        </w:rPr>
      </w:pPr>
      <w:r>
        <w:rPr>
          <w:rFonts w:hint="eastAsia" w:ascii="仿宋" w:hAnsi="仿宋" w:eastAsia="仿宋" w:cs="仿宋"/>
          <w:sz w:val="24"/>
          <w:u w:val="single"/>
        </w:rPr>
        <w:t>合同签订生效并具备实施条件后7个工作日内，甲方支付乙方40%的合同金额作为预付款；车辆到货、调试完成且验收合格上牌后，甲方支付乙方60%的合同金额。乙方配合甲方办理上牌、保险等相关事宜。</w:t>
      </w:r>
    </w:p>
    <w:p w14:paraId="775512FE">
      <w:pPr>
        <w:widowControl/>
        <w:spacing w:line="360" w:lineRule="auto"/>
        <w:ind w:firstLine="480"/>
        <w:jc w:val="left"/>
        <w:rPr>
          <w:rFonts w:ascii="仿宋" w:hAnsi="仿宋" w:eastAsia="仿宋" w:cs="仿宋"/>
          <w:i/>
          <w:sz w:val="24"/>
          <w:u w:val="single"/>
        </w:rPr>
      </w:pPr>
      <w:r>
        <w:rPr>
          <w:rFonts w:hint="eastAsia" w:ascii="仿宋" w:hAnsi="仿宋" w:eastAsia="仿宋" w:cs="仿宋"/>
          <w:i/>
          <w:sz w:val="24"/>
          <w:u w:val="single"/>
        </w:rPr>
        <w:t>在签订合同时，乙方明确表示无需预付款或者主动要求降低预付款比例的，以乙方意愿为准。</w:t>
      </w:r>
    </w:p>
    <w:p w14:paraId="22B07D26">
      <w:pPr>
        <w:widowControl/>
        <w:spacing w:line="360" w:lineRule="auto"/>
        <w:ind w:firstLine="480"/>
        <w:jc w:val="left"/>
        <w:rPr>
          <w:rFonts w:ascii="仿宋" w:hAnsi="仿宋" w:eastAsia="仿宋" w:cs="仿宋"/>
          <w:sz w:val="24"/>
        </w:rPr>
      </w:pPr>
      <w:r>
        <w:rPr>
          <w:rFonts w:hint="eastAsia" w:ascii="仿宋" w:hAnsi="仿宋" w:eastAsia="仿宋" w:cs="仿宋"/>
          <w:sz w:val="24"/>
        </w:rPr>
        <w:t>5.2乙方收款账户：</w:t>
      </w:r>
    </w:p>
    <w:p w14:paraId="2864C48F">
      <w:pPr>
        <w:autoSpaceDE w:val="0"/>
        <w:autoSpaceDN w:val="0"/>
        <w:spacing w:line="360" w:lineRule="auto"/>
        <w:ind w:left="1470" w:leftChars="700"/>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sz w:val="24"/>
          <w:u w:val="single"/>
        </w:rPr>
        <w:t xml:space="preserve">                          </w:t>
      </w:r>
    </w:p>
    <w:p w14:paraId="1742CBC9">
      <w:pPr>
        <w:autoSpaceDE w:val="0"/>
        <w:autoSpaceDN w:val="0"/>
        <w:spacing w:line="360" w:lineRule="auto"/>
        <w:ind w:left="1470" w:leftChars="700"/>
        <w:rPr>
          <w:rFonts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sz w:val="24"/>
          <w:u w:val="single"/>
        </w:rPr>
        <w:t xml:space="preserve">                          </w:t>
      </w:r>
    </w:p>
    <w:p w14:paraId="7EE7180D">
      <w:pPr>
        <w:autoSpaceDE w:val="0"/>
        <w:autoSpaceDN w:val="0"/>
        <w:spacing w:line="360" w:lineRule="auto"/>
        <w:ind w:left="1470" w:leftChars="700"/>
        <w:rPr>
          <w:rFonts w:ascii="仿宋" w:hAnsi="仿宋" w:eastAsia="仿宋" w:cs="仿宋"/>
          <w:sz w:val="24"/>
          <w:lang w:val="zh-CN"/>
        </w:rPr>
      </w:pPr>
      <w:r>
        <w:rPr>
          <w:rFonts w:hint="eastAsia" w:ascii="仿宋" w:hAnsi="仿宋" w:eastAsia="仿宋" w:cs="仿宋"/>
          <w:sz w:val="24"/>
        </w:rPr>
        <w:t>开户账号：</w:t>
      </w:r>
      <w:r>
        <w:rPr>
          <w:rFonts w:hint="eastAsia" w:ascii="仿宋" w:hAnsi="仿宋" w:eastAsia="仿宋" w:cs="仿宋"/>
          <w:b/>
          <w:bCs/>
          <w:i/>
          <w:iCs/>
          <w:sz w:val="24"/>
          <w:u w:val="single"/>
        </w:rPr>
        <w:t xml:space="preserve">                          </w:t>
      </w:r>
    </w:p>
    <w:bookmarkEnd w:id="518"/>
    <w:bookmarkEnd w:id="519"/>
    <w:bookmarkEnd w:id="520"/>
    <w:p w14:paraId="2DCAB431">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6、货物交付期限、地点和方式</w:t>
      </w:r>
    </w:p>
    <w:p w14:paraId="3F82CBE9">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6.1交付期限：</w:t>
      </w:r>
      <w:r>
        <w:rPr>
          <w:rFonts w:hint="eastAsia" w:ascii="仿宋" w:hAnsi="仿宋" w:eastAsia="仿宋" w:cs="仿宋"/>
          <w:sz w:val="24"/>
          <w:u w:val="single"/>
        </w:rPr>
        <w:t>自合同签订之日起</w:t>
      </w:r>
      <w:r>
        <w:rPr>
          <w:rFonts w:hint="eastAsia" w:ascii="仿宋" w:hAnsi="仿宋" w:eastAsia="仿宋" w:cs="仿宋"/>
          <w:sz w:val="24"/>
          <w:u w:val="single"/>
          <w:lang w:val="en-US" w:eastAsia="zh-CN"/>
        </w:rPr>
        <w:t>3</w:t>
      </w:r>
      <w:r>
        <w:rPr>
          <w:rFonts w:hint="eastAsia" w:ascii="仿宋" w:hAnsi="仿宋" w:eastAsia="仿宋" w:cs="仿宋"/>
          <w:sz w:val="24"/>
          <w:u w:val="single"/>
        </w:rPr>
        <w:t>0天内完成供货通过验收并完成上牌。</w:t>
      </w:r>
    </w:p>
    <w:p w14:paraId="3C47AA78">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6.2交付地点：</w:t>
      </w:r>
      <w:r>
        <w:rPr>
          <w:rFonts w:hint="eastAsia" w:ascii="仿宋" w:hAnsi="仿宋" w:eastAsia="仿宋" w:cs="仿宋"/>
          <w:sz w:val="24"/>
          <w:u w:val="single"/>
        </w:rPr>
        <w:t>甲方指定地点</w:t>
      </w:r>
      <w:r>
        <w:rPr>
          <w:rFonts w:hint="eastAsia" w:ascii="仿宋" w:hAnsi="仿宋" w:eastAsia="仿宋" w:cs="仿宋"/>
          <w:sz w:val="24"/>
        </w:rPr>
        <w:t>。</w:t>
      </w:r>
    </w:p>
    <w:p w14:paraId="0D430F4C">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6.3交付方式：</w:t>
      </w:r>
      <w:r>
        <w:rPr>
          <w:rFonts w:hint="eastAsia" w:ascii="仿宋" w:hAnsi="仿宋" w:eastAsia="仿宋" w:cs="仿宋"/>
          <w:sz w:val="24"/>
          <w:u w:val="single"/>
        </w:rPr>
        <w:t>货物运往甲方指定地点</w:t>
      </w:r>
      <w:r>
        <w:rPr>
          <w:rFonts w:hint="eastAsia" w:ascii="仿宋" w:hAnsi="仿宋" w:eastAsia="仿宋" w:cs="仿宋"/>
          <w:sz w:val="24"/>
        </w:rPr>
        <w:t>。</w:t>
      </w:r>
    </w:p>
    <w:p w14:paraId="2703A454">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7、技术规范</w:t>
      </w:r>
    </w:p>
    <w:p w14:paraId="24EE0B82">
      <w:pPr>
        <w:spacing w:line="360" w:lineRule="auto"/>
        <w:ind w:firstLine="480" w:firstLineChars="200"/>
        <w:rPr>
          <w:rFonts w:ascii="仿宋" w:hAnsi="仿宋" w:eastAsia="仿宋" w:cs="仿宋"/>
          <w:sz w:val="24"/>
        </w:rPr>
      </w:pPr>
      <w:r>
        <w:rPr>
          <w:rFonts w:hint="eastAsia" w:ascii="仿宋" w:hAnsi="仿宋" w:eastAsia="仿宋" w:cs="仿宋"/>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6B26BCBB">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8、知识产权</w:t>
      </w:r>
    </w:p>
    <w:p w14:paraId="1E9DA852">
      <w:pPr>
        <w:spacing w:line="360" w:lineRule="auto"/>
        <w:ind w:firstLine="480" w:firstLineChars="200"/>
        <w:rPr>
          <w:rFonts w:hint="eastAsia" w:ascii="仿宋" w:hAnsi="仿宋" w:eastAsia="仿宋" w:cs="仿宋"/>
          <w:sz w:val="24"/>
        </w:rPr>
      </w:pPr>
      <w:r>
        <w:rPr>
          <w:rFonts w:hint="eastAsia" w:ascii="仿宋" w:hAnsi="仿宋" w:eastAsia="仿宋" w:cs="仿宋"/>
          <w:sz w:val="24"/>
        </w:rPr>
        <w:t>8.1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E423854">
      <w:pPr>
        <w:spacing w:line="360" w:lineRule="auto"/>
        <w:ind w:firstLine="480" w:firstLineChars="200"/>
        <w:rPr>
          <w:rFonts w:hint="eastAsia" w:ascii="仿宋" w:hAnsi="仿宋" w:eastAsia="仿宋" w:cs="仿宋"/>
          <w:sz w:val="24"/>
        </w:rPr>
      </w:pPr>
      <w:r>
        <w:rPr>
          <w:rFonts w:hint="eastAsia" w:ascii="仿宋" w:hAnsi="仿宋" w:eastAsia="仿宋" w:cs="仿宋"/>
          <w:sz w:val="24"/>
        </w:rPr>
        <w:t>8.2具有知识产权的计算机软件等货物的知识产权归属，除合同另有规定外，归甲方所有。</w:t>
      </w:r>
    </w:p>
    <w:p w14:paraId="287B4F93">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9、包装和装运</w:t>
      </w:r>
    </w:p>
    <w:p w14:paraId="47DA8B32">
      <w:pPr>
        <w:spacing w:line="360" w:lineRule="auto"/>
        <w:ind w:firstLine="480" w:firstLineChars="200"/>
        <w:rPr>
          <w:rFonts w:hint="eastAsia" w:ascii="仿宋" w:hAnsi="仿宋" w:eastAsia="仿宋" w:cs="仿宋"/>
          <w:sz w:val="24"/>
        </w:rPr>
      </w:pPr>
      <w:r>
        <w:rPr>
          <w:rFonts w:hint="eastAsia" w:ascii="仿宋" w:hAnsi="仿宋" w:eastAsia="仿宋" w:cs="仿宋"/>
          <w:sz w:val="24"/>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22D1B03">
      <w:pPr>
        <w:spacing w:line="360" w:lineRule="auto"/>
        <w:ind w:firstLine="480" w:firstLineChars="200"/>
        <w:rPr>
          <w:rFonts w:ascii="仿宋" w:hAnsi="仿宋" w:eastAsia="仿宋" w:cs="仿宋"/>
          <w:sz w:val="24"/>
        </w:rPr>
      </w:pPr>
      <w:r>
        <w:rPr>
          <w:rFonts w:hint="eastAsia" w:ascii="仿宋" w:hAnsi="仿宋" w:eastAsia="仿宋" w:cs="仿宋"/>
          <w:sz w:val="24"/>
        </w:rPr>
        <w:t>9.2乙方提供产品及相关快递服务的具体包装要求应符合《商品包装政府采购需求标准（试行）》《快递包装政府采购需求标准（试行）》，并作为履约验收的内容，必要时甲方可以要求乙方在履约验收环节出具检测报告。（如有）</w:t>
      </w:r>
    </w:p>
    <w:p w14:paraId="771D9422">
      <w:pPr>
        <w:adjustRightInd w:val="0"/>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10、履约保证金（本合同不作要求）</w:t>
      </w:r>
    </w:p>
    <w:p w14:paraId="5C36DD85">
      <w:pPr>
        <w:spacing w:line="360" w:lineRule="auto"/>
        <w:ind w:firstLine="480" w:firstLineChars="200"/>
        <w:rPr>
          <w:rFonts w:ascii="仿宋" w:hAnsi="仿宋" w:eastAsia="仿宋" w:cs="仿宋"/>
          <w:sz w:val="24"/>
        </w:rPr>
      </w:pPr>
      <w:r>
        <w:rPr>
          <w:rFonts w:hint="eastAsia" w:ascii="仿宋" w:hAnsi="仿宋" w:eastAsia="仿宋" w:cs="仿宋"/>
          <w:sz w:val="24"/>
        </w:rPr>
        <w:t>10.1招标文件要求乙方提交履约保证金的，乙方应按</w:t>
      </w:r>
      <w:r>
        <w:rPr>
          <w:rFonts w:hint="eastAsia" w:ascii="仿宋" w:hAnsi="仿宋" w:eastAsia="仿宋" w:cs="仿宋"/>
          <w:sz w:val="24"/>
          <w:u w:val="single"/>
        </w:rPr>
        <w:t xml:space="preserve">  /   </w:t>
      </w:r>
      <w:r>
        <w:rPr>
          <w:rFonts w:hint="eastAsia" w:ascii="仿宋" w:hAnsi="仿宋" w:eastAsia="仿宋" w:cs="仿宋"/>
          <w:sz w:val="24"/>
        </w:rPr>
        <w:t>方式（可以</w:t>
      </w:r>
      <w:r>
        <w:rPr>
          <w:rFonts w:hint="eastAsia" w:ascii="仿宋" w:hAnsi="仿宋" w:eastAsia="仿宋" w:cs="仿宋"/>
          <w:kern w:val="0"/>
          <w:sz w:val="24"/>
        </w:rPr>
        <w:t>电汇、转账支票、银行保函、保险保单</w:t>
      </w:r>
      <w:r>
        <w:rPr>
          <w:rFonts w:hint="eastAsia" w:ascii="仿宋" w:hAnsi="仿宋" w:eastAsia="仿宋" w:cs="仿宋"/>
          <w:sz w:val="24"/>
        </w:rPr>
        <w:t>等非现金形式），在合同签订并生效后</w:t>
      </w:r>
      <w:r>
        <w:rPr>
          <w:rFonts w:hint="eastAsia" w:ascii="仿宋" w:hAnsi="仿宋" w:eastAsia="仿宋" w:cs="仿宋"/>
          <w:sz w:val="24"/>
          <w:u w:val="single"/>
        </w:rPr>
        <w:t xml:space="preserve">  /   </w:t>
      </w:r>
      <w:r>
        <w:rPr>
          <w:rFonts w:hint="eastAsia" w:ascii="仿宋" w:hAnsi="仿宋" w:eastAsia="仿宋" w:cs="仿宋"/>
          <w:sz w:val="24"/>
        </w:rPr>
        <w:t>个工作日内提交</w:t>
      </w:r>
      <w:r>
        <w:rPr>
          <w:rFonts w:hint="eastAsia" w:ascii="仿宋" w:hAnsi="仿宋" w:eastAsia="仿宋" w:cs="仿宋"/>
          <w:sz w:val="24"/>
          <w:u w:val="single"/>
        </w:rPr>
        <w:t xml:space="preserve">    /   </w:t>
      </w:r>
      <w:r>
        <w:rPr>
          <w:rFonts w:hint="eastAsia" w:ascii="仿宋" w:hAnsi="仿宋" w:eastAsia="仿宋" w:cs="仿宋"/>
          <w:sz w:val="24"/>
        </w:rPr>
        <w:t>的履约保证金。</w:t>
      </w:r>
    </w:p>
    <w:p w14:paraId="196852F1">
      <w:pPr>
        <w:spacing w:line="360" w:lineRule="auto"/>
        <w:ind w:firstLine="480" w:firstLineChars="200"/>
        <w:rPr>
          <w:rFonts w:hint="eastAsia" w:ascii="仿宋" w:hAnsi="仿宋" w:eastAsia="仿宋" w:cs="仿宋"/>
          <w:sz w:val="24"/>
        </w:rPr>
      </w:pPr>
      <w:r>
        <w:rPr>
          <w:rFonts w:hint="eastAsia" w:ascii="仿宋" w:hAnsi="仿宋" w:eastAsia="仿宋" w:cs="仿宋"/>
          <w:sz w:val="24"/>
        </w:rPr>
        <w:t>10.2履约保证金的退还：在合同履行完毕，完成验收手续后一周内无息退还（如乙方未能履行合同规定的任何义务，甲方有权从履约保证金中得到相应补偿）；</w:t>
      </w:r>
    </w:p>
    <w:p w14:paraId="3D73D5B5">
      <w:pPr>
        <w:spacing w:line="360" w:lineRule="auto"/>
        <w:ind w:firstLine="480" w:firstLineChars="200"/>
        <w:rPr>
          <w:rFonts w:hint="eastAsia" w:ascii="仿宋" w:hAnsi="仿宋" w:eastAsia="仿宋" w:cs="仿宋"/>
          <w:sz w:val="24"/>
        </w:rPr>
      </w:pPr>
      <w:r>
        <w:rPr>
          <w:rFonts w:hint="eastAsia" w:ascii="仿宋" w:hAnsi="仿宋" w:eastAsia="仿宋" w:cs="仿宋"/>
          <w:sz w:val="24"/>
        </w:rPr>
        <w:t>10.3履约保证金在乙方履行合同规定义务期间必须保持有效，若发生履约保证金扣罚情形的，在扣罚后须补足履约保证金金额；</w:t>
      </w:r>
    </w:p>
    <w:p w14:paraId="10429B43">
      <w:pPr>
        <w:spacing w:line="360" w:lineRule="auto"/>
        <w:ind w:firstLine="480" w:firstLineChars="200"/>
        <w:rPr>
          <w:rFonts w:hint="eastAsia" w:ascii="仿宋" w:hAnsi="仿宋" w:eastAsia="仿宋" w:cs="仿宋"/>
          <w:sz w:val="24"/>
        </w:rPr>
      </w:pPr>
      <w:r>
        <w:rPr>
          <w:rFonts w:hint="eastAsia" w:ascii="仿宋" w:hAnsi="仿宋" w:eastAsia="仿宋" w:cs="仿宋"/>
          <w:sz w:val="24"/>
        </w:rPr>
        <w:t>10.4履约保证金不予退还或扣除情形：①因乙方原因导致本合同被解除的，乙方除承担相关责任外，甲方还将罚没乙方履约保证金。②乙方未能履行合同规定的任何义务给甲方造成直接或间接损失的，甲方有权直接从履约保证金中扣除。③乙方无正当理由拖延或拒绝履行合同规定的任何义务，经书面催告后在合理期限内仍不履行的，甲方有权扣除全部履约保证金，并另行追索违约赔偿金。④乙方提供的服务须和投标文件中所承诺的相符（合同中另有规定除外），如不符，并造成损失的，甲方有权从履约保证金中扣除。</w:t>
      </w:r>
    </w:p>
    <w:p w14:paraId="3E94B828">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11、履约检查和问题反馈</w:t>
      </w:r>
    </w:p>
    <w:p w14:paraId="4C224CEB">
      <w:pPr>
        <w:spacing w:line="360" w:lineRule="auto"/>
        <w:ind w:firstLine="480" w:firstLineChars="200"/>
        <w:rPr>
          <w:rFonts w:ascii="仿宋" w:hAnsi="仿宋" w:eastAsia="仿宋" w:cs="仿宋"/>
          <w:sz w:val="24"/>
        </w:rPr>
      </w:pPr>
      <w:r>
        <w:rPr>
          <w:rFonts w:hint="eastAsia" w:ascii="仿宋" w:hAnsi="仿宋" w:eastAsia="仿宋" w:cs="仿宋"/>
          <w:sz w:val="24"/>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42683963">
      <w:pPr>
        <w:spacing w:line="360" w:lineRule="auto"/>
        <w:ind w:firstLine="480" w:firstLineChars="200"/>
        <w:rPr>
          <w:rFonts w:hint="eastAsia" w:ascii="仿宋" w:hAnsi="仿宋" w:eastAsia="仿宋" w:cs="仿宋"/>
          <w:sz w:val="24"/>
        </w:rPr>
      </w:pPr>
      <w:r>
        <w:rPr>
          <w:rFonts w:hint="eastAsia" w:ascii="仿宋" w:hAnsi="仿宋" w:eastAsia="仿宋" w:cs="仿宋"/>
          <w:sz w:val="24"/>
        </w:rPr>
        <w:t>11.2合同履行期间，甲方有权将履行过程中出现的问题反馈给乙方，双方当事人应以书面形式约定需要完善和改进的内容。</w:t>
      </w:r>
    </w:p>
    <w:p w14:paraId="02259E9B">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12、检验和验收</w:t>
      </w:r>
    </w:p>
    <w:p w14:paraId="57021D2A">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12.1货物交付前，乙方应对货物的质量、数量等方面进行详细、全面的检验，并向甲方出具证明货物符合合同约定的文件；货物交付时，乙方在交付后</w:t>
      </w:r>
      <w:r>
        <w:rPr>
          <w:rFonts w:hint="eastAsia" w:ascii="仿宋" w:hAnsi="仿宋" w:eastAsia="仿宋" w:cs="仿宋"/>
          <w:sz w:val="24"/>
          <w:u w:val="single"/>
        </w:rPr>
        <w:t>14</w:t>
      </w:r>
      <w:r>
        <w:rPr>
          <w:rFonts w:hint="eastAsia" w:ascii="仿宋" w:hAnsi="仿宋" w:eastAsia="仿宋" w:cs="仿宋"/>
          <w:sz w:val="24"/>
        </w:rPr>
        <w:t>个工作日内组织验收，并可依法邀请相关方参加，验收应出具验收书。</w:t>
      </w:r>
    </w:p>
    <w:p w14:paraId="097B1110">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E5307C">
      <w:pPr>
        <w:tabs>
          <w:tab w:val="left" w:pos="360"/>
          <w:tab w:val="left" w:pos="540"/>
          <w:tab w:val="left" w:pos="10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12.3具体验收内容详见甲方的招标文件和乙方的投标文件。</w:t>
      </w:r>
    </w:p>
    <w:p w14:paraId="01355813">
      <w:pPr>
        <w:tabs>
          <w:tab w:val="left" w:pos="360"/>
          <w:tab w:val="left" w:pos="540"/>
          <w:tab w:val="left" w:pos="10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12.4货物交付后，甲方根据如下优先级（合同规定的技术条款＞乙方投标文件技术条款＞招标文件技术条款）技术条款组织验收。如乙方申请验收14天内，甲方延期不组织验收活动的，则自动认定验收通过。</w:t>
      </w:r>
    </w:p>
    <w:p w14:paraId="57310B86">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13、技术资料和保密义务</w:t>
      </w:r>
    </w:p>
    <w:p w14:paraId="535170AB">
      <w:pPr>
        <w:spacing w:line="360" w:lineRule="auto"/>
        <w:ind w:firstLine="480" w:firstLineChars="200"/>
        <w:rPr>
          <w:rFonts w:ascii="仿宋" w:hAnsi="仿宋" w:eastAsia="仿宋" w:cs="仿宋"/>
          <w:sz w:val="24"/>
        </w:rPr>
      </w:pPr>
      <w:r>
        <w:rPr>
          <w:rFonts w:hint="eastAsia" w:ascii="仿宋" w:hAnsi="仿宋" w:eastAsia="仿宋" w:cs="仿宋"/>
          <w:sz w:val="24"/>
        </w:rPr>
        <w:t>13.1乙方有权依据合同约定和项目需要，向甲方了解有关情况，调阅有关资料等，甲方应予积极配合；</w:t>
      </w:r>
    </w:p>
    <w:p w14:paraId="597AB086">
      <w:pPr>
        <w:spacing w:line="360" w:lineRule="auto"/>
        <w:ind w:firstLine="480" w:firstLineChars="200"/>
        <w:rPr>
          <w:rFonts w:ascii="仿宋" w:hAnsi="仿宋" w:eastAsia="仿宋" w:cs="仿宋"/>
          <w:sz w:val="24"/>
        </w:rPr>
      </w:pPr>
      <w:r>
        <w:rPr>
          <w:rFonts w:hint="eastAsia" w:ascii="仿宋" w:hAnsi="仿宋" w:eastAsia="仿宋" w:cs="仿宋"/>
          <w:sz w:val="24"/>
        </w:rPr>
        <w:t>13.2乙方有义务妥善保管和保护由甲方提供的前款信息和资料等；</w:t>
      </w:r>
    </w:p>
    <w:p w14:paraId="7E23B1E3">
      <w:pPr>
        <w:spacing w:line="360" w:lineRule="auto"/>
        <w:ind w:firstLine="480" w:firstLineChars="200"/>
        <w:rPr>
          <w:rFonts w:ascii="仿宋" w:hAnsi="仿宋" w:eastAsia="仿宋" w:cs="仿宋"/>
          <w:sz w:val="24"/>
        </w:rPr>
      </w:pPr>
      <w:r>
        <w:rPr>
          <w:rFonts w:hint="eastAsia" w:ascii="仿宋" w:hAnsi="仿宋" w:eastAsia="仿宋" w:cs="仿宋"/>
          <w:sz w:val="24"/>
        </w:rPr>
        <w:t>13.3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31D908C">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14、质量保证</w:t>
      </w:r>
    </w:p>
    <w:p w14:paraId="2BC079D6">
      <w:pPr>
        <w:spacing w:line="360" w:lineRule="auto"/>
        <w:ind w:firstLine="480" w:firstLineChars="200"/>
        <w:rPr>
          <w:rFonts w:ascii="仿宋" w:hAnsi="仿宋" w:eastAsia="仿宋" w:cs="仿宋"/>
          <w:sz w:val="24"/>
        </w:rPr>
      </w:pPr>
      <w:r>
        <w:rPr>
          <w:rFonts w:hint="eastAsia" w:ascii="仿宋" w:hAnsi="仿宋" w:eastAsia="仿宋" w:cs="仿宋"/>
          <w:sz w:val="24"/>
        </w:rPr>
        <w:t>14.1乙方应建立和完善履行合同的内部质量保证体系，并提供相关内部规章制度给甲方，以便甲方进行监督检查；</w:t>
      </w:r>
    </w:p>
    <w:p w14:paraId="0510ED31">
      <w:pPr>
        <w:spacing w:line="360" w:lineRule="auto"/>
        <w:ind w:firstLine="480" w:firstLineChars="200"/>
        <w:rPr>
          <w:rFonts w:hint="eastAsia" w:ascii="仿宋" w:hAnsi="仿宋" w:eastAsia="仿宋" w:cs="仿宋"/>
          <w:sz w:val="24"/>
        </w:rPr>
      </w:pPr>
      <w:r>
        <w:rPr>
          <w:rFonts w:hint="eastAsia" w:ascii="仿宋" w:hAnsi="仿宋" w:eastAsia="仿宋" w:cs="仿宋"/>
          <w:sz w:val="24"/>
        </w:rPr>
        <w:t>14.2乙方应保证履行合同的人员数量和素质、软件和硬件设备的配置、场地、环境和设施等满足全面履行合同的要求，并应接受甲方的监督检查。</w:t>
      </w:r>
    </w:p>
    <w:p w14:paraId="00659612">
      <w:pPr>
        <w:spacing w:line="360" w:lineRule="auto"/>
        <w:ind w:firstLine="480" w:firstLineChars="200"/>
        <w:rPr>
          <w:rFonts w:hint="eastAsia" w:ascii="仿宋" w:hAnsi="仿宋" w:eastAsia="仿宋" w:cs="仿宋"/>
          <w:sz w:val="24"/>
        </w:rPr>
      </w:pPr>
      <w:r>
        <w:rPr>
          <w:rFonts w:hint="eastAsia" w:ascii="仿宋" w:hAnsi="仿宋" w:eastAsia="仿宋" w:cs="仿宋"/>
          <w:sz w:val="24"/>
        </w:rPr>
        <w:t>14.3质保期及服务要求</w:t>
      </w:r>
    </w:p>
    <w:p w14:paraId="6D800BAC">
      <w:pPr>
        <w:spacing w:line="360" w:lineRule="auto"/>
        <w:ind w:firstLine="480" w:firstLineChars="200"/>
        <w:rPr>
          <w:rFonts w:hint="eastAsia" w:ascii="仿宋" w:hAnsi="仿宋" w:eastAsia="仿宋" w:cs="仿宋"/>
          <w:sz w:val="24"/>
        </w:rPr>
      </w:pPr>
      <w:r>
        <w:rPr>
          <w:rFonts w:hint="eastAsia" w:ascii="仿宋" w:hAnsi="仿宋" w:eastAsia="仿宋" w:cs="仿宋"/>
          <w:sz w:val="24"/>
        </w:rPr>
        <w:t>14.3.1乙方必须保证所供货物全新、正宗、原包装。通过船检部门（主管部门）的检验，有检验合格证的产品。</w:t>
      </w:r>
    </w:p>
    <w:p w14:paraId="4E5C0740">
      <w:pPr>
        <w:spacing w:line="360" w:lineRule="auto"/>
        <w:ind w:firstLine="480" w:firstLineChars="200"/>
        <w:rPr>
          <w:rFonts w:hint="eastAsia" w:ascii="仿宋" w:hAnsi="仿宋" w:eastAsia="仿宋" w:cs="仿宋"/>
          <w:sz w:val="24"/>
        </w:rPr>
      </w:pPr>
      <w:r>
        <w:rPr>
          <w:rFonts w:hint="eastAsia" w:ascii="仿宋" w:hAnsi="仿宋" w:eastAsia="仿宋" w:cs="仿宋"/>
          <w:sz w:val="24"/>
        </w:rPr>
        <w:t>14.3.2产品交货后，由甲方组织专业人员验收。验收以国家行业标准为基础，结合本次采购文件和本合同为依据进行。如不符要求，包退包换，直到符合要求为止，否则甲方有权解除合同，拒付货款，并扣总价款10%的违约金。</w:t>
      </w:r>
    </w:p>
    <w:p w14:paraId="2C4B1051">
      <w:pPr>
        <w:spacing w:line="360" w:lineRule="auto"/>
        <w:ind w:firstLine="480" w:firstLineChars="200"/>
        <w:rPr>
          <w:rFonts w:hint="eastAsia" w:ascii="仿宋" w:hAnsi="仿宋" w:eastAsia="仿宋" w:cs="仿宋"/>
          <w:sz w:val="24"/>
        </w:rPr>
      </w:pPr>
      <w:r>
        <w:rPr>
          <w:rFonts w:hint="eastAsia" w:ascii="仿宋" w:hAnsi="仿宋" w:eastAsia="仿宋" w:cs="仿宋"/>
          <w:sz w:val="24"/>
        </w:rPr>
        <w:t>14.3.3本项目车辆质保期为3年或60000公里，医疗舱及改装部分质保期</w:t>
      </w:r>
      <w:r>
        <w:rPr>
          <w:rFonts w:hint="eastAsia" w:ascii="仿宋" w:hAnsi="仿宋" w:eastAsia="仿宋" w:cs="仿宋"/>
          <w:sz w:val="24"/>
          <w:lang w:val="en-US" w:eastAsia="zh-CN"/>
        </w:rPr>
        <w:t>3</w:t>
      </w:r>
      <w:r>
        <w:rPr>
          <w:rFonts w:hint="eastAsia" w:ascii="仿宋" w:hAnsi="仿宋" w:eastAsia="仿宋" w:cs="仿宋"/>
          <w:sz w:val="24"/>
        </w:rPr>
        <w:t>年。</w:t>
      </w:r>
    </w:p>
    <w:p w14:paraId="58CD8A60">
      <w:pPr>
        <w:spacing w:line="360" w:lineRule="auto"/>
        <w:ind w:firstLine="480" w:firstLineChars="200"/>
        <w:rPr>
          <w:rFonts w:hint="eastAsia" w:ascii="仿宋" w:hAnsi="仿宋" w:eastAsia="仿宋" w:cs="仿宋"/>
          <w:sz w:val="24"/>
        </w:rPr>
      </w:pPr>
      <w:r>
        <w:rPr>
          <w:rFonts w:hint="eastAsia" w:ascii="仿宋" w:hAnsi="仿宋" w:eastAsia="仿宋" w:cs="仿宋"/>
          <w:sz w:val="24"/>
        </w:rPr>
        <w:t>14.3.4质保期内，若经修理后仍达不到原有性能的应无偿更换；出现由使用人原因的质量问题，乙方应无偿进行修理，甲方视情况可支付必要的材料费。质保期满后，若配套设备出现严重故障，乙方收到甲方通知后，乙方必需在24小时内派专业维修人员上门修理并优惠收费。所有配套设备在到货3个月内出现1次故障，半年内出现2次故障的，甲方有权要求直接更换新的设备。</w:t>
      </w:r>
    </w:p>
    <w:p w14:paraId="6C7C56A5">
      <w:pPr>
        <w:spacing w:line="360" w:lineRule="auto"/>
        <w:ind w:firstLine="480" w:firstLineChars="200"/>
        <w:rPr>
          <w:rFonts w:hint="eastAsia" w:ascii="仿宋" w:hAnsi="仿宋" w:eastAsia="仿宋" w:cs="仿宋"/>
          <w:sz w:val="24"/>
        </w:rPr>
      </w:pPr>
      <w:r>
        <w:rPr>
          <w:rFonts w:hint="eastAsia" w:ascii="仿宋" w:hAnsi="仿宋" w:eastAsia="仿宋" w:cs="仿宋"/>
          <w:sz w:val="24"/>
        </w:rPr>
        <w:t>14.4、产品及服务质量保证</w:t>
      </w:r>
    </w:p>
    <w:p w14:paraId="59060445">
      <w:pPr>
        <w:spacing w:line="360" w:lineRule="auto"/>
        <w:ind w:firstLine="480" w:firstLineChars="200"/>
        <w:rPr>
          <w:rFonts w:hint="eastAsia" w:ascii="仿宋" w:hAnsi="仿宋" w:eastAsia="仿宋" w:cs="仿宋"/>
          <w:sz w:val="24"/>
        </w:rPr>
      </w:pPr>
      <w:r>
        <w:rPr>
          <w:rFonts w:hint="eastAsia" w:ascii="仿宋" w:hAnsi="仿宋" w:eastAsia="仿宋" w:cs="仿宋"/>
          <w:sz w:val="24"/>
        </w:rPr>
        <w:t>14.4.1乙方保证所供的产品必须是出厂原装合格产品，如发生所供的产品与合同不符，甲方有权拒收或退货，由此产生的一切责任和后果由乙方承担。</w:t>
      </w:r>
    </w:p>
    <w:p w14:paraId="010BB31B">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15、货物的风险负担</w:t>
      </w:r>
    </w:p>
    <w:p w14:paraId="42AFE37E">
      <w:pPr>
        <w:spacing w:line="360" w:lineRule="auto"/>
        <w:ind w:firstLine="480" w:firstLineChars="200"/>
        <w:rPr>
          <w:rFonts w:ascii="仿宋" w:hAnsi="仿宋" w:eastAsia="仿宋" w:cs="仿宋"/>
          <w:b/>
          <w:sz w:val="24"/>
        </w:rPr>
      </w:pPr>
      <w:r>
        <w:rPr>
          <w:rFonts w:hint="eastAsia" w:ascii="仿宋" w:hAnsi="仿宋" w:eastAsia="仿宋" w:cs="仿宋"/>
          <w:sz w:val="24"/>
        </w:rPr>
        <w:t>货物在甲方未收货前出现的货物毁损、灭失的风险均由乙方承担。</w:t>
      </w:r>
    </w:p>
    <w:p w14:paraId="157EC5D9">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16、延迟交货</w:t>
      </w:r>
    </w:p>
    <w:p w14:paraId="4BCA998C">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FEE1EE6">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17、合同变更</w:t>
      </w:r>
    </w:p>
    <w:p w14:paraId="41F30AD6">
      <w:pPr>
        <w:spacing w:line="360" w:lineRule="auto"/>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4296F426">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18、合同转让和分包</w:t>
      </w:r>
    </w:p>
    <w:p w14:paraId="091E5A6D">
      <w:pPr>
        <w:spacing w:line="360" w:lineRule="auto"/>
        <w:ind w:firstLine="480" w:firstLineChars="200"/>
        <w:rPr>
          <w:rFonts w:ascii="仿宋" w:hAnsi="仿宋" w:eastAsia="仿宋" w:cs="仿宋"/>
          <w:sz w:val="24"/>
        </w:rPr>
      </w:pPr>
      <w:r>
        <w:rPr>
          <w:rFonts w:hint="eastAsia" w:ascii="仿宋" w:hAnsi="仿宋" w:eastAsia="仿宋" w:cs="仿宋"/>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2F1E203">
      <w:pPr>
        <w:spacing w:line="360" w:lineRule="auto"/>
        <w:ind w:firstLine="480" w:firstLineChars="200"/>
        <w:rPr>
          <w:rFonts w:ascii="仿宋" w:hAnsi="仿宋" w:eastAsia="仿宋" w:cs="仿宋"/>
          <w:sz w:val="24"/>
        </w:rPr>
      </w:pPr>
      <w:r>
        <w:rPr>
          <w:rFonts w:hint="eastAsia" w:ascii="仿宋" w:hAnsi="仿宋" w:eastAsia="仿宋" w:cs="仿宋"/>
          <w:sz w:val="24"/>
        </w:rPr>
        <w:t>18.2乙方采取分包方式履行合同的，甲方可直接向分包供应商支付款项。</w:t>
      </w:r>
    </w:p>
    <w:p w14:paraId="17A7A3D5">
      <w:pPr>
        <w:spacing w:line="360" w:lineRule="auto"/>
        <w:ind w:firstLine="482" w:firstLineChars="200"/>
        <w:outlineLvl w:val="0"/>
        <w:rPr>
          <w:rFonts w:ascii="仿宋" w:hAnsi="仿宋" w:eastAsia="仿宋" w:cs="仿宋"/>
          <w:b/>
          <w:sz w:val="24"/>
        </w:rPr>
      </w:pPr>
      <w:bookmarkStart w:id="521" w:name="_Toc27250"/>
      <w:bookmarkStart w:id="522" w:name="_Toc19554"/>
      <w:bookmarkStart w:id="523" w:name="_Toc21423"/>
      <w:r>
        <w:rPr>
          <w:rFonts w:hint="eastAsia" w:ascii="仿宋" w:hAnsi="仿宋" w:eastAsia="仿宋" w:cs="仿宋"/>
          <w:b/>
          <w:sz w:val="24"/>
        </w:rPr>
        <w:t>19、违约责任</w:t>
      </w:r>
      <w:bookmarkEnd w:id="521"/>
      <w:bookmarkEnd w:id="522"/>
      <w:bookmarkEnd w:id="523"/>
    </w:p>
    <w:p w14:paraId="2AF41A7D">
      <w:pPr>
        <w:spacing w:line="360" w:lineRule="auto"/>
        <w:ind w:firstLine="480" w:firstLineChars="200"/>
        <w:rPr>
          <w:rFonts w:ascii="仿宋" w:hAnsi="仿宋" w:eastAsia="仿宋" w:cs="仿宋"/>
          <w:sz w:val="24"/>
        </w:rPr>
      </w:pPr>
      <w:r>
        <w:rPr>
          <w:rFonts w:hint="eastAsia" w:ascii="仿宋" w:hAnsi="仿宋" w:eastAsia="仿宋" w:cs="仿宋"/>
          <w:sz w:val="24"/>
        </w:rPr>
        <w:t>19.1除不可抗力外，如果乙方拒绝履行合同，或没有按照本合同约定的期限、地点和方式交付货物，那么甲方可要求乙方支付违约金，违约金按每日计合同总价的</w:t>
      </w:r>
      <w:r>
        <w:rPr>
          <w:rFonts w:hint="eastAsia" w:ascii="仿宋" w:hAnsi="仿宋" w:eastAsia="仿宋" w:cs="仿宋"/>
          <w:sz w:val="24"/>
          <w:u w:val="single"/>
        </w:rPr>
        <w:t>0.05</w:t>
      </w:r>
      <w:r>
        <w:rPr>
          <w:rFonts w:hint="eastAsia" w:ascii="仿宋" w:hAnsi="仿宋" w:eastAsia="仿宋" w:cs="仿宋"/>
          <w:sz w:val="24"/>
        </w:rPr>
        <w:t>%，最高限额为本合同总价的</w:t>
      </w:r>
      <w:r>
        <w:rPr>
          <w:rFonts w:hint="eastAsia" w:ascii="仿宋" w:hAnsi="仿宋" w:eastAsia="仿宋" w:cs="仿宋"/>
          <w:sz w:val="24"/>
          <w:u w:val="single"/>
        </w:rPr>
        <w:t>10</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3BF16FE5">
      <w:pPr>
        <w:spacing w:line="360" w:lineRule="auto"/>
        <w:ind w:firstLine="480" w:firstLineChars="200"/>
        <w:rPr>
          <w:rFonts w:ascii="仿宋" w:hAnsi="仿宋" w:eastAsia="仿宋" w:cs="仿宋"/>
          <w:sz w:val="24"/>
        </w:rPr>
      </w:pPr>
      <w:r>
        <w:rPr>
          <w:rFonts w:hint="eastAsia" w:ascii="仿宋" w:hAnsi="仿宋" w:eastAsia="仿宋" w:cs="仿宋"/>
          <w:sz w:val="24"/>
        </w:rPr>
        <w:t>19.2除不可抗力外，如果甲方没有按照本合同约定的付款方式付款，那么乙方可要求甲方支付违约金，违约金按每迟延付款一日的应付而未付款的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10</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BF69697">
      <w:pPr>
        <w:spacing w:line="360" w:lineRule="auto"/>
        <w:ind w:firstLine="480" w:firstLineChars="200"/>
        <w:rPr>
          <w:rFonts w:ascii="仿宋" w:hAnsi="仿宋" w:eastAsia="仿宋" w:cs="仿宋"/>
          <w:sz w:val="24"/>
        </w:rPr>
      </w:pPr>
      <w:r>
        <w:rPr>
          <w:rFonts w:hint="eastAsia" w:ascii="仿宋" w:hAnsi="仿宋" w:eastAsia="仿宋" w:cs="仿宋"/>
          <w:sz w:val="24"/>
        </w:rPr>
        <w:t>19.3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193309">
      <w:pPr>
        <w:spacing w:line="360" w:lineRule="auto"/>
        <w:ind w:firstLine="480" w:firstLineChars="200"/>
        <w:rPr>
          <w:rFonts w:ascii="仿宋" w:hAnsi="仿宋" w:eastAsia="仿宋" w:cs="仿宋"/>
          <w:sz w:val="24"/>
        </w:rPr>
      </w:pPr>
      <w:r>
        <w:rPr>
          <w:rFonts w:hint="eastAsia" w:ascii="仿宋" w:hAnsi="仿宋" w:eastAsia="仿宋" w:cs="仿宋"/>
          <w:sz w:val="24"/>
        </w:rPr>
        <w:t>19.4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B3E090D">
      <w:pPr>
        <w:spacing w:line="360" w:lineRule="auto"/>
        <w:ind w:firstLine="480" w:firstLineChars="200"/>
        <w:rPr>
          <w:rFonts w:ascii="仿宋" w:hAnsi="仿宋" w:eastAsia="仿宋" w:cs="仿宋"/>
          <w:sz w:val="24"/>
        </w:rPr>
      </w:pPr>
      <w:r>
        <w:rPr>
          <w:rFonts w:hint="eastAsia" w:ascii="仿宋" w:hAnsi="仿宋" w:eastAsia="仿宋" w:cs="仿宋"/>
          <w:sz w:val="24"/>
        </w:rPr>
        <w:t>19.5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BDE2024">
      <w:pPr>
        <w:spacing w:line="360" w:lineRule="auto"/>
        <w:ind w:firstLine="480" w:firstLineChars="200"/>
        <w:rPr>
          <w:rFonts w:hint="eastAsia" w:ascii="仿宋" w:hAnsi="仿宋" w:eastAsia="仿宋" w:cs="仿宋"/>
          <w:sz w:val="24"/>
        </w:rPr>
      </w:pPr>
      <w:r>
        <w:rPr>
          <w:rFonts w:hint="eastAsia" w:ascii="仿宋" w:hAnsi="仿宋" w:eastAsia="仿宋" w:cs="仿宋"/>
          <w:sz w:val="24"/>
        </w:rPr>
        <w:t>19.6如果出现政府采购监督管理部门在处理投诉事项期间，书面通知甲方暂停采购活动的情形，或者询问或质疑事项可能影响中标结果的，导致甲方中止履行合同的情形，均不视为甲方违约。</w:t>
      </w:r>
    </w:p>
    <w:p w14:paraId="7FE26920">
      <w:pPr>
        <w:spacing w:line="360" w:lineRule="auto"/>
        <w:ind w:firstLine="480" w:firstLineChars="200"/>
        <w:rPr>
          <w:rFonts w:hint="eastAsia" w:ascii="仿宋" w:hAnsi="仿宋" w:eastAsia="仿宋" w:cs="仿宋"/>
          <w:sz w:val="24"/>
        </w:rPr>
      </w:pPr>
      <w:r>
        <w:rPr>
          <w:rFonts w:hint="eastAsia" w:ascii="仿宋" w:hAnsi="仿宋" w:eastAsia="仿宋" w:cs="仿宋"/>
          <w:sz w:val="24"/>
        </w:rPr>
        <w:t>19.7其他违约责任</w:t>
      </w:r>
    </w:p>
    <w:p w14:paraId="529FD783">
      <w:pPr>
        <w:spacing w:line="360" w:lineRule="auto"/>
        <w:ind w:firstLine="480" w:firstLineChars="200"/>
        <w:rPr>
          <w:rFonts w:hint="eastAsia" w:ascii="仿宋" w:hAnsi="仿宋" w:eastAsia="仿宋" w:cs="仿宋"/>
          <w:sz w:val="24"/>
        </w:rPr>
      </w:pPr>
      <w:r>
        <w:rPr>
          <w:rFonts w:hint="eastAsia" w:ascii="仿宋" w:hAnsi="仿宋" w:eastAsia="仿宋" w:cs="仿宋"/>
          <w:sz w:val="24"/>
        </w:rPr>
        <w:t>1）乙方如不能按时完工，将受到以下制裁：加收误期赔偿或解除合同。</w:t>
      </w:r>
    </w:p>
    <w:p w14:paraId="2C76D99B">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乙方每逾期一日，应承担合同总价5‰的违约金，并赔偿因进度不及时造成甲方的经济损失。一旦乙方延误累计达到15天，乙方应支付合同总价10%的违约金，甲方可单方面解除合同也可要求乙方继续履行。</w:t>
      </w:r>
    </w:p>
    <w:p w14:paraId="53F06F27">
      <w:pPr>
        <w:spacing w:line="360" w:lineRule="auto"/>
        <w:ind w:firstLine="480" w:firstLineChars="200"/>
        <w:rPr>
          <w:rFonts w:hint="eastAsia" w:ascii="仿宋" w:hAnsi="仿宋" w:eastAsia="仿宋" w:cs="仿宋"/>
          <w:sz w:val="24"/>
        </w:rPr>
      </w:pPr>
      <w:r>
        <w:rPr>
          <w:rFonts w:hint="eastAsia" w:ascii="仿宋" w:hAnsi="仿宋" w:eastAsia="仿宋" w:cs="仿宋"/>
          <w:sz w:val="24"/>
        </w:rPr>
        <w:t>2）在履行合同过程中，如果乙方遇到可能妨碍按时完工和提供服务的情况时，应在情况发生当日以书面形式将拖延的事实、可能拖延的期限和理由通知甲方。甲方在接到通知后，应尽快对情况进行评价，确定是否酌情延长合同工期。若乙方在延缓期内仍不能交货，每逾期一日，应承担合同总价5‰的违约金，甲方有权要求乙方继续履行合同，也可单方解除合同并追究乙方的违约责任。</w:t>
      </w:r>
    </w:p>
    <w:p w14:paraId="6071D01C">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3）乙方提供的产品质量达不到约定质量标准的，必须重新供货，所发生的一切费用均由乙方承担；对进度造成影响的，乙方必须承担甲方经济损失。</w:t>
      </w:r>
    </w:p>
    <w:p w14:paraId="1B6016F0">
      <w:pPr>
        <w:spacing w:line="360" w:lineRule="auto"/>
        <w:ind w:firstLine="480" w:firstLineChars="200"/>
        <w:rPr>
          <w:rFonts w:hint="eastAsia" w:ascii="仿宋" w:hAnsi="仿宋" w:eastAsia="仿宋" w:cs="仿宋"/>
          <w:sz w:val="24"/>
        </w:rPr>
      </w:pPr>
      <w:r>
        <w:rPr>
          <w:rFonts w:hint="eastAsia" w:ascii="仿宋" w:hAnsi="仿宋" w:eastAsia="仿宋" w:cs="仿宋"/>
          <w:sz w:val="24"/>
        </w:rPr>
        <w:t>4）甲方如在合同的履行过程中发现乙方有以下行为的，可单方面中止合同并要求乙方支付合同总价20%的违约金，违约金不足以赔偿甲方经济损失的部分，甲方有权继续追偿。</w:t>
      </w:r>
    </w:p>
    <w:p w14:paraId="5445A9EA">
      <w:pPr>
        <w:spacing w:line="360" w:lineRule="auto"/>
        <w:ind w:firstLine="480" w:firstLineChars="200"/>
        <w:rPr>
          <w:rFonts w:hint="eastAsia" w:ascii="仿宋" w:hAnsi="仿宋" w:eastAsia="仿宋" w:cs="仿宋"/>
          <w:sz w:val="24"/>
        </w:rPr>
      </w:pPr>
      <w:r>
        <w:rPr>
          <w:rFonts w:hint="eastAsia" w:ascii="仿宋" w:hAnsi="仿宋" w:eastAsia="仿宋" w:cs="仿宋"/>
          <w:sz w:val="24"/>
        </w:rPr>
        <w:t>4.1）在投标文件中弄虚作假、存在欺诈行为的；</w:t>
      </w:r>
    </w:p>
    <w:p w14:paraId="49E899DE">
      <w:pPr>
        <w:spacing w:line="360" w:lineRule="auto"/>
        <w:ind w:firstLine="480" w:firstLineChars="200"/>
        <w:rPr>
          <w:rFonts w:hint="eastAsia" w:ascii="仿宋" w:hAnsi="仿宋" w:eastAsia="仿宋" w:cs="仿宋"/>
          <w:sz w:val="24"/>
        </w:rPr>
      </w:pPr>
      <w:r>
        <w:rPr>
          <w:rFonts w:hint="eastAsia" w:ascii="仿宋" w:hAnsi="仿宋" w:eastAsia="仿宋" w:cs="仿宋"/>
          <w:sz w:val="24"/>
        </w:rPr>
        <w:t>4.2）乙方投标文件中表述的售后服务或产品性能指标优于招标文件要求、但实际上没能兑现其投标文件表述内容的。</w:t>
      </w:r>
    </w:p>
    <w:p w14:paraId="6A6A4507">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20、不可抗力</w:t>
      </w:r>
    </w:p>
    <w:p w14:paraId="2746A9B6">
      <w:pPr>
        <w:spacing w:line="360" w:lineRule="auto"/>
        <w:ind w:firstLine="480" w:firstLineChars="200"/>
        <w:rPr>
          <w:rFonts w:ascii="仿宋" w:hAnsi="仿宋" w:eastAsia="仿宋" w:cs="仿宋"/>
          <w:sz w:val="24"/>
        </w:rPr>
      </w:pPr>
      <w:r>
        <w:rPr>
          <w:rFonts w:hint="eastAsia" w:ascii="仿宋" w:hAnsi="仿宋" w:eastAsia="仿宋" w:cs="仿宋"/>
          <w:sz w:val="24"/>
        </w:rPr>
        <w:t>20.1如果任何一方遭遇法律规定的不可抗力，致使合同履行受阻时，履行合同的期限应予延长，延长的期限应相当于不可抗力所影响的时间；</w:t>
      </w:r>
    </w:p>
    <w:p w14:paraId="53B18703">
      <w:pPr>
        <w:spacing w:line="360" w:lineRule="auto"/>
        <w:ind w:firstLine="480" w:firstLineChars="200"/>
        <w:rPr>
          <w:rFonts w:ascii="仿宋" w:hAnsi="仿宋" w:eastAsia="仿宋" w:cs="仿宋"/>
          <w:sz w:val="24"/>
        </w:rPr>
      </w:pPr>
      <w:r>
        <w:rPr>
          <w:rFonts w:hint="eastAsia" w:ascii="仿宋" w:hAnsi="仿宋" w:eastAsia="仿宋" w:cs="仿宋"/>
          <w:sz w:val="24"/>
        </w:rPr>
        <w:t>20.2因不可抗力致使不能实现合同目的的，当事人可以解除合同；</w:t>
      </w:r>
    </w:p>
    <w:p w14:paraId="201EA8B7">
      <w:pPr>
        <w:spacing w:line="360" w:lineRule="auto"/>
        <w:ind w:firstLine="480" w:firstLineChars="200"/>
        <w:rPr>
          <w:rFonts w:ascii="仿宋" w:hAnsi="仿宋" w:eastAsia="仿宋" w:cs="仿宋"/>
          <w:sz w:val="24"/>
        </w:rPr>
      </w:pPr>
      <w:r>
        <w:rPr>
          <w:rFonts w:hint="eastAsia" w:ascii="仿宋" w:hAnsi="仿宋" w:eastAsia="仿宋" w:cs="仿宋"/>
          <w:sz w:val="24"/>
        </w:rPr>
        <w:t>20.3因不可抗力致使合同有变更必要的，双方当事人应在不可抗力发生后</w:t>
      </w:r>
      <w:r>
        <w:rPr>
          <w:rFonts w:hint="eastAsia" w:ascii="仿宋" w:hAnsi="仿宋" w:eastAsia="仿宋" w:cs="仿宋"/>
          <w:sz w:val="24"/>
          <w:u w:val="single"/>
        </w:rPr>
        <w:t>10</w:t>
      </w:r>
      <w:r>
        <w:rPr>
          <w:rFonts w:hint="eastAsia" w:ascii="仿宋" w:hAnsi="仿宋" w:eastAsia="仿宋" w:cs="仿宋"/>
          <w:sz w:val="24"/>
        </w:rPr>
        <w:t>日内以书面形式变更合同；</w:t>
      </w:r>
    </w:p>
    <w:p w14:paraId="07E3E790">
      <w:pPr>
        <w:spacing w:line="360" w:lineRule="auto"/>
        <w:ind w:firstLine="480" w:firstLineChars="200"/>
        <w:rPr>
          <w:rFonts w:ascii="仿宋" w:hAnsi="仿宋" w:eastAsia="仿宋" w:cs="仿宋"/>
          <w:sz w:val="24"/>
        </w:rPr>
      </w:pPr>
      <w:r>
        <w:rPr>
          <w:rFonts w:hint="eastAsia" w:ascii="仿宋" w:hAnsi="仿宋" w:eastAsia="仿宋" w:cs="仿宋"/>
          <w:sz w:val="24"/>
        </w:rPr>
        <w:t>20.4受不可抗力影响的一方在不可抗力发生后，应在</w:t>
      </w:r>
      <w:r>
        <w:rPr>
          <w:rFonts w:hint="eastAsia" w:ascii="仿宋" w:hAnsi="仿宋" w:eastAsia="仿宋" w:cs="仿宋"/>
          <w:sz w:val="24"/>
          <w:u w:val="single"/>
        </w:rPr>
        <w:t>5</w:t>
      </w:r>
      <w:r>
        <w:rPr>
          <w:rFonts w:hint="eastAsia" w:ascii="仿宋" w:hAnsi="仿宋" w:eastAsia="仿宋" w:cs="仿宋"/>
          <w:sz w:val="24"/>
        </w:rPr>
        <w:t>日内以书面形式通知对方当事人，并在</w:t>
      </w:r>
      <w:r>
        <w:rPr>
          <w:rFonts w:hint="eastAsia" w:ascii="仿宋" w:hAnsi="仿宋" w:eastAsia="仿宋" w:cs="仿宋"/>
          <w:sz w:val="24"/>
          <w:u w:val="single"/>
        </w:rPr>
        <w:t>15</w:t>
      </w:r>
      <w:r>
        <w:rPr>
          <w:rFonts w:hint="eastAsia" w:ascii="仿宋" w:hAnsi="仿宋" w:eastAsia="仿宋" w:cs="仿宋"/>
          <w:sz w:val="24"/>
        </w:rPr>
        <w:t>日内，将有关部门出具的证明文件送达对方当事人。</w:t>
      </w:r>
    </w:p>
    <w:p w14:paraId="0906716F">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21、税费</w:t>
      </w:r>
    </w:p>
    <w:p w14:paraId="12FBB994">
      <w:pPr>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14:paraId="2589E3E2">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22、乙方破产</w:t>
      </w:r>
    </w:p>
    <w:p w14:paraId="41746FC1">
      <w:pPr>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8505B7">
      <w:pPr>
        <w:spacing w:line="360" w:lineRule="auto"/>
        <w:ind w:firstLine="482" w:firstLineChars="200"/>
        <w:outlineLvl w:val="0"/>
        <w:rPr>
          <w:rFonts w:ascii="仿宋" w:hAnsi="仿宋" w:eastAsia="仿宋" w:cs="仿宋"/>
          <w:b/>
          <w:sz w:val="24"/>
        </w:rPr>
      </w:pPr>
      <w:bookmarkStart w:id="524" w:name="_Toc28375"/>
      <w:bookmarkStart w:id="525" w:name="_Toc16021"/>
      <w:bookmarkStart w:id="526" w:name="_Toc15583"/>
      <w:r>
        <w:rPr>
          <w:rFonts w:hint="eastAsia" w:ascii="仿宋" w:hAnsi="仿宋" w:eastAsia="仿宋" w:cs="仿宋"/>
          <w:b/>
          <w:sz w:val="24"/>
        </w:rPr>
        <w:t>23、合同争议的解决</w:t>
      </w:r>
      <w:bookmarkEnd w:id="524"/>
      <w:bookmarkEnd w:id="525"/>
      <w:bookmarkEnd w:id="526"/>
    </w:p>
    <w:p w14:paraId="141F6D7B">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本合同履行过程中发生的任何争议，双方当事人均可通过和解或者调解解决；不愿和解、调解或者和解、调解不成的，可以向合同签订地人民法院提起诉讼。</w:t>
      </w:r>
    </w:p>
    <w:p w14:paraId="375FFA13">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24、合同中止、终止</w:t>
      </w:r>
    </w:p>
    <w:p w14:paraId="0B0E54F1">
      <w:pPr>
        <w:spacing w:line="360" w:lineRule="auto"/>
        <w:ind w:firstLine="480" w:firstLineChars="200"/>
        <w:rPr>
          <w:rFonts w:ascii="仿宋" w:hAnsi="仿宋" w:eastAsia="仿宋" w:cs="仿宋"/>
          <w:sz w:val="24"/>
        </w:rPr>
      </w:pPr>
      <w:r>
        <w:rPr>
          <w:rFonts w:hint="eastAsia" w:ascii="仿宋" w:hAnsi="仿宋" w:eastAsia="仿宋" w:cs="仿宋"/>
          <w:sz w:val="24"/>
        </w:rPr>
        <w:t>24.1双方当事人不得擅自中止或者终止合同；</w:t>
      </w:r>
    </w:p>
    <w:p w14:paraId="0250CD5E">
      <w:pPr>
        <w:spacing w:line="360" w:lineRule="auto"/>
        <w:ind w:firstLine="480" w:firstLineChars="200"/>
        <w:rPr>
          <w:rFonts w:ascii="仿宋" w:hAnsi="仿宋" w:eastAsia="仿宋" w:cs="仿宋"/>
          <w:sz w:val="24"/>
        </w:rPr>
      </w:pPr>
      <w:r>
        <w:rPr>
          <w:rFonts w:hint="eastAsia" w:ascii="仿宋" w:hAnsi="仿宋" w:eastAsia="仿宋" w:cs="仿宋"/>
          <w:sz w:val="24"/>
        </w:rPr>
        <w:t>24.2合同继续履行将损害国家利益和社会公共利益的，双方当事人应当中止或者终止合同。有过错的一方应当承担赔偿责任，双方当事人都有过错的，各自承担相应的责任。</w:t>
      </w:r>
    </w:p>
    <w:p w14:paraId="1E7624A0">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25、通知和送达</w:t>
      </w:r>
    </w:p>
    <w:p w14:paraId="20287593">
      <w:pPr>
        <w:spacing w:line="360" w:lineRule="auto"/>
        <w:ind w:firstLine="480" w:firstLineChars="200"/>
        <w:rPr>
          <w:rFonts w:ascii="仿宋" w:hAnsi="仿宋" w:eastAsia="仿宋" w:cs="仿宋"/>
          <w:sz w:val="24"/>
        </w:rPr>
      </w:pPr>
      <w:r>
        <w:rPr>
          <w:rFonts w:hint="eastAsia" w:ascii="仿宋" w:hAnsi="仿宋" w:eastAsia="仿宋" w:cs="仿宋"/>
          <w:sz w:val="24"/>
        </w:rPr>
        <w:t>25.1任何一方因履行合同而以合同第一部分尾部所列明的传真或电子邮件发出的所有通知、文件、材料，均视为已向对方当事人送达；任何一方变更上述送达方式或者地址的，应于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6C3CCBAD">
      <w:pPr>
        <w:spacing w:line="360" w:lineRule="auto"/>
        <w:ind w:firstLine="480" w:firstLineChars="200"/>
        <w:rPr>
          <w:rFonts w:ascii="仿宋" w:hAnsi="仿宋" w:eastAsia="仿宋" w:cs="仿宋"/>
          <w:sz w:val="24"/>
        </w:rPr>
      </w:pPr>
      <w:r>
        <w:rPr>
          <w:rFonts w:hint="eastAsia" w:ascii="仿宋" w:hAnsi="仿宋" w:eastAsia="仿宋" w:cs="仿宋"/>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06F4B72D">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26、计量单位</w:t>
      </w:r>
    </w:p>
    <w:p w14:paraId="14EF9C03">
      <w:pPr>
        <w:spacing w:line="360" w:lineRule="auto"/>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A59A153">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27、合同使用的文字和适用的法律</w:t>
      </w:r>
    </w:p>
    <w:p w14:paraId="255D9039">
      <w:pPr>
        <w:spacing w:line="360" w:lineRule="auto"/>
        <w:ind w:firstLine="480" w:firstLineChars="200"/>
        <w:rPr>
          <w:rFonts w:ascii="仿宋" w:hAnsi="仿宋" w:eastAsia="仿宋" w:cs="仿宋"/>
          <w:sz w:val="24"/>
        </w:rPr>
      </w:pPr>
      <w:r>
        <w:rPr>
          <w:rFonts w:hint="eastAsia" w:ascii="仿宋" w:hAnsi="仿宋" w:eastAsia="仿宋" w:cs="仿宋"/>
          <w:sz w:val="24"/>
        </w:rPr>
        <w:t>27.1合同使用汉语书就、变更和解释；</w:t>
      </w:r>
    </w:p>
    <w:p w14:paraId="2B44C07A">
      <w:pPr>
        <w:spacing w:line="360" w:lineRule="auto"/>
        <w:ind w:firstLine="480" w:firstLineChars="200"/>
        <w:rPr>
          <w:rFonts w:ascii="仿宋" w:hAnsi="仿宋" w:eastAsia="仿宋" w:cs="仿宋"/>
          <w:sz w:val="24"/>
        </w:rPr>
      </w:pPr>
      <w:r>
        <w:rPr>
          <w:rFonts w:hint="eastAsia" w:ascii="仿宋" w:hAnsi="仿宋" w:eastAsia="仿宋" w:cs="仿宋"/>
          <w:sz w:val="24"/>
        </w:rPr>
        <w:t>27.2合同适用中华人民共和国法律。</w:t>
      </w:r>
    </w:p>
    <w:p w14:paraId="2465CD03">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28、合同效力</w:t>
      </w:r>
    </w:p>
    <w:p w14:paraId="35A67D24">
      <w:pPr>
        <w:spacing w:line="360" w:lineRule="auto"/>
        <w:ind w:firstLine="480" w:firstLineChars="200"/>
        <w:rPr>
          <w:rFonts w:ascii="仿宋" w:hAnsi="仿宋" w:eastAsia="仿宋" w:cs="仿宋"/>
          <w:sz w:val="24"/>
        </w:rPr>
      </w:pPr>
      <w:r>
        <w:rPr>
          <w:rFonts w:hint="eastAsia" w:ascii="仿宋" w:hAnsi="仿宋" w:eastAsia="仿宋" w:cs="仿宋"/>
          <w:sz w:val="24"/>
        </w:rPr>
        <w:t>本合同一式四份，甲乙双方各贰份，每份均具有同等法律效力。本合同自双方当事人盖章或者签字时生效。</w:t>
      </w:r>
    </w:p>
    <w:p w14:paraId="5322AE66">
      <w:pPr>
        <w:spacing w:line="360" w:lineRule="auto"/>
        <w:ind w:firstLine="480" w:firstLineChars="200"/>
        <w:rPr>
          <w:rFonts w:ascii="仿宋" w:hAnsi="仿宋" w:eastAsia="仿宋" w:cs="仿宋"/>
          <w:sz w:val="24"/>
        </w:rPr>
      </w:pPr>
      <w:r>
        <w:rPr>
          <w:rFonts w:hint="eastAsia" w:ascii="仿宋" w:hAnsi="仿宋" w:eastAsia="仿宋" w:cs="仿宋"/>
          <w:sz w:val="24"/>
        </w:rPr>
        <w:t>此页无正文，为签署页。</w:t>
      </w:r>
    </w:p>
    <w:p w14:paraId="68CCD47D">
      <w:pPr>
        <w:autoSpaceDE w:val="0"/>
        <w:autoSpaceDN w:val="0"/>
        <w:spacing w:line="360" w:lineRule="auto"/>
        <w:rPr>
          <w:rFonts w:hint="eastAsia" w:ascii="仿宋" w:hAnsi="仿宋" w:eastAsia="仿宋" w:cs="仿宋"/>
          <w:b/>
          <w:sz w:val="24"/>
          <w:lang w:val="zh-CN"/>
        </w:rPr>
      </w:pPr>
    </w:p>
    <w:p w14:paraId="20FC43AC">
      <w:pPr>
        <w:autoSpaceDE w:val="0"/>
        <w:autoSpaceDN w:val="0"/>
        <w:spacing w:line="360" w:lineRule="auto"/>
        <w:rPr>
          <w:rFonts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14:paraId="7FEE087A">
      <w:pPr>
        <w:autoSpaceDE w:val="0"/>
        <w:autoSpaceDN w:val="0"/>
        <w:spacing w:line="360" w:lineRule="auto"/>
        <w:rPr>
          <w:rFonts w:ascii="仿宋" w:hAnsi="仿宋" w:eastAsia="仿宋" w:cs="仿宋"/>
          <w:sz w:val="24"/>
          <w:lang w:val="zh-CN"/>
        </w:rPr>
      </w:pPr>
    </w:p>
    <w:p w14:paraId="32088FD6">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4328BA7">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住所：                                  住所：</w:t>
      </w:r>
    </w:p>
    <w:p w14:paraId="7412D0AE">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r>
        <w:rPr>
          <w:rFonts w:hint="eastAsia" w:ascii="仿宋" w:hAnsi="仿宋" w:eastAsia="仿宋" w:cs="仿宋"/>
          <w:sz w:val="24"/>
          <w:lang w:val="zh-CN"/>
        </w:rPr>
        <w:t xml:space="preserve">法定代表人或授权代表（签字）: </w:t>
      </w:r>
    </w:p>
    <w:p w14:paraId="2D6F7F38">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联系人：                                联系人：</w:t>
      </w:r>
    </w:p>
    <w:p w14:paraId="65533DC3">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约定送达地址：                          约定送达地址：</w:t>
      </w:r>
    </w:p>
    <w:p w14:paraId="5A536963">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邮政编码：                              邮政编码：</w:t>
      </w:r>
    </w:p>
    <w:p w14:paraId="7D87DAB8">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电话:                                   电话: </w:t>
      </w:r>
    </w:p>
    <w:p w14:paraId="31E3D53A">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传真:                                   传真:</w:t>
      </w:r>
    </w:p>
    <w:p w14:paraId="4CB7CAC3">
      <w:pPr>
        <w:spacing w:line="360" w:lineRule="auto"/>
        <w:jc w:val="center"/>
        <w:rPr>
          <w:rFonts w:hint="eastAsia" w:ascii="仿宋" w:hAnsi="仿宋" w:eastAsia="仿宋" w:cs="仿宋"/>
          <w:b/>
          <w:sz w:val="36"/>
          <w:szCs w:val="20"/>
        </w:rPr>
      </w:pPr>
      <w:r>
        <w:rPr>
          <w:rFonts w:hint="eastAsia" w:ascii="仿宋" w:hAnsi="仿宋" w:eastAsia="仿宋" w:cs="仿宋"/>
          <w:b/>
          <w:sz w:val="36"/>
          <w:szCs w:val="20"/>
        </w:rPr>
        <w:br w:type="page"/>
      </w:r>
    </w:p>
    <w:p w14:paraId="674B4705">
      <w:pPr>
        <w:spacing w:line="360" w:lineRule="auto"/>
        <w:jc w:val="center"/>
        <w:outlineLvl w:val="0"/>
        <w:rPr>
          <w:rFonts w:hint="eastAsia" w:ascii="仿宋" w:hAnsi="仿宋" w:eastAsia="仿宋" w:cs="仿宋"/>
          <w:b/>
          <w:sz w:val="36"/>
          <w:szCs w:val="20"/>
        </w:rPr>
      </w:pPr>
      <w:bookmarkStart w:id="527" w:name="_Toc129089157"/>
      <w:bookmarkStart w:id="528" w:name="_Toc129088773"/>
      <w:r>
        <w:rPr>
          <w:rFonts w:hint="eastAsia" w:ascii="仿宋" w:hAnsi="仿宋" w:eastAsia="仿宋" w:cs="仿宋"/>
          <w:b/>
          <w:sz w:val="36"/>
          <w:szCs w:val="20"/>
        </w:rPr>
        <w:t>第六部分</w:t>
      </w:r>
      <w:bookmarkEnd w:id="504"/>
      <w:r>
        <w:rPr>
          <w:rFonts w:hint="eastAsia" w:ascii="仿宋" w:hAnsi="仿宋" w:eastAsia="仿宋" w:cs="仿宋"/>
          <w:b/>
          <w:sz w:val="36"/>
          <w:szCs w:val="20"/>
        </w:rPr>
        <w:t xml:space="preserve">   </w:t>
      </w:r>
      <w:bookmarkEnd w:id="505"/>
      <w:r>
        <w:rPr>
          <w:rFonts w:hint="eastAsia" w:ascii="仿宋" w:hAnsi="仿宋" w:eastAsia="仿宋" w:cs="仿宋"/>
          <w:b/>
          <w:sz w:val="36"/>
          <w:szCs w:val="20"/>
        </w:rPr>
        <w:t>应提交的有关格式范例</w:t>
      </w:r>
      <w:bookmarkEnd w:id="527"/>
      <w:bookmarkEnd w:id="528"/>
    </w:p>
    <w:p w14:paraId="3EE33988">
      <w:pPr>
        <w:spacing w:line="360" w:lineRule="auto"/>
        <w:jc w:val="center"/>
        <w:rPr>
          <w:rFonts w:hint="eastAsia" w:ascii="仿宋" w:hAnsi="仿宋" w:eastAsia="仿宋" w:cs="仿宋"/>
          <w:b/>
          <w:kern w:val="0"/>
          <w:sz w:val="36"/>
          <w:szCs w:val="36"/>
        </w:rPr>
      </w:pPr>
    </w:p>
    <w:p w14:paraId="5849BFB5">
      <w:pPr>
        <w:spacing w:line="360" w:lineRule="auto"/>
        <w:jc w:val="center"/>
        <w:outlineLvl w:val="1"/>
        <w:rPr>
          <w:rFonts w:hint="eastAsia" w:ascii="仿宋" w:hAnsi="仿宋" w:eastAsia="仿宋" w:cs="仿宋"/>
          <w:b/>
          <w:kern w:val="0"/>
          <w:sz w:val="36"/>
          <w:szCs w:val="36"/>
        </w:rPr>
      </w:pPr>
      <w:bookmarkStart w:id="529" w:name="_Toc129089158"/>
      <w:bookmarkStart w:id="530" w:name="_Toc129088774"/>
      <w:r>
        <w:rPr>
          <w:rFonts w:hint="eastAsia" w:ascii="仿宋" w:hAnsi="仿宋" w:eastAsia="仿宋" w:cs="仿宋"/>
          <w:b/>
          <w:kern w:val="0"/>
          <w:sz w:val="36"/>
          <w:szCs w:val="36"/>
        </w:rPr>
        <w:t>资格文件部分</w:t>
      </w:r>
      <w:bookmarkEnd w:id="529"/>
      <w:bookmarkEnd w:id="530"/>
    </w:p>
    <w:p w14:paraId="7F7B1CEC">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0218BC4">
      <w:pPr>
        <w:spacing w:line="360" w:lineRule="auto"/>
        <w:jc w:val="center"/>
        <w:rPr>
          <w:rFonts w:hint="eastAsia" w:ascii="仿宋" w:hAnsi="仿宋" w:eastAsia="仿宋" w:cs="仿宋"/>
          <w:b/>
          <w:kern w:val="0"/>
          <w:sz w:val="36"/>
          <w:szCs w:val="36"/>
        </w:rPr>
      </w:pPr>
    </w:p>
    <w:p w14:paraId="73FF308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 有效的企业法人营业执照（或事业法人登记证）、其他组织（个体工商户）的营业执照或者民办非企业单位登记证书；</w:t>
      </w:r>
    </w:p>
    <w:p w14:paraId="3446FC5D">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 符合参加政府采购活动应当具备的一般条件的承诺函；</w:t>
      </w:r>
    </w:p>
    <w:p w14:paraId="1C18CEBB">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 落实政府采购政策需满足的资格要求（无）；</w:t>
      </w:r>
    </w:p>
    <w:p w14:paraId="42B70AE3">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4 联合协议（如有）；</w:t>
      </w:r>
    </w:p>
    <w:p w14:paraId="536CB692">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5 分包意向协议（如有）；</w:t>
      </w:r>
    </w:p>
    <w:p w14:paraId="6E52E21D">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6 本项目的特定资格要求（如有）。</w:t>
      </w:r>
    </w:p>
    <w:p w14:paraId="2D0E6898">
      <w:pPr>
        <w:pStyle w:val="44"/>
        <w:spacing w:line="360" w:lineRule="auto"/>
        <w:ind w:firstLine="480"/>
        <w:rPr>
          <w:rFonts w:hint="eastAsia" w:ascii="仿宋" w:hAnsi="仿宋" w:eastAsia="仿宋" w:cs="仿宋"/>
          <w:sz w:val="24"/>
        </w:rPr>
      </w:pPr>
    </w:p>
    <w:p w14:paraId="27928A11">
      <w:pPr>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 符合参加政府采购活动应当具备的一般条件的承诺函</w:t>
      </w:r>
    </w:p>
    <w:p w14:paraId="4D5162DD">
      <w:pPr>
        <w:snapToGrid w:val="0"/>
        <w:spacing w:line="360" w:lineRule="auto"/>
        <w:rPr>
          <w:rFonts w:hint="eastAsia" w:ascii="仿宋" w:hAnsi="仿宋" w:eastAsia="仿宋" w:cs="仿宋"/>
          <w:sz w:val="24"/>
        </w:rPr>
      </w:pPr>
      <w:r>
        <w:rPr>
          <w:rFonts w:hint="eastAsia" w:ascii="仿宋" w:hAnsi="仿宋" w:eastAsia="仿宋" w:cs="仿宋"/>
          <w:sz w:val="24"/>
        </w:rPr>
        <w:t>宁波建兴招标有限公司/宁波市急救中心北仑分中心：</w:t>
      </w:r>
    </w:p>
    <w:p w14:paraId="2F5485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宁波市急救中心北仑分中心救护车采购项目</w:t>
      </w:r>
      <w:r>
        <w:rPr>
          <w:rFonts w:hint="eastAsia" w:ascii="仿宋" w:hAnsi="仿宋" w:eastAsia="仿宋" w:cs="仿宋"/>
          <w:sz w:val="24"/>
        </w:rPr>
        <w:t>【招标编号：</w:t>
      </w:r>
      <w:r>
        <w:rPr>
          <w:rFonts w:hint="eastAsia" w:ascii="仿宋" w:hAnsi="仿宋" w:eastAsia="仿宋" w:cs="仿宋"/>
          <w:sz w:val="24"/>
          <w:lang w:eastAsia="zh-CN"/>
        </w:rPr>
        <w:t>NBJX2024334G</w:t>
      </w:r>
      <w:r>
        <w:rPr>
          <w:rFonts w:hint="eastAsia" w:ascii="仿宋" w:hAnsi="仿宋" w:eastAsia="仿宋" w:cs="仿宋"/>
          <w:sz w:val="24"/>
        </w:rPr>
        <w:t>】政府采购活动，郑重承诺：</w:t>
      </w:r>
    </w:p>
    <w:p w14:paraId="722FE4C5">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082669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7D5D64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4D39D0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AFFC0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ABD440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119B0C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D9666F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w:t>
      </w:r>
      <w:r>
        <w:rPr>
          <w:rFonts w:hint="eastAsia" w:ascii="仿宋" w:hAnsi="仿宋" w:eastAsia="仿宋" w:cs="仿宋"/>
          <w:sz w:val="24"/>
          <w:lang w:eastAsia="zh-CN"/>
        </w:rPr>
        <w:t>重大税收违法失信主体</w:t>
      </w:r>
      <w:r>
        <w:rPr>
          <w:rFonts w:hint="eastAsia" w:ascii="仿宋" w:hAnsi="仿宋" w:eastAsia="仿宋" w:cs="仿宋"/>
          <w:sz w:val="24"/>
        </w:rPr>
        <w:t>、政府采购严重违法失信行为记录名单。</w:t>
      </w:r>
    </w:p>
    <w:p w14:paraId="57FB1A7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FADBD0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9D5FC3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9E3D9C6">
      <w:pPr>
        <w:snapToGrid w:val="0"/>
        <w:spacing w:line="360" w:lineRule="auto"/>
        <w:ind w:firstLine="5520" w:firstLineChars="2300"/>
        <w:rPr>
          <w:rFonts w:hint="eastAsia" w:ascii="仿宋" w:hAnsi="仿宋" w:eastAsia="仿宋" w:cs="仿宋"/>
          <w:kern w:val="0"/>
          <w:sz w:val="24"/>
          <w:lang w:val="zh-CN"/>
        </w:rPr>
      </w:pPr>
    </w:p>
    <w:p w14:paraId="47659B2C">
      <w:pPr>
        <w:snapToGrid w:val="0"/>
        <w:spacing w:line="360" w:lineRule="auto"/>
        <w:ind w:firstLine="5520" w:firstLineChars="2300"/>
        <w:rPr>
          <w:rFonts w:hint="eastAsia" w:ascii="仿宋" w:hAnsi="仿宋" w:eastAsia="仿宋" w:cs="仿宋"/>
          <w:kern w:val="0"/>
          <w:sz w:val="24"/>
          <w:lang w:val="zh-CN"/>
        </w:rPr>
      </w:pPr>
    </w:p>
    <w:p w14:paraId="037EE9BF">
      <w:pPr>
        <w:snapToGrid w:val="0"/>
        <w:spacing w:line="360" w:lineRule="auto"/>
        <w:ind w:left="4200" w:leftChars="20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21425856">
      <w:pPr>
        <w:snapToGrid w:val="0"/>
        <w:spacing w:line="360" w:lineRule="auto"/>
        <w:ind w:left="4200" w:leftChars="2000"/>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E8C3E2C">
      <w:pPr>
        <w:snapToGrid w:val="0"/>
        <w:spacing w:line="360" w:lineRule="auto"/>
        <w:ind w:right="480"/>
        <w:jc w:val="center"/>
        <w:rPr>
          <w:rFonts w:hint="eastAsia" w:ascii="仿宋" w:hAnsi="仿宋" w:eastAsia="仿宋" w:cs="仿宋"/>
          <w:b/>
          <w:kern w:val="0"/>
          <w:sz w:val="32"/>
          <w:szCs w:val="32"/>
        </w:rPr>
      </w:pPr>
    </w:p>
    <w:p w14:paraId="40BA5E47">
      <w:pPr>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84E83C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14:paraId="4B36FBC4">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3FD7DFA0">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.专门面向中小企业，货物全部由符合政策要求的中小企业（或小微企业）制造或者服务全部由符合政策要求的中小企业（或小微企业）承接的，提供相应的中小企业声明函。</w:t>
      </w:r>
    </w:p>
    <w:p w14:paraId="6E080FFC">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C36A899">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bCs/>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342CA337">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联合协议（本项目不适用）</w:t>
      </w:r>
    </w:p>
    <w:p w14:paraId="2C4BB5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宁波市急救中心北仑分中心救护车采购项目【招标编号：</w:t>
      </w:r>
      <w:r>
        <w:rPr>
          <w:rFonts w:hint="eastAsia" w:ascii="仿宋" w:hAnsi="仿宋" w:eastAsia="仿宋" w:cs="仿宋"/>
          <w:sz w:val="24"/>
          <w:lang w:eastAsia="zh-CN"/>
        </w:rPr>
        <w:t>NBJX2024334G</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78917FF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87124B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0728A7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492B97B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374E4C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C353D6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716CE3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AFCC02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454F50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359789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82C138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D47296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28FBCB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8AC8491">
      <w:pPr>
        <w:snapToGrid w:val="0"/>
        <w:spacing w:line="360" w:lineRule="auto"/>
        <w:ind w:firstLine="3534" w:firstLineChars="1100"/>
        <w:rPr>
          <w:rFonts w:hint="eastAsia" w:ascii="仿宋" w:hAnsi="仿宋" w:eastAsia="仿宋" w:cs="仿宋"/>
          <w:b/>
          <w:kern w:val="0"/>
          <w:sz w:val="32"/>
          <w:szCs w:val="32"/>
        </w:rPr>
      </w:pPr>
      <w:r>
        <w:rPr>
          <w:rFonts w:ascii="仿宋" w:hAnsi="仿宋" w:eastAsia="仿宋" w:cs="仿宋"/>
          <w:b/>
          <w:kern w:val="0"/>
          <w:sz w:val="32"/>
          <w:szCs w:val="32"/>
        </w:rPr>
        <w:br w:type="page"/>
      </w:r>
      <w:r>
        <w:rPr>
          <w:rFonts w:hint="eastAsia" w:ascii="仿宋" w:hAnsi="仿宋" w:eastAsia="仿宋" w:cs="仿宋"/>
          <w:b/>
          <w:kern w:val="0"/>
          <w:sz w:val="32"/>
          <w:szCs w:val="32"/>
        </w:rPr>
        <w:t>分包意向协议</w:t>
      </w:r>
    </w:p>
    <w:p w14:paraId="58E8CF35">
      <w:pPr>
        <w:widowControl/>
        <w:spacing w:line="360" w:lineRule="auto"/>
        <w:ind w:firstLine="120" w:firstLineChars="50"/>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5395BB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宁波市急救中心北仑分中心救护车采购项目【招标编号：</w:t>
      </w:r>
      <w:r>
        <w:rPr>
          <w:rFonts w:hint="eastAsia" w:ascii="仿宋" w:hAnsi="仿宋" w:eastAsia="仿宋" w:cs="仿宋"/>
          <w:sz w:val="24"/>
          <w:lang w:eastAsia="zh-CN"/>
        </w:rPr>
        <w:t>NBJX2024334G</w:t>
      </w:r>
      <w:r>
        <w:rPr>
          <w:rFonts w:hint="eastAsia" w:ascii="仿宋" w:hAnsi="仿宋" w:eastAsia="仿宋" w:cs="仿宋"/>
          <w:sz w:val="24"/>
        </w:rPr>
        <w:t xml:space="preserve"> 】</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376E53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E9C0FC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DBE4D20">
      <w:pPr>
        <w:tabs>
          <w:tab w:val="left" w:pos="432"/>
        </w:tabs>
        <w:spacing w:line="360" w:lineRule="auto"/>
        <w:ind w:left="664" w:leftChars="316" w:firstLine="228" w:firstLineChars="95"/>
        <w:rPr>
          <w:rFonts w:hint="eastAsia" w:ascii="仿宋" w:hAnsi="仿宋" w:eastAsia="仿宋" w:cs="仿宋"/>
        </w:rPr>
      </w:pPr>
      <w:r>
        <w:rPr>
          <w:rFonts w:hint="eastAsia" w:ascii="仿宋" w:hAnsi="仿宋" w:eastAsia="仿宋" w:cs="仿宋"/>
          <w:kern w:val="0"/>
          <w:sz w:val="24"/>
        </w:rPr>
        <w:t>……</w:t>
      </w:r>
    </w:p>
    <w:p w14:paraId="09D9AC1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891B59E">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44719F5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F255EC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23CB8C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2D20008">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9B65124">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6A1A09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EFF3D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0F7823D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596886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BAAEFBF">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525655A1">
      <w:pPr>
        <w:snapToGrid w:val="0"/>
        <w:spacing w:line="360" w:lineRule="auto"/>
        <w:rPr>
          <w:rFonts w:hint="eastAsia" w:ascii="仿宋" w:hAnsi="仿宋" w:eastAsia="仿宋" w:cs="仿宋"/>
          <w:kern w:val="0"/>
          <w:sz w:val="24"/>
          <w:lang w:val="zh-CN"/>
        </w:rPr>
      </w:pPr>
    </w:p>
    <w:p w14:paraId="772389F2">
      <w:pPr>
        <w:snapToGrid w:val="0"/>
        <w:spacing w:line="360" w:lineRule="auto"/>
        <w:ind w:left="5880" w:leftChars="2800"/>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7371EF77">
      <w:pPr>
        <w:snapToGrid w:val="0"/>
        <w:spacing w:line="360" w:lineRule="auto"/>
        <w:ind w:left="5880" w:leftChars="280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5C7DB4B1">
      <w:pPr>
        <w:snapToGrid w:val="0"/>
        <w:spacing w:line="360" w:lineRule="auto"/>
        <w:ind w:left="5880" w:leftChars="2800"/>
        <w:rPr>
          <w:rFonts w:hint="eastAsia" w:ascii="仿宋" w:hAnsi="仿宋" w:eastAsia="仿宋" w:cs="仿宋"/>
        </w:rPr>
      </w:pPr>
      <w:r>
        <w:rPr>
          <w:rFonts w:hint="eastAsia" w:ascii="仿宋" w:hAnsi="仿宋" w:eastAsia="仿宋" w:cs="仿宋"/>
          <w:kern w:val="0"/>
          <w:sz w:val="24"/>
          <w:lang w:val="zh-CN"/>
        </w:rPr>
        <w:t>……</w:t>
      </w:r>
    </w:p>
    <w:p w14:paraId="62C49A3E">
      <w:pPr>
        <w:spacing w:line="360" w:lineRule="auto"/>
        <w:ind w:left="5880" w:leftChars="2800"/>
        <w:rPr>
          <w:rFonts w:hint="eastAsia" w:ascii="仿宋" w:hAnsi="仿宋" w:eastAsia="仿宋" w:cs="仿宋"/>
          <w:b/>
          <w:kern w:val="0"/>
          <w:sz w:val="32"/>
          <w:szCs w:val="32"/>
        </w:rPr>
      </w:pPr>
      <w:r>
        <w:rPr>
          <w:rFonts w:hint="eastAsia" w:ascii="仿宋" w:hAnsi="仿宋" w:eastAsia="仿宋" w:cs="仿宋"/>
          <w:kern w:val="0"/>
          <w:sz w:val="24"/>
          <w:lang w:val="zh-CN"/>
        </w:rPr>
        <w:t>日期：  年  月   日</w:t>
      </w:r>
    </w:p>
    <w:p w14:paraId="56F42EEA">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三、本项目的特定资格要求</w:t>
      </w:r>
    </w:p>
    <w:p w14:paraId="28F6C3E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9289E3B">
      <w:pPr>
        <w:spacing w:line="360" w:lineRule="auto"/>
        <w:rPr>
          <w:rFonts w:hint="eastAsia" w:ascii="仿宋" w:hAnsi="仿宋" w:eastAsia="仿宋" w:cs="仿宋"/>
        </w:rPr>
      </w:pPr>
    </w:p>
    <w:p w14:paraId="5721D222">
      <w:pPr>
        <w:snapToGrid w:val="0"/>
        <w:spacing w:line="360" w:lineRule="auto"/>
        <w:ind w:right="480"/>
        <w:jc w:val="center"/>
        <w:rPr>
          <w:rFonts w:hint="eastAsia" w:ascii="仿宋" w:hAnsi="仿宋" w:eastAsia="仿宋" w:cs="仿宋"/>
          <w:b/>
          <w:kern w:val="0"/>
          <w:sz w:val="32"/>
          <w:szCs w:val="32"/>
        </w:rPr>
      </w:pPr>
    </w:p>
    <w:p w14:paraId="69923DD4">
      <w:pPr>
        <w:snapToGrid w:val="0"/>
        <w:spacing w:line="360" w:lineRule="auto"/>
        <w:ind w:right="480"/>
        <w:jc w:val="center"/>
        <w:rPr>
          <w:rFonts w:hint="eastAsia" w:ascii="仿宋" w:hAnsi="仿宋" w:eastAsia="仿宋" w:cs="仿宋"/>
          <w:b/>
          <w:kern w:val="0"/>
          <w:sz w:val="32"/>
          <w:szCs w:val="32"/>
        </w:rPr>
      </w:pPr>
    </w:p>
    <w:p w14:paraId="53775D05">
      <w:pPr>
        <w:snapToGrid w:val="0"/>
        <w:spacing w:line="360" w:lineRule="auto"/>
        <w:ind w:right="480"/>
        <w:jc w:val="center"/>
        <w:rPr>
          <w:rFonts w:hint="eastAsia" w:ascii="仿宋" w:hAnsi="仿宋" w:eastAsia="仿宋" w:cs="仿宋"/>
          <w:b/>
          <w:kern w:val="0"/>
          <w:sz w:val="32"/>
          <w:szCs w:val="32"/>
        </w:rPr>
      </w:pPr>
    </w:p>
    <w:p w14:paraId="28E61D8F">
      <w:pPr>
        <w:snapToGrid w:val="0"/>
        <w:spacing w:line="360" w:lineRule="auto"/>
        <w:ind w:right="480"/>
        <w:jc w:val="center"/>
        <w:rPr>
          <w:rFonts w:hint="eastAsia" w:ascii="仿宋" w:hAnsi="仿宋" w:eastAsia="仿宋" w:cs="仿宋"/>
          <w:b/>
          <w:kern w:val="0"/>
          <w:sz w:val="32"/>
          <w:szCs w:val="32"/>
        </w:rPr>
      </w:pPr>
    </w:p>
    <w:p w14:paraId="12AA97FA">
      <w:pPr>
        <w:snapToGrid w:val="0"/>
        <w:spacing w:line="360" w:lineRule="auto"/>
        <w:ind w:right="480"/>
        <w:jc w:val="center"/>
        <w:rPr>
          <w:rFonts w:hint="eastAsia" w:ascii="仿宋" w:hAnsi="仿宋" w:eastAsia="仿宋" w:cs="仿宋"/>
          <w:b/>
          <w:kern w:val="0"/>
          <w:sz w:val="32"/>
          <w:szCs w:val="32"/>
        </w:rPr>
      </w:pPr>
    </w:p>
    <w:p w14:paraId="2B7EF355">
      <w:pPr>
        <w:snapToGrid w:val="0"/>
        <w:spacing w:line="360" w:lineRule="auto"/>
        <w:ind w:right="480"/>
        <w:jc w:val="center"/>
        <w:rPr>
          <w:rFonts w:hint="eastAsia" w:ascii="仿宋" w:hAnsi="仿宋" w:eastAsia="仿宋" w:cs="仿宋"/>
          <w:b/>
          <w:kern w:val="0"/>
          <w:sz w:val="32"/>
          <w:szCs w:val="32"/>
        </w:rPr>
      </w:pPr>
    </w:p>
    <w:p w14:paraId="4C59C828">
      <w:pPr>
        <w:spacing w:line="360" w:lineRule="auto"/>
        <w:jc w:val="center"/>
        <w:rPr>
          <w:rFonts w:hint="eastAsia" w:ascii="仿宋" w:hAnsi="仿宋" w:eastAsia="仿宋" w:cs="仿宋"/>
          <w:b/>
          <w:kern w:val="0"/>
          <w:sz w:val="36"/>
          <w:szCs w:val="36"/>
        </w:rPr>
      </w:pPr>
    </w:p>
    <w:p w14:paraId="3AF6F6F8">
      <w:pPr>
        <w:snapToGrid w:val="0"/>
        <w:spacing w:line="360" w:lineRule="auto"/>
        <w:ind w:right="480"/>
        <w:jc w:val="center"/>
        <w:rPr>
          <w:rFonts w:hint="eastAsia" w:ascii="仿宋" w:hAnsi="仿宋" w:eastAsia="仿宋" w:cs="仿宋"/>
          <w:b/>
          <w:kern w:val="0"/>
          <w:sz w:val="32"/>
          <w:szCs w:val="32"/>
        </w:rPr>
      </w:pPr>
    </w:p>
    <w:p w14:paraId="12C4085D">
      <w:pPr>
        <w:spacing w:line="360" w:lineRule="auto"/>
        <w:jc w:val="center"/>
        <w:rPr>
          <w:rFonts w:hint="eastAsia" w:ascii="仿宋" w:hAnsi="仿宋" w:eastAsia="仿宋" w:cs="仿宋"/>
          <w:b/>
          <w:kern w:val="0"/>
          <w:sz w:val="36"/>
          <w:szCs w:val="36"/>
        </w:rPr>
      </w:pPr>
    </w:p>
    <w:p w14:paraId="541E1950">
      <w:pPr>
        <w:snapToGrid w:val="0"/>
        <w:spacing w:line="360" w:lineRule="auto"/>
        <w:ind w:right="480"/>
        <w:jc w:val="center"/>
        <w:rPr>
          <w:rFonts w:hint="eastAsia" w:ascii="仿宋" w:hAnsi="仿宋" w:eastAsia="仿宋" w:cs="仿宋"/>
          <w:b/>
          <w:kern w:val="0"/>
          <w:sz w:val="32"/>
          <w:szCs w:val="32"/>
        </w:rPr>
      </w:pPr>
    </w:p>
    <w:p w14:paraId="32839525">
      <w:pPr>
        <w:spacing w:line="360" w:lineRule="auto"/>
        <w:jc w:val="center"/>
        <w:rPr>
          <w:rFonts w:hint="eastAsia" w:ascii="仿宋" w:hAnsi="仿宋" w:eastAsia="仿宋" w:cs="仿宋"/>
          <w:b/>
          <w:kern w:val="0"/>
          <w:sz w:val="36"/>
          <w:szCs w:val="36"/>
        </w:rPr>
      </w:pPr>
    </w:p>
    <w:p w14:paraId="05895B83">
      <w:pPr>
        <w:spacing w:line="360" w:lineRule="auto"/>
        <w:rPr>
          <w:rFonts w:hint="eastAsia" w:ascii="仿宋" w:hAnsi="仿宋" w:eastAsia="仿宋" w:cs="仿宋"/>
          <w:b/>
          <w:kern w:val="0"/>
          <w:sz w:val="36"/>
          <w:szCs w:val="36"/>
        </w:rPr>
      </w:pPr>
    </w:p>
    <w:p w14:paraId="7E20CEF5">
      <w:pPr>
        <w:spacing w:line="360" w:lineRule="auto"/>
        <w:ind w:right="420"/>
        <w:jc w:val="center"/>
        <w:outlineLvl w:val="1"/>
        <w:rPr>
          <w:rFonts w:hint="eastAsia" w:ascii="仿宋" w:hAnsi="仿宋" w:eastAsia="仿宋" w:cs="仿宋"/>
          <w:b/>
          <w:kern w:val="0"/>
          <w:sz w:val="36"/>
          <w:szCs w:val="36"/>
        </w:rPr>
      </w:pPr>
      <w:r>
        <w:rPr>
          <w:rFonts w:ascii="仿宋" w:hAnsi="仿宋" w:eastAsia="仿宋" w:cs="仿宋"/>
          <w:b/>
          <w:kern w:val="0"/>
          <w:sz w:val="36"/>
          <w:szCs w:val="36"/>
        </w:rPr>
        <w:br w:type="page"/>
      </w:r>
      <w:bookmarkStart w:id="531" w:name="_Toc129089159"/>
      <w:bookmarkStart w:id="532" w:name="_Toc129088775"/>
      <w:r>
        <w:rPr>
          <w:rFonts w:hint="eastAsia" w:ascii="仿宋" w:hAnsi="仿宋" w:eastAsia="仿宋" w:cs="仿宋"/>
          <w:b/>
          <w:kern w:val="0"/>
          <w:sz w:val="36"/>
          <w:szCs w:val="36"/>
        </w:rPr>
        <w:t>商务技术文件部分</w:t>
      </w:r>
      <w:bookmarkEnd w:id="531"/>
      <w:bookmarkEnd w:id="532"/>
    </w:p>
    <w:p w14:paraId="2D5D5CC6">
      <w:pPr>
        <w:spacing w:line="360" w:lineRule="auto"/>
        <w:jc w:val="center"/>
        <w:rPr>
          <w:rFonts w:hint="eastAsia" w:ascii="仿宋" w:hAnsi="仿宋" w:eastAsia="仿宋" w:cs="仿宋"/>
          <w:b/>
          <w:kern w:val="0"/>
          <w:sz w:val="24"/>
        </w:rPr>
      </w:pPr>
    </w:p>
    <w:p w14:paraId="54B94284">
      <w:pPr>
        <w:spacing w:line="360" w:lineRule="auto"/>
        <w:ind w:left="3990" w:leftChars="1900"/>
        <w:rPr>
          <w:rFonts w:hint="eastAsia" w:ascii="仿宋" w:hAnsi="仿宋" w:eastAsia="仿宋" w:cs="仿宋"/>
          <w:b/>
          <w:kern w:val="0"/>
          <w:sz w:val="28"/>
          <w:szCs w:val="28"/>
        </w:rPr>
      </w:pPr>
      <w:r>
        <w:rPr>
          <w:rFonts w:hint="eastAsia" w:ascii="仿宋" w:hAnsi="仿宋" w:eastAsia="仿宋" w:cs="仿宋"/>
          <w:b/>
          <w:kern w:val="0"/>
          <w:sz w:val="28"/>
          <w:szCs w:val="28"/>
        </w:rPr>
        <w:t>目 录</w:t>
      </w:r>
    </w:p>
    <w:p w14:paraId="3EBC356A">
      <w:pPr>
        <w:snapToGrid w:val="0"/>
        <w:spacing w:line="360" w:lineRule="auto"/>
        <w:ind w:firstLine="960" w:firstLineChars="400"/>
        <w:rPr>
          <w:rFonts w:hint="eastAsia" w:ascii="仿宋" w:hAnsi="仿宋" w:eastAsia="仿宋" w:cs="仿宋"/>
          <w:sz w:val="24"/>
        </w:rPr>
      </w:pPr>
    </w:p>
    <w:p w14:paraId="33A3CEBB">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1 符合性自查表；</w:t>
      </w:r>
    </w:p>
    <w:p w14:paraId="3E5AC727">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2 投标函；</w:t>
      </w:r>
      <w:r>
        <w:rPr>
          <w:rFonts w:hint="eastAsia" w:ascii="仿宋" w:hAnsi="仿宋" w:eastAsia="仿宋" w:cs="仿宋"/>
          <w:sz w:val="28"/>
          <w:szCs w:val="28"/>
          <w:lang w:val="zh-CN"/>
        </w:rPr>
        <w:t xml:space="preserve"> </w:t>
      </w:r>
    </w:p>
    <w:p w14:paraId="50473CC1">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3 授权委托书或法定代表人（单位负责人、自然人本人）身份证明；</w:t>
      </w:r>
    </w:p>
    <w:p w14:paraId="388FBF87">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4 供应商情况表；</w:t>
      </w:r>
    </w:p>
    <w:p w14:paraId="4A3FADC8">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5 距采购人最近或者能为本项目提供最优服务的网点情况表；</w:t>
      </w:r>
    </w:p>
    <w:p w14:paraId="0B46A062">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6拟投设备详细技术参数说明；（包括但不限于）</w:t>
      </w:r>
    </w:p>
    <w:p w14:paraId="2268C00A">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（1）产品名称；（2）技术规格；（3）产品数量；（4）产品材质、品牌和产地（包含主材、辅材等）或关键元器件明细表（包括制造厂名和国别）；（5）特殊工具及备件清单。</w:t>
      </w:r>
    </w:p>
    <w:p w14:paraId="2157C3AA">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7 评标标准相应的商务技术资料；</w:t>
      </w:r>
    </w:p>
    <w:p w14:paraId="1B00FB55">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8 商务偏离表；</w:t>
      </w:r>
    </w:p>
    <w:p w14:paraId="204FC40A">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9 技术偏离表；</w:t>
      </w:r>
    </w:p>
    <w:p w14:paraId="4EBB7D49">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10 同类业绩情况一览表；</w:t>
      </w:r>
    </w:p>
    <w:p w14:paraId="77895341">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11 政府采购供应商廉洁自律承诺书；</w:t>
      </w:r>
    </w:p>
    <w:p w14:paraId="06922EAE">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12 其他资料。</w:t>
      </w:r>
    </w:p>
    <w:p w14:paraId="66997991">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br w:type="page"/>
      </w:r>
    </w:p>
    <w:p w14:paraId="79E398DA">
      <w:pPr>
        <w:numPr>
          <w:ilvl w:val="0"/>
          <w:numId w:val="6"/>
        </w:numPr>
        <w:snapToGrid w:val="0"/>
        <w:spacing w:line="360" w:lineRule="auto"/>
        <w:jc w:val="center"/>
        <w:outlineLvl w:val="0"/>
        <w:rPr>
          <w:rFonts w:hint="eastAsia" w:ascii="仿宋" w:hAnsi="仿宋" w:eastAsia="仿宋" w:cs="仿宋"/>
          <w:b/>
          <w:kern w:val="0"/>
          <w:sz w:val="32"/>
          <w:szCs w:val="32"/>
        </w:rPr>
      </w:pPr>
      <w:bookmarkStart w:id="533" w:name="_Toc129088776"/>
      <w:bookmarkStart w:id="534" w:name="_Toc129089160"/>
      <w:r>
        <w:rPr>
          <w:rFonts w:hint="eastAsia" w:ascii="仿宋" w:hAnsi="仿宋" w:eastAsia="仿宋" w:cs="仿宋"/>
          <w:b/>
          <w:kern w:val="0"/>
          <w:sz w:val="32"/>
          <w:szCs w:val="32"/>
        </w:rPr>
        <w:t>符合性自查表</w:t>
      </w:r>
      <w:bookmarkEnd w:id="533"/>
      <w:bookmarkEnd w:id="534"/>
    </w:p>
    <w:tbl>
      <w:tblPr>
        <w:tblStyle w:val="29"/>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352"/>
        <w:gridCol w:w="2269"/>
        <w:gridCol w:w="1185"/>
        <w:gridCol w:w="1785"/>
      </w:tblGrid>
      <w:tr w14:paraId="6F62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noWrap w:val="0"/>
            <w:vAlign w:val="center"/>
          </w:tcPr>
          <w:p w14:paraId="617727E6">
            <w:pPr>
              <w:snapToGrid w:val="0"/>
              <w:spacing w:line="360" w:lineRule="auto"/>
              <w:jc w:val="center"/>
              <w:rPr>
                <w:rFonts w:hint="eastAsia" w:ascii="仿宋" w:hAnsi="仿宋" w:eastAsia="仿宋" w:cs="仿宋"/>
                <w:b/>
                <w:szCs w:val="21"/>
              </w:rPr>
            </w:pPr>
            <w:r>
              <w:rPr>
                <w:rFonts w:hint="eastAsia" w:ascii="仿宋" w:hAnsi="仿宋" w:eastAsia="仿宋" w:cs="仿宋"/>
                <w:b/>
                <w:szCs w:val="21"/>
              </w:rPr>
              <w:t>序号</w:t>
            </w:r>
          </w:p>
        </w:tc>
        <w:tc>
          <w:tcPr>
            <w:tcW w:w="4352" w:type="dxa"/>
            <w:noWrap w:val="0"/>
            <w:vAlign w:val="center"/>
          </w:tcPr>
          <w:p w14:paraId="2DBA5B62">
            <w:pPr>
              <w:snapToGrid w:val="0"/>
              <w:spacing w:line="360" w:lineRule="auto"/>
              <w:jc w:val="center"/>
              <w:rPr>
                <w:rFonts w:hint="eastAsia" w:ascii="仿宋" w:hAnsi="仿宋" w:eastAsia="仿宋" w:cs="仿宋"/>
                <w:b/>
                <w:szCs w:val="21"/>
              </w:rPr>
            </w:pPr>
            <w:r>
              <w:rPr>
                <w:rFonts w:hint="eastAsia" w:ascii="仿宋" w:hAnsi="仿宋" w:eastAsia="仿宋" w:cs="仿宋"/>
                <w:b/>
                <w:szCs w:val="21"/>
              </w:rPr>
              <w:t>实质性要求</w:t>
            </w:r>
          </w:p>
        </w:tc>
        <w:tc>
          <w:tcPr>
            <w:tcW w:w="2269" w:type="dxa"/>
            <w:noWrap w:val="0"/>
            <w:vAlign w:val="center"/>
          </w:tcPr>
          <w:p w14:paraId="15E43369">
            <w:pPr>
              <w:snapToGrid w:val="0"/>
              <w:spacing w:line="360" w:lineRule="auto"/>
              <w:jc w:val="center"/>
              <w:rPr>
                <w:rFonts w:hint="eastAsia" w:ascii="仿宋" w:hAnsi="仿宋" w:eastAsia="仿宋" w:cs="仿宋"/>
                <w:b/>
                <w:szCs w:val="21"/>
              </w:rPr>
            </w:pPr>
            <w:r>
              <w:rPr>
                <w:rFonts w:hint="eastAsia" w:ascii="仿宋" w:hAnsi="仿宋" w:eastAsia="仿宋" w:cs="仿宋"/>
                <w:b/>
                <w:szCs w:val="21"/>
              </w:rPr>
              <w:t>需要提供的符合性审查资料</w:t>
            </w:r>
          </w:p>
        </w:tc>
        <w:tc>
          <w:tcPr>
            <w:tcW w:w="1185" w:type="dxa"/>
            <w:noWrap w:val="0"/>
            <w:vAlign w:val="center"/>
          </w:tcPr>
          <w:p w14:paraId="0368C620">
            <w:pPr>
              <w:spacing w:line="360" w:lineRule="auto"/>
              <w:rPr>
                <w:rFonts w:hint="eastAsia" w:ascii="仿宋" w:hAnsi="仿宋" w:eastAsia="仿宋" w:cs="仿宋"/>
                <w:szCs w:val="21"/>
              </w:rPr>
            </w:pPr>
            <w:r>
              <w:rPr>
                <w:rFonts w:hint="eastAsia" w:ascii="仿宋" w:hAnsi="仿宋" w:eastAsia="仿宋" w:cs="仿宋"/>
                <w:b/>
                <w:szCs w:val="21"/>
              </w:rPr>
              <w:t>自查结论</w:t>
            </w:r>
          </w:p>
        </w:tc>
        <w:tc>
          <w:tcPr>
            <w:tcW w:w="1785" w:type="dxa"/>
            <w:noWrap w:val="0"/>
            <w:vAlign w:val="center"/>
          </w:tcPr>
          <w:p w14:paraId="045A76C6">
            <w:pPr>
              <w:snapToGrid w:val="0"/>
              <w:spacing w:line="360" w:lineRule="auto"/>
              <w:jc w:val="center"/>
              <w:rPr>
                <w:rFonts w:hint="eastAsia" w:ascii="仿宋" w:hAnsi="仿宋" w:eastAsia="仿宋" w:cs="仿宋"/>
                <w:b/>
                <w:szCs w:val="21"/>
              </w:rPr>
            </w:pPr>
            <w:r>
              <w:rPr>
                <w:rFonts w:hint="eastAsia" w:ascii="仿宋" w:hAnsi="仿宋" w:eastAsia="仿宋" w:cs="仿宋"/>
                <w:b/>
                <w:szCs w:val="21"/>
              </w:rPr>
              <w:t>投标文件中的</w:t>
            </w:r>
          </w:p>
          <w:p w14:paraId="755F28F3">
            <w:pPr>
              <w:snapToGrid w:val="0"/>
              <w:spacing w:line="360" w:lineRule="auto"/>
              <w:jc w:val="center"/>
              <w:rPr>
                <w:rFonts w:hint="eastAsia" w:ascii="仿宋" w:hAnsi="仿宋" w:eastAsia="仿宋" w:cs="仿宋"/>
                <w:b/>
                <w:szCs w:val="21"/>
              </w:rPr>
            </w:pPr>
            <w:r>
              <w:rPr>
                <w:rFonts w:hint="eastAsia" w:ascii="仿宋" w:hAnsi="仿宋" w:eastAsia="仿宋" w:cs="仿宋"/>
                <w:b/>
                <w:szCs w:val="21"/>
              </w:rPr>
              <w:t>页码位置</w:t>
            </w:r>
          </w:p>
        </w:tc>
      </w:tr>
      <w:tr w14:paraId="1683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noWrap w:val="0"/>
            <w:vAlign w:val="center"/>
          </w:tcPr>
          <w:p w14:paraId="074EF343">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4352" w:type="dxa"/>
            <w:noWrap w:val="0"/>
            <w:vAlign w:val="center"/>
          </w:tcPr>
          <w:p w14:paraId="6FFDE94C">
            <w:pPr>
              <w:spacing w:line="360" w:lineRule="auto"/>
              <w:jc w:val="left"/>
              <w:rPr>
                <w:rFonts w:hint="eastAsia" w:ascii="仿宋" w:hAnsi="仿宋" w:eastAsia="仿宋" w:cs="仿宋"/>
                <w:szCs w:val="21"/>
              </w:rPr>
            </w:pPr>
            <w:r>
              <w:rPr>
                <w:rFonts w:hint="eastAsia" w:ascii="仿宋" w:hAnsi="仿宋" w:eastAsia="仿宋" w:cs="仿宋"/>
                <w:szCs w:val="21"/>
              </w:rPr>
              <w:t>投标文件按照招标文件要求签署、盖章。</w:t>
            </w:r>
          </w:p>
        </w:tc>
        <w:tc>
          <w:tcPr>
            <w:tcW w:w="2269" w:type="dxa"/>
            <w:noWrap w:val="0"/>
            <w:vAlign w:val="center"/>
          </w:tcPr>
          <w:p w14:paraId="0D1C413E">
            <w:pPr>
              <w:spacing w:line="360" w:lineRule="auto"/>
              <w:jc w:val="left"/>
              <w:rPr>
                <w:rFonts w:hint="eastAsia" w:ascii="仿宋" w:hAnsi="仿宋" w:eastAsia="仿宋" w:cs="仿宋"/>
                <w:szCs w:val="21"/>
              </w:rPr>
            </w:pPr>
            <w:r>
              <w:rPr>
                <w:rFonts w:hint="eastAsia" w:ascii="仿宋" w:hAnsi="仿宋" w:eastAsia="仿宋" w:cs="仿宋"/>
                <w:szCs w:val="21"/>
              </w:rPr>
              <w:t>需要使用电子签名或者签字盖章的投标文件的组成部分</w:t>
            </w:r>
          </w:p>
        </w:tc>
        <w:tc>
          <w:tcPr>
            <w:tcW w:w="1185" w:type="dxa"/>
            <w:noWrap w:val="0"/>
            <w:vAlign w:val="center"/>
          </w:tcPr>
          <w:p w14:paraId="34C0A14C">
            <w:pPr>
              <w:spacing w:line="360" w:lineRule="auto"/>
              <w:jc w:val="center"/>
              <w:rPr>
                <w:rFonts w:hint="eastAsia" w:ascii="仿宋" w:hAnsi="仿宋" w:eastAsia="仿宋" w:cs="仿宋"/>
                <w:szCs w:val="21"/>
              </w:rPr>
            </w:pPr>
            <w:r>
              <w:rPr>
                <w:rFonts w:hint="eastAsia" w:ascii="仿宋" w:hAnsi="仿宋" w:eastAsia="仿宋" w:cs="仿宋"/>
                <w:szCs w:val="21"/>
              </w:rPr>
              <w:t>□通过</w:t>
            </w:r>
          </w:p>
          <w:p w14:paraId="51D089B4">
            <w:pPr>
              <w:spacing w:line="360" w:lineRule="auto"/>
              <w:jc w:val="center"/>
              <w:rPr>
                <w:rFonts w:hint="eastAsia" w:ascii="仿宋" w:hAnsi="仿宋" w:eastAsia="仿宋" w:cs="仿宋"/>
                <w:szCs w:val="21"/>
              </w:rPr>
            </w:pPr>
            <w:r>
              <w:rPr>
                <w:rFonts w:hint="eastAsia" w:ascii="仿宋" w:hAnsi="仿宋" w:eastAsia="仿宋" w:cs="仿宋"/>
                <w:szCs w:val="21"/>
              </w:rPr>
              <w:t>□不通过</w:t>
            </w:r>
          </w:p>
        </w:tc>
        <w:tc>
          <w:tcPr>
            <w:tcW w:w="1785" w:type="dxa"/>
            <w:noWrap w:val="0"/>
            <w:vAlign w:val="center"/>
          </w:tcPr>
          <w:p w14:paraId="1CC76B02">
            <w:pPr>
              <w:spacing w:line="360" w:lineRule="auto"/>
              <w:jc w:val="center"/>
              <w:rPr>
                <w:rFonts w:hint="eastAsia" w:ascii="仿宋" w:hAnsi="仿宋" w:eastAsia="仿宋" w:cs="仿宋"/>
                <w:szCs w:val="21"/>
              </w:rPr>
            </w:pPr>
            <w:r>
              <w:rPr>
                <w:rFonts w:hint="eastAsia" w:ascii="仿宋" w:hAnsi="仿宋" w:eastAsia="仿宋" w:cs="仿宋"/>
                <w:szCs w:val="21"/>
              </w:rPr>
              <w:t>见投标文件</w:t>
            </w:r>
          </w:p>
          <w:p w14:paraId="120B0274">
            <w:pPr>
              <w:spacing w:line="360" w:lineRule="auto"/>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szCs w:val="21"/>
              </w:rPr>
              <w:t>页</w:t>
            </w:r>
          </w:p>
        </w:tc>
      </w:tr>
      <w:tr w14:paraId="3755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noWrap w:val="0"/>
            <w:vAlign w:val="center"/>
          </w:tcPr>
          <w:p w14:paraId="30DD124A">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4352" w:type="dxa"/>
            <w:noWrap w:val="0"/>
            <w:vAlign w:val="center"/>
          </w:tcPr>
          <w:p w14:paraId="079CDAE9">
            <w:pPr>
              <w:spacing w:line="360" w:lineRule="auto"/>
              <w:jc w:val="left"/>
              <w:rPr>
                <w:rFonts w:hint="eastAsia" w:ascii="仿宋" w:hAnsi="仿宋" w:eastAsia="仿宋" w:cs="仿宋"/>
                <w:szCs w:val="21"/>
              </w:rPr>
            </w:pPr>
            <w:r>
              <w:rPr>
                <w:rFonts w:hint="eastAsia" w:ascii="仿宋" w:hAnsi="仿宋" w:eastAsia="仿宋" w:cs="仿宋"/>
                <w:szCs w:val="21"/>
              </w:rPr>
              <w:t>投标文件中承诺的投标有效期不少于招标文件中载明的投标有效期。</w:t>
            </w:r>
          </w:p>
        </w:tc>
        <w:tc>
          <w:tcPr>
            <w:tcW w:w="2269" w:type="dxa"/>
            <w:noWrap w:val="0"/>
            <w:vAlign w:val="center"/>
          </w:tcPr>
          <w:p w14:paraId="2CD65C70">
            <w:pPr>
              <w:spacing w:line="360" w:lineRule="auto"/>
              <w:jc w:val="left"/>
              <w:rPr>
                <w:rFonts w:hint="eastAsia" w:ascii="仿宋" w:hAnsi="仿宋" w:eastAsia="仿宋" w:cs="仿宋"/>
                <w:szCs w:val="21"/>
              </w:rPr>
            </w:pPr>
            <w:r>
              <w:rPr>
                <w:rFonts w:hint="eastAsia" w:ascii="仿宋" w:hAnsi="仿宋" w:eastAsia="仿宋" w:cs="仿宋"/>
                <w:szCs w:val="21"/>
              </w:rPr>
              <w:t>投标函</w:t>
            </w:r>
          </w:p>
        </w:tc>
        <w:tc>
          <w:tcPr>
            <w:tcW w:w="1185" w:type="dxa"/>
            <w:noWrap w:val="0"/>
            <w:vAlign w:val="center"/>
          </w:tcPr>
          <w:p w14:paraId="75D0BBEB">
            <w:pPr>
              <w:spacing w:line="360" w:lineRule="auto"/>
              <w:jc w:val="center"/>
              <w:rPr>
                <w:rFonts w:hint="eastAsia" w:ascii="仿宋" w:hAnsi="仿宋" w:eastAsia="仿宋" w:cs="仿宋"/>
                <w:szCs w:val="21"/>
              </w:rPr>
            </w:pPr>
            <w:r>
              <w:rPr>
                <w:rFonts w:hint="eastAsia" w:ascii="仿宋" w:hAnsi="仿宋" w:eastAsia="仿宋" w:cs="仿宋"/>
                <w:szCs w:val="21"/>
              </w:rPr>
              <w:t>□通过</w:t>
            </w:r>
          </w:p>
          <w:p w14:paraId="7A2D3041">
            <w:pPr>
              <w:spacing w:line="360" w:lineRule="auto"/>
              <w:jc w:val="center"/>
              <w:rPr>
                <w:rFonts w:hint="eastAsia" w:ascii="仿宋" w:hAnsi="仿宋" w:eastAsia="仿宋" w:cs="仿宋"/>
                <w:szCs w:val="21"/>
              </w:rPr>
            </w:pPr>
            <w:r>
              <w:rPr>
                <w:rFonts w:hint="eastAsia" w:ascii="仿宋" w:hAnsi="仿宋" w:eastAsia="仿宋" w:cs="仿宋"/>
                <w:szCs w:val="21"/>
              </w:rPr>
              <w:t>□不通过</w:t>
            </w:r>
          </w:p>
        </w:tc>
        <w:tc>
          <w:tcPr>
            <w:tcW w:w="1785" w:type="dxa"/>
            <w:noWrap w:val="0"/>
            <w:vAlign w:val="center"/>
          </w:tcPr>
          <w:p w14:paraId="1A59636C">
            <w:pPr>
              <w:spacing w:line="360" w:lineRule="auto"/>
              <w:jc w:val="center"/>
              <w:rPr>
                <w:rFonts w:hint="eastAsia" w:ascii="仿宋" w:hAnsi="仿宋" w:eastAsia="仿宋" w:cs="仿宋"/>
                <w:szCs w:val="21"/>
              </w:rPr>
            </w:pPr>
            <w:r>
              <w:rPr>
                <w:rFonts w:hint="eastAsia" w:ascii="仿宋" w:hAnsi="仿宋" w:eastAsia="仿宋" w:cs="仿宋"/>
                <w:szCs w:val="21"/>
              </w:rPr>
              <w:t>见投标文件</w:t>
            </w:r>
          </w:p>
          <w:p w14:paraId="5112E7D3">
            <w:pPr>
              <w:spacing w:line="360" w:lineRule="auto"/>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szCs w:val="21"/>
              </w:rPr>
              <w:t>页</w:t>
            </w:r>
          </w:p>
        </w:tc>
      </w:tr>
      <w:tr w14:paraId="6CE0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noWrap w:val="0"/>
            <w:vAlign w:val="center"/>
          </w:tcPr>
          <w:p w14:paraId="265A305A">
            <w:pPr>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4352" w:type="dxa"/>
            <w:noWrap w:val="0"/>
            <w:vAlign w:val="center"/>
          </w:tcPr>
          <w:p w14:paraId="217A4E31">
            <w:pPr>
              <w:spacing w:line="360" w:lineRule="auto"/>
              <w:jc w:val="left"/>
              <w:rPr>
                <w:rFonts w:hint="eastAsia" w:ascii="仿宋" w:hAnsi="仿宋" w:eastAsia="仿宋" w:cs="仿宋"/>
                <w:szCs w:val="21"/>
              </w:rPr>
            </w:pPr>
            <w:r>
              <w:rPr>
                <w:rFonts w:hint="eastAsia" w:ascii="仿宋" w:hAnsi="仿宋" w:eastAsia="仿宋" w:cs="仿宋"/>
                <w:szCs w:val="21"/>
              </w:rPr>
              <w:t>投标文件满足招标文件的其它实质性要求。</w:t>
            </w:r>
          </w:p>
        </w:tc>
        <w:tc>
          <w:tcPr>
            <w:tcW w:w="2269" w:type="dxa"/>
            <w:noWrap w:val="0"/>
            <w:vAlign w:val="center"/>
          </w:tcPr>
          <w:p w14:paraId="6D9F1D36">
            <w:pPr>
              <w:spacing w:line="360" w:lineRule="auto"/>
              <w:jc w:val="left"/>
              <w:rPr>
                <w:rFonts w:hint="eastAsia" w:ascii="仿宋" w:hAnsi="仿宋" w:eastAsia="仿宋" w:cs="仿宋"/>
                <w:szCs w:val="21"/>
              </w:rPr>
            </w:pPr>
            <w:r>
              <w:rPr>
                <w:rFonts w:hint="eastAsia" w:ascii="仿宋" w:hAnsi="仿宋" w:eastAsia="仿宋" w:cs="仿宋"/>
                <w:kern w:val="0"/>
                <w:szCs w:val="21"/>
              </w:rPr>
              <w:t>招标文件其它实质性要求相应的材料（“★” 系指实质性要求条款，招标文件无其它实质性要求的，无需提供）</w:t>
            </w:r>
          </w:p>
        </w:tc>
        <w:tc>
          <w:tcPr>
            <w:tcW w:w="1185" w:type="dxa"/>
            <w:noWrap w:val="0"/>
            <w:vAlign w:val="center"/>
          </w:tcPr>
          <w:p w14:paraId="32C7B80A">
            <w:pPr>
              <w:spacing w:line="360" w:lineRule="auto"/>
              <w:jc w:val="center"/>
              <w:rPr>
                <w:rFonts w:hint="eastAsia" w:ascii="仿宋" w:hAnsi="仿宋" w:eastAsia="仿宋" w:cs="仿宋"/>
                <w:szCs w:val="21"/>
              </w:rPr>
            </w:pPr>
            <w:r>
              <w:rPr>
                <w:rFonts w:hint="eastAsia" w:ascii="仿宋" w:hAnsi="仿宋" w:eastAsia="仿宋" w:cs="仿宋"/>
                <w:szCs w:val="21"/>
              </w:rPr>
              <w:t>□通过</w:t>
            </w:r>
          </w:p>
          <w:p w14:paraId="5F46B90D">
            <w:pPr>
              <w:spacing w:line="360" w:lineRule="auto"/>
              <w:jc w:val="center"/>
              <w:rPr>
                <w:rFonts w:hint="eastAsia" w:ascii="仿宋" w:hAnsi="仿宋" w:eastAsia="仿宋" w:cs="仿宋"/>
                <w:szCs w:val="21"/>
              </w:rPr>
            </w:pPr>
            <w:r>
              <w:rPr>
                <w:rFonts w:hint="eastAsia" w:ascii="仿宋" w:hAnsi="仿宋" w:eastAsia="仿宋" w:cs="仿宋"/>
                <w:szCs w:val="21"/>
              </w:rPr>
              <w:t>□不通过</w:t>
            </w:r>
          </w:p>
        </w:tc>
        <w:tc>
          <w:tcPr>
            <w:tcW w:w="1785" w:type="dxa"/>
            <w:noWrap w:val="0"/>
            <w:vAlign w:val="center"/>
          </w:tcPr>
          <w:p w14:paraId="68B7E4E6">
            <w:pPr>
              <w:spacing w:line="360" w:lineRule="auto"/>
              <w:jc w:val="center"/>
              <w:rPr>
                <w:rFonts w:hint="eastAsia" w:ascii="仿宋" w:hAnsi="仿宋" w:eastAsia="仿宋" w:cs="仿宋"/>
                <w:szCs w:val="21"/>
              </w:rPr>
            </w:pPr>
            <w:r>
              <w:rPr>
                <w:rFonts w:hint="eastAsia" w:ascii="仿宋" w:hAnsi="仿宋" w:eastAsia="仿宋" w:cs="仿宋"/>
                <w:szCs w:val="21"/>
              </w:rPr>
              <w:t>见投标文件</w:t>
            </w:r>
          </w:p>
          <w:p w14:paraId="7D309C0B">
            <w:pPr>
              <w:spacing w:line="360" w:lineRule="auto"/>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szCs w:val="21"/>
              </w:rPr>
              <w:t>页</w:t>
            </w:r>
          </w:p>
        </w:tc>
      </w:tr>
      <w:tr w14:paraId="2538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noWrap w:val="0"/>
            <w:vAlign w:val="center"/>
          </w:tcPr>
          <w:p w14:paraId="5D42DDB4">
            <w:pPr>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4352" w:type="dxa"/>
            <w:noWrap w:val="0"/>
            <w:vAlign w:val="center"/>
          </w:tcPr>
          <w:p w14:paraId="5FC57ED3">
            <w:pPr>
              <w:snapToGrid w:val="0"/>
              <w:spacing w:line="360" w:lineRule="auto"/>
              <w:jc w:val="left"/>
              <w:rPr>
                <w:rFonts w:hint="eastAsia" w:ascii="仿宋" w:hAnsi="仿宋" w:eastAsia="仿宋" w:cs="仿宋"/>
                <w:bCs/>
                <w:szCs w:val="21"/>
              </w:rPr>
            </w:pPr>
            <w:r>
              <w:rPr>
                <w:rFonts w:hint="eastAsia" w:ascii="仿宋" w:hAnsi="仿宋" w:eastAsia="仿宋" w:cs="仿宋"/>
                <w:bCs/>
                <w:szCs w:val="21"/>
              </w:rPr>
              <w:t>投标文件没有招标文件中规定的其它无效投标条款的。</w:t>
            </w:r>
          </w:p>
        </w:tc>
        <w:tc>
          <w:tcPr>
            <w:tcW w:w="2269" w:type="dxa"/>
            <w:noWrap w:val="0"/>
            <w:vAlign w:val="center"/>
          </w:tcPr>
          <w:p w14:paraId="04E4428F">
            <w:pPr>
              <w:spacing w:line="360" w:lineRule="auto"/>
              <w:jc w:val="center"/>
              <w:rPr>
                <w:rFonts w:hint="eastAsia" w:ascii="仿宋" w:hAnsi="仿宋" w:eastAsia="仿宋" w:cs="仿宋"/>
                <w:kern w:val="0"/>
                <w:szCs w:val="21"/>
              </w:rPr>
            </w:pPr>
          </w:p>
        </w:tc>
        <w:tc>
          <w:tcPr>
            <w:tcW w:w="1185" w:type="dxa"/>
            <w:noWrap w:val="0"/>
            <w:vAlign w:val="center"/>
          </w:tcPr>
          <w:p w14:paraId="5FF97307">
            <w:pPr>
              <w:spacing w:line="360" w:lineRule="auto"/>
              <w:jc w:val="center"/>
              <w:rPr>
                <w:rFonts w:hint="eastAsia" w:ascii="仿宋" w:hAnsi="仿宋" w:eastAsia="仿宋" w:cs="仿宋"/>
                <w:szCs w:val="21"/>
              </w:rPr>
            </w:pPr>
            <w:r>
              <w:rPr>
                <w:rFonts w:hint="eastAsia" w:ascii="仿宋" w:hAnsi="仿宋" w:eastAsia="仿宋" w:cs="仿宋"/>
                <w:szCs w:val="21"/>
              </w:rPr>
              <w:t>□通过</w:t>
            </w:r>
          </w:p>
          <w:p w14:paraId="26943FA6">
            <w:pPr>
              <w:spacing w:line="360" w:lineRule="auto"/>
              <w:jc w:val="center"/>
              <w:rPr>
                <w:rFonts w:hint="eastAsia" w:ascii="仿宋" w:hAnsi="仿宋" w:eastAsia="仿宋" w:cs="仿宋"/>
                <w:szCs w:val="21"/>
              </w:rPr>
            </w:pPr>
            <w:r>
              <w:rPr>
                <w:rFonts w:hint="eastAsia" w:ascii="仿宋" w:hAnsi="仿宋" w:eastAsia="仿宋" w:cs="仿宋"/>
                <w:szCs w:val="21"/>
              </w:rPr>
              <w:t>□不通过</w:t>
            </w:r>
          </w:p>
        </w:tc>
        <w:tc>
          <w:tcPr>
            <w:tcW w:w="1785" w:type="dxa"/>
            <w:noWrap w:val="0"/>
            <w:vAlign w:val="center"/>
          </w:tcPr>
          <w:p w14:paraId="18E4A4CB">
            <w:pPr>
              <w:spacing w:line="360" w:lineRule="auto"/>
              <w:jc w:val="center"/>
              <w:rPr>
                <w:rFonts w:hint="eastAsia" w:ascii="仿宋" w:hAnsi="仿宋" w:eastAsia="仿宋" w:cs="仿宋"/>
                <w:szCs w:val="21"/>
              </w:rPr>
            </w:pPr>
            <w:r>
              <w:rPr>
                <w:rFonts w:hint="eastAsia" w:ascii="仿宋" w:hAnsi="仿宋" w:eastAsia="仿宋" w:cs="仿宋"/>
                <w:szCs w:val="21"/>
              </w:rPr>
              <w:t>见投标文件</w:t>
            </w:r>
          </w:p>
          <w:p w14:paraId="1707FE24">
            <w:pPr>
              <w:spacing w:line="360" w:lineRule="auto"/>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szCs w:val="21"/>
              </w:rPr>
              <w:t>页</w:t>
            </w:r>
          </w:p>
        </w:tc>
      </w:tr>
      <w:tr w14:paraId="1DD6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noWrap w:val="0"/>
            <w:vAlign w:val="center"/>
          </w:tcPr>
          <w:p w14:paraId="41F00BAE">
            <w:pPr>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4352" w:type="dxa"/>
            <w:noWrap w:val="0"/>
            <w:vAlign w:val="center"/>
          </w:tcPr>
          <w:p w14:paraId="456B3DBE">
            <w:pPr>
              <w:snapToGrid w:val="0"/>
              <w:spacing w:line="360" w:lineRule="auto"/>
              <w:jc w:val="left"/>
              <w:rPr>
                <w:rFonts w:hint="eastAsia" w:ascii="仿宋" w:hAnsi="仿宋" w:eastAsia="仿宋" w:cs="仿宋"/>
                <w:bCs/>
                <w:szCs w:val="21"/>
              </w:rPr>
            </w:pPr>
            <w:r>
              <w:rPr>
                <w:rFonts w:hint="eastAsia" w:ascii="仿宋" w:hAnsi="仿宋" w:eastAsia="仿宋" w:cs="仿宋"/>
                <w:bCs/>
                <w:szCs w:val="21"/>
              </w:rPr>
              <w:t>按有关法律、法规、规章不属于投标无效的。</w:t>
            </w:r>
          </w:p>
        </w:tc>
        <w:tc>
          <w:tcPr>
            <w:tcW w:w="2269" w:type="dxa"/>
            <w:noWrap w:val="0"/>
            <w:vAlign w:val="center"/>
          </w:tcPr>
          <w:p w14:paraId="2A30B944">
            <w:pPr>
              <w:spacing w:line="360" w:lineRule="auto"/>
              <w:jc w:val="center"/>
              <w:rPr>
                <w:rFonts w:hint="eastAsia" w:ascii="仿宋" w:hAnsi="仿宋" w:eastAsia="仿宋" w:cs="仿宋"/>
                <w:kern w:val="0"/>
                <w:szCs w:val="21"/>
              </w:rPr>
            </w:pPr>
          </w:p>
        </w:tc>
        <w:tc>
          <w:tcPr>
            <w:tcW w:w="1185" w:type="dxa"/>
            <w:noWrap w:val="0"/>
            <w:vAlign w:val="center"/>
          </w:tcPr>
          <w:p w14:paraId="2FFD68C3">
            <w:pPr>
              <w:spacing w:line="360" w:lineRule="auto"/>
              <w:jc w:val="center"/>
              <w:rPr>
                <w:rFonts w:hint="eastAsia" w:ascii="仿宋" w:hAnsi="仿宋" w:eastAsia="仿宋" w:cs="仿宋"/>
                <w:szCs w:val="21"/>
              </w:rPr>
            </w:pPr>
            <w:r>
              <w:rPr>
                <w:rFonts w:hint="eastAsia" w:ascii="仿宋" w:hAnsi="仿宋" w:eastAsia="仿宋" w:cs="仿宋"/>
                <w:szCs w:val="21"/>
              </w:rPr>
              <w:t>□通过</w:t>
            </w:r>
          </w:p>
          <w:p w14:paraId="6B408405">
            <w:pPr>
              <w:spacing w:line="360" w:lineRule="auto"/>
              <w:jc w:val="center"/>
              <w:rPr>
                <w:rFonts w:hint="eastAsia" w:ascii="仿宋" w:hAnsi="仿宋" w:eastAsia="仿宋" w:cs="仿宋"/>
                <w:szCs w:val="21"/>
              </w:rPr>
            </w:pPr>
            <w:r>
              <w:rPr>
                <w:rFonts w:hint="eastAsia" w:ascii="仿宋" w:hAnsi="仿宋" w:eastAsia="仿宋" w:cs="仿宋"/>
                <w:szCs w:val="21"/>
              </w:rPr>
              <w:t>□不通过</w:t>
            </w:r>
          </w:p>
        </w:tc>
        <w:tc>
          <w:tcPr>
            <w:tcW w:w="1785" w:type="dxa"/>
            <w:noWrap w:val="0"/>
            <w:vAlign w:val="center"/>
          </w:tcPr>
          <w:p w14:paraId="13BF3767">
            <w:pPr>
              <w:spacing w:line="360" w:lineRule="auto"/>
              <w:jc w:val="center"/>
              <w:rPr>
                <w:rFonts w:hint="eastAsia" w:ascii="仿宋" w:hAnsi="仿宋" w:eastAsia="仿宋" w:cs="仿宋"/>
                <w:szCs w:val="21"/>
              </w:rPr>
            </w:pPr>
            <w:r>
              <w:rPr>
                <w:rFonts w:hint="eastAsia" w:ascii="仿宋" w:hAnsi="仿宋" w:eastAsia="仿宋" w:cs="仿宋"/>
                <w:szCs w:val="21"/>
              </w:rPr>
              <w:t>见投标文件</w:t>
            </w:r>
          </w:p>
          <w:p w14:paraId="0DD797A2">
            <w:pPr>
              <w:spacing w:line="360" w:lineRule="auto"/>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szCs w:val="21"/>
              </w:rPr>
              <w:t>页</w:t>
            </w:r>
          </w:p>
        </w:tc>
      </w:tr>
    </w:tbl>
    <w:p w14:paraId="10A8205D">
      <w:pPr>
        <w:snapToGrid w:val="0"/>
        <w:spacing w:line="360" w:lineRule="auto"/>
        <w:jc w:val="left"/>
        <w:rPr>
          <w:rFonts w:hint="eastAsia" w:ascii="仿宋" w:hAnsi="仿宋" w:eastAsia="仿宋" w:cs="仿宋"/>
          <w:b/>
          <w:sz w:val="32"/>
          <w:szCs w:val="32"/>
        </w:rPr>
      </w:pPr>
      <w:r>
        <w:rPr>
          <w:rFonts w:hint="eastAsia" w:ascii="仿宋" w:hAnsi="仿宋" w:eastAsia="仿宋" w:cs="仿宋"/>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3C56662C">
      <w:pPr>
        <w:numPr>
          <w:ilvl w:val="0"/>
          <w:numId w:val="6"/>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br w:type="page"/>
      </w:r>
      <w:bookmarkStart w:id="535" w:name="_Toc129088777"/>
      <w:bookmarkStart w:id="536" w:name="_Toc129089161"/>
      <w:r>
        <w:rPr>
          <w:rFonts w:hint="eastAsia" w:ascii="仿宋" w:hAnsi="仿宋" w:eastAsia="仿宋" w:cs="仿宋"/>
          <w:b/>
          <w:kern w:val="0"/>
          <w:sz w:val="32"/>
          <w:szCs w:val="32"/>
        </w:rPr>
        <w:t>投标</w:t>
      </w:r>
      <w:r>
        <w:rPr>
          <w:rFonts w:hint="eastAsia" w:ascii="仿宋" w:hAnsi="仿宋" w:eastAsia="仿宋" w:cs="仿宋"/>
          <w:b/>
          <w:sz w:val="32"/>
          <w:szCs w:val="32"/>
        </w:rPr>
        <w:t>函</w:t>
      </w:r>
      <w:bookmarkEnd w:id="535"/>
      <w:bookmarkEnd w:id="536"/>
    </w:p>
    <w:p w14:paraId="0CDCD196">
      <w:pPr>
        <w:snapToGrid w:val="0"/>
        <w:spacing w:line="360" w:lineRule="auto"/>
        <w:rPr>
          <w:rFonts w:hint="eastAsia" w:ascii="仿宋" w:hAnsi="仿宋" w:eastAsia="仿宋" w:cs="仿宋"/>
          <w:sz w:val="24"/>
        </w:rPr>
      </w:pPr>
      <w:r>
        <w:rPr>
          <w:rFonts w:hint="eastAsia" w:ascii="仿宋" w:hAnsi="仿宋" w:eastAsia="仿宋" w:cs="仿宋"/>
          <w:sz w:val="24"/>
        </w:rPr>
        <w:t>宁波建兴招标有限公司/宁波市急救中心北仑分中心：</w:t>
      </w:r>
    </w:p>
    <w:p w14:paraId="0922604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rPr>
        <w:t>宁波市急救中心北仑分中心救护车采购项目</w:t>
      </w:r>
      <w:r>
        <w:rPr>
          <w:rFonts w:hint="eastAsia" w:ascii="仿宋" w:hAnsi="仿宋" w:eastAsia="仿宋" w:cs="仿宋"/>
          <w:sz w:val="24"/>
        </w:rPr>
        <w:t>【招标编号：</w:t>
      </w:r>
      <w:r>
        <w:rPr>
          <w:rFonts w:hint="eastAsia" w:ascii="仿宋" w:hAnsi="仿宋" w:eastAsia="仿宋" w:cs="仿宋"/>
          <w:sz w:val="24"/>
          <w:lang w:eastAsia="zh-CN"/>
        </w:rPr>
        <w:t>NBJX2024334G</w:t>
      </w:r>
      <w:r>
        <w:rPr>
          <w:rFonts w:hint="eastAsia" w:ascii="仿宋" w:hAnsi="仿宋" w:eastAsia="仿宋" w:cs="仿宋"/>
          <w:sz w:val="24"/>
        </w:rPr>
        <w:t>】招标的有关活动，并对此项目进行投标。为此：</w:t>
      </w:r>
    </w:p>
    <w:p w14:paraId="37777B9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ED7BCE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19FE62D8">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1AD96D21">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2.1.1有效的企业法人营业执照（或事业法人登记证）、其他组织（个体工商户）的营业执照或者民办非企业单位登记证书；</w:t>
      </w:r>
    </w:p>
    <w:p w14:paraId="71B49E8A">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70CF349F">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2.1.3落实政府采购政策需满足的资格要求（无）；</w:t>
      </w:r>
    </w:p>
    <w:p w14:paraId="31889D44">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2.1.4联合协议（如果有）；</w:t>
      </w:r>
    </w:p>
    <w:p w14:paraId="07D639F2">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2.1.5分包意向协议（如果有）；</w:t>
      </w:r>
    </w:p>
    <w:p w14:paraId="1664B18B">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2.1.6本项目的特定资格要求。</w:t>
      </w:r>
    </w:p>
    <w:p w14:paraId="5DF28F5F">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F41C09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 符合性自查表；</w:t>
      </w:r>
    </w:p>
    <w:p w14:paraId="515876B6">
      <w:pPr>
        <w:snapToGrid w:val="0"/>
        <w:spacing w:line="360" w:lineRule="auto"/>
        <w:ind w:left="420" w:leftChars="200" w:firstLine="480" w:firstLineChars="200"/>
        <w:rPr>
          <w:rFonts w:hint="eastAsia" w:ascii="仿宋" w:hAnsi="仿宋" w:eastAsia="仿宋" w:cs="仿宋"/>
          <w:lang w:val="zh-CN"/>
        </w:rPr>
      </w:pPr>
      <w:r>
        <w:rPr>
          <w:rFonts w:hint="eastAsia" w:ascii="仿宋" w:hAnsi="仿宋" w:eastAsia="仿宋" w:cs="仿宋"/>
          <w:sz w:val="24"/>
        </w:rPr>
        <w:t>2.2.2 投标函；</w:t>
      </w:r>
      <w:r>
        <w:rPr>
          <w:rFonts w:hint="eastAsia" w:ascii="仿宋" w:hAnsi="仿宋" w:eastAsia="仿宋" w:cs="仿宋"/>
          <w:sz w:val="24"/>
          <w:lang w:val="zh-CN"/>
        </w:rPr>
        <w:t xml:space="preserve"> </w:t>
      </w:r>
    </w:p>
    <w:p w14:paraId="3EFA447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 授权委托书或法定代表人（单位负责人）身份证明；</w:t>
      </w:r>
    </w:p>
    <w:p w14:paraId="5366A36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 供应商情况表；</w:t>
      </w:r>
    </w:p>
    <w:p w14:paraId="41583B9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 距采购人最近或者能为本项目提供最优服务的网点情况表；</w:t>
      </w:r>
    </w:p>
    <w:p w14:paraId="45B9A08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2.2.6拟投设备详细技术参数说明；（包括但不限于）</w:t>
      </w:r>
    </w:p>
    <w:p w14:paraId="2B22BEC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（1）产品名称；（2）技术规格；（3）产品数量；（4）产品材质、品牌和产地（包含主材、辅材等）或关键元器件明细表（包括制造厂名和国别）；（5）特殊工具及备件清单。</w:t>
      </w:r>
    </w:p>
    <w:p w14:paraId="3EF7753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 评标标准相应的商务技术资料；</w:t>
      </w:r>
    </w:p>
    <w:p w14:paraId="6A5A940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2.2.8 商务偏离表；</w:t>
      </w:r>
    </w:p>
    <w:p w14:paraId="592AAFD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2.2.9 技术偏离表；</w:t>
      </w:r>
    </w:p>
    <w:p w14:paraId="13084C5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2.2.10 同类业绩情况一览表；</w:t>
      </w:r>
    </w:p>
    <w:p w14:paraId="1F80DC4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2.2.11 政府采购供应商廉洁自律承诺书；</w:t>
      </w:r>
    </w:p>
    <w:p w14:paraId="5E2D90DC">
      <w:pPr>
        <w:snapToGrid w:val="0"/>
        <w:spacing w:line="360" w:lineRule="auto"/>
        <w:ind w:left="420" w:leftChars="200" w:firstLine="480" w:firstLineChars="200"/>
        <w:rPr>
          <w:rFonts w:ascii="仿宋" w:hAnsi="仿宋" w:eastAsia="仿宋" w:cs="仿宋"/>
        </w:rPr>
      </w:pPr>
      <w:r>
        <w:rPr>
          <w:rFonts w:hint="eastAsia" w:ascii="仿宋" w:hAnsi="仿宋" w:eastAsia="仿宋" w:cs="仿宋"/>
          <w:sz w:val="24"/>
        </w:rPr>
        <w:t>2.2.12 其他资料。</w:t>
      </w:r>
    </w:p>
    <w:p w14:paraId="1A93D0E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4626A51">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2.3.1开标一览表；</w:t>
      </w:r>
    </w:p>
    <w:p w14:paraId="145D0832">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2.3.2投标报价明细表；</w:t>
      </w:r>
    </w:p>
    <w:p w14:paraId="7AD473E9">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lang w:val="en-US" w:eastAsia="zh-CN"/>
        </w:rPr>
        <w:t>2.3.3</w:t>
      </w:r>
      <w:r>
        <w:rPr>
          <w:rFonts w:hint="eastAsia" w:ascii="仿宋" w:hAnsi="仿宋" w:eastAsia="仿宋" w:cs="仿宋"/>
          <w:sz w:val="24"/>
          <w:highlight w:val="none"/>
        </w:rPr>
        <w:t>中小企业声明函或残疾人福利性单位声明函或监狱企业的证明文件(如有)；</w:t>
      </w:r>
    </w:p>
    <w:p w14:paraId="26EE9111">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政府采购统计基础信息表；</w:t>
      </w:r>
    </w:p>
    <w:p w14:paraId="251C210C">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2.3.</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其他资料（如有）。</w:t>
      </w:r>
    </w:p>
    <w:p w14:paraId="00D8E34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22E1CA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0EC433E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128B7A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9B8083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7F8F332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4C4AC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5、其他补充说明: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8B1C248">
      <w:pPr>
        <w:spacing w:line="360" w:lineRule="auto"/>
        <w:ind w:firstLine="3600" w:firstLineChars="1500"/>
        <w:rPr>
          <w:rFonts w:hint="eastAsia" w:ascii="仿宋" w:hAnsi="仿宋" w:eastAsia="仿宋" w:cs="仿宋"/>
          <w:sz w:val="24"/>
        </w:rPr>
      </w:pPr>
    </w:p>
    <w:p w14:paraId="526904EE">
      <w:pPr>
        <w:spacing w:line="360" w:lineRule="auto"/>
        <w:ind w:firstLine="3600" w:firstLineChars="1500"/>
        <w:rPr>
          <w:rFonts w:hint="eastAsia" w:ascii="仿宋" w:hAnsi="仿宋" w:eastAsia="仿宋" w:cs="仿宋"/>
          <w:sz w:val="24"/>
        </w:rPr>
      </w:pPr>
    </w:p>
    <w:p w14:paraId="4283A8F9">
      <w:pPr>
        <w:spacing w:line="360" w:lineRule="auto"/>
        <w:ind w:firstLine="4320" w:firstLineChars="1800"/>
        <w:rPr>
          <w:rFonts w:hint="eastAsia" w:ascii="仿宋" w:hAnsi="仿宋" w:eastAsia="仿宋" w:cs="仿宋"/>
          <w:sz w:val="24"/>
        </w:rPr>
      </w:pPr>
      <w:r>
        <w:rPr>
          <w:rFonts w:hint="eastAsia" w:ascii="仿宋" w:hAnsi="仿宋" w:eastAsia="仿宋" w:cs="仿宋"/>
          <w:sz w:val="24"/>
        </w:rPr>
        <w:t xml:space="preserve">投标人名称（电子签名）：   </w:t>
      </w:r>
    </w:p>
    <w:p w14:paraId="77A52A69">
      <w:pPr>
        <w:spacing w:line="360" w:lineRule="auto"/>
        <w:jc w:val="center"/>
        <w:rPr>
          <w:rFonts w:hint="eastAsia" w:ascii="仿宋" w:hAnsi="仿宋" w:eastAsia="仿宋" w:cs="仿宋"/>
          <w:b/>
          <w:kern w:val="0"/>
          <w:sz w:val="32"/>
          <w:szCs w:val="32"/>
          <w:lang w:val="zh-CN"/>
        </w:rPr>
      </w:pPr>
      <w:r>
        <w:rPr>
          <w:rFonts w:hint="eastAsia" w:ascii="仿宋" w:hAnsi="仿宋" w:eastAsia="仿宋" w:cs="仿宋"/>
          <w:sz w:val="24"/>
        </w:rPr>
        <w:t xml:space="preserve">                         日期：     年      月      日</w:t>
      </w:r>
    </w:p>
    <w:p w14:paraId="68F59A4E">
      <w:pPr>
        <w:spacing w:line="360" w:lineRule="auto"/>
        <w:jc w:val="center"/>
        <w:rPr>
          <w:rFonts w:hint="eastAsia" w:ascii="仿宋" w:hAnsi="仿宋" w:eastAsia="仿宋" w:cs="仿宋"/>
          <w:b/>
          <w:kern w:val="0"/>
          <w:sz w:val="32"/>
          <w:szCs w:val="32"/>
          <w:lang w:val="zh-CN"/>
        </w:rPr>
      </w:pPr>
    </w:p>
    <w:p w14:paraId="201E9B4E">
      <w:pPr>
        <w:spacing w:line="360" w:lineRule="auto"/>
        <w:rPr>
          <w:rFonts w:hint="eastAsia" w:ascii="仿宋" w:hAnsi="仿宋" w:eastAsia="仿宋" w:cs="仿宋"/>
          <w:b/>
          <w:sz w:val="32"/>
          <w:szCs w:val="32"/>
        </w:rPr>
      </w:pPr>
      <w:bookmarkStart w:id="537" w:name="_Toc14746861"/>
      <w:bookmarkStart w:id="538" w:name="_Toc479927873"/>
      <w:bookmarkStart w:id="539" w:name="_Toc225223761"/>
      <w:bookmarkStart w:id="540" w:name="_Toc488936100"/>
      <w:bookmarkStart w:id="541" w:name="_Toc483379796"/>
      <w:bookmarkStart w:id="542" w:name="_Toc110393361"/>
    </w:p>
    <w:p w14:paraId="0BBA0296">
      <w:pPr>
        <w:numPr>
          <w:ilvl w:val="0"/>
          <w:numId w:val="6"/>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bookmarkStart w:id="543" w:name="_Toc129089162"/>
      <w:bookmarkStart w:id="544" w:name="_Toc129088778"/>
      <w:r>
        <w:rPr>
          <w:rFonts w:hint="eastAsia" w:ascii="仿宋" w:hAnsi="仿宋" w:eastAsia="仿宋" w:cs="仿宋"/>
          <w:b/>
          <w:kern w:val="0"/>
          <w:sz w:val="32"/>
          <w:szCs w:val="32"/>
          <w:lang w:val="zh-CN"/>
        </w:rPr>
        <w:t>授权委托书或法定代表人（单位负责人、自然人本人）身份证明</w:t>
      </w:r>
      <w:bookmarkEnd w:id="543"/>
      <w:bookmarkEnd w:id="544"/>
    </w:p>
    <w:p w14:paraId="2E3F9657">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19180214">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621C4816">
      <w:pPr>
        <w:snapToGrid w:val="0"/>
        <w:spacing w:line="360" w:lineRule="auto"/>
        <w:rPr>
          <w:rFonts w:hint="eastAsia" w:ascii="仿宋" w:hAnsi="仿宋" w:eastAsia="仿宋" w:cs="仿宋"/>
          <w:kern w:val="0"/>
          <w:sz w:val="24"/>
        </w:rPr>
      </w:pPr>
      <w:r>
        <w:rPr>
          <w:rFonts w:hint="eastAsia" w:ascii="仿宋" w:hAnsi="仿宋" w:eastAsia="仿宋" w:cs="仿宋"/>
          <w:sz w:val="24"/>
        </w:rPr>
        <w:t>宁波建兴招标有限公司/宁波市急救中心北仑分中心</w:t>
      </w:r>
      <w:r>
        <w:rPr>
          <w:rFonts w:hint="eastAsia" w:ascii="仿宋" w:hAnsi="仿宋" w:eastAsia="仿宋" w:cs="仿宋"/>
          <w:kern w:val="0"/>
          <w:sz w:val="24"/>
          <w:lang w:val="zh-CN"/>
        </w:rPr>
        <w:t>：</w:t>
      </w:r>
    </w:p>
    <w:p w14:paraId="10C8DDAF">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rPr>
        <w:t>宁波市急救中心北仑分中心救护车采购项目</w:t>
      </w:r>
      <w:r>
        <w:rPr>
          <w:rFonts w:hint="eastAsia" w:ascii="仿宋" w:hAnsi="仿宋" w:eastAsia="仿宋" w:cs="仿宋"/>
          <w:sz w:val="24"/>
        </w:rPr>
        <w:t>【招标编号：</w:t>
      </w:r>
      <w:r>
        <w:rPr>
          <w:rFonts w:hint="eastAsia" w:ascii="仿宋" w:hAnsi="仿宋" w:eastAsia="仿宋" w:cs="仿宋"/>
          <w:sz w:val="24"/>
          <w:u w:val="single"/>
          <w:lang w:eastAsia="zh-CN"/>
        </w:rPr>
        <w:t>NBJX2024334G</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9078F1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日止。</w:t>
      </w:r>
    </w:p>
    <w:p w14:paraId="4B68142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450DDCEE">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63245024">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5726FD13">
      <w:pPr>
        <w:snapToGrid w:val="0"/>
        <w:spacing w:line="360" w:lineRule="auto"/>
        <w:rPr>
          <w:rFonts w:hint="eastAsia" w:ascii="仿宋" w:hAnsi="仿宋" w:eastAsia="仿宋" w:cs="仿宋"/>
          <w:sz w:val="24"/>
        </w:rPr>
      </w:pPr>
    </w:p>
    <w:p w14:paraId="57E9C959">
      <w:pPr>
        <w:snapToGrid w:val="0"/>
        <w:spacing w:line="360" w:lineRule="auto"/>
        <w:rPr>
          <w:rFonts w:hint="eastAsia" w:ascii="仿宋" w:hAnsi="仿宋" w:eastAsia="仿宋" w:cs="仿宋"/>
          <w:sz w:val="24"/>
        </w:rPr>
      </w:pPr>
    </w:p>
    <w:p w14:paraId="02E5929F">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7FD1C6F7">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0634E66">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rPr>
        <w:t>宁波市急救中心北仑分中心救护车采购项目</w:t>
      </w:r>
      <w:r>
        <w:rPr>
          <w:rFonts w:hint="eastAsia" w:ascii="仿宋" w:hAnsi="仿宋" w:eastAsia="仿宋" w:cs="仿宋"/>
          <w:sz w:val="24"/>
        </w:rPr>
        <w:t>【招标编号：</w:t>
      </w:r>
      <w:r>
        <w:rPr>
          <w:rFonts w:hint="eastAsia" w:ascii="仿宋" w:hAnsi="仿宋" w:eastAsia="仿宋" w:cs="仿宋"/>
          <w:sz w:val="24"/>
          <w:u w:val="single"/>
          <w:lang w:eastAsia="zh-CN"/>
        </w:rPr>
        <w:t>NBJX2024334G</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A0B7451">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日止。</w:t>
      </w:r>
    </w:p>
    <w:p w14:paraId="7FFB0DFB">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42F41D84">
      <w:pPr>
        <w:spacing w:line="360" w:lineRule="auto"/>
        <w:rPr>
          <w:rFonts w:hint="eastAsia" w:ascii="仿宋" w:hAnsi="仿宋" w:eastAsia="仿宋" w:cs="仿宋"/>
        </w:rPr>
      </w:pPr>
    </w:p>
    <w:p w14:paraId="6310E51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A60727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2529DE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C20218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6BD8436E">
      <w:pPr>
        <w:spacing w:line="360" w:lineRule="auto"/>
        <w:rPr>
          <w:rFonts w:hint="eastAsia" w:ascii="仿宋" w:hAnsi="仿宋" w:eastAsia="仿宋" w:cs="仿宋"/>
          <w:b/>
          <w:sz w:val="24"/>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53A46CD">
      <w:pPr>
        <w:pStyle w:val="7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3B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CF24D86">
            <w:pPr>
              <w:pStyle w:val="72"/>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5EF286CC">
            <w:pPr>
              <w:pStyle w:val="72"/>
              <w:adjustRightInd w:val="0"/>
              <w:spacing w:line="360" w:lineRule="auto"/>
              <w:rPr>
                <w:rFonts w:hint="eastAsia" w:ascii="仿宋" w:hAnsi="仿宋" w:eastAsia="仿宋" w:cs="仿宋"/>
                <w:bCs/>
                <w:sz w:val="24"/>
              </w:rPr>
            </w:pPr>
          </w:p>
        </w:tc>
      </w:tr>
    </w:tbl>
    <w:p w14:paraId="56813BB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0CCB2B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B22622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6A94F60">
      <w:pPr>
        <w:spacing w:line="360" w:lineRule="auto"/>
        <w:rPr>
          <w:rFonts w:hint="eastAsia" w:ascii="仿宋" w:hAnsi="仿宋" w:eastAsia="仿宋" w:cs="仿宋"/>
          <w:b/>
          <w:kern w:val="0"/>
          <w:sz w:val="32"/>
          <w:szCs w:val="32"/>
          <w:lang w:val="zh-CN"/>
        </w:rPr>
      </w:pPr>
    </w:p>
    <w:p w14:paraId="511BA95F">
      <w:pPr>
        <w:numPr>
          <w:ilvl w:val="0"/>
          <w:numId w:val="6"/>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bookmarkStart w:id="545" w:name="_Toc129089163"/>
      <w:bookmarkStart w:id="546" w:name="_Toc129088779"/>
      <w:r>
        <w:rPr>
          <w:rFonts w:hint="eastAsia" w:ascii="仿宋" w:hAnsi="仿宋" w:eastAsia="仿宋" w:cs="仿宋"/>
          <w:b/>
          <w:kern w:val="0"/>
          <w:sz w:val="32"/>
          <w:szCs w:val="32"/>
          <w:lang w:val="zh-CN"/>
        </w:rPr>
        <w:t>投标人基本情况</w:t>
      </w:r>
      <w:bookmarkEnd w:id="537"/>
      <w:bookmarkEnd w:id="538"/>
      <w:bookmarkEnd w:id="539"/>
      <w:bookmarkEnd w:id="540"/>
      <w:bookmarkEnd w:id="541"/>
      <w:bookmarkEnd w:id="542"/>
      <w:r>
        <w:rPr>
          <w:rFonts w:hint="eastAsia" w:ascii="仿宋" w:hAnsi="仿宋" w:eastAsia="仿宋" w:cs="仿宋"/>
          <w:b/>
          <w:kern w:val="0"/>
          <w:sz w:val="32"/>
          <w:szCs w:val="32"/>
          <w:lang w:val="zh-CN"/>
        </w:rPr>
        <w:t>表</w:t>
      </w:r>
      <w:bookmarkEnd w:id="545"/>
      <w:bookmarkEnd w:id="546"/>
    </w:p>
    <w:tbl>
      <w:tblPr>
        <w:tblStyle w:val="29"/>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67E8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5EA8CBF3">
            <w:pPr>
              <w:jc w:val="center"/>
              <w:rPr>
                <w:rFonts w:hint="eastAsia" w:ascii="仿宋" w:hAnsi="仿宋" w:eastAsia="仿宋"/>
              </w:rPr>
            </w:pPr>
            <w:r>
              <w:rPr>
                <w:rFonts w:hint="eastAsia" w:ascii="仿宋" w:hAnsi="仿宋" w:eastAsia="仿宋"/>
              </w:rPr>
              <w:t>投标人名称</w:t>
            </w:r>
          </w:p>
        </w:tc>
        <w:tc>
          <w:tcPr>
            <w:tcW w:w="7647" w:type="dxa"/>
            <w:gridSpan w:val="5"/>
            <w:noWrap w:val="0"/>
            <w:vAlign w:val="center"/>
          </w:tcPr>
          <w:p w14:paraId="467F06AB">
            <w:pPr>
              <w:jc w:val="center"/>
              <w:rPr>
                <w:rFonts w:hint="eastAsia" w:ascii="仿宋" w:hAnsi="仿宋" w:eastAsia="仿宋"/>
              </w:rPr>
            </w:pPr>
          </w:p>
        </w:tc>
      </w:tr>
      <w:tr w14:paraId="6A4E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FC18106">
            <w:pPr>
              <w:jc w:val="center"/>
              <w:rPr>
                <w:rFonts w:hint="eastAsia" w:ascii="仿宋" w:hAnsi="仿宋" w:eastAsia="仿宋"/>
              </w:rPr>
            </w:pPr>
            <w:r>
              <w:rPr>
                <w:rFonts w:hint="eastAsia" w:ascii="仿宋" w:hAnsi="仿宋" w:eastAsia="仿宋"/>
              </w:rPr>
              <w:t>注册地址</w:t>
            </w:r>
          </w:p>
        </w:tc>
        <w:tc>
          <w:tcPr>
            <w:tcW w:w="2809" w:type="dxa"/>
            <w:gridSpan w:val="2"/>
            <w:noWrap w:val="0"/>
            <w:vAlign w:val="center"/>
          </w:tcPr>
          <w:p w14:paraId="4BFA55A7">
            <w:pPr>
              <w:jc w:val="center"/>
              <w:rPr>
                <w:rFonts w:hint="eastAsia" w:ascii="仿宋" w:hAnsi="仿宋" w:eastAsia="仿宋"/>
              </w:rPr>
            </w:pPr>
          </w:p>
        </w:tc>
        <w:tc>
          <w:tcPr>
            <w:tcW w:w="1786" w:type="dxa"/>
            <w:noWrap w:val="0"/>
            <w:vAlign w:val="center"/>
          </w:tcPr>
          <w:p w14:paraId="309F7DAE">
            <w:pPr>
              <w:jc w:val="center"/>
              <w:rPr>
                <w:rFonts w:hint="eastAsia" w:ascii="仿宋" w:hAnsi="仿宋" w:eastAsia="仿宋"/>
              </w:rPr>
            </w:pPr>
            <w:r>
              <w:rPr>
                <w:rFonts w:hint="eastAsia" w:ascii="仿宋" w:hAnsi="仿宋" w:eastAsia="仿宋"/>
              </w:rPr>
              <w:t>成立时间</w:t>
            </w:r>
          </w:p>
        </w:tc>
        <w:tc>
          <w:tcPr>
            <w:tcW w:w="3052" w:type="dxa"/>
            <w:gridSpan w:val="2"/>
            <w:noWrap w:val="0"/>
            <w:vAlign w:val="center"/>
          </w:tcPr>
          <w:p w14:paraId="4CFEF134">
            <w:pPr>
              <w:jc w:val="center"/>
              <w:rPr>
                <w:rFonts w:hint="eastAsia" w:ascii="仿宋" w:hAnsi="仿宋" w:eastAsia="仿宋"/>
              </w:rPr>
            </w:pPr>
          </w:p>
        </w:tc>
      </w:tr>
      <w:tr w14:paraId="6C37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A281C3E">
            <w:pPr>
              <w:jc w:val="center"/>
              <w:rPr>
                <w:rFonts w:hint="eastAsia" w:ascii="仿宋" w:hAnsi="仿宋" w:eastAsia="仿宋"/>
              </w:rPr>
            </w:pPr>
            <w:r>
              <w:rPr>
                <w:rFonts w:hint="eastAsia" w:ascii="仿宋" w:hAnsi="仿宋" w:eastAsia="仿宋"/>
              </w:rPr>
              <w:t>统一信用代码</w:t>
            </w:r>
          </w:p>
        </w:tc>
        <w:tc>
          <w:tcPr>
            <w:tcW w:w="2809" w:type="dxa"/>
            <w:gridSpan w:val="2"/>
            <w:noWrap w:val="0"/>
            <w:vAlign w:val="center"/>
          </w:tcPr>
          <w:p w14:paraId="02DA0643">
            <w:pPr>
              <w:jc w:val="center"/>
              <w:rPr>
                <w:rFonts w:hint="eastAsia" w:ascii="仿宋" w:hAnsi="仿宋" w:eastAsia="仿宋"/>
              </w:rPr>
            </w:pPr>
          </w:p>
        </w:tc>
        <w:tc>
          <w:tcPr>
            <w:tcW w:w="1786" w:type="dxa"/>
            <w:noWrap w:val="0"/>
            <w:vAlign w:val="center"/>
          </w:tcPr>
          <w:p w14:paraId="33026EB2">
            <w:pPr>
              <w:jc w:val="center"/>
              <w:rPr>
                <w:rFonts w:hint="eastAsia" w:ascii="仿宋" w:hAnsi="仿宋" w:eastAsia="仿宋"/>
              </w:rPr>
            </w:pPr>
            <w:r>
              <w:rPr>
                <w:rFonts w:hint="eastAsia" w:ascii="仿宋" w:hAnsi="仿宋" w:eastAsia="仿宋"/>
              </w:rPr>
              <w:t>注册资金</w:t>
            </w:r>
          </w:p>
        </w:tc>
        <w:tc>
          <w:tcPr>
            <w:tcW w:w="3052" w:type="dxa"/>
            <w:gridSpan w:val="2"/>
            <w:noWrap w:val="0"/>
            <w:vAlign w:val="center"/>
          </w:tcPr>
          <w:p w14:paraId="517EB97D">
            <w:pPr>
              <w:jc w:val="center"/>
              <w:rPr>
                <w:rFonts w:hint="eastAsia" w:ascii="仿宋" w:hAnsi="仿宋" w:eastAsia="仿宋"/>
              </w:rPr>
            </w:pPr>
          </w:p>
        </w:tc>
      </w:tr>
      <w:tr w14:paraId="0554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9C2CE44">
            <w:pPr>
              <w:jc w:val="center"/>
              <w:rPr>
                <w:rFonts w:hint="eastAsia" w:ascii="仿宋" w:hAnsi="仿宋" w:eastAsia="仿宋"/>
              </w:rPr>
            </w:pPr>
            <w:r>
              <w:rPr>
                <w:rFonts w:hint="eastAsia" w:ascii="仿宋" w:hAnsi="仿宋" w:eastAsia="仿宋"/>
              </w:rPr>
              <w:t>投标联系人姓名</w:t>
            </w:r>
          </w:p>
        </w:tc>
        <w:tc>
          <w:tcPr>
            <w:tcW w:w="1936" w:type="dxa"/>
            <w:noWrap w:val="0"/>
            <w:vAlign w:val="center"/>
          </w:tcPr>
          <w:p w14:paraId="1028CB1C">
            <w:pPr>
              <w:jc w:val="center"/>
              <w:rPr>
                <w:rFonts w:hint="eastAsia" w:ascii="仿宋" w:hAnsi="仿宋" w:eastAsia="仿宋"/>
              </w:rPr>
            </w:pPr>
          </w:p>
        </w:tc>
        <w:tc>
          <w:tcPr>
            <w:tcW w:w="873" w:type="dxa"/>
            <w:noWrap w:val="0"/>
            <w:vAlign w:val="center"/>
          </w:tcPr>
          <w:p w14:paraId="6FACE833">
            <w:pPr>
              <w:jc w:val="center"/>
              <w:rPr>
                <w:rFonts w:hint="eastAsia" w:ascii="仿宋" w:hAnsi="仿宋" w:eastAsia="仿宋"/>
              </w:rPr>
            </w:pPr>
            <w:r>
              <w:rPr>
                <w:rFonts w:hint="eastAsia" w:ascii="仿宋" w:hAnsi="仿宋" w:eastAsia="仿宋"/>
              </w:rPr>
              <w:t>电话</w:t>
            </w:r>
          </w:p>
        </w:tc>
        <w:tc>
          <w:tcPr>
            <w:tcW w:w="1786" w:type="dxa"/>
            <w:noWrap w:val="0"/>
            <w:vAlign w:val="center"/>
          </w:tcPr>
          <w:p w14:paraId="5216ECE3">
            <w:pPr>
              <w:jc w:val="center"/>
              <w:rPr>
                <w:rFonts w:hint="eastAsia" w:ascii="仿宋" w:hAnsi="仿宋" w:eastAsia="仿宋"/>
              </w:rPr>
            </w:pPr>
          </w:p>
        </w:tc>
        <w:tc>
          <w:tcPr>
            <w:tcW w:w="1200" w:type="dxa"/>
            <w:noWrap w:val="0"/>
            <w:vAlign w:val="center"/>
          </w:tcPr>
          <w:p w14:paraId="741AECE9">
            <w:pPr>
              <w:jc w:val="center"/>
              <w:rPr>
                <w:rFonts w:hint="eastAsia" w:ascii="仿宋" w:hAnsi="仿宋" w:eastAsia="仿宋"/>
              </w:rPr>
            </w:pPr>
            <w:r>
              <w:rPr>
                <w:rFonts w:hint="eastAsia" w:ascii="仿宋" w:hAnsi="仿宋" w:eastAsia="仿宋"/>
              </w:rPr>
              <w:t>手机</w:t>
            </w:r>
          </w:p>
        </w:tc>
        <w:tc>
          <w:tcPr>
            <w:tcW w:w="1852" w:type="dxa"/>
            <w:noWrap w:val="0"/>
            <w:vAlign w:val="center"/>
          </w:tcPr>
          <w:p w14:paraId="02CB4ED6">
            <w:pPr>
              <w:jc w:val="center"/>
              <w:rPr>
                <w:rFonts w:hint="eastAsia" w:ascii="仿宋" w:hAnsi="仿宋" w:eastAsia="仿宋"/>
              </w:rPr>
            </w:pPr>
          </w:p>
        </w:tc>
      </w:tr>
      <w:tr w14:paraId="0DB3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355D506">
            <w:pPr>
              <w:jc w:val="center"/>
              <w:rPr>
                <w:rFonts w:hint="eastAsia" w:ascii="仿宋" w:hAnsi="仿宋" w:eastAsia="仿宋"/>
              </w:rPr>
            </w:pPr>
            <w:r>
              <w:rPr>
                <w:rFonts w:hint="eastAsia" w:ascii="仿宋" w:hAnsi="仿宋" w:eastAsia="仿宋"/>
              </w:rPr>
              <w:t>法定代表人姓名</w:t>
            </w:r>
          </w:p>
        </w:tc>
        <w:tc>
          <w:tcPr>
            <w:tcW w:w="1936" w:type="dxa"/>
            <w:noWrap w:val="0"/>
            <w:vAlign w:val="center"/>
          </w:tcPr>
          <w:p w14:paraId="1C3A10C1">
            <w:pPr>
              <w:jc w:val="center"/>
              <w:rPr>
                <w:rFonts w:hint="eastAsia" w:ascii="仿宋" w:hAnsi="仿宋" w:eastAsia="仿宋"/>
              </w:rPr>
            </w:pPr>
          </w:p>
        </w:tc>
        <w:tc>
          <w:tcPr>
            <w:tcW w:w="873" w:type="dxa"/>
            <w:noWrap w:val="0"/>
            <w:vAlign w:val="center"/>
          </w:tcPr>
          <w:p w14:paraId="4FDFDB9F">
            <w:pPr>
              <w:jc w:val="center"/>
              <w:rPr>
                <w:rFonts w:hint="eastAsia" w:ascii="仿宋" w:hAnsi="仿宋" w:eastAsia="仿宋"/>
              </w:rPr>
            </w:pPr>
            <w:r>
              <w:rPr>
                <w:rFonts w:hint="eastAsia" w:ascii="仿宋" w:hAnsi="仿宋" w:eastAsia="仿宋"/>
              </w:rPr>
              <w:t>电话</w:t>
            </w:r>
          </w:p>
        </w:tc>
        <w:tc>
          <w:tcPr>
            <w:tcW w:w="1786" w:type="dxa"/>
            <w:noWrap w:val="0"/>
            <w:vAlign w:val="center"/>
          </w:tcPr>
          <w:p w14:paraId="0180514B">
            <w:pPr>
              <w:jc w:val="center"/>
              <w:rPr>
                <w:rFonts w:hint="eastAsia" w:ascii="仿宋" w:hAnsi="仿宋" w:eastAsia="仿宋"/>
              </w:rPr>
            </w:pPr>
          </w:p>
        </w:tc>
        <w:tc>
          <w:tcPr>
            <w:tcW w:w="1200" w:type="dxa"/>
            <w:noWrap w:val="0"/>
            <w:vAlign w:val="center"/>
          </w:tcPr>
          <w:p w14:paraId="02C8EB37">
            <w:pPr>
              <w:jc w:val="center"/>
              <w:rPr>
                <w:rFonts w:hint="eastAsia" w:ascii="仿宋" w:hAnsi="仿宋" w:eastAsia="仿宋"/>
              </w:rPr>
            </w:pPr>
            <w:r>
              <w:rPr>
                <w:rFonts w:hint="eastAsia" w:ascii="仿宋" w:hAnsi="仿宋" w:eastAsia="仿宋"/>
              </w:rPr>
              <w:t>手机</w:t>
            </w:r>
          </w:p>
        </w:tc>
        <w:tc>
          <w:tcPr>
            <w:tcW w:w="1852" w:type="dxa"/>
            <w:noWrap w:val="0"/>
            <w:vAlign w:val="center"/>
          </w:tcPr>
          <w:p w14:paraId="5342CAE3">
            <w:pPr>
              <w:jc w:val="center"/>
              <w:rPr>
                <w:rFonts w:hint="eastAsia" w:ascii="仿宋" w:hAnsi="仿宋" w:eastAsia="仿宋"/>
              </w:rPr>
            </w:pPr>
          </w:p>
        </w:tc>
      </w:tr>
      <w:tr w14:paraId="6517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1597BFA8">
            <w:pPr>
              <w:jc w:val="center"/>
              <w:rPr>
                <w:rFonts w:hint="eastAsia" w:ascii="仿宋" w:hAnsi="仿宋" w:eastAsia="仿宋"/>
              </w:rPr>
            </w:pPr>
            <w:r>
              <w:rPr>
                <w:rFonts w:hint="eastAsia" w:ascii="仿宋" w:hAnsi="仿宋" w:eastAsia="仿宋"/>
              </w:rPr>
              <w:t>项目负责人姓名</w:t>
            </w:r>
          </w:p>
        </w:tc>
        <w:tc>
          <w:tcPr>
            <w:tcW w:w="1936" w:type="dxa"/>
            <w:noWrap w:val="0"/>
            <w:vAlign w:val="center"/>
          </w:tcPr>
          <w:p w14:paraId="0B2F3889">
            <w:pPr>
              <w:jc w:val="center"/>
              <w:rPr>
                <w:rFonts w:hint="eastAsia" w:ascii="仿宋" w:hAnsi="仿宋" w:eastAsia="仿宋"/>
              </w:rPr>
            </w:pPr>
          </w:p>
        </w:tc>
        <w:tc>
          <w:tcPr>
            <w:tcW w:w="873" w:type="dxa"/>
            <w:noWrap w:val="0"/>
            <w:vAlign w:val="center"/>
          </w:tcPr>
          <w:p w14:paraId="7AB37096">
            <w:pPr>
              <w:jc w:val="center"/>
              <w:rPr>
                <w:rFonts w:hint="eastAsia" w:ascii="仿宋" w:hAnsi="仿宋" w:eastAsia="仿宋"/>
              </w:rPr>
            </w:pPr>
            <w:r>
              <w:rPr>
                <w:rFonts w:hint="eastAsia" w:ascii="仿宋" w:hAnsi="仿宋" w:eastAsia="仿宋"/>
              </w:rPr>
              <w:t>电话</w:t>
            </w:r>
          </w:p>
        </w:tc>
        <w:tc>
          <w:tcPr>
            <w:tcW w:w="1786" w:type="dxa"/>
            <w:noWrap w:val="0"/>
            <w:vAlign w:val="center"/>
          </w:tcPr>
          <w:p w14:paraId="18FE3299">
            <w:pPr>
              <w:jc w:val="center"/>
              <w:rPr>
                <w:rFonts w:hint="eastAsia" w:ascii="仿宋" w:hAnsi="仿宋" w:eastAsia="仿宋"/>
              </w:rPr>
            </w:pPr>
          </w:p>
        </w:tc>
        <w:tc>
          <w:tcPr>
            <w:tcW w:w="1200" w:type="dxa"/>
            <w:noWrap w:val="0"/>
            <w:vAlign w:val="center"/>
          </w:tcPr>
          <w:p w14:paraId="7B6980BE">
            <w:pPr>
              <w:jc w:val="center"/>
              <w:rPr>
                <w:rFonts w:hint="eastAsia" w:ascii="仿宋" w:hAnsi="仿宋" w:eastAsia="仿宋"/>
              </w:rPr>
            </w:pPr>
            <w:r>
              <w:rPr>
                <w:rFonts w:hint="eastAsia" w:ascii="仿宋" w:hAnsi="仿宋" w:eastAsia="仿宋"/>
              </w:rPr>
              <w:t>技术职称</w:t>
            </w:r>
          </w:p>
        </w:tc>
        <w:tc>
          <w:tcPr>
            <w:tcW w:w="1852" w:type="dxa"/>
            <w:noWrap w:val="0"/>
            <w:vAlign w:val="center"/>
          </w:tcPr>
          <w:p w14:paraId="17909430">
            <w:pPr>
              <w:jc w:val="center"/>
              <w:rPr>
                <w:rFonts w:hint="eastAsia" w:ascii="仿宋" w:hAnsi="仿宋" w:eastAsia="仿宋"/>
              </w:rPr>
            </w:pPr>
          </w:p>
        </w:tc>
      </w:tr>
      <w:tr w14:paraId="4E19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2DFEA774">
            <w:pPr>
              <w:jc w:val="center"/>
              <w:rPr>
                <w:rFonts w:hint="eastAsia" w:ascii="仿宋" w:hAnsi="仿宋" w:eastAsia="仿宋"/>
              </w:rPr>
            </w:pPr>
            <w:r>
              <w:rPr>
                <w:rFonts w:hint="eastAsia" w:ascii="仿宋" w:hAnsi="仿宋" w:eastAsia="仿宋"/>
              </w:rPr>
              <w:t>员工总人数：</w:t>
            </w:r>
          </w:p>
        </w:tc>
        <w:tc>
          <w:tcPr>
            <w:tcW w:w="1936" w:type="dxa"/>
            <w:vMerge w:val="restart"/>
            <w:noWrap w:val="0"/>
            <w:vAlign w:val="center"/>
          </w:tcPr>
          <w:p w14:paraId="07AD1FC7">
            <w:pPr>
              <w:jc w:val="center"/>
              <w:rPr>
                <w:rFonts w:hint="eastAsia" w:ascii="仿宋" w:hAnsi="仿宋" w:eastAsia="仿宋"/>
              </w:rPr>
            </w:pPr>
          </w:p>
        </w:tc>
        <w:tc>
          <w:tcPr>
            <w:tcW w:w="873" w:type="dxa"/>
            <w:vMerge w:val="restart"/>
            <w:noWrap w:val="0"/>
            <w:vAlign w:val="center"/>
          </w:tcPr>
          <w:p w14:paraId="116DCEA0">
            <w:pPr>
              <w:jc w:val="center"/>
              <w:rPr>
                <w:rFonts w:hint="eastAsia" w:ascii="仿宋" w:hAnsi="仿宋" w:eastAsia="仿宋"/>
              </w:rPr>
            </w:pPr>
            <w:r>
              <w:rPr>
                <w:rFonts w:hint="eastAsia" w:ascii="仿宋" w:hAnsi="仿宋" w:eastAsia="仿宋"/>
              </w:rPr>
              <w:t>其中</w:t>
            </w:r>
          </w:p>
        </w:tc>
        <w:tc>
          <w:tcPr>
            <w:tcW w:w="1786" w:type="dxa"/>
            <w:noWrap w:val="0"/>
            <w:vAlign w:val="center"/>
          </w:tcPr>
          <w:p w14:paraId="73085022">
            <w:pPr>
              <w:jc w:val="center"/>
              <w:rPr>
                <w:rFonts w:hint="eastAsia" w:ascii="仿宋" w:hAnsi="仿宋" w:eastAsia="仿宋"/>
              </w:rPr>
            </w:pPr>
            <w:r>
              <w:rPr>
                <w:rFonts w:hint="eastAsia" w:ascii="仿宋" w:hAnsi="仿宋" w:eastAsia="仿宋"/>
              </w:rPr>
              <w:t>高级职称</w:t>
            </w:r>
          </w:p>
        </w:tc>
        <w:tc>
          <w:tcPr>
            <w:tcW w:w="3052" w:type="dxa"/>
            <w:gridSpan w:val="2"/>
            <w:noWrap w:val="0"/>
            <w:vAlign w:val="center"/>
          </w:tcPr>
          <w:p w14:paraId="2B35DCEE">
            <w:pPr>
              <w:jc w:val="center"/>
              <w:rPr>
                <w:rFonts w:hint="eastAsia" w:ascii="仿宋" w:hAnsi="仿宋" w:eastAsia="仿宋"/>
              </w:rPr>
            </w:pPr>
          </w:p>
        </w:tc>
      </w:tr>
      <w:tr w14:paraId="2DE1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4BDDBD4C">
            <w:pPr>
              <w:jc w:val="center"/>
              <w:rPr>
                <w:rFonts w:hint="eastAsia" w:ascii="仿宋" w:hAnsi="仿宋" w:eastAsia="仿宋"/>
              </w:rPr>
            </w:pPr>
          </w:p>
        </w:tc>
        <w:tc>
          <w:tcPr>
            <w:tcW w:w="1936" w:type="dxa"/>
            <w:vMerge w:val="continue"/>
            <w:noWrap w:val="0"/>
            <w:vAlign w:val="center"/>
          </w:tcPr>
          <w:p w14:paraId="15ED9A99">
            <w:pPr>
              <w:jc w:val="center"/>
              <w:rPr>
                <w:rFonts w:hint="eastAsia" w:ascii="仿宋" w:hAnsi="仿宋" w:eastAsia="仿宋"/>
              </w:rPr>
            </w:pPr>
          </w:p>
        </w:tc>
        <w:tc>
          <w:tcPr>
            <w:tcW w:w="873" w:type="dxa"/>
            <w:vMerge w:val="continue"/>
            <w:noWrap w:val="0"/>
            <w:vAlign w:val="center"/>
          </w:tcPr>
          <w:p w14:paraId="44BB38E3">
            <w:pPr>
              <w:jc w:val="center"/>
              <w:rPr>
                <w:rFonts w:hint="eastAsia" w:ascii="仿宋" w:hAnsi="仿宋" w:eastAsia="仿宋"/>
              </w:rPr>
            </w:pPr>
          </w:p>
        </w:tc>
        <w:tc>
          <w:tcPr>
            <w:tcW w:w="1786" w:type="dxa"/>
            <w:noWrap w:val="0"/>
            <w:vAlign w:val="center"/>
          </w:tcPr>
          <w:p w14:paraId="1000AA87">
            <w:pPr>
              <w:jc w:val="center"/>
              <w:rPr>
                <w:rFonts w:hint="eastAsia" w:ascii="仿宋" w:hAnsi="仿宋" w:eastAsia="仿宋"/>
              </w:rPr>
            </w:pPr>
            <w:r>
              <w:rPr>
                <w:rFonts w:hint="eastAsia" w:ascii="仿宋" w:hAnsi="仿宋" w:eastAsia="仿宋"/>
              </w:rPr>
              <w:t>中级职称</w:t>
            </w:r>
          </w:p>
        </w:tc>
        <w:tc>
          <w:tcPr>
            <w:tcW w:w="3052" w:type="dxa"/>
            <w:gridSpan w:val="2"/>
            <w:noWrap w:val="0"/>
            <w:vAlign w:val="center"/>
          </w:tcPr>
          <w:p w14:paraId="27212FF2">
            <w:pPr>
              <w:jc w:val="center"/>
              <w:rPr>
                <w:rFonts w:hint="eastAsia" w:ascii="仿宋" w:hAnsi="仿宋" w:eastAsia="仿宋"/>
              </w:rPr>
            </w:pPr>
          </w:p>
        </w:tc>
      </w:tr>
      <w:tr w14:paraId="0075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76AC537B">
            <w:pPr>
              <w:jc w:val="center"/>
              <w:rPr>
                <w:rFonts w:hint="eastAsia" w:ascii="仿宋" w:hAnsi="仿宋" w:eastAsia="仿宋"/>
              </w:rPr>
            </w:pPr>
          </w:p>
        </w:tc>
        <w:tc>
          <w:tcPr>
            <w:tcW w:w="1936" w:type="dxa"/>
            <w:vMerge w:val="continue"/>
            <w:noWrap w:val="0"/>
            <w:vAlign w:val="center"/>
          </w:tcPr>
          <w:p w14:paraId="4FC80D24">
            <w:pPr>
              <w:jc w:val="center"/>
              <w:rPr>
                <w:rFonts w:hint="eastAsia" w:ascii="仿宋" w:hAnsi="仿宋" w:eastAsia="仿宋"/>
              </w:rPr>
            </w:pPr>
          </w:p>
        </w:tc>
        <w:tc>
          <w:tcPr>
            <w:tcW w:w="873" w:type="dxa"/>
            <w:vMerge w:val="continue"/>
            <w:noWrap w:val="0"/>
            <w:vAlign w:val="center"/>
          </w:tcPr>
          <w:p w14:paraId="023C4B2B">
            <w:pPr>
              <w:jc w:val="center"/>
              <w:rPr>
                <w:rFonts w:hint="eastAsia" w:ascii="仿宋" w:hAnsi="仿宋" w:eastAsia="仿宋"/>
              </w:rPr>
            </w:pPr>
          </w:p>
        </w:tc>
        <w:tc>
          <w:tcPr>
            <w:tcW w:w="1786" w:type="dxa"/>
            <w:noWrap w:val="0"/>
            <w:vAlign w:val="center"/>
          </w:tcPr>
          <w:p w14:paraId="4795330D">
            <w:pPr>
              <w:jc w:val="center"/>
              <w:rPr>
                <w:rFonts w:hint="eastAsia" w:ascii="仿宋" w:hAnsi="仿宋" w:eastAsia="仿宋"/>
              </w:rPr>
            </w:pPr>
            <w:r>
              <w:rPr>
                <w:rFonts w:hint="eastAsia" w:ascii="仿宋" w:hAnsi="仿宋" w:eastAsia="仿宋"/>
              </w:rPr>
              <w:t>各类注册人员</w:t>
            </w:r>
          </w:p>
        </w:tc>
        <w:tc>
          <w:tcPr>
            <w:tcW w:w="3052" w:type="dxa"/>
            <w:gridSpan w:val="2"/>
            <w:noWrap w:val="0"/>
            <w:vAlign w:val="center"/>
          </w:tcPr>
          <w:p w14:paraId="24AF1C96">
            <w:pPr>
              <w:jc w:val="center"/>
              <w:rPr>
                <w:rFonts w:hint="eastAsia" w:ascii="仿宋" w:hAnsi="仿宋" w:eastAsia="仿宋"/>
              </w:rPr>
            </w:pPr>
          </w:p>
        </w:tc>
      </w:tr>
      <w:tr w14:paraId="41CE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E2E0656">
            <w:pPr>
              <w:jc w:val="center"/>
              <w:rPr>
                <w:rFonts w:hint="eastAsia" w:ascii="仿宋" w:hAnsi="仿宋" w:eastAsia="仿宋"/>
              </w:rPr>
            </w:pPr>
            <w:r>
              <w:rPr>
                <w:rFonts w:hint="eastAsia" w:ascii="仿宋" w:hAnsi="仿宋" w:eastAsia="仿宋"/>
              </w:rPr>
              <w:t>基本账户开户银行</w:t>
            </w:r>
          </w:p>
        </w:tc>
        <w:tc>
          <w:tcPr>
            <w:tcW w:w="7647" w:type="dxa"/>
            <w:gridSpan w:val="5"/>
            <w:noWrap w:val="0"/>
            <w:vAlign w:val="center"/>
          </w:tcPr>
          <w:p w14:paraId="5FDEE02B">
            <w:pPr>
              <w:jc w:val="center"/>
              <w:rPr>
                <w:rFonts w:hint="eastAsia" w:ascii="仿宋" w:hAnsi="仿宋" w:eastAsia="仿宋"/>
              </w:rPr>
            </w:pPr>
          </w:p>
        </w:tc>
      </w:tr>
      <w:tr w14:paraId="6DCC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5A915F45">
            <w:pPr>
              <w:jc w:val="center"/>
              <w:rPr>
                <w:rFonts w:hint="eastAsia" w:ascii="仿宋" w:hAnsi="仿宋" w:eastAsia="仿宋"/>
              </w:rPr>
            </w:pPr>
            <w:r>
              <w:rPr>
                <w:rFonts w:hint="eastAsia" w:ascii="仿宋" w:hAnsi="仿宋" w:eastAsia="仿宋"/>
              </w:rPr>
              <w:t>基本账户账号</w:t>
            </w:r>
          </w:p>
        </w:tc>
        <w:tc>
          <w:tcPr>
            <w:tcW w:w="7647" w:type="dxa"/>
            <w:gridSpan w:val="5"/>
            <w:noWrap w:val="0"/>
            <w:vAlign w:val="center"/>
          </w:tcPr>
          <w:p w14:paraId="727087CD">
            <w:pPr>
              <w:jc w:val="center"/>
              <w:rPr>
                <w:rFonts w:hint="eastAsia" w:ascii="仿宋" w:hAnsi="仿宋" w:eastAsia="仿宋"/>
              </w:rPr>
            </w:pPr>
          </w:p>
        </w:tc>
      </w:tr>
      <w:tr w14:paraId="13CA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5F36C448">
            <w:pPr>
              <w:jc w:val="center"/>
              <w:rPr>
                <w:rFonts w:hint="eastAsia" w:ascii="仿宋" w:hAnsi="仿宋" w:eastAsia="仿宋"/>
              </w:rPr>
            </w:pPr>
            <w:r>
              <w:rPr>
                <w:rFonts w:hint="eastAsia" w:ascii="仿宋" w:hAnsi="仿宋" w:eastAsia="仿宋"/>
              </w:rPr>
              <w:t>经营范围</w:t>
            </w:r>
          </w:p>
        </w:tc>
        <w:tc>
          <w:tcPr>
            <w:tcW w:w="7647" w:type="dxa"/>
            <w:gridSpan w:val="5"/>
            <w:noWrap w:val="0"/>
            <w:vAlign w:val="center"/>
          </w:tcPr>
          <w:p w14:paraId="1642216E">
            <w:pPr>
              <w:jc w:val="center"/>
              <w:rPr>
                <w:rFonts w:hint="eastAsia" w:ascii="仿宋" w:hAnsi="仿宋" w:eastAsia="仿宋"/>
              </w:rPr>
            </w:pPr>
          </w:p>
        </w:tc>
      </w:tr>
      <w:tr w14:paraId="5D34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36CB2711">
            <w:pPr>
              <w:jc w:val="center"/>
              <w:rPr>
                <w:rFonts w:hint="eastAsia" w:ascii="仿宋" w:hAnsi="仿宋" w:eastAsia="仿宋"/>
              </w:rPr>
            </w:pPr>
            <w:r>
              <w:rPr>
                <w:rFonts w:hint="eastAsia" w:ascii="仿宋" w:hAnsi="仿宋" w:eastAsia="仿宋"/>
              </w:rPr>
              <w:t>备注</w:t>
            </w:r>
          </w:p>
        </w:tc>
        <w:tc>
          <w:tcPr>
            <w:tcW w:w="7647" w:type="dxa"/>
            <w:gridSpan w:val="5"/>
            <w:noWrap w:val="0"/>
            <w:vAlign w:val="center"/>
          </w:tcPr>
          <w:p w14:paraId="460E35E0">
            <w:pPr>
              <w:jc w:val="center"/>
              <w:rPr>
                <w:rFonts w:hint="eastAsia" w:ascii="仿宋" w:hAnsi="仿宋" w:eastAsia="仿宋"/>
              </w:rPr>
            </w:pPr>
          </w:p>
        </w:tc>
      </w:tr>
    </w:tbl>
    <w:p w14:paraId="1C6D8BB8">
      <w:pPr>
        <w:adjustRightInd w:val="0"/>
        <w:snapToGrid w:val="0"/>
        <w:spacing w:line="360" w:lineRule="auto"/>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0F29851E">
      <w:pPr>
        <w:adjustRightInd w:val="0"/>
        <w:snapToGrid w:val="0"/>
        <w:spacing w:line="360" w:lineRule="auto"/>
        <w:rPr>
          <w:rFonts w:hint="eastAsia" w:ascii="仿宋" w:hAnsi="仿宋" w:eastAsia="仿宋" w:cs="仿宋"/>
          <w:kern w:val="0"/>
          <w:sz w:val="24"/>
          <w:lang w:val="zh-CN"/>
        </w:rPr>
      </w:pPr>
    </w:p>
    <w:p w14:paraId="0B8E84EE">
      <w:pPr>
        <w:pStyle w:val="44"/>
        <w:spacing w:line="360" w:lineRule="auto"/>
        <w:ind w:firstLine="560"/>
        <w:rPr>
          <w:rFonts w:hint="eastAsia" w:ascii="仿宋" w:hAnsi="仿宋" w:eastAsia="仿宋" w:cs="仿宋"/>
          <w:lang w:val="zh-CN"/>
        </w:rPr>
      </w:pPr>
    </w:p>
    <w:p w14:paraId="4BE929D8">
      <w:pPr>
        <w:adjustRightInd w:val="0"/>
        <w:snapToGrid w:val="0"/>
        <w:spacing w:line="360" w:lineRule="auto"/>
        <w:ind w:firstLine="4080" w:firstLineChars="1700"/>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6E4F348B">
      <w:pPr>
        <w:adjustRightInd w:val="0"/>
        <w:snapToGrid w:val="0"/>
        <w:spacing w:line="360" w:lineRule="auto"/>
        <w:ind w:firstLine="4080" w:firstLineChars="1700"/>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14:paraId="2EC6C9AA">
      <w:pPr>
        <w:adjustRightInd w:val="0"/>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14:paraId="2A3C3AE7">
      <w:pPr>
        <w:numPr>
          <w:ilvl w:val="0"/>
          <w:numId w:val="6"/>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bookmarkStart w:id="547" w:name="_Toc129089164"/>
      <w:bookmarkStart w:id="548" w:name="_Toc129088780"/>
      <w:r>
        <w:rPr>
          <w:rFonts w:hint="eastAsia" w:ascii="仿宋" w:hAnsi="仿宋" w:eastAsia="仿宋" w:cs="仿宋"/>
          <w:b/>
          <w:kern w:val="0"/>
          <w:sz w:val="32"/>
          <w:szCs w:val="32"/>
          <w:lang w:val="zh-CN"/>
        </w:rPr>
        <w:t>距采购人最近或者能为本项目提供最优服务的网点情况表</w:t>
      </w:r>
      <w:bookmarkEnd w:id="547"/>
      <w:bookmarkEnd w:id="548"/>
    </w:p>
    <w:p w14:paraId="1C706BA0">
      <w:pPr>
        <w:spacing w:line="360" w:lineRule="auto"/>
        <w:rPr>
          <w:rFonts w:hint="eastAsia" w:ascii="仿宋" w:hAnsi="仿宋" w:eastAsia="仿宋" w:cs="仿宋"/>
        </w:rPr>
      </w:pP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722ED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CA98B32">
            <w:pPr>
              <w:jc w:val="center"/>
              <w:rPr>
                <w:rFonts w:hint="eastAsia" w:ascii="仿宋" w:hAnsi="仿宋" w:eastAsia="仿宋"/>
              </w:rPr>
            </w:pPr>
            <w:r>
              <w:rPr>
                <w:rFonts w:hint="eastAsia" w:ascii="仿宋" w:hAnsi="仿宋" w:eastAsia="仿宋"/>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BCDFB70">
            <w:pPr>
              <w:jc w:val="center"/>
              <w:rPr>
                <w:rFonts w:hint="eastAsia" w:ascii="仿宋" w:hAnsi="仿宋" w:eastAsia="仿宋"/>
              </w:rPr>
            </w:pPr>
          </w:p>
        </w:tc>
      </w:tr>
      <w:tr w14:paraId="7AFAF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BE9902D">
            <w:pPr>
              <w:jc w:val="center"/>
              <w:rPr>
                <w:rFonts w:hint="eastAsia" w:ascii="仿宋" w:hAnsi="仿宋" w:eastAsia="仿宋"/>
              </w:rPr>
            </w:pPr>
            <w:r>
              <w:rPr>
                <w:rFonts w:hint="eastAsia" w:ascii="仿宋" w:hAnsi="仿宋" w:eastAsia="仿宋"/>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3EBC3C7">
            <w:pPr>
              <w:jc w:val="center"/>
              <w:rPr>
                <w:rFonts w:hint="eastAsia" w:ascii="仿宋" w:hAnsi="仿宋" w:eastAsia="仿宋"/>
              </w:rPr>
            </w:pPr>
          </w:p>
        </w:tc>
      </w:tr>
      <w:tr w14:paraId="3B95A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C0C0C78">
            <w:pPr>
              <w:jc w:val="center"/>
              <w:rPr>
                <w:rFonts w:hint="eastAsia" w:ascii="仿宋" w:hAnsi="仿宋" w:eastAsia="仿宋"/>
              </w:rPr>
            </w:pPr>
            <w:r>
              <w:rPr>
                <w:rFonts w:hint="eastAsia" w:ascii="仿宋" w:hAnsi="仿宋" w:eastAsia="仿宋"/>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36A007A3">
            <w:pPr>
              <w:jc w:val="center"/>
              <w:rPr>
                <w:rFonts w:hint="eastAsia" w:ascii="仿宋" w:hAnsi="仿宋" w:eastAsia="仿宋"/>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06391D3E">
            <w:pPr>
              <w:jc w:val="center"/>
              <w:rPr>
                <w:rFonts w:hint="eastAsia" w:ascii="仿宋" w:hAnsi="仿宋" w:eastAsia="仿宋"/>
              </w:rPr>
            </w:pPr>
            <w:r>
              <w:rPr>
                <w:rFonts w:hint="eastAsia" w:ascii="仿宋" w:hAnsi="仿宋" w:eastAsia="仿宋"/>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7DF32EE4">
            <w:pPr>
              <w:jc w:val="center"/>
              <w:rPr>
                <w:rFonts w:hint="eastAsia" w:ascii="仿宋" w:hAnsi="仿宋" w:eastAsia="仿宋"/>
              </w:rPr>
            </w:pPr>
          </w:p>
        </w:tc>
      </w:tr>
      <w:tr w14:paraId="60924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04C0244">
            <w:pPr>
              <w:jc w:val="center"/>
              <w:rPr>
                <w:rFonts w:hint="eastAsia" w:ascii="仿宋" w:hAnsi="仿宋" w:eastAsia="仿宋"/>
              </w:rPr>
            </w:pPr>
            <w:r>
              <w:rPr>
                <w:rFonts w:hint="eastAsia" w:ascii="仿宋" w:hAnsi="仿宋" w:eastAsia="仿宋"/>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1EA81614">
            <w:pPr>
              <w:jc w:val="center"/>
              <w:rPr>
                <w:rFonts w:hint="eastAsia" w:ascii="仿宋" w:hAnsi="仿宋" w:eastAsia="仿宋"/>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631BA23D">
            <w:pPr>
              <w:jc w:val="center"/>
              <w:rPr>
                <w:rFonts w:hint="eastAsia" w:ascii="仿宋" w:hAnsi="仿宋" w:eastAsia="仿宋"/>
              </w:rPr>
            </w:pPr>
            <w:r>
              <w:rPr>
                <w:rFonts w:hint="eastAsia" w:ascii="仿宋" w:hAnsi="仿宋" w:eastAsia="仿宋"/>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1C6C3C18">
            <w:pPr>
              <w:jc w:val="center"/>
              <w:rPr>
                <w:rFonts w:hint="eastAsia" w:ascii="仿宋" w:hAnsi="仿宋" w:eastAsia="仿宋"/>
              </w:rPr>
            </w:pPr>
          </w:p>
        </w:tc>
      </w:tr>
      <w:tr w14:paraId="78A99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94D3E22">
            <w:pPr>
              <w:jc w:val="center"/>
              <w:rPr>
                <w:rFonts w:hint="eastAsia" w:ascii="仿宋" w:hAnsi="仿宋" w:eastAsia="仿宋"/>
              </w:rPr>
            </w:pPr>
            <w:r>
              <w:rPr>
                <w:rFonts w:hint="eastAsia" w:ascii="仿宋" w:hAnsi="仿宋" w:eastAsia="仿宋"/>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8DE4AA4">
            <w:pPr>
              <w:jc w:val="center"/>
              <w:rPr>
                <w:rFonts w:hint="eastAsia" w:ascii="仿宋" w:hAnsi="仿宋" w:eastAsia="仿宋"/>
              </w:rPr>
            </w:pPr>
          </w:p>
        </w:tc>
      </w:tr>
      <w:tr w14:paraId="21F48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E279C2C">
            <w:pPr>
              <w:jc w:val="center"/>
              <w:rPr>
                <w:rFonts w:hint="eastAsia" w:ascii="仿宋" w:hAnsi="仿宋" w:eastAsia="仿宋"/>
              </w:rPr>
            </w:pPr>
            <w:r>
              <w:rPr>
                <w:rFonts w:hint="eastAsia" w:ascii="仿宋" w:hAnsi="仿宋" w:eastAsia="仿宋"/>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7A423E3">
            <w:pPr>
              <w:jc w:val="center"/>
              <w:rPr>
                <w:rFonts w:hint="eastAsia" w:ascii="仿宋" w:hAnsi="仿宋" w:eastAsia="仿宋"/>
              </w:rPr>
            </w:pPr>
          </w:p>
        </w:tc>
      </w:tr>
      <w:tr w14:paraId="35F12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6FEA310">
            <w:pPr>
              <w:jc w:val="center"/>
              <w:rPr>
                <w:rFonts w:hint="eastAsia" w:ascii="仿宋" w:hAnsi="仿宋" w:eastAsia="仿宋"/>
              </w:rPr>
            </w:pPr>
            <w:r>
              <w:rPr>
                <w:rFonts w:hint="eastAsia" w:ascii="仿宋" w:hAnsi="仿宋" w:eastAsia="仿宋"/>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94C707A">
            <w:pPr>
              <w:jc w:val="center"/>
              <w:rPr>
                <w:rFonts w:hint="eastAsia" w:ascii="仿宋" w:hAnsi="仿宋" w:eastAsia="仿宋"/>
              </w:rPr>
            </w:pPr>
          </w:p>
        </w:tc>
      </w:tr>
      <w:tr w14:paraId="79F38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8FE9CB6">
            <w:pPr>
              <w:jc w:val="center"/>
              <w:rPr>
                <w:rFonts w:hint="eastAsia" w:ascii="仿宋" w:hAnsi="仿宋" w:eastAsia="仿宋"/>
              </w:rPr>
            </w:pPr>
            <w:r>
              <w:rPr>
                <w:rFonts w:hint="eastAsia" w:ascii="仿宋" w:hAnsi="仿宋" w:eastAsia="仿宋"/>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2E57AD97">
            <w:pPr>
              <w:jc w:val="center"/>
              <w:rPr>
                <w:rFonts w:hint="eastAsia" w:ascii="仿宋" w:hAnsi="仿宋" w:eastAsia="仿宋"/>
              </w:rPr>
            </w:pPr>
          </w:p>
        </w:tc>
      </w:tr>
      <w:tr w14:paraId="27EB8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1298B02">
            <w:pPr>
              <w:jc w:val="center"/>
              <w:rPr>
                <w:rFonts w:hint="eastAsia" w:ascii="仿宋" w:hAnsi="仿宋" w:eastAsia="仿宋"/>
              </w:rPr>
            </w:pPr>
            <w:r>
              <w:rPr>
                <w:rFonts w:hint="eastAsia" w:ascii="仿宋" w:hAnsi="仿宋" w:eastAsia="仿宋"/>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060B2348">
            <w:pPr>
              <w:jc w:val="center"/>
              <w:rPr>
                <w:rFonts w:hint="eastAsia" w:ascii="仿宋" w:hAnsi="仿宋" w:eastAsia="仿宋"/>
              </w:rPr>
            </w:pPr>
          </w:p>
        </w:tc>
      </w:tr>
      <w:tr w14:paraId="390DA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5C78232">
            <w:pPr>
              <w:jc w:val="center"/>
              <w:rPr>
                <w:rFonts w:hint="eastAsia" w:ascii="仿宋" w:hAnsi="仿宋" w:eastAsia="仿宋"/>
              </w:rPr>
            </w:pPr>
            <w:r>
              <w:rPr>
                <w:rFonts w:hint="eastAsia" w:ascii="仿宋" w:hAnsi="仿宋" w:eastAsia="仿宋"/>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39441A5A">
            <w:pPr>
              <w:jc w:val="center"/>
              <w:rPr>
                <w:rFonts w:hint="eastAsia" w:ascii="仿宋" w:hAnsi="仿宋" w:eastAsia="仿宋"/>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3AE66157">
            <w:pPr>
              <w:jc w:val="center"/>
              <w:rPr>
                <w:rFonts w:hint="eastAsia" w:ascii="仿宋" w:hAnsi="仿宋" w:eastAsia="仿宋"/>
              </w:rPr>
            </w:pPr>
            <w:r>
              <w:rPr>
                <w:rFonts w:hint="eastAsia" w:ascii="仿宋" w:hAnsi="仿宋" w:eastAsia="仿宋"/>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4BD4DC4E">
            <w:pPr>
              <w:jc w:val="center"/>
              <w:rPr>
                <w:rFonts w:hint="eastAsia" w:ascii="仿宋" w:hAnsi="仿宋" w:eastAsia="仿宋"/>
              </w:rPr>
            </w:pPr>
          </w:p>
        </w:tc>
      </w:tr>
      <w:tr w14:paraId="19143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767A235">
            <w:pPr>
              <w:jc w:val="center"/>
              <w:rPr>
                <w:rFonts w:hint="eastAsia" w:ascii="仿宋" w:hAnsi="仿宋" w:eastAsia="仿宋"/>
              </w:rPr>
            </w:pPr>
            <w:r>
              <w:rPr>
                <w:rFonts w:hint="eastAsia" w:ascii="仿宋" w:hAnsi="仿宋" w:eastAsia="仿宋"/>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2D6B2E28">
            <w:pPr>
              <w:jc w:val="center"/>
              <w:rPr>
                <w:rFonts w:hint="eastAsia" w:ascii="仿宋" w:hAnsi="仿宋" w:eastAsia="仿宋"/>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4323826F">
            <w:pPr>
              <w:jc w:val="center"/>
              <w:rPr>
                <w:rFonts w:hint="eastAsia" w:ascii="仿宋" w:hAnsi="仿宋" w:eastAsia="仿宋"/>
              </w:rPr>
            </w:pPr>
            <w:r>
              <w:rPr>
                <w:rFonts w:hint="eastAsia" w:ascii="仿宋" w:hAnsi="仿宋" w:eastAsia="仿宋"/>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37DD73E2">
            <w:pPr>
              <w:jc w:val="center"/>
              <w:rPr>
                <w:rFonts w:hint="eastAsia" w:ascii="仿宋" w:hAnsi="仿宋" w:eastAsia="仿宋"/>
              </w:rPr>
            </w:pPr>
          </w:p>
        </w:tc>
      </w:tr>
    </w:tbl>
    <w:p w14:paraId="5D6D9658">
      <w:pPr>
        <w:spacing w:line="360" w:lineRule="auto"/>
        <w:rPr>
          <w:rFonts w:hint="eastAsia" w:ascii="仿宋" w:hAnsi="仿宋" w:eastAsia="仿宋" w:cs="仿宋"/>
        </w:rPr>
      </w:pPr>
    </w:p>
    <w:p w14:paraId="49A84291">
      <w:pPr>
        <w:spacing w:line="360" w:lineRule="auto"/>
        <w:rPr>
          <w:rFonts w:hint="eastAsia" w:ascii="仿宋" w:hAnsi="仿宋" w:eastAsia="仿宋" w:cs="仿宋"/>
        </w:rPr>
      </w:pPr>
    </w:p>
    <w:p w14:paraId="7B32D705">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rPr>
        <w:t xml:space="preserve">       </w:t>
      </w:r>
    </w:p>
    <w:p w14:paraId="595E0AE2">
      <w:pPr>
        <w:adjustRightInd w:val="0"/>
        <w:snapToGrid w:val="0"/>
        <w:spacing w:line="360" w:lineRule="auto"/>
        <w:ind w:left="3990" w:leftChars="1900"/>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578DB962">
      <w:pPr>
        <w:adjustRightInd w:val="0"/>
        <w:snapToGrid w:val="0"/>
        <w:spacing w:line="360" w:lineRule="auto"/>
        <w:ind w:left="3990" w:leftChars="1900"/>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14:paraId="4DC14435">
      <w:pPr>
        <w:adjustRightInd w:val="0"/>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w:t>
      </w:r>
    </w:p>
    <w:p w14:paraId="38D80302">
      <w:pPr>
        <w:numPr>
          <w:ilvl w:val="0"/>
          <w:numId w:val="6"/>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bookmarkStart w:id="549" w:name="_Toc129088781"/>
      <w:bookmarkStart w:id="550" w:name="_Toc129089165"/>
      <w:r>
        <w:rPr>
          <w:rFonts w:hint="eastAsia" w:ascii="仿宋" w:hAnsi="仿宋" w:eastAsia="仿宋" w:cs="仿宋"/>
          <w:b/>
          <w:kern w:val="0"/>
          <w:sz w:val="32"/>
          <w:szCs w:val="32"/>
          <w:lang w:val="zh-CN"/>
        </w:rPr>
        <w:t>评标标准相应的商务技术资料</w:t>
      </w:r>
      <w:bookmarkEnd w:id="549"/>
      <w:bookmarkEnd w:id="550"/>
    </w:p>
    <w:p w14:paraId="156CBE51">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7E48EDCB">
      <w:pPr>
        <w:pStyle w:val="44"/>
        <w:ind w:firstLine="560"/>
        <w:rPr>
          <w:rFonts w:hint="eastAsia" w:ascii="仿宋" w:hAnsi="仿宋" w:eastAsia="仿宋"/>
        </w:rPr>
      </w:pPr>
    </w:p>
    <w:p w14:paraId="796CF9C1">
      <w:pPr>
        <w:pStyle w:val="44"/>
        <w:ind w:firstLine="560"/>
        <w:rPr>
          <w:rFonts w:hint="eastAsia" w:ascii="仿宋" w:hAnsi="仿宋" w:eastAsia="仿宋"/>
          <w:lang w:val="zh-CN"/>
        </w:rPr>
      </w:pPr>
    </w:p>
    <w:p w14:paraId="00032B63">
      <w:pPr>
        <w:numPr>
          <w:ilvl w:val="0"/>
          <w:numId w:val="6"/>
        </w:numPr>
        <w:snapToGrid w:val="0"/>
        <w:spacing w:line="360" w:lineRule="auto"/>
        <w:jc w:val="center"/>
        <w:outlineLvl w:val="0"/>
        <w:rPr>
          <w:rFonts w:hint="eastAsia" w:ascii="仿宋" w:hAnsi="仿宋" w:eastAsia="仿宋" w:cs="仿宋"/>
          <w:b/>
          <w:kern w:val="0"/>
          <w:sz w:val="32"/>
          <w:szCs w:val="32"/>
          <w:lang w:val="zh-CN"/>
        </w:rPr>
      </w:pPr>
      <w:bookmarkStart w:id="551" w:name="_Toc129088782"/>
      <w:bookmarkStart w:id="552" w:name="_Toc129089166"/>
      <w:r>
        <w:rPr>
          <w:rFonts w:hint="eastAsia" w:ascii="仿宋" w:hAnsi="仿宋" w:eastAsia="仿宋" w:cs="仿宋"/>
          <w:b/>
          <w:kern w:val="0"/>
          <w:sz w:val="32"/>
          <w:szCs w:val="32"/>
          <w:lang w:val="zh-CN"/>
        </w:rPr>
        <w:t>商务偏离表</w:t>
      </w:r>
      <w:bookmarkEnd w:id="551"/>
      <w:bookmarkEnd w:id="552"/>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702"/>
        <w:gridCol w:w="3565"/>
        <w:gridCol w:w="1283"/>
      </w:tblGrid>
      <w:tr w14:paraId="2B28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27FB285C">
            <w:pPr>
              <w:jc w:val="center"/>
              <w:rPr>
                <w:rFonts w:hint="eastAsia" w:ascii="仿宋" w:hAnsi="仿宋" w:eastAsia="仿宋"/>
              </w:rPr>
            </w:pPr>
            <w:r>
              <w:rPr>
                <w:rFonts w:hint="eastAsia" w:ascii="仿宋" w:hAnsi="仿宋" w:eastAsia="仿宋"/>
              </w:rPr>
              <w:t>序号</w:t>
            </w:r>
          </w:p>
        </w:tc>
        <w:tc>
          <w:tcPr>
            <w:tcW w:w="3702" w:type="dxa"/>
            <w:noWrap w:val="0"/>
            <w:vAlign w:val="center"/>
          </w:tcPr>
          <w:p w14:paraId="748EBEA1">
            <w:pPr>
              <w:jc w:val="center"/>
              <w:rPr>
                <w:rFonts w:hint="eastAsia" w:ascii="仿宋" w:hAnsi="仿宋" w:eastAsia="仿宋"/>
              </w:rPr>
            </w:pPr>
            <w:r>
              <w:rPr>
                <w:rFonts w:hint="eastAsia" w:ascii="仿宋" w:hAnsi="仿宋" w:eastAsia="仿宋"/>
              </w:rPr>
              <w:t>招标文件章节及具体内容</w:t>
            </w:r>
          </w:p>
        </w:tc>
        <w:tc>
          <w:tcPr>
            <w:tcW w:w="3565" w:type="dxa"/>
            <w:noWrap w:val="0"/>
            <w:vAlign w:val="center"/>
          </w:tcPr>
          <w:p w14:paraId="52E62934">
            <w:pPr>
              <w:jc w:val="center"/>
              <w:rPr>
                <w:rFonts w:hint="eastAsia" w:ascii="仿宋" w:hAnsi="仿宋" w:eastAsia="仿宋"/>
              </w:rPr>
            </w:pPr>
            <w:r>
              <w:rPr>
                <w:rFonts w:hint="eastAsia" w:ascii="仿宋" w:hAnsi="仿宋" w:eastAsia="仿宋"/>
              </w:rPr>
              <w:t>投标文件章节及具体内容</w:t>
            </w:r>
          </w:p>
        </w:tc>
        <w:tc>
          <w:tcPr>
            <w:tcW w:w="1283" w:type="dxa"/>
            <w:noWrap w:val="0"/>
            <w:vAlign w:val="center"/>
          </w:tcPr>
          <w:p w14:paraId="1C065AA7">
            <w:pPr>
              <w:jc w:val="center"/>
              <w:rPr>
                <w:rFonts w:hint="eastAsia" w:ascii="仿宋" w:hAnsi="仿宋" w:eastAsia="仿宋"/>
              </w:rPr>
            </w:pPr>
            <w:r>
              <w:rPr>
                <w:rFonts w:hint="eastAsia" w:ascii="仿宋" w:hAnsi="仿宋" w:eastAsia="仿宋"/>
              </w:rPr>
              <w:t>偏离说明</w:t>
            </w:r>
          </w:p>
        </w:tc>
      </w:tr>
      <w:tr w14:paraId="620F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11008CF4">
            <w:pPr>
              <w:jc w:val="center"/>
              <w:rPr>
                <w:rFonts w:hint="eastAsia" w:ascii="仿宋" w:hAnsi="仿宋" w:eastAsia="仿宋"/>
              </w:rPr>
            </w:pPr>
            <w:r>
              <w:rPr>
                <w:rFonts w:hint="eastAsia" w:ascii="仿宋" w:hAnsi="仿宋" w:eastAsia="仿宋"/>
              </w:rPr>
              <w:t>1</w:t>
            </w:r>
          </w:p>
        </w:tc>
        <w:tc>
          <w:tcPr>
            <w:tcW w:w="3702" w:type="dxa"/>
            <w:noWrap w:val="0"/>
            <w:vAlign w:val="center"/>
          </w:tcPr>
          <w:p w14:paraId="7031E512">
            <w:pPr>
              <w:jc w:val="center"/>
              <w:rPr>
                <w:rFonts w:hint="eastAsia" w:ascii="仿宋" w:hAnsi="仿宋" w:eastAsia="仿宋"/>
              </w:rPr>
            </w:pPr>
          </w:p>
        </w:tc>
        <w:tc>
          <w:tcPr>
            <w:tcW w:w="3565" w:type="dxa"/>
            <w:noWrap w:val="0"/>
            <w:vAlign w:val="center"/>
          </w:tcPr>
          <w:p w14:paraId="524828D5">
            <w:pPr>
              <w:jc w:val="center"/>
              <w:rPr>
                <w:rFonts w:hint="eastAsia" w:ascii="仿宋" w:hAnsi="仿宋" w:eastAsia="仿宋"/>
              </w:rPr>
            </w:pPr>
          </w:p>
        </w:tc>
        <w:tc>
          <w:tcPr>
            <w:tcW w:w="1283" w:type="dxa"/>
            <w:noWrap w:val="0"/>
            <w:vAlign w:val="center"/>
          </w:tcPr>
          <w:p w14:paraId="643DAAD7">
            <w:pPr>
              <w:jc w:val="center"/>
              <w:rPr>
                <w:rFonts w:hint="eastAsia" w:ascii="仿宋" w:hAnsi="仿宋" w:eastAsia="仿宋"/>
              </w:rPr>
            </w:pPr>
          </w:p>
        </w:tc>
      </w:tr>
      <w:tr w14:paraId="3858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44ABBB6C">
            <w:pPr>
              <w:jc w:val="center"/>
              <w:rPr>
                <w:rFonts w:hint="eastAsia" w:ascii="仿宋" w:hAnsi="仿宋" w:eastAsia="仿宋"/>
              </w:rPr>
            </w:pPr>
            <w:r>
              <w:rPr>
                <w:rFonts w:hint="eastAsia" w:ascii="仿宋" w:hAnsi="仿宋" w:eastAsia="仿宋"/>
              </w:rPr>
              <w:t>2</w:t>
            </w:r>
          </w:p>
        </w:tc>
        <w:tc>
          <w:tcPr>
            <w:tcW w:w="3702" w:type="dxa"/>
            <w:noWrap w:val="0"/>
            <w:vAlign w:val="center"/>
          </w:tcPr>
          <w:p w14:paraId="779DDD37">
            <w:pPr>
              <w:jc w:val="center"/>
              <w:rPr>
                <w:rFonts w:hint="eastAsia" w:ascii="仿宋" w:hAnsi="仿宋" w:eastAsia="仿宋"/>
              </w:rPr>
            </w:pPr>
          </w:p>
        </w:tc>
        <w:tc>
          <w:tcPr>
            <w:tcW w:w="3565" w:type="dxa"/>
            <w:noWrap w:val="0"/>
            <w:vAlign w:val="center"/>
          </w:tcPr>
          <w:p w14:paraId="773D51D9">
            <w:pPr>
              <w:jc w:val="center"/>
              <w:rPr>
                <w:rFonts w:hint="eastAsia" w:ascii="仿宋" w:hAnsi="仿宋" w:eastAsia="仿宋"/>
              </w:rPr>
            </w:pPr>
          </w:p>
        </w:tc>
        <w:tc>
          <w:tcPr>
            <w:tcW w:w="1283" w:type="dxa"/>
            <w:noWrap w:val="0"/>
            <w:vAlign w:val="center"/>
          </w:tcPr>
          <w:p w14:paraId="05827B63">
            <w:pPr>
              <w:jc w:val="center"/>
              <w:rPr>
                <w:rFonts w:hint="eastAsia" w:ascii="仿宋" w:hAnsi="仿宋" w:eastAsia="仿宋"/>
              </w:rPr>
            </w:pPr>
          </w:p>
        </w:tc>
      </w:tr>
      <w:tr w14:paraId="31D3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65494D0D">
            <w:pPr>
              <w:jc w:val="center"/>
              <w:rPr>
                <w:rFonts w:hint="eastAsia" w:ascii="仿宋" w:hAnsi="仿宋" w:eastAsia="仿宋"/>
              </w:rPr>
            </w:pPr>
            <w:r>
              <w:rPr>
                <w:rFonts w:hint="eastAsia" w:ascii="仿宋" w:hAnsi="仿宋" w:eastAsia="仿宋"/>
              </w:rPr>
              <w:t>……</w:t>
            </w:r>
          </w:p>
        </w:tc>
        <w:tc>
          <w:tcPr>
            <w:tcW w:w="3702" w:type="dxa"/>
            <w:noWrap w:val="0"/>
            <w:vAlign w:val="center"/>
          </w:tcPr>
          <w:p w14:paraId="1A57B234">
            <w:pPr>
              <w:jc w:val="center"/>
              <w:rPr>
                <w:rFonts w:hint="eastAsia" w:ascii="仿宋" w:hAnsi="仿宋" w:eastAsia="仿宋"/>
              </w:rPr>
            </w:pPr>
          </w:p>
        </w:tc>
        <w:tc>
          <w:tcPr>
            <w:tcW w:w="3565" w:type="dxa"/>
            <w:noWrap w:val="0"/>
            <w:vAlign w:val="center"/>
          </w:tcPr>
          <w:p w14:paraId="3149EA6D">
            <w:pPr>
              <w:jc w:val="center"/>
              <w:rPr>
                <w:rFonts w:hint="eastAsia" w:ascii="仿宋" w:hAnsi="仿宋" w:eastAsia="仿宋"/>
              </w:rPr>
            </w:pPr>
          </w:p>
        </w:tc>
        <w:tc>
          <w:tcPr>
            <w:tcW w:w="1283" w:type="dxa"/>
            <w:noWrap w:val="0"/>
            <w:vAlign w:val="center"/>
          </w:tcPr>
          <w:p w14:paraId="18CF9017">
            <w:pPr>
              <w:jc w:val="center"/>
              <w:rPr>
                <w:rFonts w:hint="eastAsia" w:ascii="仿宋" w:hAnsi="仿宋" w:eastAsia="仿宋"/>
              </w:rPr>
            </w:pPr>
          </w:p>
        </w:tc>
      </w:tr>
    </w:tbl>
    <w:p w14:paraId="70A6503B">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投标人保证：除商务偏离表列出的偏离外，投标人响应招标文件的全部商务要求。</w:t>
      </w:r>
    </w:p>
    <w:p w14:paraId="69F5AB76">
      <w:pPr>
        <w:pStyle w:val="44"/>
        <w:ind w:firstLine="560"/>
        <w:rPr>
          <w:rFonts w:hint="eastAsia" w:ascii="仿宋" w:hAnsi="仿宋" w:eastAsia="仿宋"/>
          <w:lang w:val="zh-CN"/>
        </w:rPr>
      </w:pPr>
    </w:p>
    <w:p w14:paraId="1889FCDD">
      <w:pPr>
        <w:numPr>
          <w:ilvl w:val="0"/>
          <w:numId w:val="6"/>
        </w:numPr>
        <w:snapToGrid w:val="0"/>
        <w:spacing w:line="360" w:lineRule="auto"/>
        <w:jc w:val="center"/>
        <w:outlineLvl w:val="0"/>
        <w:rPr>
          <w:rFonts w:hint="eastAsia" w:ascii="仿宋" w:hAnsi="仿宋" w:eastAsia="仿宋" w:cs="仿宋"/>
          <w:b/>
          <w:kern w:val="0"/>
          <w:sz w:val="32"/>
          <w:szCs w:val="32"/>
          <w:lang w:val="zh-CN"/>
        </w:rPr>
      </w:pPr>
      <w:bookmarkStart w:id="553" w:name="_Toc129088783"/>
      <w:bookmarkStart w:id="554" w:name="_Toc129089167"/>
      <w:r>
        <w:rPr>
          <w:rFonts w:hint="eastAsia" w:ascii="仿宋" w:hAnsi="仿宋" w:eastAsia="仿宋" w:cs="仿宋"/>
          <w:b/>
          <w:kern w:val="0"/>
          <w:sz w:val="32"/>
          <w:szCs w:val="32"/>
          <w:lang w:val="zh-CN"/>
        </w:rPr>
        <w:t>技术偏离表</w:t>
      </w:r>
      <w:bookmarkEnd w:id="553"/>
      <w:bookmarkEnd w:id="554"/>
    </w:p>
    <w:tbl>
      <w:tblPr>
        <w:tblStyle w:val="29"/>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3761"/>
        <w:gridCol w:w="3621"/>
        <w:gridCol w:w="1303"/>
      </w:tblGrid>
      <w:tr w14:paraId="15A0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9" w:type="dxa"/>
            <w:noWrap w:val="0"/>
            <w:vAlign w:val="center"/>
          </w:tcPr>
          <w:p w14:paraId="7F4ED3A2">
            <w:pPr>
              <w:jc w:val="center"/>
              <w:rPr>
                <w:rFonts w:hint="eastAsia" w:ascii="仿宋" w:hAnsi="仿宋" w:eastAsia="仿宋"/>
              </w:rPr>
            </w:pPr>
            <w:r>
              <w:rPr>
                <w:rFonts w:hint="eastAsia" w:ascii="仿宋" w:hAnsi="仿宋" w:eastAsia="仿宋"/>
              </w:rPr>
              <w:t>序号</w:t>
            </w:r>
          </w:p>
        </w:tc>
        <w:tc>
          <w:tcPr>
            <w:tcW w:w="3761" w:type="dxa"/>
            <w:noWrap w:val="0"/>
            <w:vAlign w:val="center"/>
          </w:tcPr>
          <w:p w14:paraId="74DFFB8C">
            <w:pPr>
              <w:jc w:val="center"/>
              <w:rPr>
                <w:rFonts w:hint="eastAsia" w:ascii="仿宋" w:hAnsi="仿宋" w:eastAsia="仿宋"/>
              </w:rPr>
            </w:pPr>
            <w:r>
              <w:rPr>
                <w:rFonts w:hint="eastAsia" w:ascii="仿宋" w:hAnsi="仿宋" w:eastAsia="仿宋"/>
              </w:rPr>
              <w:t>招标文件章节及具体内容</w:t>
            </w:r>
          </w:p>
        </w:tc>
        <w:tc>
          <w:tcPr>
            <w:tcW w:w="3621" w:type="dxa"/>
            <w:noWrap w:val="0"/>
            <w:vAlign w:val="center"/>
          </w:tcPr>
          <w:p w14:paraId="451F9354">
            <w:pPr>
              <w:jc w:val="center"/>
              <w:rPr>
                <w:rFonts w:hint="eastAsia" w:ascii="仿宋" w:hAnsi="仿宋" w:eastAsia="仿宋"/>
              </w:rPr>
            </w:pPr>
            <w:r>
              <w:rPr>
                <w:rFonts w:hint="eastAsia" w:ascii="仿宋" w:hAnsi="仿宋" w:eastAsia="仿宋"/>
              </w:rPr>
              <w:t>投标文件章节及具体内容</w:t>
            </w:r>
          </w:p>
        </w:tc>
        <w:tc>
          <w:tcPr>
            <w:tcW w:w="1303" w:type="dxa"/>
            <w:noWrap w:val="0"/>
            <w:vAlign w:val="center"/>
          </w:tcPr>
          <w:p w14:paraId="3EA8435B">
            <w:pPr>
              <w:jc w:val="center"/>
              <w:rPr>
                <w:rFonts w:hint="eastAsia" w:ascii="仿宋" w:hAnsi="仿宋" w:eastAsia="仿宋"/>
              </w:rPr>
            </w:pPr>
            <w:r>
              <w:rPr>
                <w:rFonts w:hint="eastAsia" w:ascii="仿宋" w:hAnsi="仿宋" w:eastAsia="仿宋"/>
              </w:rPr>
              <w:t>偏离说明</w:t>
            </w:r>
          </w:p>
        </w:tc>
      </w:tr>
      <w:tr w14:paraId="62BB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79" w:type="dxa"/>
            <w:noWrap w:val="0"/>
            <w:vAlign w:val="center"/>
          </w:tcPr>
          <w:p w14:paraId="2610D04C">
            <w:pPr>
              <w:jc w:val="center"/>
              <w:rPr>
                <w:rFonts w:hint="eastAsia" w:ascii="仿宋" w:hAnsi="仿宋" w:eastAsia="仿宋"/>
              </w:rPr>
            </w:pPr>
            <w:r>
              <w:rPr>
                <w:rFonts w:hint="eastAsia" w:ascii="仿宋" w:hAnsi="仿宋" w:eastAsia="仿宋"/>
              </w:rPr>
              <w:t>1</w:t>
            </w:r>
          </w:p>
        </w:tc>
        <w:tc>
          <w:tcPr>
            <w:tcW w:w="3761" w:type="dxa"/>
            <w:noWrap w:val="0"/>
            <w:vAlign w:val="center"/>
          </w:tcPr>
          <w:p w14:paraId="755A8313">
            <w:pPr>
              <w:jc w:val="center"/>
              <w:rPr>
                <w:rFonts w:hint="eastAsia" w:ascii="仿宋" w:hAnsi="仿宋" w:eastAsia="仿宋"/>
              </w:rPr>
            </w:pPr>
          </w:p>
        </w:tc>
        <w:tc>
          <w:tcPr>
            <w:tcW w:w="3621" w:type="dxa"/>
            <w:noWrap w:val="0"/>
            <w:vAlign w:val="center"/>
          </w:tcPr>
          <w:p w14:paraId="20CC5A63">
            <w:pPr>
              <w:jc w:val="center"/>
              <w:rPr>
                <w:rFonts w:hint="eastAsia" w:ascii="仿宋" w:hAnsi="仿宋" w:eastAsia="仿宋"/>
              </w:rPr>
            </w:pPr>
          </w:p>
        </w:tc>
        <w:tc>
          <w:tcPr>
            <w:tcW w:w="1303" w:type="dxa"/>
            <w:noWrap w:val="0"/>
            <w:vAlign w:val="center"/>
          </w:tcPr>
          <w:p w14:paraId="2452B9C9">
            <w:pPr>
              <w:jc w:val="center"/>
              <w:rPr>
                <w:rFonts w:hint="eastAsia" w:ascii="仿宋" w:hAnsi="仿宋" w:eastAsia="仿宋"/>
              </w:rPr>
            </w:pPr>
          </w:p>
        </w:tc>
      </w:tr>
      <w:tr w14:paraId="1703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79" w:type="dxa"/>
            <w:noWrap w:val="0"/>
            <w:vAlign w:val="center"/>
          </w:tcPr>
          <w:p w14:paraId="5ACA995A">
            <w:pPr>
              <w:jc w:val="center"/>
              <w:rPr>
                <w:rFonts w:hint="eastAsia" w:ascii="仿宋" w:hAnsi="仿宋" w:eastAsia="仿宋"/>
              </w:rPr>
            </w:pPr>
            <w:r>
              <w:rPr>
                <w:rFonts w:hint="eastAsia" w:ascii="仿宋" w:hAnsi="仿宋" w:eastAsia="仿宋"/>
              </w:rPr>
              <w:t>2</w:t>
            </w:r>
          </w:p>
        </w:tc>
        <w:tc>
          <w:tcPr>
            <w:tcW w:w="3761" w:type="dxa"/>
            <w:noWrap w:val="0"/>
            <w:vAlign w:val="center"/>
          </w:tcPr>
          <w:p w14:paraId="49A5879B">
            <w:pPr>
              <w:jc w:val="center"/>
              <w:rPr>
                <w:rFonts w:hint="eastAsia" w:ascii="仿宋" w:hAnsi="仿宋" w:eastAsia="仿宋"/>
              </w:rPr>
            </w:pPr>
          </w:p>
        </w:tc>
        <w:tc>
          <w:tcPr>
            <w:tcW w:w="3621" w:type="dxa"/>
            <w:noWrap w:val="0"/>
            <w:vAlign w:val="center"/>
          </w:tcPr>
          <w:p w14:paraId="258C458F">
            <w:pPr>
              <w:jc w:val="center"/>
              <w:rPr>
                <w:rFonts w:hint="eastAsia" w:ascii="仿宋" w:hAnsi="仿宋" w:eastAsia="仿宋"/>
              </w:rPr>
            </w:pPr>
          </w:p>
        </w:tc>
        <w:tc>
          <w:tcPr>
            <w:tcW w:w="1303" w:type="dxa"/>
            <w:noWrap w:val="0"/>
            <w:vAlign w:val="center"/>
          </w:tcPr>
          <w:p w14:paraId="2AD4CB4B">
            <w:pPr>
              <w:jc w:val="center"/>
              <w:rPr>
                <w:rFonts w:hint="eastAsia" w:ascii="仿宋" w:hAnsi="仿宋" w:eastAsia="仿宋"/>
              </w:rPr>
            </w:pPr>
          </w:p>
        </w:tc>
      </w:tr>
      <w:tr w14:paraId="71C8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79" w:type="dxa"/>
            <w:noWrap w:val="0"/>
            <w:vAlign w:val="center"/>
          </w:tcPr>
          <w:p w14:paraId="78596621">
            <w:pPr>
              <w:jc w:val="center"/>
              <w:rPr>
                <w:rFonts w:hint="eastAsia" w:ascii="仿宋" w:hAnsi="仿宋" w:eastAsia="仿宋"/>
              </w:rPr>
            </w:pPr>
            <w:r>
              <w:rPr>
                <w:rFonts w:hint="eastAsia" w:ascii="仿宋" w:hAnsi="仿宋" w:eastAsia="仿宋"/>
              </w:rPr>
              <w:t>……</w:t>
            </w:r>
          </w:p>
        </w:tc>
        <w:tc>
          <w:tcPr>
            <w:tcW w:w="3761" w:type="dxa"/>
            <w:noWrap w:val="0"/>
            <w:vAlign w:val="center"/>
          </w:tcPr>
          <w:p w14:paraId="100F3146">
            <w:pPr>
              <w:jc w:val="center"/>
              <w:rPr>
                <w:rFonts w:hint="eastAsia" w:ascii="仿宋" w:hAnsi="仿宋" w:eastAsia="仿宋"/>
              </w:rPr>
            </w:pPr>
          </w:p>
        </w:tc>
        <w:tc>
          <w:tcPr>
            <w:tcW w:w="3621" w:type="dxa"/>
            <w:noWrap w:val="0"/>
            <w:vAlign w:val="center"/>
          </w:tcPr>
          <w:p w14:paraId="5B32A6A9">
            <w:pPr>
              <w:jc w:val="center"/>
              <w:rPr>
                <w:rFonts w:hint="eastAsia" w:ascii="仿宋" w:hAnsi="仿宋" w:eastAsia="仿宋"/>
              </w:rPr>
            </w:pPr>
          </w:p>
        </w:tc>
        <w:tc>
          <w:tcPr>
            <w:tcW w:w="1303" w:type="dxa"/>
            <w:noWrap w:val="0"/>
            <w:vAlign w:val="center"/>
          </w:tcPr>
          <w:p w14:paraId="4B631B84">
            <w:pPr>
              <w:jc w:val="center"/>
              <w:rPr>
                <w:rFonts w:hint="eastAsia" w:ascii="仿宋" w:hAnsi="仿宋" w:eastAsia="仿宋"/>
              </w:rPr>
            </w:pPr>
          </w:p>
        </w:tc>
      </w:tr>
    </w:tbl>
    <w:p w14:paraId="5111979A">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投标人保证：除技术偏离表列出的偏离外，投标人响应招标文件的全部技术要求。</w:t>
      </w:r>
    </w:p>
    <w:p w14:paraId="4D114695">
      <w:pPr>
        <w:spacing w:line="360" w:lineRule="auto"/>
        <w:rPr>
          <w:rFonts w:hint="eastAsia" w:ascii="仿宋" w:hAnsi="仿宋" w:eastAsia="仿宋" w:cs="仿宋"/>
          <w:b/>
          <w:kern w:val="0"/>
          <w:sz w:val="32"/>
          <w:szCs w:val="32"/>
          <w:lang w:val="zh-CN"/>
        </w:rPr>
      </w:pPr>
    </w:p>
    <w:p w14:paraId="0FAC5397">
      <w:pPr>
        <w:numPr>
          <w:ilvl w:val="0"/>
          <w:numId w:val="6"/>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rPr>
        <w:br w:type="page"/>
      </w:r>
      <w:bookmarkStart w:id="555" w:name="_Toc129088784"/>
      <w:bookmarkStart w:id="556" w:name="_Toc129089168"/>
      <w:r>
        <w:rPr>
          <w:rFonts w:hint="eastAsia" w:ascii="仿宋" w:hAnsi="仿宋" w:eastAsia="仿宋" w:cs="仿宋"/>
          <w:b/>
          <w:kern w:val="0"/>
          <w:sz w:val="32"/>
          <w:szCs w:val="32"/>
        </w:rPr>
        <w:t>同类业绩情况一览表</w:t>
      </w:r>
      <w:bookmarkEnd w:id="555"/>
      <w:bookmarkEnd w:id="556"/>
    </w:p>
    <w:tbl>
      <w:tblPr>
        <w:tblStyle w:val="29"/>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03D5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2116E59">
            <w:pPr>
              <w:jc w:val="center"/>
              <w:rPr>
                <w:rFonts w:hint="eastAsia" w:ascii="仿宋" w:hAnsi="仿宋" w:eastAsia="仿宋"/>
              </w:rPr>
            </w:pPr>
            <w:r>
              <w:rPr>
                <w:rFonts w:hint="eastAsia" w:ascii="仿宋" w:hAnsi="仿宋" w:eastAsia="仿宋"/>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8220205">
            <w:pPr>
              <w:jc w:val="center"/>
              <w:rPr>
                <w:rFonts w:hint="eastAsia" w:ascii="仿宋" w:hAnsi="仿宋" w:eastAsia="仿宋"/>
              </w:rPr>
            </w:pPr>
            <w:r>
              <w:rPr>
                <w:rFonts w:hint="eastAsia" w:ascii="仿宋" w:hAnsi="仿宋" w:eastAsia="仿宋"/>
              </w:rPr>
              <w:t>采购单位名称</w:t>
            </w:r>
          </w:p>
        </w:tc>
        <w:tc>
          <w:tcPr>
            <w:tcW w:w="1732" w:type="dxa"/>
            <w:tcBorders>
              <w:top w:val="single" w:color="auto" w:sz="4" w:space="0"/>
              <w:left w:val="single" w:color="auto" w:sz="4" w:space="0"/>
              <w:right w:val="single" w:color="auto" w:sz="4" w:space="0"/>
            </w:tcBorders>
            <w:noWrap w:val="0"/>
            <w:vAlign w:val="center"/>
          </w:tcPr>
          <w:p w14:paraId="1A772333">
            <w:pPr>
              <w:jc w:val="center"/>
              <w:rPr>
                <w:rFonts w:hint="eastAsia" w:ascii="仿宋" w:hAnsi="仿宋" w:eastAsia="仿宋"/>
              </w:rPr>
            </w:pPr>
            <w:r>
              <w:rPr>
                <w:rFonts w:hint="eastAsia" w:ascii="仿宋" w:hAnsi="仿宋" w:eastAsia="仿宋"/>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2522CC9">
            <w:pPr>
              <w:jc w:val="center"/>
              <w:rPr>
                <w:rFonts w:hint="eastAsia" w:ascii="仿宋" w:hAnsi="仿宋" w:eastAsia="仿宋"/>
              </w:rPr>
            </w:pPr>
            <w:r>
              <w:rPr>
                <w:rFonts w:hint="eastAsia" w:ascii="仿宋" w:hAnsi="仿宋" w:eastAsia="仿宋"/>
              </w:rPr>
              <w:t>合同金额（万元）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B738D3D">
            <w:pPr>
              <w:jc w:val="center"/>
              <w:rPr>
                <w:rFonts w:hint="eastAsia" w:ascii="仿宋" w:hAnsi="仿宋" w:eastAsia="仿宋"/>
              </w:rPr>
            </w:pPr>
            <w:r>
              <w:rPr>
                <w:rFonts w:hint="eastAsia" w:ascii="仿宋" w:hAnsi="仿宋" w:eastAsia="仿宋"/>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531897C">
            <w:pPr>
              <w:jc w:val="center"/>
              <w:rPr>
                <w:rFonts w:hint="eastAsia" w:ascii="仿宋" w:hAnsi="仿宋" w:eastAsia="仿宋"/>
              </w:rPr>
            </w:pPr>
            <w:r>
              <w:rPr>
                <w:rFonts w:hint="eastAsia" w:ascii="仿宋" w:hAnsi="仿宋" w:eastAsia="仿宋"/>
              </w:rPr>
              <w:t>合同签订时间</w:t>
            </w:r>
          </w:p>
        </w:tc>
      </w:tr>
      <w:tr w14:paraId="0587F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E1C450C">
            <w:pPr>
              <w:jc w:val="center"/>
              <w:rPr>
                <w:rFonts w:hint="eastAsia" w:ascii="仿宋" w:hAnsi="仿宋" w:eastAsia="仿宋"/>
              </w:rPr>
            </w:pPr>
            <w:r>
              <w:rPr>
                <w:rFonts w:hint="eastAsia" w:ascii="仿宋" w:hAnsi="仿宋" w:eastAsia="仿宋"/>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FCF4560">
            <w:pPr>
              <w:jc w:val="center"/>
              <w:rPr>
                <w:rFonts w:hint="eastAsia" w:ascii="仿宋" w:hAnsi="仿宋" w:eastAsia="仿宋"/>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1F33A56">
            <w:pPr>
              <w:jc w:val="center"/>
              <w:rPr>
                <w:rFonts w:hint="eastAsia" w:ascii="仿宋" w:hAnsi="仿宋" w:eastAsia="仿宋"/>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47D7AB3">
            <w:pPr>
              <w:jc w:val="center"/>
              <w:rPr>
                <w:rFonts w:hint="eastAsia" w:ascii="仿宋" w:hAnsi="仿宋" w:eastAsia="仿宋"/>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40C55D1">
            <w:pPr>
              <w:jc w:val="center"/>
              <w:rPr>
                <w:rFonts w:hint="eastAsia" w:ascii="仿宋" w:hAnsi="仿宋" w:eastAsia="仿宋"/>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64407CA">
            <w:pPr>
              <w:jc w:val="center"/>
              <w:rPr>
                <w:rFonts w:hint="eastAsia" w:ascii="仿宋" w:hAnsi="仿宋" w:eastAsia="仿宋"/>
              </w:rPr>
            </w:pPr>
          </w:p>
        </w:tc>
      </w:tr>
      <w:tr w14:paraId="7CBE0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8BF6BE3">
            <w:pPr>
              <w:jc w:val="center"/>
              <w:rPr>
                <w:rFonts w:hint="eastAsia" w:ascii="仿宋" w:hAnsi="仿宋" w:eastAsia="仿宋"/>
              </w:rPr>
            </w:pPr>
            <w:r>
              <w:rPr>
                <w:rFonts w:hint="eastAsia" w:ascii="仿宋" w:hAnsi="仿宋" w:eastAsia="仿宋"/>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D77EC46">
            <w:pPr>
              <w:jc w:val="center"/>
              <w:rPr>
                <w:rFonts w:hint="eastAsia" w:ascii="仿宋" w:hAnsi="仿宋" w:eastAsia="仿宋"/>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6DB2B99E">
            <w:pPr>
              <w:jc w:val="center"/>
              <w:rPr>
                <w:rFonts w:hint="eastAsia" w:ascii="仿宋" w:hAnsi="仿宋" w:eastAsia="仿宋"/>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EDE3CB6">
            <w:pPr>
              <w:jc w:val="center"/>
              <w:rPr>
                <w:rFonts w:hint="eastAsia" w:ascii="仿宋" w:hAnsi="仿宋" w:eastAsia="仿宋"/>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8B3F1BA">
            <w:pPr>
              <w:jc w:val="center"/>
              <w:rPr>
                <w:rFonts w:hint="eastAsia" w:ascii="仿宋" w:hAnsi="仿宋" w:eastAsia="仿宋"/>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E974DD0">
            <w:pPr>
              <w:jc w:val="center"/>
              <w:rPr>
                <w:rFonts w:hint="eastAsia" w:ascii="仿宋" w:hAnsi="仿宋" w:eastAsia="仿宋"/>
              </w:rPr>
            </w:pPr>
          </w:p>
        </w:tc>
      </w:tr>
      <w:tr w14:paraId="2CF4B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E663ED4">
            <w:pPr>
              <w:jc w:val="center"/>
              <w:rPr>
                <w:rFonts w:hint="eastAsia" w:ascii="仿宋" w:hAnsi="仿宋" w:eastAsia="仿宋"/>
              </w:rPr>
            </w:pPr>
            <w:r>
              <w:rPr>
                <w:rFonts w:hint="eastAsia" w:ascii="仿宋" w:hAnsi="仿宋" w:eastAsia="仿宋"/>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2DC79ED">
            <w:pPr>
              <w:jc w:val="center"/>
              <w:rPr>
                <w:rFonts w:hint="eastAsia" w:ascii="仿宋" w:hAnsi="仿宋" w:eastAsia="仿宋"/>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6629712A">
            <w:pPr>
              <w:jc w:val="center"/>
              <w:rPr>
                <w:rFonts w:hint="eastAsia" w:ascii="仿宋" w:hAnsi="仿宋" w:eastAsia="仿宋"/>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97AEFAB">
            <w:pPr>
              <w:jc w:val="center"/>
              <w:rPr>
                <w:rFonts w:hint="eastAsia" w:ascii="仿宋" w:hAnsi="仿宋" w:eastAsia="仿宋"/>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0A14FE9">
            <w:pPr>
              <w:jc w:val="center"/>
              <w:rPr>
                <w:rFonts w:hint="eastAsia" w:ascii="仿宋" w:hAnsi="仿宋" w:eastAsia="仿宋"/>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C378367">
            <w:pPr>
              <w:jc w:val="center"/>
              <w:rPr>
                <w:rFonts w:hint="eastAsia" w:ascii="仿宋" w:hAnsi="仿宋" w:eastAsia="仿宋"/>
              </w:rPr>
            </w:pPr>
          </w:p>
        </w:tc>
      </w:tr>
      <w:tr w14:paraId="1A3CA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E81AA8F">
            <w:pPr>
              <w:jc w:val="center"/>
              <w:rPr>
                <w:rFonts w:hint="eastAsia" w:ascii="仿宋" w:hAnsi="仿宋" w:eastAsia="仿宋"/>
              </w:rPr>
            </w:pPr>
            <w:r>
              <w:rPr>
                <w:rFonts w:hint="eastAsia" w:ascii="仿宋" w:hAnsi="仿宋" w:eastAsia="仿宋"/>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A41C2B6">
            <w:pPr>
              <w:jc w:val="center"/>
              <w:rPr>
                <w:rFonts w:hint="eastAsia" w:ascii="仿宋" w:hAnsi="仿宋" w:eastAsia="仿宋"/>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64C0FB29">
            <w:pPr>
              <w:jc w:val="center"/>
              <w:rPr>
                <w:rFonts w:hint="eastAsia" w:ascii="仿宋" w:hAnsi="仿宋" w:eastAsia="仿宋"/>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1D5AB60">
            <w:pPr>
              <w:jc w:val="center"/>
              <w:rPr>
                <w:rFonts w:hint="eastAsia" w:ascii="仿宋" w:hAnsi="仿宋" w:eastAsia="仿宋"/>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A0D8311">
            <w:pPr>
              <w:jc w:val="center"/>
              <w:rPr>
                <w:rFonts w:hint="eastAsia" w:ascii="仿宋" w:hAnsi="仿宋" w:eastAsia="仿宋"/>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4BAEDBB">
            <w:pPr>
              <w:jc w:val="center"/>
              <w:rPr>
                <w:rFonts w:hint="eastAsia" w:ascii="仿宋" w:hAnsi="仿宋" w:eastAsia="仿宋"/>
              </w:rPr>
            </w:pPr>
          </w:p>
        </w:tc>
      </w:tr>
      <w:tr w14:paraId="0158F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605D55CC">
            <w:pPr>
              <w:jc w:val="center"/>
              <w:rPr>
                <w:rFonts w:hint="eastAsia" w:ascii="仿宋" w:hAnsi="仿宋" w:eastAsia="仿宋"/>
              </w:rPr>
            </w:pPr>
            <w:r>
              <w:rPr>
                <w:rFonts w:hint="eastAsia" w:ascii="仿宋" w:hAnsi="仿宋" w:eastAsia="仿宋"/>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5166289">
            <w:pPr>
              <w:jc w:val="center"/>
              <w:rPr>
                <w:rFonts w:hint="eastAsia" w:ascii="仿宋" w:hAnsi="仿宋" w:eastAsia="仿宋"/>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57DE0B8">
            <w:pPr>
              <w:jc w:val="center"/>
              <w:rPr>
                <w:rFonts w:hint="eastAsia" w:ascii="仿宋" w:hAnsi="仿宋" w:eastAsia="仿宋"/>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5F093AB">
            <w:pPr>
              <w:jc w:val="center"/>
              <w:rPr>
                <w:rFonts w:hint="eastAsia" w:ascii="仿宋" w:hAnsi="仿宋" w:eastAsia="仿宋"/>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794A408">
            <w:pPr>
              <w:jc w:val="center"/>
              <w:rPr>
                <w:rFonts w:hint="eastAsia" w:ascii="仿宋" w:hAnsi="仿宋" w:eastAsia="仿宋"/>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D11FB70">
            <w:pPr>
              <w:jc w:val="center"/>
              <w:rPr>
                <w:rFonts w:hint="eastAsia" w:ascii="仿宋" w:hAnsi="仿宋" w:eastAsia="仿宋"/>
              </w:rPr>
            </w:pPr>
          </w:p>
        </w:tc>
      </w:tr>
    </w:tbl>
    <w:p w14:paraId="3CF71523">
      <w:pPr>
        <w:spacing w:line="360" w:lineRule="auto"/>
        <w:jc w:val="left"/>
        <w:rPr>
          <w:rFonts w:hint="eastAsia" w:ascii="仿宋" w:hAnsi="仿宋" w:eastAsia="仿宋" w:cs="仿宋"/>
          <w:kern w:val="0"/>
          <w:sz w:val="24"/>
        </w:rPr>
      </w:pPr>
    </w:p>
    <w:p w14:paraId="63EC6340">
      <w:pPr>
        <w:spacing w:line="360" w:lineRule="auto"/>
        <w:jc w:val="left"/>
        <w:rPr>
          <w:rFonts w:hint="eastAsia" w:ascii="仿宋" w:hAnsi="仿宋" w:eastAsia="仿宋" w:cs="仿宋"/>
          <w:kern w:val="0"/>
          <w:sz w:val="24"/>
        </w:rPr>
      </w:pPr>
    </w:p>
    <w:p w14:paraId="156D868C">
      <w:pPr>
        <w:spacing w:line="360" w:lineRule="auto"/>
        <w:jc w:val="left"/>
        <w:rPr>
          <w:rFonts w:hint="eastAsia" w:ascii="仿宋" w:hAnsi="仿宋" w:eastAsia="仿宋" w:cs="仿宋"/>
          <w:kern w:val="0"/>
          <w:sz w:val="24"/>
        </w:rPr>
      </w:pPr>
    </w:p>
    <w:p w14:paraId="1E51233A">
      <w:pPr>
        <w:spacing w:line="360" w:lineRule="auto"/>
        <w:ind w:left="4620" w:leftChars="2200"/>
        <w:jc w:val="left"/>
        <w:rPr>
          <w:rFonts w:hint="eastAsia" w:ascii="仿宋" w:hAnsi="仿宋" w:eastAsia="仿宋" w:cs="仿宋"/>
          <w:kern w:val="0"/>
          <w:sz w:val="24"/>
        </w:rPr>
      </w:pPr>
      <w:r>
        <w:rPr>
          <w:rFonts w:hint="eastAsia" w:ascii="仿宋" w:hAnsi="仿宋" w:eastAsia="仿宋" w:cs="仿宋"/>
          <w:kern w:val="0"/>
          <w:sz w:val="24"/>
        </w:rPr>
        <w:t xml:space="preserve">法定代表人或授权代表签名：        </w:t>
      </w:r>
    </w:p>
    <w:p w14:paraId="3EACF3E3">
      <w:pPr>
        <w:spacing w:line="360" w:lineRule="auto"/>
        <w:ind w:left="4620" w:leftChars="2200"/>
        <w:jc w:val="left"/>
        <w:rPr>
          <w:rFonts w:hint="eastAsia" w:ascii="仿宋" w:hAnsi="仿宋" w:eastAsia="仿宋" w:cs="仿宋"/>
          <w:kern w:val="0"/>
          <w:sz w:val="24"/>
        </w:rPr>
      </w:pPr>
      <w:r>
        <w:rPr>
          <w:rFonts w:hint="eastAsia" w:ascii="仿宋" w:hAnsi="仿宋" w:eastAsia="仿宋" w:cs="仿宋"/>
          <w:kern w:val="0"/>
          <w:sz w:val="24"/>
        </w:rPr>
        <w:t xml:space="preserve">供应商盖章：         </w:t>
      </w:r>
    </w:p>
    <w:p w14:paraId="2EB0DC15">
      <w:pPr>
        <w:spacing w:line="360" w:lineRule="auto"/>
        <w:ind w:left="4620" w:leftChars="2200"/>
        <w:jc w:val="left"/>
        <w:rPr>
          <w:rFonts w:hint="eastAsia" w:ascii="仿宋" w:hAnsi="仿宋" w:eastAsia="仿宋" w:cs="仿宋"/>
          <w:b/>
          <w:kern w:val="0"/>
          <w:sz w:val="32"/>
          <w:szCs w:val="32"/>
          <w:lang w:val="zh-CN"/>
        </w:rPr>
      </w:pPr>
      <w:r>
        <w:rPr>
          <w:rFonts w:hint="eastAsia" w:ascii="仿宋" w:hAnsi="仿宋" w:eastAsia="仿宋" w:cs="仿宋"/>
          <w:kern w:val="0"/>
          <w:sz w:val="24"/>
        </w:rPr>
        <w:t>日  期：</w:t>
      </w:r>
    </w:p>
    <w:p w14:paraId="3A3DD991">
      <w:pPr>
        <w:numPr>
          <w:ilvl w:val="0"/>
          <w:numId w:val="6"/>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bookmarkStart w:id="557" w:name="_Toc129089169"/>
      <w:bookmarkStart w:id="558" w:name="_Toc129088785"/>
      <w:r>
        <w:rPr>
          <w:rFonts w:hint="eastAsia" w:ascii="仿宋" w:hAnsi="仿宋" w:eastAsia="仿宋" w:cs="仿宋"/>
          <w:b/>
          <w:kern w:val="0"/>
          <w:sz w:val="32"/>
          <w:szCs w:val="32"/>
          <w:lang w:val="zh-CN"/>
        </w:rPr>
        <w:t>政府采购供应商廉洁自律承诺书</w:t>
      </w:r>
      <w:bookmarkEnd w:id="557"/>
      <w:bookmarkEnd w:id="558"/>
    </w:p>
    <w:p w14:paraId="67423725">
      <w:pPr>
        <w:snapToGrid w:val="0"/>
        <w:spacing w:line="360" w:lineRule="auto"/>
        <w:rPr>
          <w:rFonts w:hint="eastAsia" w:ascii="仿宋" w:hAnsi="仿宋" w:eastAsia="仿宋" w:cs="仿宋"/>
          <w:sz w:val="24"/>
        </w:rPr>
      </w:pPr>
    </w:p>
    <w:p w14:paraId="00162331">
      <w:pPr>
        <w:snapToGrid w:val="0"/>
        <w:spacing w:line="360" w:lineRule="auto"/>
        <w:rPr>
          <w:rFonts w:hint="eastAsia" w:ascii="仿宋" w:hAnsi="仿宋" w:eastAsia="仿宋" w:cs="仿宋"/>
          <w:kern w:val="0"/>
          <w:sz w:val="24"/>
        </w:rPr>
      </w:pPr>
      <w:r>
        <w:rPr>
          <w:rFonts w:hint="eastAsia" w:ascii="仿宋" w:hAnsi="仿宋" w:eastAsia="仿宋" w:cs="仿宋"/>
          <w:sz w:val="24"/>
        </w:rPr>
        <w:t>宁波建兴招标有限公司/宁波市急救中心北仑分中心</w:t>
      </w:r>
      <w:r>
        <w:rPr>
          <w:rFonts w:hint="eastAsia" w:ascii="仿宋" w:hAnsi="仿宋" w:eastAsia="仿宋" w:cs="仿宋"/>
          <w:kern w:val="0"/>
          <w:sz w:val="24"/>
          <w:lang w:val="zh-CN"/>
        </w:rPr>
        <w:t>：</w:t>
      </w:r>
    </w:p>
    <w:p w14:paraId="386822F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EE7F3D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2FB3BE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72FFE7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828320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B3CAD3D">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87C5AAE">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5EA5D2C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340ADEB6">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002EBC05">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进行项目建设或其他经营活动。由此引起的相应损失均由我单位承担。</w:t>
      </w:r>
    </w:p>
    <w:p w14:paraId="49CA1559">
      <w:pPr>
        <w:autoSpaceDE w:val="0"/>
        <w:autoSpaceDN w:val="0"/>
        <w:spacing w:line="360" w:lineRule="auto"/>
        <w:ind w:left="2"/>
        <w:jc w:val="left"/>
        <w:rPr>
          <w:rFonts w:hint="eastAsia" w:ascii="仿宋" w:hAnsi="仿宋" w:eastAsia="仿宋" w:cs="仿宋"/>
          <w:kern w:val="0"/>
          <w:sz w:val="24"/>
          <w:lang w:val="zh-CN"/>
        </w:rPr>
      </w:pPr>
    </w:p>
    <w:p w14:paraId="2C51BF08">
      <w:pPr>
        <w:autoSpaceDE w:val="0"/>
        <w:autoSpaceDN w:val="0"/>
        <w:spacing w:line="360" w:lineRule="auto"/>
        <w:ind w:left="2"/>
        <w:jc w:val="left"/>
        <w:rPr>
          <w:rFonts w:hint="eastAsia" w:ascii="仿宋" w:hAnsi="仿宋" w:eastAsia="仿宋" w:cs="仿宋"/>
          <w:kern w:val="0"/>
          <w:sz w:val="24"/>
          <w:lang w:val="zh-CN"/>
        </w:rPr>
      </w:pPr>
    </w:p>
    <w:p w14:paraId="65C75E97">
      <w:pPr>
        <w:autoSpaceDE w:val="0"/>
        <w:autoSpaceDN w:val="0"/>
        <w:spacing w:line="360" w:lineRule="auto"/>
        <w:ind w:left="2"/>
        <w:jc w:val="left"/>
        <w:rPr>
          <w:rFonts w:hint="eastAsia" w:ascii="仿宋" w:hAnsi="仿宋" w:eastAsia="仿宋" w:cs="仿宋"/>
          <w:kern w:val="0"/>
          <w:sz w:val="24"/>
          <w:lang w:val="zh-CN"/>
        </w:rPr>
      </w:pPr>
    </w:p>
    <w:p w14:paraId="29C7A5E7">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0F3A1EF">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B51CFEB">
      <w:pPr>
        <w:spacing w:line="360" w:lineRule="auto"/>
        <w:jc w:val="center"/>
        <w:rPr>
          <w:rFonts w:hint="eastAsia" w:ascii="仿宋" w:hAnsi="仿宋" w:eastAsia="仿宋" w:cs="仿宋"/>
          <w:b/>
          <w:bCs/>
          <w:sz w:val="24"/>
        </w:rPr>
      </w:pPr>
    </w:p>
    <w:p w14:paraId="2D5CA38B">
      <w:pPr>
        <w:spacing w:line="360" w:lineRule="auto"/>
        <w:jc w:val="center"/>
        <w:rPr>
          <w:rFonts w:hint="eastAsia" w:ascii="仿宋" w:hAnsi="仿宋" w:eastAsia="仿宋" w:cs="仿宋"/>
          <w:b/>
          <w:bCs/>
          <w:sz w:val="24"/>
        </w:rPr>
        <w:sectPr>
          <w:footerReference r:id="rId4" w:type="first"/>
          <w:footerReference r:id="rId3" w:type="default"/>
          <w:pgSz w:w="11906" w:h="16838"/>
          <w:pgMar w:top="1696" w:right="1418" w:bottom="1247" w:left="1418" w:header="851" w:footer="992" w:gutter="0"/>
          <w:cols w:space="720" w:num="1"/>
          <w:titlePg/>
          <w:docGrid w:linePitch="312" w:charSpace="0"/>
        </w:sectPr>
      </w:pPr>
    </w:p>
    <w:p w14:paraId="2C92E873">
      <w:pPr>
        <w:spacing w:line="360" w:lineRule="auto"/>
        <w:jc w:val="center"/>
        <w:rPr>
          <w:rFonts w:hint="eastAsia" w:ascii="仿宋" w:hAnsi="仿宋" w:eastAsia="仿宋" w:cs="仿宋"/>
          <w:b/>
          <w:kern w:val="0"/>
          <w:sz w:val="36"/>
          <w:szCs w:val="36"/>
        </w:rPr>
      </w:pPr>
    </w:p>
    <w:p w14:paraId="496641EB">
      <w:pPr>
        <w:spacing w:line="360" w:lineRule="auto"/>
        <w:jc w:val="center"/>
        <w:outlineLvl w:val="0"/>
        <w:rPr>
          <w:rFonts w:hint="eastAsia" w:ascii="仿宋" w:hAnsi="仿宋" w:eastAsia="仿宋" w:cs="仿宋"/>
          <w:b/>
          <w:kern w:val="0"/>
          <w:sz w:val="36"/>
          <w:szCs w:val="36"/>
        </w:rPr>
      </w:pPr>
      <w:bookmarkStart w:id="559" w:name="_Toc129089170"/>
      <w:bookmarkStart w:id="560" w:name="_Toc129088786"/>
      <w:r>
        <w:rPr>
          <w:rFonts w:hint="eastAsia" w:ascii="仿宋" w:hAnsi="仿宋" w:eastAsia="仿宋" w:cs="仿宋"/>
          <w:b/>
          <w:kern w:val="0"/>
          <w:sz w:val="36"/>
          <w:szCs w:val="36"/>
        </w:rPr>
        <w:t>报价文件部分</w:t>
      </w:r>
      <w:bookmarkEnd w:id="559"/>
      <w:bookmarkEnd w:id="560"/>
    </w:p>
    <w:p w14:paraId="123805E9">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9312F88">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rPr>
        <w:t xml:space="preserve"> </w:t>
      </w:r>
    </w:p>
    <w:p w14:paraId="55778AFE">
      <w:pPr>
        <w:snapToGrid w:val="0"/>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1 开标一览表；</w:t>
      </w:r>
    </w:p>
    <w:p w14:paraId="35A12D39">
      <w:pPr>
        <w:snapToGrid w:val="0"/>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2 投标报价明细表；</w:t>
      </w:r>
    </w:p>
    <w:p w14:paraId="3BA83065">
      <w:pPr>
        <w:snapToGrid w:val="0"/>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3 政府采购统计基础信息表；</w:t>
      </w:r>
    </w:p>
    <w:p w14:paraId="136B80D8">
      <w:pPr>
        <w:snapToGrid w:val="0"/>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4 其他资料（如有）。</w:t>
      </w:r>
    </w:p>
    <w:p w14:paraId="66262E41">
      <w:pPr>
        <w:snapToGrid w:val="0"/>
        <w:spacing w:line="360" w:lineRule="auto"/>
        <w:ind w:right="480"/>
        <w:rPr>
          <w:rFonts w:hint="eastAsia" w:ascii="仿宋" w:hAnsi="仿宋" w:eastAsia="仿宋" w:cs="仿宋"/>
          <w:b/>
          <w:kern w:val="0"/>
          <w:sz w:val="32"/>
          <w:szCs w:val="32"/>
        </w:rPr>
      </w:pPr>
    </w:p>
    <w:p w14:paraId="47ADCC27">
      <w:pPr>
        <w:pStyle w:val="6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649304EC">
      <w:pPr>
        <w:pStyle w:val="6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bookmarkStart w:id="561" w:name="_Toc129088787"/>
      <w:bookmarkStart w:id="562" w:name="_Toc129089171"/>
      <w:r>
        <w:rPr>
          <w:rFonts w:hint="eastAsia" w:ascii="仿宋" w:hAnsi="仿宋" w:eastAsia="仿宋" w:cs="仿宋"/>
          <w:kern w:val="2"/>
          <w:sz w:val="32"/>
          <w:szCs w:val="32"/>
        </w:rPr>
        <w:t>一、开标一览表</w:t>
      </w:r>
      <w:bookmarkEnd w:id="561"/>
      <w:bookmarkEnd w:id="562"/>
    </w:p>
    <w:p w14:paraId="07CEAE8D">
      <w:pPr>
        <w:snapToGrid w:val="0"/>
        <w:spacing w:line="360" w:lineRule="auto"/>
        <w:rPr>
          <w:rFonts w:ascii="仿宋" w:hAnsi="仿宋" w:eastAsia="仿宋" w:cs="仿宋"/>
          <w:kern w:val="0"/>
          <w:sz w:val="24"/>
          <w:u w:val="single"/>
        </w:rPr>
      </w:pPr>
      <w:r>
        <w:rPr>
          <w:rFonts w:hint="eastAsia" w:ascii="仿宋" w:hAnsi="仿宋" w:eastAsia="仿宋" w:cs="仿宋"/>
          <w:sz w:val="24"/>
        </w:rPr>
        <w:t>（宁波市急救中心北仑分中心）、（宁波建兴招标有限公司）</w:t>
      </w:r>
      <w:r>
        <w:rPr>
          <w:rFonts w:hint="eastAsia" w:ascii="仿宋" w:hAnsi="仿宋" w:eastAsia="仿宋" w:cs="仿宋"/>
          <w:kern w:val="0"/>
          <w:sz w:val="24"/>
          <w:lang w:val="zh-CN"/>
        </w:rPr>
        <w:t>：</w:t>
      </w:r>
    </w:p>
    <w:p w14:paraId="411EF275">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宁波市急救中心北仑分中心救护车采购项目</w:t>
      </w:r>
      <w:r>
        <w:rPr>
          <w:rFonts w:hint="eastAsia" w:ascii="仿宋" w:hAnsi="仿宋" w:eastAsia="仿宋" w:cs="仿宋"/>
          <w:kern w:val="0"/>
          <w:sz w:val="24"/>
          <w:lang w:val="zh-CN"/>
        </w:rPr>
        <w:t>【招标编号：</w:t>
      </w:r>
      <w:r>
        <w:rPr>
          <w:rFonts w:hint="eastAsia" w:ascii="仿宋" w:hAnsi="仿宋" w:eastAsia="仿宋" w:cs="仿宋"/>
          <w:sz w:val="24"/>
          <w:lang w:eastAsia="zh-CN"/>
        </w:rPr>
        <w:t>NBJX2024334G</w:t>
      </w:r>
      <w:r>
        <w:rPr>
          <w:rFonts w:hint="eastAsia" w:ascii="仿宋" w:hAnsi="仿宋" w:eastAsia="仿宋" w:cs="仿宋"/>
          <w:sz w:val="24"/>
        </w:rPr>
        <w:t>】的实施</w:t>
      </w:r>
      <w:r>
        <w:rPr>
          <w:rFonts w:hint="eastAsia" w:ascii="仿宋" w:hAnsi="仿宋" w:eastAsia="仿宋" w:cs="仿宋"/>
          <w:kern w:val="0"/>
          <w:sz w:val="24"/>
          <w:lang w:val="zh-CN"/>
        </w:rPr>
        <w:t>。</w:t>
      </w:r>
    </w:p>
    <w:p w14:paraId="32AEC950">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29"/>
        <w:tblW w:w="14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988"/>
        <w:gridCol w:w="3330"/>
        <w:gridCol w:w="2340"/>
        <w:gridCol w:w="4012"/>
      </w:tblGrid>
      <w:tr w14:paraId="7A3E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 w:type="dxa"/>
            <w:noWrap w:val="0"/>
            <w:vAlign w:val="center"/>
          </w:tcPr>
          <w:p w14:paraId="321E28E6">
            <w:pPr>
              <w:widowControl w:val="0"/>
              <w:numPr>
                <w:ilvl w:val="0"/>
                <w:numId w:val="0"/>
              </w:numPr>
              <w:snapToGrid w:val="0"/>
              <w:spacing w:afterLines="0" w:line="400" w:lineRule="exact"/>
              <w:jc w:val="center"/>
              <w:rPr>
                <w:rFonts w:hint="eastAsia" w:ascii="仿宋" w:hAnsi="仿宋" w:eastAsia="仿宋" w:cs="Times New Roman"/>
                <w:b/>
                <w:kern w:val="0"/>
                <w:sz w:val="21"/>
                <w:szCs w:val="21"/>
                <w:lang w:val="en-US" w:eastAsia="zh-CN" w:bidi="ar-SA"/>
              </w:rPr>
            </w:pPr>
            <w:r>
              <w:rPr>
                <w:rFonts w:hint="eastAsia" w:ascii="仿宋" w:hAnsi="仿宋" w:eastAsia="仿宋" w:cs="Times New Roman"/>
                <w:b/>
                <w:kern w:val="0"/>
                <w:sz w:val="21"/>
                <w:szCs w:val="21"/>
                <w:lang w:val="en-US" w:eastAsia="zh-CN" w:bidi="ar-SA"/>
              </w:rPr>
              <w:t>序号</w:t>
            </w:r>
          </w:p>
        </w:tc>
        <w:tc>
          <w:tcPr>
            <w:tcW w:w="3988" w:type="dxa"/>
            <w:noWrap w:val="0"/>
            <w:vAlign w:val="center"/>
          </w:tcPr>
          <w:p w14:paraId="391A422E">
            <w:pPr>
              <w:widowControl w:val="0"/>
              <w:numPr>
                <w:ilvl w:val="0"/>
                <w:numId w:val="0"/>
              </w:numPr>
              <w:snapToGrid w:val="0"/>
              <w:spacing w:afterLines="0" w:line="400" w:lineRule="exact"/>
              <w:jc w:val="center"/>
              <w:rPr>
                <w:rFonts w:hint="eastAsia" w:ascii="仿宋" w:hAnsi="仿宋" w:eastAsia="仿宋" w:cs="Times New Roman"/>
                <w:b/>
                <w:kern w:val="0"/>
                <w:sz w:val="21"/>
                <w:szCs w:val="21"/>
                <w:lang w:val="en-US" w:eastAsia="zh-CN" w:bidi="ar-SA"/>
              </w:rPr>
            </w:pPr>
            <w:r>
              <w:rPr>
                <w:rFonts w:hint="eastAsia" w:ascii="仿宋" w:hAnsi="仿宋" w:eastAsia="仿宋" w:cs="Times New Roman"/>
                <w:b/>
                <w:kern w:val="0"/>
                <w:sz w:val="21"/>
                <w:szCs w:val="21"/>
                <w:lang w:val="en-US" w:eastAsia="zh-CN" w:bidi="ar-SA"/>
              </w:rPr>
              <w:t>名称</w:t>
            </w:r>
          </w:p>
        </w:tc>
        <w:tc>
          <w:tcPr>
            <w:tcW w:w="3330" w:type="dxa"/>
            <w:noWrap w:val="0"/>
            <w:vAlign w:val="center"/>
          </w:tcPr>
          <w:p w14:paraId="334C5AD4">
            <w:pPr>
              <w:widowControl w:val="0"/>
              <w:numPr>
                <w:ilvl w:val="0"/>
                <w:numId w:val="0"/>
              </w:numPr>
              <w:snapToGrid w:val="0"/>
              <w:spacing w:afterLines="0" w:line="400" w:lineRule="exact"/>
              <w:jc w:val="center"/>
              <w:rPr>
                <w:rFonts w:hint="eastAsia" w:ascii="仿宋" w:hAnsi="仿宋" w:eastAsia="仿宋" w:cs="Times New Roman"/>
                <w:b/>
                <w:kern w:val="0"/>
                <w:sz w:val="21"/>
                <w:szCs w:val="21"/>
                <w:lang w:val="en-US" w:eastAsia="zh-CN" w:bidi="ar-SA"/>
              </w:rPr>
            </w:pPr>
            <w:r>
              <w:rPr>
                <w:rFonts w:hint="eastAsia" w:ascii="仿宋" w:hAnsi="仿宋" w:eastAsia="仿宋" w:cs="Times New Roman"/>
                <w:b/>
                <w:kern w:val="0"/>
                <w:sz w:val="21"/>
                <w:szCs w:val="21"/>
                <w:lang w:val="en-US" w:eastAsia="zh-CN" w:bidi="ar-SA"/>
              </w:rPr>
              <w:t>品牌型号（或具体服务）</w:t>
            </w:r>
          </w:p>
        </w:tc>
        <w:tc>
          <w:tcPr>
            <w:tcW w:w="2340" w:type="dxa"/>
            <w:noWrap w:val="0"/>
            <w:vAlign w:val="center"/>
          </w:tcPr>
          <w:p w14:paraId="25426229">
            <w:pPr>
              <w:widowControl w:val="0"/>
              <w:numPr>
                <w:ilvl w:val="0"/>
                <w:numId w:val="0"/>
              </w:numPr>
              <w:snapToGrid w:val="0"/>
              <w:spacing w:afterLines="0" w:line="400" w:lineRule="exact"/>
              <w:jc w:val="center"/>
              <w:rPr>
                <w:rFonts w:hint="eastAsia" w:ascii="仿宋" w:hAnsi="仿宋" w:eastAsia="仿宋" w:cs="Times New Roman"/>
                <w:b/>
                <w:kern w:val="0"/>
                <w:sz w:val="21"/>
                <w:szCs w:val="21"/>
                <w:lang w:val="en-US" w:eastAsia="zh-CN" w:bidi="ar-SA"/>
              </w:rPr>
            </w:pPr>
            <w:r>
              <w:rPr>
                <w:rFonts w:hint="eastAsia" w:ascii="仿宋" w:hAnsi="仿宋" w:eastAsia="仿宋" w:cs="Times New Roman"/>
                <w:b/>
                <w:kern w:val="0"/>
                <w:sz w:val="21"/>
                <w:szCs w:val="21"/>
                <w:lang w:val="en-US" w:eastAsia="zh-CN" w:bidi="ar-SA"/>
              </w:rPr>
              <w:t>总价（元）</w:t>
            </w:r>
          </w:p>
        </w:tc>
        <w:tc>
          <w:tcPr>
            <w:tcW w:w="4012" w:type="dxa"/>
            <w:noWrap w:val="0"/>
            <w:vAlign w:val="center"/>
          </w:tcPr>
          <w:p w14:paraId="0C6DE335">
            <w:pPr>
              <w:widowControl w:val="0"/>
              <w:numPr>
                <w:ilvl w:val="0"/>
                <w:numId w:val="0"/>
              </w:numPr>
              <w:snapToGrid w:val="0"/>
              <w:spacing w:afterLines="0" w:line="400" w:lineRule="exact"/>
              <w:jc w:val="center"/>
              <w:rPr>
                <w:rFonts w:hint="eastAsia" w:ascii="仿宋" w:hAnsi="仿宋" w:eastAsia="仿宋" w:cs="Times New Roman"/>
                <w:b/>
                <w:kern w:val="0"/>
                <w:sz w:val="21"/>
                <w:szCs w:val="21"/>
                <w:lang w:val="en-US" w:eastAsia="zh-CN" w:bidi="ar-SA"/>
              </w:rPr>
            </w:pPr>
            <w:r>
              <w:rPr>
                <w:rFonts w:hint="eastAsia" w:ascii="仿宋" w:hAnsi="仿宋" w:eastAsia="仿宋" w:cs="Times New Roman"/>
                <w:b/>
                <w:kern w:val="0"/>
                <w:sz w:val="21"/>
                <w:szCs w:val="21"/>
                <w:lang w:val="en-US" w:eastAsia="zh-CN" w:bidi="ar-SA"/>
              </w:rPr>
              <w:t>交货期</w:t>
            </w:r>
          </w:p>
        </w:tc>
      </w:tr>
      <w:tr w14:paraId="2FB0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8" w:type="dxa"/>
            <w:noWrap w:val="0"/>
            <w:vAlign w:val="center"/>
          </w:tcPr>
          <w:p w14:paraId="60BD04E8">
            <w:pPr>
              <w:widowControl w:val="0"/>
              <w:numPr>
                <w:ilvl w:val="0"/>
                <w:numId w:val="0"/>
              </w:numPr>
              <w:snapToGrid w:val="0"/>
              <w:spacing w:afterLines="0" w:line="400" w:lineRule="exact"/>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1</w:t>
            </w:r>
          </w:p>
        </w:tc>
        <w:tc>
          <w:tcPr>
            <w:tcW w:w="3988" w:type="dxa"/>
            <w:noWrap w:val="0"/>
            <w:vAlign w:val="center"/>
          </w:tcPr>
          <w:p w14:paraId="1D185EE2">
            <w:pPr>
              <w:widowControl w:val="0"/>
              <w:numPr>
                <w:ilvl w:val="0"/>
                <w:numId w:val="0"/>
              </w:numPr>
              <w:snapToGrid w:val="0"/>
              <w:spacing w:afterLines="0" w:line="400" w:lineRule="exact"/>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宁波市急救中心北仑分中心救护车采购</w:t>
            </w:r>
          </w:p>
        </w:tc>
        <w:tc>
          <w:tcPr>
            <w:tcW w:w="3330" w:type="dxa"/>
            <w:noWrap w:val="0"/>
            <w:vAlign w:val="center"/>
          </w:tcPr>
          <w:p w14:paraId="122FF41F">
            <w:pPr>
              <w:widowControl w:val="0"/>
              <w:numPr>
                <w:ilvl w:val="0"/>
                <w:numId w:val="0"/>
              </w:numPr>
              <w:snapToGrid w:val="0"/>
              <w:spacing w:afterLines="0" w:line="400" w:lineRule="exact"/>
              <w:jc w:val="center"/>
              <w:rPr>
                <w:rFonts w:ascii="仿宋" w:hAnsi="仿宋" w:eastAsia="仿宋" w:cs="Times New Roman"/>
                <w:kern w:val="0"/>
                <w:sz w:val="21"/>
                <w:szCs w:val="21"/>
                <w:lang w:val="en-US" w:eastAsia="zh-CN" w:bidi="ar-SA"/>
              </w:rPr>
            </w:pPr>
          </w:p>
        </w:tc>
        <w:tc>
          <w:tcPr>
            <w:tcW w:w="2340" w:type="dxa"/>
            <w:noWrap w:val="0"/>
            <w:vAlign w:val="center"/>
          </w:tcPr>
          <w:p w14:paraId="1FA51FD1">
            <w:pPr>
              <w:spacing w:line="360" w:lineRule="auto"/>
              <w:jc w:val="center"/>
              <w:rPr>
                <w:rFonts w:hint="eastAsia" w:ascii="仿宋" w:hAnsi="仿宋" w:eastAsia="仿宋" w:cs="仿宋"/>
                <w:szCs w:val="21"/>
              </w:rPr>
            </w:pPr>
          </w:p>
        </w:tc>
        <w:tc>
          <w:tcPr>
            <w:tcW w:w="4012" w:type="dxa"/>
            <w:noWrap w:val="0"/>
            <w:vAlign w:val="center"/>
          </w:tcPr>
          <w:p w14:paraId="1ADA5977">
            <w:pPr>
              <w:widowControl w:val="0"/>
              <w:numPr>
                <w:ilvl w:val="0"/>
                <w:numId w:val="0"/>
              </w:numPr>
              <w:snapToGrid w:val="0"/>
              <w:spacing w:afterLines="0" w:line="400" w:lineRule="exact"/>
              <w:jc w:val="center"/>
              <w:rPr>
                <w:rFonts w:hint="eastAsia" w:ascii="仿宋" w:hAnsi="仿宋" w:eastAsia="仿宋" w:cs="Times New Roman"/>
                <w:kern w:val="0"/>
                <w:sz w:val="21"/>
                <w:szCs w:val="21"/>
                <w:lang w:val="en-US" w:eastAsia="zh-CN" w:bidi="ar-SA"/>
              </w:rPr>
            </w:pPr>
          </w:p>
        </w:tc>
      </w:tr>
      <w:tr w14:paraId="1FE4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6" w:type="dxa"/>
            <w:gridSpan w:val="3"/>
            <w:noWrap w:val="0"/>
            <w:vAlign w:val="center"/>
          </w:tcPr>
          <w:p w14:paraId="43F4BE48">
            <w:pPr>
              <w:widowControl w:val="0"/>
              <w:numPr>
                <w:ilvl w:val="0"/>
                <w:numId w:val="0"/>
              </w:numPr>
              <w:snapToGrid w:val="0"/>
              <w:spacing w:afterLines="0" w:line="400" w:lineRule="exact"/>
              <w:jc w:val="center"/>
              <w:rPr>
                <w:rFonts w:hint="eastAsia" w:ascii="仿宋" w:hAnsi="仿宋" w:eastAsia="仿宋" w:cs="Times New Roman"/>
                <w:b/>
                <w:kern w:val="0"/>
                <w:sz w:val="21"/>
                <w:szCs w:val="21"/>
                <w:lang w:val="en-US" w:eastAsia="zh-CN" w:bidi="ar-SA"/>
              </w:rPr>
            </w:pPr>
            <w:r>
              <w:rPr>
                <w:rFonts w:hint="eastAsia" w:ascii="仿宋" w:hAnsi="仿宋" w:eastAsia="仿宋" w:cs="Times New Roman"/>
                <w:b/>
                <w:kern w:val="0"/>
                <w:sz w:val="21"/>
                <w:szCs w:val="21"/>
                <w:lang w:val="en-US" w:eastAsia="zh-CN" w:bidi="ar-SA"/>
              </w:rPr>
              <w:t>投标报价（小写）</w:t>
            </w:r>
          </w:p>
        </w:tc>
        <w:tc>
          <w:tcPr>
            <w:tcW w:w="6352" w:type="dxa"/>
            <w:gridSpan w:val="2"/>
            <w:noWrap w:val="0"/>
            <w:vAlign w:val="center"/>
          </w:tcPr>
          <w:p w14:paraId="14A26740">
            <w:pPr>
              <w:widowControl w:val="0"/>
              <w:numPr>
                <w:ilvl w:val="0"/>
                <w:numId w:val="0"/>
              </w:numPr>
              <w:snapToGrid w:val="0"/>
              <w:spacing w:afterLines="0" w:line="400" w:lineRule="exact"/>
              <w:jc w:val="center"/>
              <w:rPr>
                <w:rFonts w:hint="eastAsia" w:ascii="仿宋" w:hAnsi="仿宋" w:eastAsia="仿宋" w:cs="Times New Roman"/>
                <w:kern w:val="0"/>
                <w:sz w:val="21"/>
                <w:szCs w:val="21"/>
                <w:lang w:val="en-US" w:eastAsia="zh-CN" w:bidi="ar-SA"/>
              </w:rPr>
            </w:pPr>
          </w:p>
        </w:tc>
      </w:tr>
      <w:tr w14:paraId="414C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6" w:type="dxa"/>
            <w:gridSpan w:val="3"/>
            <w:noWrap w:val="0"/>
            <w:vAlign w:val="center"/>
          </w:tcPr>
          <w:p w14:paraId="293FDFC6">
            <w:pPr>
              <w:widowControl w:val="0"/>
              <w:numPr>
                <w:ilvl w:val="0"/>
                <w:numId w:val="0"/>
              </w:numPr>
              <w:snapToGrid w:val="0"/>
              <w:spacing w:afterLines="0" w:line="400" w:lineRule="exact"/>
              <w:jc w:val="center"/>
              <w:rPr>
                <w:rFonts w:hint="eastAsia" w:ascii="仿宋" w:hAnsi="仿宋" w:eastAsia="仿宋" w:cs="Times New Roman"/>
                <w:b/>
                <w:kern w:val="0"/>
                <w:sz w:val="21"/>
                <w:szCs w:val="21"/>
                <w:lang w:val="en-US" w:eastAsia="zh-CN" w:bidi="ar-SA"/>
              </w:rPr>
            </w:pPr>
            <w:r>
              <w:rPr>
                <w:rFonts w:hint="eastAsia" w:ascii="仿宋" w:hAnsi="仿宋" w:eastAsia="仿宋" w:cs="Times New Roman"/>
                <w:b/>
                <w:kern w:val="0"/>
                <w:sz w:val="21"/>
                <w:szCs w:val="21"/>
                <w:lang w:val="en-US" w:eastAsia="zh-CN" w:bidi="ar-SA"/>
              </w:rPr>
              <w:t>投标报价（大写）</w:t>
            </w:r>
          </w:p>
        </w:tc>
        <w:tc>
          <w:tcPr>
            <w:tcW w:w="6352" w:type="dxa"/>
            <w:gridSpan w:val="2"/>
            <w:noWrap w:val="0"/>
            <w:vAlign w:val="center"/>
          </w:tcPr>
          <w:p w14:paraId="5A1B03C8">
            <w:pPr>
              <w:widowControl w:val="0"/>
              <w:numPr>
                <w:ilvl w:val="0"/>
                <w:numId w:val="0"/>
              </w:numPr>
              <w:snapToGrid w:val="0"/>
              <w:spacing w:afterLines="0" w:line="400" w:lineRule="exact"/>
              <w:jc w:val="center"/>
              <w:rPr>
                <w:rFonts w:hint="eastAsia" w:ascii="仿宋" w:hAnsi="仿宋" w:eastAsia="仿宋" w:cs="Times New Roman"/>
                <w:kern w:val="0"/>
                <w:sz w:val="21"/>
                <w:szCs w:val="21"/>
                <w:lang w:val="en-US" w:eastAsia="zh-CN" w:bidi="ar-SA"/>
              </w:rPr>
            </w:pPr>
          </w:p>
        </w:tc>
      </w:tr>
    </w:tbl>
    <w:p w14:paraId="042C9644">
      <w:pPr>
        <w:snapToGrid w:val="0"/>
        <w:spacing w:line="360" w:lineRule="auto"/>
        <w:ind w:left="480"/>
        <w:rPr>
          <w:rFonts w:hint="eastAsia" w:ascii="仿宋" w:hAnsi="仿宋" w:eastAsia="仿宋" w:cs="仿宋"/>
          <w:b/>
          <w:kern w:val="0"/>
          <w:szCs w:val="21"/>
          <w:lang w:val="zh-CN"/>
        </w:rPr>
      </w:pPr>
      <w:r>
        <w:rPr>
          <w:rFonts w:hint="eastAsia" w:ascii="仿宋" w:hAnsi="仿宋" w:eastAsia="仿宋" w:cs="仿宋"/>
          <w:b/>
          <w:kern w:val="0"/>
          <w:szCs w:val="21"/>
          <w:lang w:val="zh-CN"/>
        </w:rPr>
        <w:t>注：</w:t>
      </w:r>
    </w:p>
    <w:p w14:paraId="324F2A7D">
      <w:pPr>
        <w:numPr>
          <w:ilvl w:val="0"/>
          <w:numId w:val="7"/>
        </w:numPr>
        <w:spacing w:line="360" w:lineRule="auto"/>
        <w:ind w:left="-2" w:leftChars="-1"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投标人需按本表格式填写，不得自行更改。</w:t>
      </w:r>
    </w:p>
    <w:p w14:paraId="3E83B55B">
      <w:pPr>
        <w:numPr>
          <w:ilvl w:val="0"/>
          <w:numId w:val="0"/>
        </w:numPr>
        <w:spacing w:line="360" w:lineRule="auto"/>
        <w:ind w:leftChars="199"/>
        <w:rPr>
          <w:rFonts w:hint="eastAsia"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bCs/>
          <w:kern w:val="0"/>
          <w:szCs w:val="21"/>
          <w:lang w:val="zh-CN"/>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65B1CB37">
      <w:pPr>
        <w:spacing w:line="360" w:lineRule="auto"/>
        <w:ind w:left="7560" w:leftChars="3600"/>
        <w:rPr>
          <w:rFonts w:hint="eastAsia" w:ascii="仿宋" w:hAnsi="仿宋" w:eastAsia="仿宋" w:cs="仿宋"/>
          <w:sz w:val="24"/>
        </w:rPr>
      </w:pPr>
      <w:r>
        <w:rPr>
          <w:rFonts w:hint="eastAsia" w:ascii="仿宋" w:hAnsi="仿宋" w:eastAsia="仿宋" w:cs="仿宋"/>
          <w:sz w:val="24"/>
        </w:rPr>
        <w:t xml:space="preserve">法定代表人或其授权委托人（签名或印章）：        </w:t>
      </w:r>
    </w:p>
    <w:p w14:paraId="3D782CCD">
      <w:pPr>
        <w:spacing w:line="360" w:lineRule="auto"/>
        <w:ind w:left="7560" w:leftChars="3600"/>
        <w:rPr>
          <w:rFonts w:hint="eastAsia" w:ascii="仿宋" w:hAnsi="仿宋" w:eastAsia="仿宋" w:cs="仿宋"/>
          <w:sz w:val="24"/>
        </w:rPr>
      </w:pPr>
      <w:r>
        <w:rPr>
          <w:rFonts w:hint="eastAsia" w:ascii="仿宋" w:hAnsi="仿宋" w:eastAsia="仿宋" w:cs="仿宋"/>
          <w:sz w:val="24"/>
        </w:rPr>
        <w:t xml:space="preserve">投标人（盖章）：         </w:t>
      </w:r>
    </w:p>
    <w:p w14:paraId="3228F8AF">
      <w:pPr>
        <w:spacing w:line="360" w:lineRule="auto"/>
        <w:ind w:left="7560" w:leftChars="3600"/>
        <w:rPr>
          <w:rFonts w:hint="eastAsia" w:ascii="仿宋" w:hAnsi="仿宋" w:eastAsia="仿宋" w:cs="仿宋"/>
          <w:sz w:val="24"/>
        </w:rPr>
      </w:pPr>
      <w:r>
        <w:rPr>
          <w:rFonts w:hint="eastAsia" w:ascii="仿宋" w:hAnsi="仿宋" w:eastAsia="仿宋" w:cs="仿宋"/>
          <w:sz w:val="24"/>
        </w:rPr>
        <w:t>日  期：</w:t>
      </w:r>
    </w:p>
    <w:p w14:paraId="185F06C6">
      <w:pPr>
        <w:spacing w:line="360" w:lineRule="auto"/>
        <w:jc w:val="left"/>
        <w:rPr>
          <w:rFonts w:hint="eastAsia" w:ascii="仿宋" w:hAnsi="仿宋" w:eastAsia="仿宋"/>
        </w:rPr>
        <w:sectPr>
          <w:pgSz w:w="16838" w:h="11906" w:orient="landscape"/>
          <w:pgMar w:top="1418" w:right="1247" w:bottom="1418" w:left="1276" w:header="851" w:footer="992" w:gutter="0"/>
          <w:cols w:space="720" w:num="1"/>
          <w:titlePg/>
          <w:docGrid w:linePitch="312" w:charSpace="0"/>
        </w:sectPr>
      </w:pPr>
    </w:p>
    <w:p w14:paraId="0B31E834">
      <w:pPr>
        <w:pStyle w:val="67"/>
        <w:keepNext w:val="0"/>
        <w:pageBreakBefore w:val="0"/>
        <w:tabs>
          <w:tab w:val="clear" w:pos="720"/>
        </w:tabs>
        <w:snapToGrid w:val="0"/>
        <w:outlineLvl w:val="9"/>
        <w:rPr>
          <w:rFonts w:hint="eastAsia" w:ascii="仿宋" w:hAnsi="仿宋" w:eastAsia="仿宋" w:cs="仿宋"/>
          <w:kern w:val="2"/>
          <w:sz w:val="32"/>
          <w:szCs w:val="32"/>
        </w:rPr>
      </w:pPr>
      <w:bookmarkStart w:id="563" w:name="_Toc129088788"/>
      <w:bookmarkStart w:id="564" w:name="_Toc129089172"/>
      <w:r>
        <w:rPr>
          <w:rFonts w:hint="eastAsia" w:ascii="仿宋" w:hAnsi="仿宋" w:eastAsia="仿宋" w:cs="仿宋"/>
          <w:kern w:val="2"/>
          <w:sz w:val="32"/>
          <w:szCs w:val="32"/>
        </w:rPr>
        <w:t>二、投标报价明细表</w:t>
      </w:r>
      <w:bookmarkEnd w:id="563"/>
      <w:bookmarkEnd w:id="564"/>
    </w:p>
    <w:p w14:paraId="34563110">
      <w:pPr>
        <w:pStyle w:val="67"/>
        <w:keepNext w:val="0"/>
        <w:pageBreakBefore w:val="0"/>
        <w:tabs>
          <w:tab w:val="clear" w:pos="720"/>
        </w:tabs>
        <w:snapToGrid w:val="0"/>
        <w:jc w:val="left"/>
        <w:outlineLvl w:val="9"/>
        <w:rPr>
          <w:rFonts w:hint="eastAsia" w:ascii="仿宋" w:hAnsi="仿宋" w:eastAsia="仿宋" w:cs="仿宋"/>
          <w:b w:val="0"/>
          <w:kern w:val="2"/>
          <w:sz w:val="28"/>
          <w:szCs w:val="28"/>
          <w:u w:val="single"/>
        </w:rPr>
      </w:pPr>
      <w:bookmarkStart w:id="565" w:name="_Toc129088789"/>
      <w:bookmarkStart w:id="566" w:name="_Toc129089173"/>
      <w:r>
        <w:rPr>
          <w:rFonts w:hint="eastAsia" w:ascii="仿宋" w:hAnsi="仿宋" w:eastAsia="仿宋" w:cs="仿宋"/>
          <w:b w:val="0"/>
          <w:kern w:val="2"/>
          <w:sz w:val="28"/>
          <w:szCs w:val="28"/>
        </w:rPr>
        <w:t>项目编号：</w:t>
      </w:r>
      <w:bookmarkEnd w:id="565"/>
      <w:bookmarkEnd w:id="566"/>
      <w:r>
        <w:rPr>
          <w:rFonts w:hint="eastAsia" w:ascii="仿宋" w:hAnsi="仿宋" w:eastAsia="仿宋" w:cs="仿宋"/>
          <w:b w:val="0"/>
          <w:kern w:val="2"/>
          <w:sz w:val="28"/>
          <w:szCs w:val="28"/>
          <w:u w:val="single"/>
        </w:rPr>
        <w:t xml:space="preserve">                       </w:t>
      </w:r>
    </w:p>
    <w:p w14:paraId="2FDB8407">
      <w:pPr>
        <w:pStyle w:val="67"/>
        <w:keepNext w:val="0"/>
        <w:pageBreakBefore w:val="0"/>
        <w:tabs>
          <w:tab w:val="clear" w:pos="720"/>
        </w:tabs>
        <w:snapToGrid w:val="0"/>
        <w:jc w:val="left"/>
        <w:outlineLvl w:val="9"/>
        <w:rPr>
          <w:rFonts w:hint="eastAsia" w:ascii="仿宋" w:hAnsi="仿宋" w:eastAsia="仿宋" w:cs="仿宋"/>
          <w:b w:val="0"/>
          <w:kern w:val="2"/>
          <w:sz w:val="28"/>
          <w:szCs w:val="28"/>
          <w:u w:val="single"/>
        </w:rPr>
      </w:pPr>
      <w:bookmarkStart w:id="567" w:name="_Toc129089174"/>
      <w:bookmarkStart w:id="568" w:name="_Toc129088790"/>
      <w:r>
        <w:rPr>
          <w:rFonts w:ascii="仿宋" w:hAnsi="仿宋" w:eastAsia="仿宋" w:cs="仿宋"/>
          <w:b w:val="0"/>
          <w:kern w:val="2"/>
          <w:sz w:val="28"/>
          <w:szCs w:val="28"/>
        </w:rPr>
        <w:t>项目名称：</w:t>
      </w:r>
      <w:bookmarkEnd w:id="567"/>
      <w:bookmarkEnd w:id="568"/>
      <w:r>
        <w:rPr>
          <w:rFonts w:hint="eastAsia" w:ascii="仿宋" w:hAnsi="仿宋" w:eastAsia="仿宋" w:cs="仿宋"/>
          <w:b w:val="0"/>
          <w:kern w:val="2"/>
          <w:sz w:val="28"/>
          <w:szCs w:val="28"/>
          <w:u w:val="single"/>
        </w:rPr>
        <w:t xml:space="preserve">                       </w:t>
      </w:r>
    </w:p>
    <w:tbl>
      <w:tblPr>
        <w:tblStyle w:val="29"/>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149"/>
        <w:gridCol w:w="879"/>
        <w:gridCol w:w="1106"/>
        <w:gridCol w:w="998"/>
        <w:gridCol w:w="1140"/>
        <w:gridCol w:w="1547"/>
        <w:gridCol w:w="1462"/>
      </w:tblGrid>
      <w:tr w14:paraId="6AF0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2ABAAB2D">
            <w:pPr>
              <w:jc w:val="center"/>
              <w:rPr>
                <w:rFonts w:hint="eastAsia" w:ascii="仿宋" w:hAnsi="仿宋" w:eastAsia="仿宋"/>
              </w:rPr>
            </w:pPr>
            <w:r>
              <w:rPr>
                <w:rFonts w:hint="eastAsia" w:ascii="仿宋" w:hAnsi="仿宋" w:eastAsia="仿宋"/>
              </w:rPr>
              <w:t>序号</w:t>
            </w:r>
          </w:p>
        </w:tc>
        <w:tc>
          <w:tcPr>
            <w:tcW w:w="2149" w:type="dxa"/>
            <w:tcBorders>
              <w:top w:val="single" w:color="auto" w:sz="4" w:space="0"/>
              <w:left w:val="single" w:color="auto" w:sz="4" w:space="0"/>
              <w:bottom w:val="single" w:color="auto" w:sz="4" w:space="0"/>
              <w:right w:val="single" w:color="auto" w:sz="4" w:space="0"/>
            </w:tcBorders>
            <w:noWrap w:val="0"/>
            <w:vAlign w:val="center"/>
          </w:tcPr>
          <w:p w14:paraId="5F92019E">
            <w:pPr>
              <w:jc w:val="center"/>
              <w:rPr>
                <w:rFonts w:ascii="仿宋" w:hAnsi="仿宋" w:eastAsia="仿宋"/>
              </w:rPr>
            </w:pPr>
            <w:r>
              <w:rPr>
                <w:rFonts w:hint="eastAsia" w:ascii="仿宋" w:hAnsi="仿宋" w:eastAsia="仿宋"/>
              </w:rPr>
              <w:t>货物名称</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14B5A865">
            <w:pPr>
              <w:jc w:val="center"/>
              <w:rPr>
                <w:rFonts w:ascii="仿宋" w:hAnsi="仿宋" w:eastAsia="仿宋"/>
              </w:rPr>
            </w:pPr>
            <w:r>
              <w:rPr>
                <w:rFonts w:ascii="仿宋" w:hAnsi="仿宋" w:eastAsia="仿宋"/>
              </w:rPr>
              <w:t>品牌</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BA42B3A">
            <w:pPr>
              <w:jc w:val="center"/>
              <w:rPr>
                <w:rFonts w:ascii="仿宋" w:hAnsi="仿宋" w:eastAsia="仿宋"/>
              </w:rPr>
            </w:pPr>
            <w:r>
              <w:rPr>
                <w:rFonts w:ascii="仿宋" w:hAnsi="仿宋" w:eastAsia="仿宋"/>
              </w:rPr>
              <w:t>型号</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056D88A1">
            <w:pPr>
              <w:jc w:val="center"/>
              <w:rPr>
                <w:rFonts w:ascii="仿宋" w:hAnsi="仿宋" w:eastAsia="仿宋"/>
              </w:rPr>
            </w:pPr>
            <w:r>
              <w:rPr>
                <w:rFonts w:ascii="仿宋" w:hAnsi="仿宋" w:eastAsia="仿宋"/>
              </w:rPr>
              <w:t>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5C48901">
            <w:pPr>
              <w:jc w:val="center"/>
              <w:rPr>
                <w:rFonts w:ascii="仿宋" w:hAnsi="仿宋" w:eastAsia="仿宋"/>
              </w:rPr>
            </w:pPr>
            <w:r>
              <w:rPr>
                <w:rFonts w:ascii="仿宋" w:hAnsi="仿宋" w:eastAsia="仿宋"/>
              </w:rPr>
              <w:t>数量</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2848C88C">
            <w:pPr>
              <w:jc w:val="center"/>
              <w:rPr>
                <w:rFonts w:hint="eastAsia" w:ascii="仿宋" w:hAnsi="仿宋" w:eastAsia="仿宋"/>
              </w:rPr>
            </w:pPr>
            <w:r>
              <w:rPr>
                <w:rFonts w:ascii="仿宋" w:hAnsi="仿宋" w:eastAsia="仿宋"/>
              </w:rPr>
              <w:t>投标单价</w:t>
            </w:r>
          </w:p>
          <w:p w14:paraId="517401D5">
            <w:pPr>
              <w:jc w:val="center"/>
              <w:rPr>
                <w:rFonts w:ascii="仿宋" w:hAnsi="仿宋" w:eastAsia="仿宋"/>
              </w:rPr>
            </w:pPr>
            <w:r>
              <w:rPr>
                <w:rFonts w:hint="eastAsia" w:ascii="仿宋" w:hAnsi="仿宋" w:eastAsia="仿宋"/>
              </w:rPr>
              <w:t>（元/辆）</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18101F86">
            <w:pPr>
              <w:jc w:val="center"/>
              <w:rPr>
                <w:rFonts w:ascii="仿宋" w:hAnsi="仿宋" w:eastAsia="仿宋"/>
              </w:rPr>
            </w:pPr>
            <w:r>
              <w:rPr>
                <w:rFonts w:ascii="仿宋" w:hAnsi="仿宋" w:eastAsia="仿宋"/>
              </w:rPr>
              <w:t>小计</w:t>
            </w:r>
          </w:p>
        </w:tc>
      </w:tr>
      <w:tr w14:paraId="3486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12A367C0">
            <w:pPr>
              <w:jc w:val="center"/>
              <w:rPr>
                <w:rFonts w:hint="eastAsia" w:ascii="仿宋" w:hAnsi="仿宋" w:eastAsia="仿宋"/>
              </w:rPr>
            </w:pPr>
            <w:r>
              <w:rPr>
                <w:rFonts w:hint="eastAsia" w:ascii="仿宋" w:hAnsi="仿宋" w:eastAsia="仿宋"/>
              </w:rPr>
              <w:t>1</w:t>
            </w:r>
          </w:p>
        </w:tc>
        <w:tc>
          <w:tcPr>
            <w:tcW w:w="2149" w:type="dxa"/>
            <w:tcBorders>
              <w:top w:val="single" w:color="auto" w:sz="4" w:space="0"/>
              <w:left w:val="single" w:color="auto" w:sz="4" w:space="0"/>
              <w:bottom w:val="single" w:color="auto" w:sz="4" w:space="0"/>
              <w:right w:val="single" w:color="auto" w:sz="4" w:space="0"/>
            </w:tcBorders>
            <w:noWrap w:val="0"/>
            <w:vAlign w:val="center"/>
          </w:tcPr>
          <w:p w14:paraId="632191A7">
            <w:pPr>
              <w:widowControl/>
              <w:spacing w:line="400" w:lineRule="exact"/>
              <w:jc w:val="center"/>
              <w:rPr>
                <w:rFonts w:ascii="仿宋" w:hAnsi="仿宋" w:eastAsia="仿宋" w:cs="宋体"/>
                <w:kern w:val="0"/>
                <w:szCs w:val="21"/>
              </w:rPr>
            </w:pPr>
            <w:r>
              <w:rPr>
                <w:rFonts w:hint="eastAsia" w:ascii="仿宋" w:hAnsi="仿宋" w:eastAsia="仿宋" w:cs="宋体"/>
                <w:kern w:val="0"/>
                <w:szCs w:val="21"/>
              </w:rPr>
              <w:t>救护车</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1D2FE44F">
            <w:pPr>
              <w:jc w:val="center"/>
              <w:rPr>
                <w:rFonts w:ascii="仿宋" w:hAnsi="仿宋" w:eastAsia="仿宋"/>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F436B03">
            <w:pPr>
              <w:jc w:val="center"/>
              <w:rPr>
                <w:rFonts w:ascii="仿宋" w:hAnsi="仿宋" w:eastAsia="仿宋"/>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5E9B8B43">
            <w:pPr>
              <w:jc w:val="center"/>
              <w:rPr>
                <w:rFonts w:ascii="仿宋" w:hAnsi="仿宋" w:eastAsia="仿宋"/>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1508BD4">
            <w:pPr>
              <w:jc w:val="center"/>
              <w:rPr>
                <w:rFonts w:ascii="仿宋" w:hAnsi="仿宋" w:eastAsia="仿宋"/>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4F79C8DD">
            <w:pPr>
              <w:ind w:firstLine="420"/>
              <w:jc w:val="center"/>
              <w:rPr>
                <w:rFonts w:ascii="仿宋" w:hAnsi="仿宋" w:eastAsia="仿宋"/>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60735917">
            <w:pPr>
              <w:ind w:firstLine="420"/>
              <w:jc w:val="center"/>
              <w:rPr>
                <w:rFonts w:ascii="仿宋" w:hAnsi="仿宋" w:eastAsia="仿宋"/>
              </w:rPr>
            </w:pPr>
          </w:p>
        </w:tc>
      </w:tr>
      <w:tr w14:paraId="2A50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625" w:type="dxa"/>
            <w:gridSpan w:val="7"/>
            <w:tcBorders>
              <w:top w:val="single" w:color="auto" w:sz="4" w:space="0"/>
              <w:left w:val="single" w:color="auto" w:sz="4" w:space="0"/>
              <w:bottom w:val="single" w:color="auto" w:sz="4" w:space="0"/>
              <w:right w:val="single" w:color="auto" w:sz="4" w:space="0"/>
            </w:tcBorders>
            <w:noWrap w:val="0"/>
            <w:vAlign w:val="center"/>
          </w:tcPr>
          <w:p w14:paraId="67ACB85F">
            <w:pPr>
              <w:ind w:firstLine="420"/>
              <w:jc w:val="center"/>
              <w:rPr>
                <w:rFonts w:ascii="仿宋" w:hAnsi="仿宋" w:eastAsia="仿宋"/>
              </w:rPr>
            </w:pPr>
            <w:r>
              <w:rPr>
                <w:rFonts w:ascii="仿宋" w:hAnsi="仿宋" w:eastAsia="仿宋"/>
              </w:rPr>
              <w:t>投标总价（元）</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50CB9C8B">
            <w:pPr>
              <w:ind w:firstLine="420"/>
              <w:jc w:val="center"/>
              <w:rPr>
                <w:rFonts w:ascii="仿宋" w:hAnsi="仿宋" w:eastAsia="仿宋"/>
              </w:rPr>
            </w:pPr>
          </w:p>
        </w:tc>
      </w:tr>
    </w:tbl>
    <w:p w14:paraId="6108EE26">
      <w:pPr>
        <w:pStyle w:val="44"/>
        <w:ind w:firstLine="560"/>
        <w:rPr>
          <w:rFonts w:hint="eastAsia" w:ascii="仿宋" w:hAnsi="仿宋" w:eastAsia="仿宋"/>
        </w:rPr>
      </w:pPr>
    </w:p>
    <w:p w14:paraId="12DCFCAA">
      <w:pPr>
        <w:pStyle w:val="44"/>
        <w:ind w:firstLine="560"/>
        <w:rPr>
          <w:rFonts w:hint="eastAsia" w:ascii="仿宋" w:hAnsi="仿宋" w:eastAsia="仿宋"/>
        </w:rPr>
      </w:pPr>
    </w:p>
    <w:p w14:paraId="6E9A458C">
      <w:pPr>
        <w:spacing w:line="360" w:lineRule="auto"/>
        <w:ind w:left="-2" w:leftChars="-1"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 xml:space="preserve">法定代表人或其授权委托人（签名或印章）：        </w:t>
      </w:r>
    </w:p>
    <w:p w14:paraId="7332702B">
      <w:pPr>
        <w:spacing w:line="360" w:lineRule="auto"/>
        <w:ind w:left="-2" w:leftChars="-1"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 xml:space="preserve">投标人（盖章）：         </w:t>
      </w:r>
    </w:p>
    <w:p w14:paraId="633580FB">
      <w:pPr>
        <w:spacing w:line="360" w:lineRule="auto"/>
        <w:ind w:left="-2" w:leftChars="-1"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日  期：</w:t>
      </w:r>
    </w:p>
    <w:p w14:paraId="34018318">
      <w:pPr>
        <w:spacing w:line="360" w:lineRule="auto"/>
        <w:jc w:val="center"/>
        <w:rPr>
          <w:rFonts w:hint="eastAsia" w:ascii="仿宋" w:hAnsi="仿宋" w:eastAsia="仿宋" w:cs="仿宋"/>
          <w:sz w:val="32"/>
          <w:szCs w:val="32"/>
        </w:rPr>
      </w:pPr>
      <w:r>
        <w:rPr>
          <w:rFonts w:hint="eastAsia" w:ascii="仿宋" w:hAnsi="仿宋" w:eastAsia="仿宋" w:cs="仿宋"/>
          <w:sz w:val="24"/>
        </w:rPr>
        <w:br w:type="page"/>
      </w:r>
      <w:r>
        <w:rPr>
          <w:rFonts w:hint="eastAsia" w:ascii="仿宋" w:hAnsi="仿宋" w:eastAsia="仿宋" w:cs="仿宋"/>
          <w:b/>
          <w:sz w:val="32"/>
          <w:szCs w:val="32"/>
        </w:rPr>
        <w:t>三、中小企业声明函</w:t>
      </w:r>
    </w:p>
    <w:p w14:paraId="609614F7">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40BABBF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4C005A3F">
      <w:pPr>
        <w:spacing w:line="360" w:lineRule="auto"/>
        <w:rPr>
          <w:rFonts w:hint="eastAsia" w:ascii="仿宋" w:hAnsi="仿宋" w:eastAsia="仿宋" w:cs="仿宋"/>
        </w:rPr>
      </w:pPr>
    </w:p>
    <w:p w14:paraId="02D81BCA">
      <w:pPr>
        <w:spacing w:line="360" w:lineRule="auto"/>
        <w:ind w:firstLine="420" w:firstLineChars="200"/>
        <w:rPr>
          <w:rFonts w:hint="eastAsia" w:ascii="仿宋" w:hAnsi="仿宋" w:eastAsia="仿宋"/>
        </w:rPr>
      </w:pPr>
      <w:r>
        <w:rPr>
          <w:rFonts w:hint="eastAsia" w:ascii="仿宋" w:hAnsi="仿宋" w:eastAsia="仿宋"/>
        </w:rPr>
        <w:t>本公司郑重声明，</w:t>
      </w:r>
      <w:r>
        <w:rPr>
          <w:rFonts w:ascii="仿宋" w:hAnsi="仿宋" w:eastAsia="仿宋"/>
        </w:rPr>
        <w:t>根据《政府采购促进中小企业发展</w:t>
      </w:r>
      <w:r>
        <w:rPr>
          <w:rFonts w:hint="eastAsia" w:ascii="仿宋" w:hAnsi="仿宋" w:eastAsia="仿宋"/>
        </w:rPr>
        <w:t>管理</w:t>
      </w:r>
      <w:r>
        <w:rPr>
          <w:rFonts w:ascii="仿宋" w:hAnsi="仿宋" w:eastAsia="仿宋"/>
        </w:rPr>
        <w:t>办法》（财库</w:t>
      </w:r>
      <w:r>
        <w:rPr>
          <w:rFonts w:hint="eastAsia" w:ascii="仿宋" w:hAnsi="仿宋" w:eastAsia="仿宋"/>
        </w:rPr>
        <w:t>〔</w:t>
      </w:r>
      <w:r>
        <w:rPr>
          <w:rFonts w:ascii="仿宋" w:hAnsi="仿宋" w:eastAsia="仿宋"/>
        </w:rPr>
        <w:t>20</w:t>
      </w:r>
      <w:r>
        <w:rPr>
          <w:rFonts w:hint="eastAsia" w:ascii="仿宋" w:hAnsi="仿宋" w:eastAsia="仿宋"/>
        </w:rPr>
        <w:t>20〕46</w:t>
      </w:r>
      <w:r>
        <w:rPr>
          <w:rFonts w:ascii="仿宋" w:hAnsi="仿宋" w:eastAsia="仿宋"/>
        </w:rPr>
        <w:t>号）</w:t>
      </w:r>
      <w:r>
        <w:rPr>
          <w:rFonts w:hint="eastAsia" w:ascii="仿宋" w:hAnsi="仿宋" w:eastAsia="仿宋"/>
        </w:rPr>
        <w:t>的规定，本公司参加</w:t>
      </w:r>
      <w:r>
        <w:rPr>
          <w:rFonts w:hint="eastAsia" w:ascii="仿宋" w:hAnsi="仿宋" w:eastAsia="仿宋"/>
          <w:u w:val="single"/>
        </w:rPr>
        <w:t xml:space="preserve">      （</w:t>
      </w:r>
      <w:r>
        <w:rPr>
          <w:rFonts w:hint="eastAsia" w:ascii="仿宋" w:hAnsi="仿宋" w:eastAsia="仿宋"/>
          <w:i/>
          <w:u w:val="single"/>
        </w:rPr>
        <w:t>单位名称</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i/>
          <w:u w:val="single"/>
        </w:rPr>
        <w:t>项目名称</w:t>
      </w:r>
      <w:r>
        <w:rPr>
          <w:rFonts w:hint="eastAsia" w:ascii="仿宋" w:hAnsi="仿宋" w:eastAsia="仿宋"/>
          <w:u w:val="single"/>
        </w:rPr>
        <w:t xml:space="preserve">）     </w:t>
      </w:r>
      <w:r>
        <w:rPr>
          <w:rFonts w:hint="eastAsia" w:ascii="仿宋" w:hAnsi="仿宋" w:eastAsia="仿宋"/>
        </w:rPr>
        <w:t>采购活动，提供的货物全部由符合政策要求的中小企业制造。相关企业（含联合体中的中小企业、签订分包意向协议的中小企业）的具体情况如下：</w:t>
      </w:r>
    </w:p>
    <w:p w14:paraId="331EDB7A">
      <w:pPr>
        <w:spacing w:line="360" w:lineRule="auto"/>
        <w:ind w:firstLine="420" w:firstLineChars="200"/>
        <w:rPr>
          <w:rFonts w:hint="eastAsia" w:ascii="仿宋" w:hAnsi="仿宋" w:eastAsia="仿宋"/>
        </w:rPr>
      </w:pPr>
      <w:r>
        <w:rPr>
          <w:rFonts w:hint="eastAsia" w:ascii="仿宋" w:hAnsi="仿宋" w:eastAsia="仿宋"/>
        </w:rPr>
        <w:t>1、</w:t>
      </w:r>
      <w:r>
        <w:rPr>
          <w:rFonts w:hint="eastAsia" w:ascii="仿宋" w:hAnsi="仿宋" w:eastAsia="仿宋"/>
          <w:u w:val="single"/>
        </w:rPr>
        <w:t>救护车</w:t>
      </w:r>
      <w:r>
        <w:rPr>
          <w:rFonts w:hint="eastAsia" w:ascii="仿宋" w:hAnsi="仿宋" w:eastAsia="仿宋"/>
        </w:rPr>
        <w:t>，属于</w:t>
      </w:r>
      <w:r>
        <w:rPr>
          <w:rFonts w:hint="eastAsia" w:ascii="仿宋" w:hAnsi="仿宋" w:eastAsia="仿宋"/>
          <w:u w:val="single"/>
        </w:rPr>
        <w:t xml:space="preserve">  工业  </w:t>
      </w:r>
      <w:r>
        <w:rPr>
          <w:rFonts w:hint="eastAsia" w:ascii="仿宋" w:hAnsi="仿宋" w:eastAsia="仿宋"/>
        </w:rPr>
        <w:t>行业  ；制造商为</w:t>
      </w:r>
      <w:r>
        <w:rPr>
          <w:rFonts w:hint="eastAsia" w:ascii="仿宋" w:hAnsi="仿宋" w:eastAsia="仿宋"/>
          <w:u w:val="single"/>
        </w:rPr>
        <w:t xml:space="preserve"> （</w:t>
      </w:r>
      <w:r>
        <w:rPr>
          <w:rFonts w:hint="eastAsia" w:ascii="仿宋" w:hAnsi="仿宋" w:eastAsia="仿宋"/>
          <w:i/>
          <w:u w:val="single"/>
        </w:rPr>
        <w:t>企业名称</w:t>
      </w:r>
      <w:r>
        <w:rPr>
          <w:rFonts w:hint="eastAsia" w:ascii="仿宋" w:hAnsi="仿宋" w:eastAsia="仿宋"/>
          <w:u w:val="single"/>
        </w:rPr>
        <w:t xml:space="preserve">） </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人，营业收入为</w:t>
      </w:r>
      <w:r>
        <w:rPr>
          <w:rFonts w:hint="eastAsia" w:ascii="仿宋" w:hAnsi="仿宋" w:eastAsia="仿宋"/>
          <w:u w:val="single"/>
        </w:rPr>
        <w:t xml:space="preserve">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w:t>
      </w:r>
      <w:r>
        <w:rPr>
          <w:rFonts w:hint="eastAsia" w:ascii="仿宋" w:hAnsi="仿宋" w:eastAsia="仿宋"/>
          <w:u w:val="single"/>
        </w:rPr>
        <w:t xml:space="preserve">  （</w:t>
      </w:r>
      <w:r>
        <w:rPr>
          <w:rFonts w:hint="eastAsia" w:ascii="仿宋" w:hAnsi="仿宋" w:eastAsia="仿宋"/>
          <w:i/>
          <w:u w:val="single"/>
        </w:rPr>
        <w:t>中型企业、小型企业、微型企业</w:t>
      </w:r>
      <w:r>
        <w:rPr>
          <w:rFonts w:hint="eastAsia" w:ascii="仿宋" w:hAnsi="仿宋" w:eastAsia="仿宋"/>
          <w:u w:val="single"/>
        </w:rPr>
        <w:t xml:space="preserve">）  </w:t>
      </w:r>
      <w:r>
        <w:rPr>
          <w:rFonts w:hint="eastAsia" w:ascii="仿宋" w:hAnsi="仿宋" w:eastAsia="仿宋"/>
        </w:rPr>
        <w:t>；</w:t>
      </w:r>
    </w:p>
    <w:p w14:paraId="535112A6">
      <w:pPr>
        <w:spacing w:line="360" w:lineRule="auto"/>
        <w:ind w:firstLine="420" w:firstLineChars="200"/>
        <w:rPr>
          <w:rFonts w:hint="eastAsia" w:ascii="仿宋" w:hAnsi="仿宋" w:eastAsia="仿宋"/>
        </w:rPr>
      </w:pPr>
      <w:r>
        <w:rPr>
          <w:rFonts w:hint="eastAsia" w:ascii="仿宋" w:hAnsi="仿宋" w:eastAsia="仿宋"/>
        </w:rPr>
        <w:t>以上企业，不属于大企业的分支机构，不存在控股股东为大企业的情形，也不存在与大企业的负责人为同一人的情形。</w:t>
      </w:r>
    </w:p>
    <w:p w14:paraId="52044B00">
      <w:pPr>
        <w:spacing w:line="360" w:lineRule="auto"/>
        <w:ind w:firstLine="420" w:firstLineChars="200"/>
        <w:rPr>
          <w:rFonts w:ascii="仿宋" w:hAnsi="仿宋" w:eastAsia="仿宋"/>
        </w:rPr>
      </w:pPr>
      <w:r>
        <w:rPr>
          <w:rFonts w:hint="eastAsia" w:ascii="仿宋" w:hAnsi="仿宋" w:eastAsia="仿宋"/>
        </w:rPr>
        <w:t>本企业对上述声明内容的真实性负责。如有虚假，将依法承担相应责任。</w:t>
      </w:r>
      <w:r>
        <w:rPr>
          <w:rFonts w:hint="eastAsia" w:ascii="宋体" w:hAnsi="宋体" w:cs="宋体"/>
        </w:rPr>
        <w:t> </w:t>
      </w:r>
    </w:p>
    <w:p w14:paraId="038C28A2">
      <w:pPr>
        <w:spacing w:line="360" w:lineRule="auto"/>
        <w:ind w:firstLine="3990" w:firstLineChars="1900"/>
        <w:rPr>
          <w:rFonts w:hint="eastAsia" w:ascii="仿宋" w:hAnsi="仿宋" w:eastAsia="仿宋"/>
        </w:rPr>
      </w:pPr>
    </w:p>
    <w:p w14:paraId="73CB56E8">
      <w:pPr>
        <w:spacing w:line="360" w:lineRule="auto"/>
        <w:ind w:firstLine="3990" w:firstLineChars="1900"/>
        <w:rPr>
          <w:rFonts w:ascii="仿宋" w:hAnsi="仿宋" w:eastAsia="仿宋"/>
        </w:rPr>
      </w:pPr>
      <w:r>
        <w:rPr>
          <w:rFonts w:hint="eastAsia" w:ascii="仿宋" w:hAnsi="仿宋" w:eastAsia="仿宋"/>
        </w:rPr>
        <w:t>企业</w:t>
      </w:r>
      <w:r>
        <w:rPr>
          <w:rFonts w:ascii="仿宋" w:hAnsi="仿宋" w:eastAsia="仿宋"/>
        </w:rPr>
        <w:t>名称（盖章）：</w:t>
      </w:r>
      <w:r>
        <w:rPr>
          <w:rFonts w:hint="eastAsia" w:ascii="仿宋" w:hAnsi="仿宋" w:eastAsia="仿宋"/>
        </w:rPr>
        <w:t xml:space="preserve">                          </w:t>
      </w:r>
    </w:p>
    <w:p w14:paraId="6A620B7F">
      <w:pPr>
        <w:spacing w:line="360" w:lineRule="auto"/>
        <w:ind w:firstLine="3990" w:firstLineChars="1900"/>
        <w:rPr>
          <w:rFonts w:hint="eastAsia" w:ascii="仿宋" w:hAnsi="仿宋" w:eastAsia="仿宋"/>
          <w:highlight w:val="none"/>
        </w:rPr>
      </w:pPr>
      <w:r>
        <w:rPr>
          <w:rFonts w:ascii="仿宋" w:hAnsi="仿宋" w:eastAsia="仿宋"/>
        </w:rPr>
        <w:t>日期：</w:t>
      </w:r>
    </w:p>
    <w:p w14:paraId="3A5EB1A3">
      <w:pPr>
        <w:spacing w:line="360" w:lineRule="auto"/>
        <w:ind w:firstLine="310" w:firstLineChars="147"/>
        <w:jc w:val="left"/>
        <w:rPr>
          <w:rFonts w:hint="eastAsia" w:ascii="仿宋" w:hAnsi="仿宋" w:eastAsia="仿宋" w:cs="仿宋"/>
          <w:sz w:val="24"/>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0630F29B">
      <w:pPr>
        <w:spacing w:line="360" w:lineRule="auto"/>
        <w:ind w:right="-283"/>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18D602">
      <w:pPr>
        <w:spacing w:line="360" w:lineRule="auto"/>
        <w:ind w:right="-283"/>
        <w:rPr>
          <w:rFonts w:hint="eastAsia" w:ascii="仿宋" w:hAnsi="仿宋" w:eastAsia="仿宋" w:cs="仿宋"/>
          <w:sz w:val="24"/>
        </w:rPr>
        <w:sectPr>
          <w:footerReference r:id="rId11" w:type="first"/>
          <w:footerReference r:id="rId9" w:type="default"/>
          <w:footerReference r:id="rId10" w:type="even"/>
          <w:pgSz w:w="11906" w:h="16838"/>
          <w:pgMar w:top="1418" w:right="1287" w:bottom="1134" w:left="1622" w:header="624" w:footer="624" w:gutter="0"/>
          <w:cols w:space="720" w:num="1"/>
          <w:docGrid w:linePitch="312" w:charSpace="0"/>
        </w:sectPr>
      </w:pPr>
      <w:r>
        <w:rPr>
          <w:rFonts w:hint="eastAsia" w:ascii="仿宋" w:hAnsi="仿宋" w:eastAsia="仿宋" w:cs="仿宋"/>
          <w:b/>
          <w:bCs/>
          <w:sz w:val="24"/>
        </w:rPr>
        <w:t>注意：改装部分为救护车的配套设备，无需提供中小企业声明函。</w:t>
      </w:r>
    </w:p>
    <w:tbl>
      <w:tblPr>
        <w:tblStyle w:val="29"/>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67DE678C">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noWrap w:val="0"/>
            <w:vAlign w:val="bottom"/>
          </w:tcPr>
          <w:p w14:paraId="67EE6386">
            <w:pPr>
              <w:widowControl/>
              <w:jc w:val="center"/>
              <w:rPr>
                <w:rFonts w:ascii="仿宋" w:hAnsi="仿宋" w:eastAsia="仿宋" w:cs="宋体"/>
                <w:b/>
                <w:bCs/>
                <w:kern w:val="0"/>
                <w:sz w:val="32"/>
                <w:szCs w:val="32"/>
              </w:rPr>
            </w:pPr>
            <w:r>
              <w:rPr>
                <w:rFonts w:hint="eastAsia" w:ascii="仿宋" w:hAnsi="仿宋" w:eastAsia="仿宋" w:cs="宋体"/>
                <w:b/>
                <w:bCs/>
                <w:kern w:val="0"/>
                <w:sz w:val="24"/>
              </w:rPr>
              <w:t>中小微行业划型标准规定（根据工信部联企业〔2011〕300号制定）</w:t>
            </w:r>
          </w:p>
        </w:tc>
      </w:tr>
      <w:tr w14:paraId="6CA76A07">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478273BC">
            <w:pPr>
              <w:widowControl/>
              <w:jc w:val="center"/>
              <w:rPr>
                <w:rFonts w:ascii="仿宋" w:hAnsi="仿宋" w:eastAsia="仿宋" w:cs="宋体"/>
                <w:b/>
                <w:bCs/>
                <w:kern w:val="0"/>
                <w:sz w:val="24"/>
              </w:rPr>
            </w:pPr>
            <w:r>
              <w:rPr>
                <w:rFonts w:hint="eastAsia" w:ascii="仿宋" w:hAnsi="仿宋" w:eastAsia="仿宋" w:cs="宋体"/>
                <w:b/>
                <w:bCs/>
                <w:kern w:val="0"/>
                <w:sz w:val="24"/>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17D3A34A">
            <w:pPr>
              <w:widowControl/>
              <w:jc w:val="center"/>
              <w:rPr>
                <w:rFonts w:ascii="仿宋" w:hAnsi="仿宋" w:eastAsia="仿宋" w:cs="宋体"/>
                <w:b/>
                <w:bCs/>
                <w:kern w:val="0"/>
                <w:sz w:val="24"/>
              </w:rPr>
            </w:pPr>
            <w:r>
              <w:rPr>
                <w:rFonts w:hint="eastAsia" w:ascii="仿宋" w:hAnsi="仿宋" w:eastAsia="仿宋" w:cs="宋体"/>
                <w:b/>
                <w:bCs/>
                <w:kern w:val="0"/>
                <w:sz w:val="24"/>
              </w:rPr>
              <w:t>中型企业</w:t>
            </w:r>
          </w:p>
        </w:tc>
        <w:tc>
          <w:tcPr>
            <w:tcW w:w="4396" w:type="dxa"/>
            <w:gridSpan w:val="3"/>
            <w:tcBorders>
              <w:top w:val="single" w:color="auto" w:sz="8" w:space="0"/>
              <w:left w:val="nil"/>
              <w:bottom w:val="single" w:color="auto" w:sz="4" w:space="0"/>
              <w:right w:val="single" w:color="000000" w:sz="8" w:space="0"/>
            </w:tcBorders>
            <w:noWrap w:val="0"/>
            <w:vAlign w:val="bottom"/>
          </w:tcPr>
          <w:p w14:paraId="6EC89D9A">
            <w:pPr>
              <w:widowControl/>
              <w:jc w:val="center"/>
              <w:rPr>
                <w:rFonts w:ascii="仿宋" w:hAnsi="仿宋" w:eastAsia="仿宋" w:cs="宋体"/>
                <w:b/>
                <w:bCs/>
                <w:kern w:val="0"/>
                <w:sz w:val="24"/>
              </w:rPr>
            </w:pPr>
            <w:r>
              <w:rPr>
                <w:rFonts w:hint="eastAsia" w:ascii="仿宋" w:hAnsi="仿宋" w:eastAsia="仿宋"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09CC5630">
            <w:pPr>
              <w:widowControl/>
              <w:jc w:val="center"/>
              <w:rPr>
                <w:rFonts w:ascii="仿宋" w:hAnsi="仿宋" w:eastAsia="仿宋" w:cs="宋体"/>
                <w:b/>
                <w:bCs/>
                <w:kern w:val="0"/>
                <w:sz w:val="24"/>
              </w:rPr>
            </w:pPr>
            <w:r>
              <w:rPr>
                <w:rFonts w:hint="eastAsia" w:ascii="仿宋" w:hAnsi="仿宋" w:eastAsia="仿宋" w:cs="宋体"/>
                <w:b/>
                <w:bCs/>
                <w:kern w:val="0"/>
                <w:sz w:val="24"/>
              </w:rPr>
              <w:t>微型企业</w:t>
            </w:r>
          </w:p>
        </w:tc>
      </w:tr>
      <w:tr w14:paraId="60C4569D">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79F738E9">
            <w:pPr>
              <w:widowControl/>
              <w:jc w:val="left"/>
              <w:rPr>
                <w:rFonts w:ascii="仿宋" w:hAnsi="仿宋" w:eastAsia="仿宋" w:cs="宋体"/>
                <w:b/>
                <w:bCs/>
                <w:kern w:val="0"/>
                <w:sz w:val="24"/>
              </w:rPr>
            </w:pPr>
          </w:p>
        </w:tc>
        <w:tc>
          <w:tcPr>
            <w:tcW w:w="1498" w:type="dxa"/>
            <w:tcBorders>
              <w:top w:val="nil"/>
              <w:left w:val="nil"/>
              <w:bottom w:val="single" w:color="auto" w:sz="4" w:space="0"/>
              <w:right w:val="single" w:color="auto" w:sz="4" w:space="0"/>
            </w:tcBorders>
            <w:noWrap w:val="0"/>
            <w:vAlign w:val="bottom"/>
          </w:tcPr>
          <w:p w14:paraId="68810820">
            <w:pPr>
              <w:widowControl/>
              <w:jc w:val="center"/>
              <w:rPr>
                <w:rFonts w:ascii="仿宋" w:hAnsi="仿宋" w:eastAsia="仿宋" w:cs="宋体"/>
                <w:kern w:val="0"/>
                <w:sz w:val="20"/>
              </w:rPr>
            </w:pPr>
            <w:r>
              <w:rPr>
                <w:rFonts w:hint="eastAsia" w:ascii="仿宋" w:hAnsi="仿宋" w:eastAsia="仿宋" w:cs="宋体"/>
                <w:kern w:val="0"/>
                <w:sz w:val="20"/>
              </w:rPr>
              <w:t>从业人员X（人）</w:t>
            </w:r>
          </w:p>
        </w:tc>
        <w:tc>
          <w:tcPr>
            <w:tcW w:w="1763" w:type="dxa"/>
            <w:tcBorders>
              <w:top w:val="nil"/>
              <w:left w:val="nil"/>
              <w:bottom w:val="single" w:color="auto" w:sz="4" w:space="0"/>
              <w:right w:val="single" w:color="auto" w:sz="4" w:space="0"/>
            </w:tcBorders>
            <w:noWrap w:val="0"/>
            <w:vAlign w:val="bottom"/>
          </w:tcPr>
          <w:p w14:paraId="17655CB4">
            <w:pPr>
              <w:widowControl/>
              <w:jc w:val="center"/>
              <w:rPr>
                <w:rFonts w:hint="eastAsia" w:ascii="仿宋" w:hAnsi="仿宋" w:eastAsia="仿宋" w:cs="宋体"/>
                <w:kern w:val="0"/>
                <w:sz w:val="20"/>
              </w:rPr>
            </w:pPr>
            <w:r>
              <w:rPr>
                <w:rFonts w:hint="eastAsia" w:ascii="仿宋" w:hAnsi="仿宋" w:eastAsia="仿宋" w:cs="宋体"/>
                <w:kern w:val="0"/>
                <w:sz w:val="20"/>
              </w:rPr>
              <w:t>营业收入Y</w:t>
            </w:r>
          </w:p>
          <w:p w14:paraId="1FD3BE62">
            <w:pPr>
              <w:widowControl/>
              <w:jc w:val="center"/>
              <w:rPr>
                <w:rFonts w:ascii="仿宋" w:hAnsi="仿宋" w:eastAsia="仿宋" w:cs="宋体"/>
                <w:kern w:val="0"/>
                <w:sz w:val="20"/>
              </w:rPr>
            </w:pPr>
            <w:r>
              <w:rPr>
                <w:rFonts w:hint="eastAsia" w:ascii="仿宋" w:hAnsi="仿宋" w:eastAsia="仿宋" w:cs="宋体"/>
                <w:kern w:val="0"/>
                <w:sz w:val="20"/>
              </w:rPr>
              <w:t>（万元）</w:t>
            </w:r>
          </w:p>
        </w:tc>
        <w:tc>
          <w:tcPr>
            <w:tcW w:w="1660" w:type="dxa"/>
            <w:tcBorders>
              <w:top w:val="nil"/>
              <w:left w:val="nil"/>
              <w:bottom w:val="single" w:color="auto" w:sz="4" w:space="0"/>
              <w:right w:val="single" w:color="auto" w:sz="8" w:space="0"/>
            </w:tcBorders>
            <w:noWrap w:val="0"/>
            <w:vAlign w:val="bottom"/>
          </w:tcPr>
          <w:p w14:paraId="5F160373">
            <w:pPr>
              <w:widowControl/>
              <w:jc w:val="center"/>
              <w:rPr>
                <w:rFonts w:hint="eastAsia" w:ascii="仿宋" w:hAnsi="仿宋" w:eastAsia="仿宋" w:cs="宋体"/>
                <w:kern w:val="0"/>
                <w:sz w:val="20"/>
              </w:rPr>
            </w:pPr>
            <w:r>
              <w:rPr>
                <w:rFonts w:hint="eastAsia" w:ascii="仿宋" w:hAnsi="仿宋" w:eastAsia="仿宋" w:cs="宋体"/>
                <w:kern w:val="0"/>
                <w:sz w:val="20"/>
              </w:rPr>
              <w:t>资产总额Z</w:t>
            </w:r>
          </w:p>
          <w:p w14:paraId="1B66B97D">
            <w:pPr>
              <w:widowControl/>
              <w:jc w:val="center"/>
              <w:rPr>
                <w:rFonts w:ascii="仿宋" w:hAnsi="仿宋" w:eastAsia="仿宋" w:cs="宋体"/>
                <w:kern w:val="0"/>
                <w:sz w:val="20"/>
              </w:rPr>
            </w:pPr>
            <w:r>
              <w:rPr>
                <w:rFonts w:hint="eastAsia" w:ascii="仿宋" w:hAnsi="仿宋" w:eastAsia="仿宋" w:cs="宋体"/>
                <w:kern w:val="0"/>
                <w:sz w:val="20"/>
              </w:rPr>
              <w:t>（万元）</w:t>
            </w:r>
          </w:p>
        </w:tc>
        <w:tc>
          <w:tcPr>
            <w:tcW w:w="1240" w:type="dxa"/>
            <w:tcBorders>
              <w:top w:val="nil"/>
              <w:left w:val="nil"/>
              <w:bottom w:val="single" w:color="auto" w:sz="4" w:space="0"/>
              <w:right w:val="single" w:color="auto" w:sz="4" w:space="0"/>
            </w:tcBorders>
            <w:noWrap w:val="0"/>
            <w:vAlign w:val="bottom"/>
          </w:tcPr>
          <w:p w14:paraId="753EA76E">
            <w:pPr>
              <w:widowControl/>
              <w:jc w:val="center"/>
              <w:rPr>
                <w:rFonts w:ascii="仿宋" w:hAnsi="仿宋" w:eastAsia="仿宋" w:cs="宋体"/>
                <w:kern w:val="0"/>
                <w:sz w:val="20"/>
              </w:rPr>
            </w:pPr>
            <w:r>
              <w:rPr>
                <w:rFonts w:hint="eastAsia" w:ascii="仿宋" w:hAnsi="仿宋" w:eastAsia="仿宋" w:cs="宋体"/>
                <w:kern w:val="0"/>
                <w:sz w:val="20"/>
              </w:rPr>
              <w:t>从业人员X（人）</w:t>
            </w:r>
          </w:p>
        </w:tc>
        <w:tc>
          <w:tcPr>
            <w:tcW w:w="1636" w:type="dxa"/>
            <w:tcBorders>
              <w:top w:val="nil"/>
              <w:left w:val="nil"/>
              <w:bottom w:val="single" w:color="auto" w:sz="4" w:space="0"/>
              <w:right w:val="single" w:color="auto" w:sz="4" w:space="0"/>
            </w:tcBorders>
            <w:noWrap w:val="0"/>
            <w:vAlign w:val="bottom"/>
          </w:tcPr>
          <w:p w14:paraId="3C8C823D">
            <w:pPr>
              <w:widowControl/>
              <w:jc w:val="center"/>
              <w:rPr>
                <w:rFonts w:hint="eastAsia" w:ascii="仿宋" w:hAnsi="仿宋" w:eastAsia="仿宋" w:cs="宋体"/>
                <w:kern w:val="0"/>
                <w:sz w:val="20"/>
              </w:rPr>
            </w:pPr>
            <w:r>
              <w:rPr>
                <w:rFonts w:hint="eastAsia" w:ascii="仿宋" w:hAnsi="仿宋" w:eastAsia="仿宋" w:cs="宋体"/>
                <w:kern w:val="0"/>
                <w:sz w:val="20"/>
              </w:rPr>
              <w:t>营业收入Y</w:t>
            </w:r>
          </w:p>
          <w:p w14:paraId="689E81B8">
            <w:pPr>
              <w:widowControl/>
              <w:jc w:val="center"/>
              <w:rPr>
                <w:rFonts w:ascii="仿宋" w:hAnsi="仿宋" w:eastAsia="仿宋" w:cs="宋体"/>
                <w:kern w:val="0"/>
                <w:sz w:val="20"/>
              </w:rPr>
            </w:pPr>
            <w:r>
              <w:rPr>
                <w:rFonts w:hint="eastAsia" w:ascii="仿宋" w:hAnsi="仿宋" w:eastAsia="仿宋" w:cs="宋体"/>
                <w:kern w:val="0"/>
                <w:sz w:val="20"/>
              </w:rPr>
              <w:t>（万元）</w:t>
            </w:r>
          </w:p>
        </w:tc>
        <w:tc>
          <w:tcPr>
            <w:tcW w:w="1520" w:type="dxa"/>
            <w:tcBorders>
              <w:top w:val="nil"/>
              <w:left w:val="nil"/>
              <w:bottom w:val="single" w:color="auto" w:sz="4" w:space="0"/>
              <w:right w:val="single" w:color="auto" w:sz="8" w:space="0"/>
            </w:tcBorders>
            <w:noWrap w:val="0"/>
            <w:vAlign w:val="bottom"/>
          </w:tcPr>
          <w:p w14:paraId="24285A01">
            <w:pPr>
              <w:widowControl/>
              <w:jc w:val="center"/>
              <w:rPr>
                <w:rFonts w:hint="eastAsia" w:ascii="仿宋" w:hAnsi="仿宋" w:eastAsia="仿宋" w:cs="宋体"/>
                <w:kern w:val="0"/>
                <w:sz w:val="20"/>
              </w:rPr>
            </w:pPr>
            <w:r>
              <w:rPr>
                <w:rFonts w:hint="eastAsia" w:ascii="仿宋" w:hAnsi="仿宋" w:eastAsia="仿宋" w:cs="宋体"/>
                <w:kern w:val="0"/>
                <w:sz w:val="20"/>
              </w:rPr>
              <w:t>资产总额Z</w:t>
            </w:r>
          </w:p>
          <w:p w14:paraId="41CE1B49">
            <w:pPr>
              <w:widowControl/>
              <w:jc w:val="center"/>
              <w:rPr>
                <w:rFonts w:ascii="仿宋" w:hAnsi="仿宋" w:eastAsia="仿宋" w:cs="宋体"/>
                <w:kern w:val="0"/>
                <w:sz w:val="20"/>
              </w:rPr>
            </w:pPr>
            <w:r>
              <w:rPr>
                <w:rFonts w:hint="eastAsia" w:ascii="仿宋" w:hAnsi="仿宋" w:eastAsia="仿宋" w:cs="宋体"/>
                <w:kern w:val="0"/>
                <w:sz w:val="20"/>
              </w:rPr>
              <w:t>（万元）</w:t>
            </w:r>
          </w:p>
        </w:tc>
        <w:tc>
          <w:tcPr>
            <w:tcW w:w="1285" w:type="dxa"/>
            <w:tcBorders>
              <w:top w:val="nil"/>
              <w:left w:val="nil"/>
              <w:bottom w:val="single" w:color="auto" w:sz="4" w:space="0"/>
              <w:right w:val="single" w:color="auto" w:sz="4" w:space="0"/>
            </w:tcBorders>
            <w:noWrap w:val="0"/>
            <w:vAlign w:val="bottom"/>
          </w:tcPr>
          <w:p w14:paraId="0B566C26">
            <w:pPr>
              <w:widowControl/>
              <w:jc w:val="center"/>
              <w:rPr>
                <w:rFonts w:ascii="仿宋" w:hAnsi="仿宋" w:eastAsia="仿宋" w:cs="宋体"/>
                <w:kern w:val="0"/>
                <w:sz w:val="20"/>
              </w:rPr>
            </w:pPr>
            <w:r>
              <w:rPr>
                <w:rFonts w:hint="eastAsia" w:ascii="仿宋" w:hAnsi="仿宋" w:eastAsia="仿宋" w:cs="宋体"/>
                <w:kern w:val="0"/>
                <w:sz w:val="20"/>
              </w:rPr>
              <w:t>从业人员X（人）</w:t>
            </w:r>
          </w:p>
        </w:tc>
        <w:tc>
          <w:tcPr>
            <w:tcW w:w="1275" w:type="dxa"/>
            <w:tcBorders>
              <w:top w:val="nil"/>
              <w:left w:val="nil"/>
              <w:bottom w:val="single" w:color="auto" w:sz="4" w:space="0"/>
              <w:right w:val="single" w:color="auto" w:sz="4" w:space="0"/>
            </w:tcBorders>
            <w:noWrap w:val="0"/>
            <w:vAlign w:val="bottom"/>
          </w:tcPr>
          <w:p w14:paraId="3539080C">
            <w:pPr>
              <w:widowControl/>
              <w:jc w:val="center"/>
              <w:rPr>
                <w:rFonts w:ascii="仿宋" w:hAnsi="仿宋" w:eastAsia="仿宋" w:cs="宋体"/>
                <w:kern w:val="0"/>
                <w:sz w:val="20"/>
              </w:rPr>
            </w:pPr>
            <w:r>
              <w:rPr>
                <w:rFonts w:hint="eastAsia" w:ascii="仿宋" w:hAnsi="仿宋" w:eastAsia="仿宋" w:cs="宋体"/>
                <w:kern w:val="0"/>
                <w:sz w:val="20"/>
              </w:rPr>
              <w:t>营业收入Y（万元）</w:t>
            </w:r>
          </w:p>
        </w:tc>
        <w:tc>
          <w:tcPr>
            <w:tcW w:w="1221" w:type="dxa"/>
            <w:tcBorders>
              <w:top w:val="nil"/>
              <w:left w:val="nil"/>
              <w:bottom w:val="single" w:color="auto" w:sz="4" w:space="0"/>
              <w:right w:val="single" w:color="auto" w:sz="8" w:space="0"/>
            </w:tcBorders>
            <w:noWrap w:val="0"/>
            <w:vAlign w:val="bottom"/>
          </w:tcPr>
          <w:p w14:paraId="2B49AD18">
            <w:pPr>
              <w:widowControl/>
              <w:jc w:val="center"/>
              <w:rPr>
                <w:rFonts w:ascii="仿宋" w:hAnsi="仿宋" w:eastAsia="仿宋" w:cs="宋体"/>
                <w:kern w:val="0"/>
                <w:sz w:val="20"/>
              </w:rPr>
            </w:pPr>
            <w:r>
              <w:rPr>
                <w:rFonts w:hint="eastAsia" w:ascii="仿宋" w:hAnsi="仿宋" w:eastAsia="仿宋" w:cs="宋体"/>
                <w:kern w:val="0"/>
                <w:sz w:val="20"/>
              </w:rPr>
              <w:t>资产总额Z（万元）</w:t>
            </w:r>
          </w:p>
        </w:tc>
      </w:tr>
      <w:tr w14:paraId="75DA9C1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B9EA1EB">
            <w:pPr>
              <w:widowControl/>
              <w:jc w:val="left"/>
              <w:rPr>
                <w:rFonts w:ascii="仿宋" w:hAnsi="仿宋" w:eastAsia="仿宋" w:cs="宋体"/>
                <w:kern w:val="0"/>
                <w:sz w:val="20"/>
              </w:rPr>
            </w:pPr>
            <w:r>
              <w:rPr>
                <w:rFonts w:hint="eastAsia" w:ascii="仿宋" w:hAnsi="仿宋" w:eastAsia="仿宋" w:cs="宋体"/>
                <w:kern w:val="0"/>
                <w:sz w:val="20"/>
              </w:rPr>
              <w:t xml:space="preserve"> 1、农林牧渔业</w:t>
            </w:r>
          </w:p>
        </w:tc>
        <w:tc>
          <w:tcPr>
            <w:tcW w:w="1498" w:type="dxa"/>
            <w:tcBorders>
              <w:top w:val="nil"/>
              <w:left w:val="nil"/>
              <w:bottom w:val="single" w:color="auto" w:sz="4" w:space="0"/>
              <w:right w:val="single" w:color="auto" w:sz="4" w:space="0"/>
            </w:tcBorders>
            <w:noWrap w:val="0"/>
            <w:vAlign w:val="bottom"/>
          </w:tcPr>
          <w:p w14:paraId="6BBBEB85">
            <w:pPr>
              <w:widowControl/>
              <w:jc w:val="left"/>
              <w:rPr>
                <w:rFonts w:ascii="仿宋" w:hAnsi="仿宋" w:eastAsia="仿宋" w:cs="宋体"/>
                <w:kern w:val="0"/>
                <w:sz w:val="20"/>
              </w:rPr>
            </w:pPr>
            <w:r>
              <w:rPr>
                <w:rFonts w:hint="eastAsia" w:ascii="仿宋" w:hAnsi="仿宋" w:eastAsia="仿宋" w:cs="宋体"/>
                <w:kern w:val="0"/>
                <w:sz w:val="20"/>
              </w:rPr>
              <w:t>　</w:t>
            </w:r>
          </w:p>
        </w:tc>
        <w:tc>
          <w:tcPr>
            <w:tcW w:w="1763" w:type="dxa"/>
            <w:tcBorders>
              <w:top w:val="nil"/>
              <w:left w:val="nil"/>
              <w:bottom w:val="single" w:color="auto" w:sz="4" w:space="0"/>
              <w:right w:val="single" w:color="auto" w:sz="4" w:space="0"/>
            </w:tcBorders>
            <w:noWrap w:val="0"/>
            <w:vAlign w:val="bottom"/>
          </w:tcPr>
          <w:p w14:paraId="6D6ECCCD">
            <w:pPr>
              <w:widowControl/>
              <w:jc w:val="left"/>
              <w:rPr>
                <w:rFonts w:ascii="仿宋" w:hAnsi="仿宋" w:eastAsia="仿宋" w:cs="宋体"/>
                <w:kern w:val="0"/>
                <w:sz w:val="20"/>
              </w:rPr>
            </w:pPr>
            <w:r>
              <w:rPr>
                <w:rFonts w:hint="eastAsia" w:ascii="仿宋" w:hAnsi="仿宋" w:eastAsia="仿宋" w:cs="宋体"/>
                <w:kern w:val="0"/>
                <w:sz w:val="20"/>
              </w:rPr>
              <w:t xml:space="preserve"> 500≤Y＜20000</w:t>
            </w:r>
          </w:p>
        </w:tc>
        <w:tc>
          <w:tcPr>
            <w:tcW w:w="1660" w:type="dxa"/>
            <w:tcBorders>
              <w:top w:val="nil"/>
              <w:left w:val="nil"/>
              <w:bottom w:val="single" w:color="auto" w:sz="4" w:space="0"/>
              <w:right w:val="single" w:color="auto" w:sz="8" w:space="0"/>
            </w:tcBorders>
            <w:noWrap w:val="0"/>
            <w:vAlign w:val="bottom"/>
          </w:tcPr>
          <w:p w14:paraId="33BE0A4D">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04A49855">
            <w:pPr>
              <w:widowControl/>
              <w:jc w:val="left"/>
              <w:rPr>
                <w:rFonts w:ascii="仿宋" w:hAnsi="仿宋" w:eastAsia="仿宋" w:cs="宋体"/>
                <w:kern w:val="0"/>
                <w:sz w:val="20"/>
              </w:rPr>
            </w:pPr>
            <w:r>
              <w:rPr>
                <w:rFonts w:hint="eastAsia" w:ascii="仿宋" w:hAnsi="仿宋" w:eastAsia="仿宋" w:cs="宋体"/>
                <w:kern w:val="0"/>
                <w:sz w:val="20"/>
              </w:rPr>
              <w:t>　</w:t>
            </w:r>
          </w:p>
        </w:tc>
        <w:tc>
          <w:tcPr>
            <w:tcW w:w="1636" w:type="dxa"/>
            <w:tcBorders>
              <w:top w:val="nil"/>
              <w:left w:val="nil"/>
              <w:bottom w:val="single" w:color="auto" w:sz="4" w:space="0"/>
              <w:right w:val="single" w:color="auto" w:sz="4" w:space="0"/>
            </w:tcBorders>
            <w:noWrap w:val="0"/>
            <w:vAlign w:val="bottom"/>
          </w:tcPr>
          <w:p w14:paraId="468774B2">
            <w:pPr>
              <w:widowControl/>
              <w:jc w:val="left"/>
              <w:rPr>
                <w:rFonts w:ascii="仿宋" w:hAnsi="仿宋" w:eastAsia="仿宋" w:cs="宋体"/>
                <w:kern w:val="0"/>
                <w:sz w:val="20"/>
              </w:rPr>
            </w:pPr>
            <w:r>
              <w:rPr>
                <w:rFonts w:hint="eastAsia" w:ascii="仿宋" w:hAnsi="仿宋" w:eastAsia="仿宋" w:cs="宋体"/>
                <w:kern w:val="0"/>
                <w:sz w:val="20"/>
              </w:rPr>
              <w:t xml:space="preserve"> 50≤Y＜500</w:t>
            </w:r>
          </w:p>
        </w:tc>
        <w:tc>
          <w:tcPr>
            <w:tcW w:w="1520" w:type="dxa"/>
            <w:tcBorders>
              <w:top w:val="nil"/>
              <w:left w:val="nil"/>
              <w:bottom w:val="single" w:color="auto" w:sz="4" w:space="0"/>
              <w:right w:val="single" w:color="auto" w:sz="8" w:space="0"/>
            </w:tcBorders>
            <w:noWrap w:val="0"/>
            <w:vAlign w:val="bottom"/>
          </w:tcPr>
          <w:p w14:paraId="404557DB">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5E398426">
            <w:pPr>
              <w:widowControl/>
              <w:jc w:val="left"/>
              <w:rPr>
                <w:rFonts w:ascii="仿宋" w:hAnsi="仿宋" w:eastAsia="仿宋" w:cs="宋体"/>
                <w:kern w:val="0"/>
                <w:sz w:val="20"/>
              </w:rPr>
            </w:pPr>
            <w:r>
              <w:rPr>
                <w:rFonts w:hint="eastAsia" w:ascii="仿宋" w:hAnsi="仿宋" w:eastAsia="仿宋" w:cs="宋体"/>
                <w:kern w:val="0"/>
                <w:sz w:val="20"/>
              </w:rPr>
              <w:t>　</w:t>
            </w:r>
          </w:p>
        </w:tc>
        <w:tc>
          <w:tcPr>
            <w:tcW w:w="1275" w:type="dxa"/>
            <w:tcBorders>
              <w:top w:val="nil"/>
              <w:left w:val="nil"/>
              <w:bottom w:val="single" w:color="auto" w:sz="4" w:space="0"/>
              <w:right w:val="single" w:color="auto" w:sz="4" w:space="0"/>
            </w:tcBorders>
            <w:noWrap w:val="0"/>
            <w:vAlign w:val="bottom"/>
          </w:tcPr>
          <w:p w14:paraId="3AC3717C">
            <w:pPr>
              <w:widowControl/>
              <w:jc w:val="left"/>
              <w:rPr>
                <w:rFonts w:ascii="仿宋" w:hAnsi="仿宋" w:eastAsia="仿宋" w:cs="宋体"/>
                <w:kern w:val="0"/>
                <w:sz w:val="20"/>
              </w:rPr>
            </w:pPr>
            <w:r>
              <w:rPr>
                <w:rFonts w:hint="eastAsia" w:ascii="仿宋" w:hAnsi="仿宋" w:eastAsia="仿宋" w:cs="宋体"/>
                <w:kern w:val="0"/>
                <w:sz w:val="20"/>
              </w:rPr>
              <w:t>Y＜50</w:t>
            </w:r>
          </w:p>
        </w:tc>
        <w:tc>
          <w:tcPr>
            <w:tcW w:w="1221" w:type="dxa"/>
            <w:tcBorders>
              <w:top w:val="nil"/>
              <w:left w:val="nil"/>
              <w:bottom w:val="single" w:color="auto" w:sz="4" w:space="0"/>
              <w:right w:val="single" w:color="auto" w:sz="8" w:space="0"/>
            </w:tcBorders>
            <w:noWrap w:val="0"/>
            <w:vAlign w:val="bottom"/>
          </w:tcPr>
          <w:p w14:paraId="4FE30A71">
            <w:pPr>
              <w:widowControl/>
              <w:jc w:val="left"/>
              <w:rPr>
                <w:rFonts w:ascii="仿宋" w:hAnsi="仿宋" w:eastAsia="仿宋" w:cs="宋体"/>
                <w:kern w:val="0"/>
                <w:sz w:val="20"/>
              </w:rPr>
            </w:pPr>
            <w:r>
              <w:rPr>
                <w:rFonts w:hint="eastAsia" w:ascii="仿宋" w:hAnsi="仿宋" w:eastAsia="仿宋" w:cs="宋体"/>
                <w:kern w:val="0"/>
                <w:sz w:val="20"/>
              </w:rPr>
              <w:t>　</w:t>
            </w:r>
          </w:p>
        </w:tc>
      </w:tr>
      <w:tr w14:paraId="197D36F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32B5337">
            <w:pPr>
              <w:widowControl/>
              <w:jc w:val="left"/>
              <w:rPr>
                <w:rFonts w:ascii="仿宋" w:hAnsi="仿宋" w:eastAsia="仿宋" w:cs="宋体"/>
                <w:kern w:val="0"/>
                <w:sz w:val="20"/>
              </w:rPr>
            </w:pPr>
            <w:r>
              <w:rPr>
                <w:rFonts w:hint="eastAsia" w:ascii="仿宋" w:hAnsi="仿宋" w:eastAsia="仿宋" w:cs="宋体"/>
                <w:kern w:val="0"/>
                <w:sz w:val="20"/>
              </w:rPr>
              <w:t xml:space="preserve"> 2、工业</w:t>
            </w:r>
          </w:p>
        </w:tc>
        <w:tc>
          <w:tcPr>
            <w:tcW w:w="1498" w:type="dxa"/>
            <w:tcBorders>
              <w:top w:val="nil"/>
              <w:left w:val="nil"/>
              <w:bottom w:val="single" w:color="auto" w:sz="4" w:space="0"/>
              <w:right w:val="single" w:color="auto" w:sz="4" w:space="0"/>
            </w:tcBorders>
            <w:noWrap w:val="0"/>
            <w:vAlign w:val="bottom"/>
          </w:tcPr>
          <w:p w14:paraId="04131A7A">
            <w:pPr>
              <w:widowControl/>
              <w:jc w:val="left"/>
              <w:rPr>
                <w:rFonts w:ascii="仿宋" w:hAnsi="仿宋" w:eastAsia="仿宋" w:cs="宋体"/>
                <w:kern w:val="0"/>
                <w:sz w:val="20"/>
              </w:rPr>
            </w:pPr>
            <w:r>
              <w:rPr>
                <w:rFonts w:hint="eastAsia" w:ascii="仿宋" w:hAnsi="仿宋" w:eastAsia="仿宋" w:cs="宋体"/>
                <w:kern w:val="0"/>
                <w:sz w:val="20"/>
              </w:rPr>
              <w:t>300≤X＜1000</w:t>
            </w:r>
          </w:p>
        </w:tc>
        <w:tc>
          <w:tcPr>
            <w:tcW w:w="1763" w:type="dxa"/>
            <w:tcBorders>
              <w:top w:val="nil"/>
              <w:left w:val="nil"/>
              <w:bottom w:val="single" w:color="auto" w:sz="4" w:space="0"/>
              <w:right w:val="single" w:color="auto" w:sz="4" w:space="0"/>
            </w:tcBorders>
            <w:noWrap w:val="0"/>
            <w:vAlign w:val="bottom"/>
          </w:tcPr>
          <w:p w14:paraId="3E2E7663">
            <w:pPr>
              <w:widowControl/>
              <w:jc w:val="left"/>
              <w:rPr>
                <w:rFonts w:ascii="仿宋" w:hAnsi="仿宋" w:eastAsia="仿宋" w:cs="宋体"/>
                <w:kern w:val="0"/>
                <w:sz w:val="20"/>
              </w:rPr>
            </w:pPr>
            <w:r>
              <w:rPr>
                <w:rFonts w:hint="eastAsia" w:ascii="仿宋" w:hAnsi="仿宋" w:eastAsia="仿宋" w:cs="宋体"/>
                <w:kern w:val="0"/>
                <w:sz w:val="20"/>
              </w:rPr>
              <w:t>2000≤Y＜40000</w:t>
            </w:r>
          </w:p>
        </w:tc>
        <w:tc>
          <w:tcPr>
            <w:tcW w:w="1660" w:type="dxa"/>
            <w:tcBorders>
              <w:top w:val="nil"/>
              <w:left w:val="nil"/>
              <w:bottom w:val="single" w:color="auto" w:sz="4" w:space="0"/>
              <w:right w:val="single" w:color="auto" w:sz="8" w:space="0"/>
            </w:tcBorders>
            <w:noWrap w:val="0"/>
            <w:vAlign w:val="bottom"/>
          </w:tcPr>
          <w:p w14:paraId="4F16A6E8">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4A43FDCE">
            <w:pPr>
              <w:widowControl/>
              <w:jc w:val="left"/>
              <w:rPr>
                <w:rFonts w:ascii="仿宋" w:hAnsi="仿宋" w:eastAsia="仿宋" w:cs="宋体"/>
                <w:kern w:val="0"/>
                <w:sz w:val="20"/>
              </w:rPr>
            </w:pPr>
            <w:r>
              <w:rPr>
                <w:rFonts w:hint="eastAsia" w:ascii="仿宋" w:hAnsi="仿宋" w:eastAsia="仿宋" w:cs="宋体"/>
                <w:kern w:val="0"/>
                <w:sz w:val="20"/>
              </w:rPr>
              <w:t>20≤X＜300</w:t>
            </w:r>
          </w:p>
        </w:tc>
        <w:tc>
          <w:tcPr>
            <w:tcW w:w="1636" w:type="dxa"/>
            <w:tcBorders>
              <w:top w:val="nil"/>
              <w:left w:val="nil"/>
              <w:bottom w:val="single" w:color="auto" w:sz="4" w:space="0"/>
              <w:right w:val="single" w:color="auto" w:sz="4" w:space="0"/>
            </w:tcBorders>
            <w:noWrap w:val="0"/>
            <w:vAlign w:val="bottom"/>
          </w:tcPr>
          <w:p w14:paraId="59314D7C">
            <w:pPr>
              <w:widowControl/>
              <w:jc w:val="left"/>
              <w:rPr>
                <w:rFonts w:ascii="仿宋" w:hAnsi="仿宋" w:eastAsia="仿宋" w:cs="宋体"/>
                <w:kern w:val="0"/>
                <w:sz w:val="20"/>
              </w:rPr>
            </w:pPr>
            <w:r>
              <w:rPr>
                <w:rFonts w:hint="eastAsia" w:ascii="仿宋" w:hAnsi="仿宋" w:eastAsia="仿宋" w:cs="宋体"/>
                <w:kern w:val="0"/>
                <w:sz w:val="20"/>
              </w:rPr>
              <w:t>300≤Y＜2000</w:t>
            </w:r>
          </w:p>
        </w:tc>
        <w:tc>
          <w:tcPr>
            <w:tcW w:w="1520" w:type="dxa"/>
            <w:tcBorders>
              <w:top w:val="nil"/>
              <w:left w:val="nil"/>
              <w:bottom w:val="single" w:color="auto" w:sz="4" w:space="0"/>
              <w:right w:val="single" w:color="auto" w:sz="8" w:space="0"/>
            </w:tcBorders>
            <w:noWrap w:val="0"/>
            <w:vAlign w:val="bottom"/>
          </w:tcPr>
          <w:p w14:paraId="5024F125">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4D36641B">
            <w:pPr>
              <w:widowControl/>
              <w:jc w:val="left"/>
              <w:rPr>
                <w:rFonts w:ascii="仿宋" w:hAnsi="仿宋" w:eastAsia="仿宋" w:cs="宋体"/>
                <w:kern w:val="0"/>
                <w:sz w:val="20"/>
              </w:rPr>
            </w:pPr>
            <w:r>
              <w:rPr>
                <w:rFonts w:hint="eastAsia" w:ascii="仿宋" w:hAnsi="仿宋" w:eastAsia="仿宋" w:cs="宋体"/>
                <w:kern w:val="0"/>
                <w:sz w:val="20"/>
              </w:rPr>
              <w:t>X＜20</w:t>
            </w:r>
          </w:p>
        </w:tc>
        <w:tc>
          <w:tcPr>
            <w:tcW w:w="1275" w:type="dxa"/>
            <w:tcBorders>
              <w:top w:val="nil"/>
              <w:left w:val="nil"/>
              <w:bottom w:val="single" w:color="auto" w:sz="4" w:space="0"/>
              <w:right w:val="single" w:color="auto" w:sz="4" w:space="0"/>
            </w:tcBorders>
            <w:noWrap w:val="0"/>
            <w:vAlign w:val="bottom"/>
          </w:tcPr>
          <w:p w14:paraId="617B102D">
            <w:pPr>
              <w:widowControl/>
              <w:jc w:val="left"/>
              <w:rPr>
                <w:rFonts w:ascii="仿宋" w:hAnsi="仿宋" w:eastAsia="仿宋" w:cs="宋体"/>
                <w:kern w:val="0"/>
                <w:sz w:val="20"/>
              </w:rPr>
            </w:pPr>
            <w:r>
              <w:rPr>
                <w:rFonts w:hint="eastAsia" w:ascii="仿宋" w:hAnsi="仿宋" w:eastAsia="仿宋" w:cs="宋体"/>
                <w:kern w:val="0"/>
                <w:sz w:val="20"/>
              </w:rPr>
              <w:t>Y＜300</w:t>
            </w:r>
          </w:p>
        </w:tc>
        <w:tc>
          <w:tcPr>
            <w:tcW w:w="1221" w:type="dxa"/>
            <w:tcBorders>
              <w:top w:val="nil"/>
              <w:left w:val="nil"/>
              <w:bottom w:val="single" w:color="auto" w:sz="4" w:space="0"/>
              <w:right w:val="single" w:color="auto" w:sz="8" w:space="0"/>
            </w:tcBorders>
            <w:noWrap w:val="0"/>
            <w:vAlign w:val="bottom"/>
          </w:tcPr>
          <w:p w14:paraId="14A32A8A">
            <w:pPr>
              <w:widowControl/>
              <w:jc w:val="left"/>
              <w:rPr>
                <w:rFonts w:ascii="仿宋" w:hAnsi="仿宋" w:eastAsia="仿宋" w:cs="宋体"/>
                <w:kern w:val="0"/>
                <w:sz w:val="20"/>
              </w:rPr>
            </w:pPr>
            <w:r>
              <w:rPr>
                <w:rFonts w:hint="eastAsia" w:ascii="仿宋" w:hAnsi="仿宋" w:eastAsia="仿宋" w:cs="宋体"/>
                <w:kern w:val="0"/>
                <w:sz w:val="20"/>
              </w:rPr>
              <w:t>　</w:t>
            </w:r>
          </w:p>
        </w:tc>
      </w:tr>
      <w:tr w14:paraId="1156ED3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BEEEC7F">
            <w:pPr>
              <w:widowControl/>
              <w:jc w:val="left"/>
              <w:rPr>
                <w:rFonts w:ascii="仿宋" w:hAnsi="仿宋" w:eastAsia="仿宋" w:cs="宋体"/>
                <w:kern w:val="0"/>
                <w:sz w:val="20"/>
              </w:rPr>
            </w:pPr>
            <w:r>
              <w:rPr>
                <w:rFonts w:hint="eastAsia" w:ascii="仿宋" w:hAnsi="仿宋" w:eastAsia="仿宋" w:cs="宋体"/>
                <w:kern w:val="0"/>
                <w:sz w:val="20"/>
              </w:rPr>
              <w:t xml:space="preserve"> 3、建筑业</w:t>
            </w:r>
          </w:p>
        </w:tc>
        <w:tc>
          <w:tcPr>
            <w:tcW w:w="1498" w:type="dxa"/>
            <w:tcBorders>
              <w:top w:val="nil"/>
              <w:left w:val="nil"/>
              <w:bottom w:val="single" w:color="auto" w:sz="4" w:space="0"/>
              <w:right w:val="single" w:color="auto" w:sz="4" w:space="0"/>
            </w:tcBorders>
            <w:noWrap w:val="0"/>
            <w:vAlign w:val="bottom"/>
          </w:tcPr>
          <w:p w14:paraId="0E03425C">
            <w:pPr>
              <w:widowControl/>
              <w:jc w:val="left"/>
              <w:rPr>
                <w:rFonts w:ascii="仿宋" w:hAnsi="仿宋" w:eastAsia="仿宋" w:cs="宋体"/>
                <w:kern w:val="0"/>
                <w:sz w:val="20"/>
              </w:rPr>
            </w:pPr>
            <w:r>
              <w:rPr>
                <w:rFonts w:hint="eastAsia" w:ascii="仿宋" w:hAnsi="仿宋" w:eastAsia="仿宋" w:cs="宋体"/>
                <w:kern w:val="0"/>
                <w:sz w:val="20"/>
              </w:rPr>
              <w:t>　</w:t>
            </w:r>
          </w:p>
        </w:tc>
        <w:tc>
          <w:tcPr>
            <w:tcW w:w="1763" w:type="dxa"/>
            <w:tcBorders>
              <w:top w:val="nil"/>
              <w:left w:val="nil"/>
              <w:bottom w:val="single" w:color="auto" w:sz="4" w:space="0"/>
              <w:right w:val="single" w:color="auto" w:sz="4" w:space="0"/>
            </w:tcBorders>
            <w:noWrap w:val="0"/>
            <w:vAlign w:val="bottom"/>
          </w:tcPr>
          <w:p w14:paraId="6F94F3C2">
            <w:pPr>
              <w:widowControl/>
              <w:jc w:val="left"/>
              <w:rPr>
                <w:rFonts w:ascii="仿宋" w:hAnsi="仿宋" w:eastAsia="仿宋" w:cs="宋体"/>
                <w:kern w:val="0"/>
                <w:sz w:val="20"/>
              </w:rPr>
            </w:pPr>
            <w:r>
              <w:rPr>
                <w:rFonts w:hint="eastAsia" w:ascii="仿宋" w:hAnsi="仿宋" w:eastAsia="仿宋" w:cs="宋体"/>
                <w:kern w:val="0"/>
                <w:sz w:val="20"/>
              </w:rPr>
              <w:t>6000≤Y＜80000</w:t>
            </w:r>
          </w:p>
        </w:tc>
        <w:tc>
          <w:tcPr>
            <w:tcW w:w="1660" w:type="dxa"/>
            <w:tcBorders>
              <w:top w:val="nil"/>
              <w:left w:val="nil"/>
              <w:bottom w:val="single" w:color="auto" w:sz="4" w:space="0"/>
              <w:right w:val="single" w:color="auto" w:sz="8" w:space="0"/>
            </w:tcBorders>
            <w:noWrap w:val="0"/>
            <w:vAlign w:val="bottom"/>
          </w:tcPr>
          <w:p w14:paraId="045D7476">
            <w:pPr>
              <w:widowControl/>
              <w:jc w:val="left"/>
              <w:rPr>
                <w:rFonts w:ascii="仿宋" w:hAnsi="仿宋" w:eastAsia="仿宋" w:cs="宋体"/>
                <w:kern w:val="0"/>
                <w:sz w:val="20"/>
              </w:rPr>
            </w:pPr>
            <w:r>
              <w:rPr>
                <w:rFonts w:hint="eastAsia" w:ascii="仿宋" w:hAnsi="仿宋" w:eastAsia="仿宋" w:cs="宋体"/>
                <w:kern w:val="0"/>
                <w:sz w:val="20"/>
              </w:rPr>
              <w:t>5000≤Z＜80000</w:t>
            </w:r>
          </w:p>
        </w:tc>
        <w:tc>
          <w:tcPr>
            <w:tcW w:w="1240" w:type="dxa"/>
            <w:tcBorders>
              <w:top w:val="nil"/>
              <w:left w:val="nil"/>
              <w:bottom w:val="single" w:color="auto" w:sz="4" w:space="0"/>
              <w:right w:val="single" w:color="auto" w:sz="4" w:space="0"/>
            </w:tcBorders>
            <w:noWrap w:val="0"/>
            <w:vAlign w:val="bottom"/>
          </w:tcPr>
          <w:p w14:paraId="344B0BAE">
            <w:pPr>
              <w:widowControl/>
              <w:jc w:val="left"/>
              <w:rPr>
                <w:rFonts w:ascii="仿宋" w:hAnsi="仿宋" w:eastAsia="仿宋" w:cs="宋体"/>
                <w:kern w:val="0"/>
                <w:sz w:val="20"/>
              </w:rPr>
            </w:pPr>
            <w:r>
              <w:rPr>
                <w:rFonts w:hint="eastAsia" w:ascii="仿宋" w:hAnsi="仿宋" w:eastAsia="仿宋" w:cs="宋体"/>
                <w:kern w:val="0"/>
                <w:sz w:val="20"/>
              </w:rPr>
              <w:t>　</w:t>
            </w:r>
          </w:p>
        </w:tc>
        <w:tc>
          <w:tcPr>
            <w:tcW w:w="1636" w:type="dxa"/>
            <w:tcBorders>
              <w:top w:val="nil"/>
              <w:left w:val="nil"/>
              <w:bottom w:val="single" w:color="auto" w:sz="4" w:space="0"/>
              <w:right w:val="single" w:color="auto" w:sz="4" w:space="0"/>
            </w:tcBorders>
            <w:noWrap w:val="0"/>
            <w:vAlign w:val="bottom"/>
          </w:tcPr>
          <w:p w14:paraId="0E32695B">
            <w:pPr>
              <w:widowControl/>
              <w:jc w:val="left"/>
              <w:rPr>
                <w:rFonts w:ascii="仿宋" w:hAnsi="仿宋" w:eastAsia="仿宋" w:cs="宋体"/>
                <w:kern w:val="0"/>
                <w:sz w:val="20"/>
              </w:rPr>
            </w:pPr>
            <w:r>
              <w:rPr>
                <w:rFonts w:hint="eastAsia" w:ascii="仿宋" w:hAnsi="仿宋" w:eastAsia="仿宋" w:cs="宋体"/>
                <w:kern w:val="0"/>
                <w:sz w:val="20"/>
              </w:rPr>
              <w:t>300≤Y＜6000</w:t>
            </w:r>
          </w:p>
        </w:tc>
        <w:tc>
          <w:tcPr>
            <w:tcW w:w="1520" w:type="dxa"/>
            <w:tcBorders>
              <w:top w:val="nil"/>
              <w:left w:val="nil"/>
              <w:bottom w:val="single" w:color="auto" w:sz="4" w:space="0"/>
              <w:right w:val="single" w:color="auto" w:sz="8" w:space="0"/>
            </w:tcBorders>
            <w:noWrap w:val="0"/>
            <w:vAlign w:val="bottom"/>
          </w:tcPr>
          <w:p w14:paraId="7CC450C3">
            <w:pPr>
              <w:widowControl/>
              <w:jc w:val="left"/>
              <w:rPr>
                <w:rFonts w:ascii="仿宋" w:hAnsi="仿宋" w:eastAsia="仿宋" w:cs="宋体"/>
                <w:kern w:val="0"/>
                <w:sz w:val="20"/>
              </w:rPr>
            </w:pPr>
            <w:r>
              <w:rPr>
                <w:rFonts w:hint="eastAsia" w:ascii="仿宋" w:hAnsi="仿宋" w:eastAsia="仿宋" w:cs="宋体"/>
                <w:kern w:val="0"/>
                <w:sz w:val="20"/>
              </w:rPr>
              <w:t xml:space="preserve"> 300≤Z＜5000</w:t>
            </w:r>
          </w:p>
        </w:tc>
        <w:tc>
          <w:tcPr>
            <w:tcW w:w="1285" w:type="dxa"/>
            <w:tcBorders>
              <w:top w:val="nil"/>
              <w:left w:val="nil"/>
              <w:bottom w:val="single" w:color="auto" w:sz="4" w:space="0"/>
              <w:right w:val="single" w:color="auto" w:sz="4" w:space="0"/>
            </w:tcBorders>
            <w:noWrap w:val="0"/>
            <w:vAlign w:val="bottom"/>
          </w:tcPr>
          <w:p w14:paraId="09C41F31">
            <w:pPr>
              <w:widowControl/>
              <w:jc w:val="left"/>
              <w:rPr>
                <w:rFonts w:ascii="仿宋" w:hAnsi="仿宋" w:eastAsia="仿宋" w:cs="宋体"/>
                <w:kern w:val="0"/>
                <w:sz w:val="20"/>
              </w:rPr>
            </w:pPr>
            <w:r>
              <w:rPr>
                <w:rFonts w:hint="eastAsia" w:ascii="仿宋" w:hAnsi="仿宋" w:eastAsia="仿宋" w:cs="宋体"/>
                <w:kern w:val="0"/>
                <w:sz w:val="20"/>
              </w:rPr>
              <w:t>　</w:t>
            </w:r>
          </w:p>
        </w:tc>
        <w:tc>
          <w:tcPr>
            <w:tcW w:w="1275" w:type="dxa"/>
            <w:tcBorders>
              <w:top w:val="nil"/>
              <w:left w:val="nil"/>
              <w:bottom w:val="single" w:color="auto" w:sz="4" w:space="0"/>
              <w:right w:val="single" w:color="auto" w:sz="4" w:space="0"/>
            </w:tcBorders>
            <w:noWrap w:val="0"/>
            <w:vAlign w:val="bottom"/>
          </w:tcPr>
          <w:p w14:paraId="6F3BDE06">
            <w:pPr>
              <w:widowControl/>
              <w:jc w:val="left"/>
              <w:rPr>
                <w:rFonts w:ascii="仿宋" w:hAnsi="仿宋" w:eastAsia="仿宋" w:cs="宋体"/>
                <w:kern w:val="0"/>
                <w:sz w:val="20"/>
              </w:rPr>
            </w:pPr>
            <w:r>
              <w:rPr>
                <w:rFonts w:hint="eastAsia" w:ascii="仿宋" w:hAnsi="仿宋" w:eastAsia="仿宋" w:cs="宋体"/>
                <w:kern w:val="0"/>
                <w:sz w:val="20"/>
              </w:rPr>
              <w:t>Y＜300</w:t>
            </w:r>
          </w:p>
        </w:tc>
        <w:tc>
          <w:tcPr>
            <w:tcW w:w="1221" w:type="dxa"/>
            <w:tcBorders>
              <w:top w:val="nil"/>
              <w:left w:val="nil"/>
              <w:bottom w:val="single" w:color="auto" w:sz="4" w:space="0"/>
              <w:right w:val="single" w:color="auto" w:sz="8" w:space="0"/>
            </w:tcBorders>
            <w:noWrap w:val="0"/>
            <w:vAlign w:val="bottom"/>
          </w:tcPr>
          <w:p w14:paraId="4110A0D9">
            <w:pPr>
              <w:widowControl/>
              <w:jc w:val="left"/>
              <w:rPr>
                <w:rFonts w:ascii="仿宋" w:hAnsi="仿宋" w:eastAsia="仿宋" w:cs="宋体"/>
                <w:kern w:val="0"/>
                <w:sz w:val="20"/>
              </w:rPr>
            </w:pPr>
            <w:r>
              <w:rPr>
                <w:rFonts w:hint="eastAsia" w:ascii="仿宋" w:hAnsi="仿宋" w:eastAsia="仿宋" w:cs="宋体"/>
                <w:kern w:val="0"/>
                <w:sz w:val="20"/>
              </w:rPr>
              <w:t>Z＜300</w:t>
            </w:r>
          </w:p>
        </w:tc>
      </w:tr>
      <w:tr w14:paraId="5A64C93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8362BC0">
            <w:pPr>
              <w:widowControl/>
              <w:jc w:val="left"/>
              <w:rPr>
                <w:rFonts w:ascii="仿宋" w:hAnsi="仿宋" w:eastAsia="仿宋" w:cs="宋体"/>
                <w:kern w:val="0"/>
                <w:sz w:val="20"/>
              </w:rPr>
            </w:pPr>
            <w:r>
              <w:rPr>
                <w:rFonts w:hint="eastAsia" w:ascii="仿宋" w:hAnsi="仿宋" w:eastAsia="仿宋" w:cs="宋体"/>
                <w:kern w:val="0"/>
                <w:sz w:val="20"/>
              </w:rPr>
              <w:t xml:space="preserve"> 4、批发业</w:t>
            </w:r>
          </w:p>
        </w:tc>
        <w:tc>
          <w:tcPr>
            <w:tcW w:w="1498" w:type="dxa"/>
            <w:tcBorders>
              <w:top w:val="nil"/>
              <w:left w:val="nil"/>
              <w:bottom w:val="single" w:color="auto" w:sz="4" w:space="0"/>
              <w:right w:val="single" w:color="auto" w:sz="4" w:space="0"/>
            </w:tcBorders>
            <w:noWrap w:val="0"/>
            <w:vAlign w:val="bottom"/>
          </w:tcPr>
          <w:p w14:paraId="78F7A1E0">
            <w:pPr>
              <w:widowControl/>
              <w:jc w:val="left"/>
              <w:rPr>
                <w:rFonts w:ascii="仿宋" w:hAnsi="仿宋" w:eastAsia="仿宋" w:cs="宋体"/>
                <w:kern w:val="0"/>
                <w:sz w:val="20"/>
              </w:rPr>
            </w:pPr>
            <w:r>
              <w:rPr>
                <w:rFonts w:hint="eastAsia" w:ascii="仿宋" w:hAnsi="仿宋" w:eastAsia="仿宋" w:cs="宋体"/>
                <w:kern w:val="0"/>
                <w:sz w:val="20"/>
              </w:rPr>
              <w:t xml:space="preserve"> 20≤X＜200</w:t>
            </w:r>
          </w:p>
        </w:tc>
        <w:tc>
          <w:tcPr>
            <w:tcW w:w="1763" w:type="dxa"/>
            <w:tcBorders>
              <w:top w:val="nil"/>
              <w:left w:val="nil"/>
              <w:bottom w:val="single" w:color="auto" w:sz="4" w:space="0"/>
              <w:right w:val="single" w:color="auto" w:sz="4" w:space="0"/>
            </w:tcBorders>
            <w:noWrap w:val="0"/>
            <w:vAlign w:val="bottom"/>
          </w:tcPr>
          <w:p w14:paraId="2A74B340">
            <w:pPr>
              <w:widowControl/>
              <w:jc w:val="left"/>
              <w:rPr>
                <w:rFonts w:ascii="仿宋" w:hAnsi="仿宋" w:eastAsia="仿宋" w:cs="宋体"/>
                <w:kern w:val="0"/>
                <w:sz w:val="20"/>
              </w:rPr>
            </w:pPr>
            <w:r>
              <w:rPr>
                <w:rFonts w:hint="eastAsia" w:ascii="仿宋" w:hAnsi="仿宋" w:eastAsia="仿宋" w:cs="宋体"/>
                <w:kern w:val="0"/>
                <w:sz w:val="20"/>
              </w:rPr>
              <w:t>5000≤Y＜40000</w:t>
            </w:r>
          </w:p>
        </w:tc>
        <w:tc>
          <w:tcPr>
            <w:tcW w:w="1660" w:type="dxa"/>
            <w:tcBorders>
              <w:top w:val="nil"/>
              <w:left w:val="nil"/>
              <w:bottom w:val="single" w:color="auto" w:sz="4" w:space="0"/>
              <w:right w:val="single" w:color="auto" w:sz="8" w:space="0"/>
            </w:tcBorders>
            <w:noWrap w:val="0"/>
            <w:vAlign w:val="bottom"/>
          </w:tcPr>
          <w:p w14:paraId="1FFFFC84">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452FC910">
            <w:pPr>
              <w:widowControl/>
              <w:jc w:val="left"/>
              <w:rPr>
                <w:rFonts w:ascii="仿宋" w:hAnsi="仿宋" w:eastAsia="仿宋" w:cs="宋体"/>
                <w:kern w:val="0"/>
                <w:sz w:val="20"/>
              </w:rPr>
            </w:pPr>
            <w:r>
              <w:rPr>
                <w:rFonts w:hint="eastAsia" w:ascii="仿宋" w:hAnsi="仿宋" w:eastAsia="仿宋" w:cs="宋体"/>
                <w:kern w:val="0"/>
                <w:sz w:val="20"/>
              </w:rPr>
              <w:t xml:space="preserve"> 5≤X＜20</w:t>
            </w:r>
          </w:p>
        </w:tc>
        <w:tc>
          <w:tcPr>
            <w:tcW w:w="1636" w:type="dxa"/>
            <w:tcBorders>
              <w:top w:val="nil"/>
              <w:left w:val="nil"/>
              <w:bottom w:val="single" w:color="auto" w:sz="4" w:space="0"/>
              <w:right w:val="single" w:color="auto" w:sz="4" w:space="0"/>
            </w:tcBorders>
            <w:noWrap w:val="0"/>
            <w:vAlign w:val="bottom"/>
          </w:tcPr>
          <w:p w14:paraId="73DFC0F5">
            <w:pPr>
              <w:widowControl/>
              <w:jc w:val="left"/>
              <w:rPr>
                <w:rFonts w:ascii="仿宋" w:hAnsi="仿宋" w:eastAsia="仿宋" w:cs="宋体"/>
                <w:kern w:val="0"/>
                <w:sz w:val="20"/>
              </w:rPr>
            </w:pPr>
            <w:r>
              <w:rPr>
                <w:rFonts w:hint="eastAsia" w:ascii="仿宋" w:hAnsi="仿宋" w:eastAsia="仿宋" w:cs="宋体"/>
                <w:kern w:val="0"/>
                <w:sz w:val="20"/>
              </w:rPr>
              <w:t>1000≤Y＜5000</w:t>
            </w:r>
          </w:p>
        </w:tc>
        <w:tc>
          <w:tcPr>
            <w:tcW w:w="1520" w:type="dxa"/>
            <w:tcBorders>
              <w:top w:val="nil"/>
              <w:left w:val="nil"/>
              <w:bottom w:val="single" w:color="auto" w:sz="4" w:space="0"/>
              <w:right w:val="single" w:color="auto" w:sz="8" w:space="0"/>
            </w:tcBorders>
            <w:noWrap w:val="0"/>
            <w:vAlign w:val="bottom"/>
          </w:tcPr>
          <w:p w14:paraId="610B3C52">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70F91D88">
            <w:pPr>
              <w:widowControl/>
              <w:jc w:val="left"/>
              <w:rPr>
                <w:rFonts w:ascii="仿宋" w:hAnsi="仿宋" w:eastAsia="仿宋" w:cs="宋体"/>
                <w:kern w:val="0"/>
                <w:sz w:val="20"/>
              </w:rPr>
            </w:pPr>
            <w:r>
              <w:rPr>
                <w:rFonts w:hint="eastAsia" w:ascii="仿宋" w:hAnsi="仿宋" w:eastAsia="仿宋" w:cs="宋体"/>
                <w:kern w:val="0"/>
                <w:sz w:val="20"/>
              </w:rPr>
              <w:t>X＜5</w:t>
            </w:r>
          </w:p>
        </w:tc>
        <w:tc>
          <w:tcPr>
            <w:tcW w:w="1275" w:type="dxa"/>
            <w:tcBorders>
              <w:top w:val="nil"/>
              <w:left w:val="nil"/>
              <w:bottom w:val="single" w:color="auto" w:sz="4" w:space="0"/>
              <w:right w:val="single" w:color="auto" w:sz="4" w:space="0"/>
            </w:tcBorders>
            <w:noWrap w:val="0"/>
            <w:vAlign w:val="bottom"/>
          </w:tcPr>
          <w:p w14:paraId="4D8D5029">
            <w:pPr>
              <w:widowControl/>
              <w:jc w:val="left"/>
              <w:rPr>
                <w:rFonts w:ascii="仿宋" w:hAnsi="仿宋" w:eastAsia="仿宋" w:cs="宋体"/>
                <w:kern w:val="0"/>
                <w:sz w:val="20"/>
              </w:rPr>
            </w:pPr>
            <w:r>
              <w:rPr>
                <w:rFonts w:hint="eastAsia" w:ascii="仿宋" w:hAnsi="仿宋" w:eastAsia="仿宋" w:cs="宋体"/>
                <w:kern w:val="0"/>
                <w:sz w:val="20"/>
              </w:rPr>
              <w:t>Y＜1000</w:t>
            </w:r>
          </w:p>
        </w:tc>
        <w:tc>
          <w:tcPr>
            <w:tcW w:w="1221" w:type="dxa"/>
            <w:tcBorders>
              <w:top w:val="nil"/>
              <w:left w:val="nil"/>
              <w:bottom w:val="single" w:color="auto" w:sz="4" w:space="0"/>
              <w:right w:val="single" w:color="auto" w:sz="8" w:space="0"/>
            </w:tcBorders>
            <w:noWrap w:val="0"/>
            <w:vAlign w:val="bottom"/>
          </w:tcPr>
          <w:p w14:paraId="6F451F14">
            <w:pPr>
              <w:widowControl/>
              <w:jc w:val="left"/>
              <w:rPr>
                <w:rFonts w:ascii="仿宋" w:hAnsi="仿宋" w:eastAsia="仿宋" w:cs="宋体"/>
                <w:kern w:val="0"/>
                <w:sz w:val="20"/>
              </w:rPr>
            </w:pPr>
            <w:r>
              <w:rPr>
                <w:rFonts w:hint="eastAsia" w:ascii="仿宋" w:hAnsi="仿宋" w:eastAsia="仿宋" w:cs="宋体"/>
                <w:kern w:val="0"/>
                <w:sz w:val="20"/>
              </w:rPr>
              <w:t>　</w:t>
            </w:r>
          </w:p>
        </w:tc>
      </w:tr>
      <w:tr w14:paraId="65BD5CB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DA96A1F">
            <w:pPr>
              <w:widowControl/>
              <w:jc w:val="left"/>
              <w:rPr>
                <w:rFonts w:ascii="仿宋" w:hAnsi="仿宋" w:eastAsia="仿宋" w:cs="宋体"/>
                <w:kern w:val="0"/>
                <w:sz w:val="20"/>
              </w:rPr>
            </w:pPr>
            <w:r>
              <w:rPr>
                <w:rFonts w:hint="eastAsia" w:ascii="仿宋" w:hAnsi="仿宋" w:eastAsia="仿宋" w:cs="宋体"/>
                <w:kern w:val="0"/>
                <w:sz w:val="20"/>
              </w:rPr>
              <w:t xml:space="preserve"> 5、零售业</w:t>
            </w:r>
          </w:p>
        </w:tc>
        <w:tc>
          <w:tcPr>
            <w:tcW w:w="1498" w:type="dxa"/>
            <w:tcBorders>
              <w:top w:val="nil"/>
              <w:left w:val="nil"/>
              <w:bottom w:val="single" w:color="auto" w:sz="4" w:space="0"/>
              <w:right w:val="single" w:color="auto" w:sz="4" w:space="0"/>
            </w:tcBorders>
            <w:noWrap w:val="0"/>
            <w:vAlign w:val="bottom"/>
          </w:tcPr>
          <w:p w14:paraId="3E257CDE">
            <w:pPr>
              <w:widowControl/>
              <w:jc w:val="left"/>
              <w:rPr>
                <w:rFonts w:ascii="仿宋" w:hAnsi="仿宋" w:eastAsia="仿宋" w:cs="宋体"/>
                <w:kern w:val="0"/>
                <w:sz w:val="20"/>
              </w:rPr>
            </w:pPr>
            <w:r>
              <w:rPr>
                <w:rFonts w:hint="eastAsia" w:ascii="仿宋" w:hAnsi="仿宋" w:eastAsia="仿宋" w:cs="宋体"/>
                <w:kern w:val="0"/>
                <w:sz w:val="20"/>
              </w:rPr>
              <w:t xml:space="preserve"> 50≤X＜300</w:t>
            </w:r>
          </w:p>
        </w:tc>
        <w:tc>
          <w:tcPr>
            <w:tcW w:w="1763" w:type="dxa"/>
            <w:tcBorders>
              <w:top w:val="nil"/>
              <w:left w:val="nil"/>
              <w:bottom w:val="single" w:color="auto" w:sz="4" w:space="0"/>
              <w:right w:val="single" w:color="auto" w:sz="4" w:space="0"/>
            </w:tcBorders>
            <w:noWrap w:val="0"/>
            <w:vAlign w:val="bottom"/>
          </w:tcPr>
          <w:p w14:paraId="7F9F4E55">
            <w:pPr>
              <w:widowControl/>
              <w:jc w:val="left"/>
              <w:rPr>
                <w:rFonts w:ascii="仿宋" w:hAnsi="仿宋" w:eastAsia="仿宋" w:cs="宋体"/>
                <w:kern w:val="0"/>
                <w:sz w:val="20"/>
              </w:rPr>
            </w:pPr>
            <w:r>
              <w:rPr>
                <w:rFonts w:hint="eastAsia" w:ascii="仿宋" w:hAnsi="仿宋" w:eastAsia="仿宋" w:cs="宋体"/>
                <w:kern w:val="0"/>
                <w:sz w:val="20"/>
              </w:rPr>
              <w:t xml:space="preserve"> 500≤Y＜20000</w:t>
            </w:r>
          </w:p>
        </w:tc>
        <w:tc>
          <w:tcPr>
            <w:tcW w:w="1660" w:type="dxa"/>
            <w:tcBorders>
              <w:top w:val="nil"/>
              <w:left w:val="nil"/>
              <w:bottom w:val="single" w:color="auto" w:sz="4" w:space="0"/>
              <w:right w:val="single" w:color="auto" w:sz="8" w:space="0"/>
            </w:tcBorders>
            <w:noWrap w:val="0"/>
            <w:vAlign w:val="bottom"/>
          </w:tcPr>
          <w:p w14:paraId="09E07442">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7FE6D4A0">
            <w:pPr>
              <w:widowControl/>
              <w:jc w:val="left"/>
              <w:rPr>
                <w:rFonts w:ascii="仿宋" w:hAnsi="仿宋" w:eastAsia="仿宋" w:cs="宋体"/>
                <w:kern w:val="0"/>
                <w:sz w:val="20"/>
              </w:rPr>
            </w:pPr>
            <w:r>
              <w:rPr>
                <w:rFonts w:hint="eastAsia" w:ascii="仿宋" w:hAnsi="仿宋" w:eastAsia="仿宋" w:cs="宋体"/>
                <w:kern w:val="0"/>
                <w:sz w:val="20"/>
              </w:rPr>
              <w:t>10≤X＜50</w:t>
            </w:r>
          </w:p>
        </w:tc>
        <w:tc>
          <w:tcPr>
            <w:tcW w:w="1636" w:type="dxa"/>
            <w:tcBorders>
              <w:top w:val="nil"/>
              <w:left w:val="nil"/>
              <w:bottom w:val="single" w:color="auto" w:sz="4" w:space="0"/>
              <w:right w:val="single" w:color="auto" w:sz="4" w:space="0"/>
            </w:tcBorders>
            <w:noWrap w:val="0"/>
            <w:vAlign w:val="bottom"/>
          </w:tcPr>
          <w:p w14:paraId="62A4DF48">
            <w:pPr>
              <w:widowControl/>
              <w:jc w:val="left"/>
              <w:rPr>
                <w:rFonts w:ascii="仿宋" w:hAnsi="仿宋" w:eastAsia="仿宋" w:cs="宋体"/>
                <w:kern w:val="0"/>
                <w:sz w:val="20"/>
              </w:rPr>
            </w:pPr>
            <w:r>
              <w:rPr>
                <w:rFonts w:hint="eastAsia" w:ascii="仿宋" w:hAnsi="仿宋" w:eastAsia="仿宋" w:cs="宋体"/>
                <w:kern w:val="0"/>
                <w:sz w:val="20"/>
              </w:rPr>
              <w:t>100≤Y＜500</w:t>
            </w:r>
          </w:p>
        </w:tc>
        <w:tc>
          <w:tcPr>
            <w:tcW w:w="1520" w:type="dxa"/>
            <w:tcBorders>
              <w:top w:val="nil"/>
              <w:left w:val="nil"/>
              <w:bottom w:val="single" w:color="auto" w:sz="4" w:space="0"/>
              <w:right w:val="single" w:color="auto" w:sz="8" w:space="0"/>
            </w:tcBorders>
            <w:noWrap w:val="0"/>
            <w:vAlign w:val="bottom"/>
          </w:tcPr>
          <w:p w14:paraId="7C6A246F">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3864AF0E">
            <w:pPr>
              <w:widowControl/>
              <w:jc w:val="left"/>
              <w:rPr>
                <w:rFonts w:ascii="仿宋" w:hAnsi="仿宋" w:eastAsia="仿宋" w:cs="宋体"/>
                <w:kern w:val="0"/>
                <w:sz w:val="20"/>
              </w:rPr>
            </w:pPr>
            <w:r>
              <w:rPr>
                <w:rFonts w:hint="eastAsia" w:ascii="仿宋" w:hAnsi="仿宋" w:eastAsia="仿宋" w:cs="宋体"/>
                <w:kern w:val="0"/>
                <w:sz w:val="20"/>
              </w:rPr>
              <w:t>X＜10</w:t>
            </w:r>
          </w:p>
        </w:tc>
        <w:tc>
          <w:tcPr>
            <w:tcW w:w="1275" w:type="dxa"/>
            <w:tcBorders>
              <w:top w:val="nil"/>
              <w:left w:val="nil"/>
              <w:bottom w:val="single" w:color="auto" w:sz="4" w:space="0"/>
              <w:right w:val="single" w:color="auto" w:sz="4" w:space="0"/>
            </w:tcBorders>
            <w:noWrap w:val="0"/>
            <w:vAlign w:val="bottom"/>
          </w:tcPr>
          <w:p w14:paraId="287A6E34">
            <w:pPr>
              <w:widowControl/>
              <w:jc w:val="left"/>
              <w:rPr>
                <w:rFonts w:ascii="仿宋" w:hAnsi="仿宋" w:eastAsia="仿宋" w:cs="宋体"/>
                <w:kern w:val="0"/>
                <w:sz w:val="20"/>
              </w:rPr>
            </w:pPr>
            <w:r>
              <w:rPr>
                <w:rFonts w:hint="eastAsia" w:ascii="仿宋" w:hAnsi="仿宋" w:eastAsia="仿宋" w:cs="宋体"/>
                <w:kern w:val="0"/>
                <w:sz w:val="20"/>
              </w:rPr>
              <w:t>Y＜100</w:t>
            </w:r>
          </w:p>
        </w:tc>
        <w:tc>
          <w:tcPr>
            <w:tcW w:w="1221" w:type="dxa"/>
            <w:tcBorders>
              <w:top w:val="nil"/>
              <w:left w:val="nil"/>
              <w:bottom w:val="single" w:color="auto" w:sz="4" w:space="0"/>
              <w:right w:val="single" w:color="auto" w:sz="8" w:space="0"/>
            </w:tcBorders>
            <w:noWrap w:val="0"/>
            <w:vAlign w:val="bottom"/>
          </w:tcPr>
          <w:p w14:paraId="133D85EB">
            <w:pPr>
              <w:widowControl/>
              <w:jc w:val="left"/>
              <w:rPr>
                <w:rFonts w:ascii="仿宋" w:hAnsi="仿宋" w:eastAsia="仿宋" w:cs="宋体"/>
                <w:kern w:val="0"/>
                <w:sz w:val="20"/>
              </w:rPr>
            </w:pPr>
            <w:r>
              <w:rPr>
                <w:rFonts w:hint="eastAsia" w:ascii="仿宋" w:hAnsi="仿宋" w:eastAsia="仿宋" w:cs="宋体"/>
                <w:kern w:val="0"/>
                <w:sz w:val="20"/>
              </w:rPr>
              <w:t>　</w:t>
            </w:r>
          </w:p>
        </w:tc>
      </w:tr>
      <w:tr w14:paraId="12338E0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4FA311C">
            <w:pPr>
              <w:widowControl/>
              <w:jc w:val="left"/>
              <w:rPr>
                <w:rFonts w:ascii="仿宋" w:hAnsi="仿宋" w:eastAsia="仿宋" w:cs="宋体"/>
                <w:kern w:val="0"/>
                <w:sz w:val="20"/>
              </w:rPr>
            </w:pPr>
            <w:r>
              <w:rPr>
                <w:rFonts w:hint="eastAsia" w:ascii="仿宋" w:hAnsi="仿宋" w:eastAsia="仿宋" w:cs="宋体"/>
                <w:kern w:val="0"/>
                <w:sz w:val="20"/>
              </w:rPr>
              <w:t xml:space="preserve"> 6、交通运输业</w:t>
            </w:r>
          </w:p>
        </w:tc>
        <w:tc>
          <w:tcPr>
            <w:tcW w:w="1498" w:type="dxa"/>
            <w:tcBorders>
              <w:top w:val="nil"/>
              <w:left w:val="nil"/>
              <w:bottom w:val="single" w:color="auto" w:sz="4" w:space="0"/>
              <w:right w:val="single" w:color="auto" w:sz="4" w:space="0"/>
            </w:tcBorders>
            <w:noWrap w:val="0"/>
            <w:vAlign w:val="bottom"/>
          </w:tcPr>
          <w:p w14:paraId="7352AC66">
            <w:pPr>
              <w:widowControl/>
              <w:jc w:val="left"/>
              <w:rPr>
                <w:rFonts w:ascii="仿宋" w:hAnsi="仿宋" w:eastAsia="仿宋" w:cs="宋体"/>
                <w:kern w:val="0"/>
                <w:sz w:val="20"/>
              </w:rPr>
            </w:pPr>
            <w:r>
              <w:rPr>
                <w:rFonts w:hint="eastAsia" w:ascii="仿宋" w:hAnsi="仿宋" w:eastAsia="仿宋" w:cs="宋体"/>
                <w:kern w:val="0"/>
                <w:sz w:val="20"/>
              </w:rPr>
              <w:t>300≤X＜1000</w:t>
            </w:r>
          </w:p>
        </w:tc>
        <w:tc>
          <w:tcPr>
            <w:tcW w:w="1763" w:type="dxa"/>
            <w:tcBorders>
              <w:top w:val="nil"/>
              <w:left w:val="nil"/>
              <w:bottom w:val="single" w:color="auto" w:sz="4" w:space="0"/>
              <w:right w:val="single" w:color="auto" w:sz="4" w:space="0"/>
            </w:tcBorders>
            <w:noWrap w:val="0"/>
            <w:vAlign w:val="bottom"/>
          </w:tcPr>
          <w:p w14:paraId="744E7CC5">
            <w:pPr>
              <w:widowControl/>
              <w:jc w:val="left"/>
              <w:rPr>
                <w:rFonts w:ascii="仿宋" w:hAnsi="仿宋" w:eastAsia="仿宋" w:cs="宋体"/>
                <w:kern w:val="0"/>
                <w:sz w:val="20"/>
              </w:rPr>
            </w:pPr>
            <w:r>
              <w:rPr>
                <w:rFonts w:hint="eastAsia" w:ascii="仿宋" w:hAnsi="仿宋" w:eastAsia="仿宋" w:cs="宋体"/>
                <w:kern w:val="0"/>
                <w:sz w:val="20"/>
              </w:rPr>
              <w:t>3000≤Y＜30000</w:t>
            </w:r>
          </w:p>
        </w:tc>
        <w:tc>
          <w:tcPr>
            <w:tcW w:w="1660" w:type="dxa"/>
            <w:tcBorders>
              <w:top w:val="nil"/>
              <w:left w:val="nil"/>
              <w:bottom w:val="single" w:color="auto" w:sz="4" w:space="0"/>
              <w:right w:val="single" w:color="auto" w:sz="8" w:space="0"/>
            </w:tcBorders>
            <w:noWrap w:val="0"/>
            <w:vAlign w:val="bottom"/>
          </w:tcPr>
          <w:p w14:paraId="75491965">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39771A8A">
            <w:pPr>
              <w:widowControl/>
              <w:jc w:val="left"/>
              <w:rPr>
                <w:rFonts w:ascii="仿宋" w:hAnsi="仿宋" w:eastAsia="仿宋" w:cs="宋体"/>
                <w:kern w:val="0"/>
                <w:sz w:val="20"/>
              </w:rPr>
            </w:pPr>
            <w:r>
              <w:rPr>
                <w:rFonts w:hint="eastAsia" w:ascii="仿宋" w:hAnsi="仿宋" w:eastAsia="仿宋" w:cs="宋体"/>
                <w:kern w:val="0"/>
                <w:sz w:val="20"/>
              </w:rPr>
              <w:t>20≤X＜300</w:t>
            </w:r>
          </w:p>
        </w:tc>
        <w:tc>
          <w:tcPr>
            <w:tcW w:w="1636" w:type="dxa"/>
            <w:tcBorders>
              <w:top w:val="nil"/>
              <w:left w:val="nil"/>
              <w:bottom w:val="single" w:color="auto" w:sz="4" w:space="0"/>
              <w:right w:val="single" w:color="auto" w:sz="4" w:space="0"/>
            </w:tcBorders>
            <w:noWrap w:val="0"/>
            <w:vAlign w:val="bottom"/>
          </w:tcPr>
          <w:p w14:paraId="7515A8B6">
            <w:pPr>
              <w:widowControl/>
              <w:jc w:val="left"/>
              <w:rPr>
                <w:rFonts w:ascii="仿宋" w:hAnsi="仿宋" w:eastAsia="仿宋" w:cs="宋体"/>
                <w:kern w:val="0"/>
                <w:sz w:val="20"/>
              </w:rPr>
            </w:pPr>
            <w:r>
              <w:rPr>
                <w:rFonts w:hint="eastAsia" w:ascii="仿宋" w:hAnsi="仿宋" w:eastAsia="仿宋" w:cs="宋体"/>
                <w:kern w:val="0"/>
                <w:sz w:val="20"/>
              </w:rPr>
              <w:t>200≤Y＜3000</w:t>
            </w:r>
          </w:p>
        </w:tc>
        <w:tc>
          <w:tcPr>
            <w:tcW w:w="1520" w:type="dxa"/>
            <w:tcBorders>
              <w:top w:val="nil"/>
              <w:left w:val="nil"/>
              <w:bottom w:val="single" w:color="auto" w:sz="4" w:space="0"/>
              <w:right w:val="single" w:color="auto" w:sz="8" w:space="0"/>
            </w:tcBorders>
            <w:noWrap w:val="0"/>
            <w:vAlign w:val="bottom"/>
          </w:tcPr>
          <w:p w14:paraId="65E956D9">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30FAEEF3">
            <w:pPr>
              <w:widowControl/>
              <w:jc w:val="left"/>
              <w:rPr>
                <w:rFonts w:ascii="仿宋" w:hAnsi="仿宋" w:eastAsia="仿宋" w:cs="宋体"/>
                <w:kern w:val="0"/>
                <w:sz w:val="20"/>
              </w:rPr>
            </w:pPr>
            <w:r>
              <w:rPr>
                <w:rFonts w:hint="eastAsia" w:ascii="仿宋" w:hAnsi="仿宋" w:eastAsia="仿宋" w:cs="宋体"/>
                <w:kern w:val="0"/>
                <w:sz w:val="20"/>
              </w:rPr>
              <w:t>X＜20</w:t>
            </w:r>
          </w:p>
        </w:tc>
        <w:tc>
          <w:tcPr>
            <w:tcW w:w="1275" w:type="dxa"/>
            <w:tcBorders>
              <w:top w:val="nil"/>
              <w:left w:val="nil"/>
              <w:bottom w:val="single" w:color="auto" w:sz="4" w:space="0"/>
              <w:right w:val="single" w:color="auto" w:sz="4" w:space="0"/>
            </w:tcBorders>
            <w:noWrap w:val="0"/>
            <w:vAlign w:val="bottom"/>
          </w:tcPr>
          <w:p w14:paraId="0922CB34">
            <w:pPr>
              <w:widowControl/>
              <w:jc w:val="left"/>
              <w:rPr>
                <w:rFonts w:ascii="仿宋" w:hAnsi="仿宋" w:eastAsia="仿宋" w:cs="宋体"/>
                <w:kern w:val="0"/>
                <w:sz w:val="20"/>
              </w:rPr>
            </w:pPr>
            <w:r>
              <w:rPr>
                <w:rFonts w:hint="eastAsia" w:ascii="仿宋" w:hAnsi="仿宋" w:eastAsia="仿宋" w:cs="宋体"/>
                <w:kern w:val="0"/>
                <w:sz w:val="20"/>
              </w:rPr>
              <w:t>V＜200</w:t>
            </w:r>
          </w:p>
        </w:tc>
        <w:tc>
          <w:tcPr>
            <w:tcW w:w="1221" w:type="dxa"/>
            <w:tcBorders>
              <w:top w:val="nil"/>
              <w:left w:val="nil"/>
              <w:bottom w:val="single" w:color="auto" w:sz="4" w:space="0"/>
              <w:right w:val="single" w:color="auto" w:sz="8" w:space="0"/>
            </w:tcBorders>
            <w:noWrap w:val="0"/>
            <w:vAlign w:val="bottom"/>
          </w:tcPr>
          <w:p w14:paraId="5D118C4B">
            <w:pPr>
              <w:widowControl/>
              <w:jc w:val="left"/>
              <w:rPr>
                <w:rFonts w:ascii="仿宋" w:hAnsi="仿宋" w:eastAsia="仿宋" w:cs="宋体"/>
                <w:kern w:val="0"/>
                <w:sz w:val="20"/>
              </w:rPr>
            </w:pPr>
            <w:r>
              <w:rPr>
                <w:rFonts w:hint="eastAsia" w:ascii="仿宋" w:hAnsi="仿宋" w:eastAsia="仿宋" w:cs="宋体"/>
                <w:kern w:val="0"/>
                <w:sz w:val="20"/>
              </w:rPr>
              <w:t>　</w:t>
            </w:r>
          </w:p>
        </w:tc>
      </w:tr>
      <w:tr w14:paraId="13B9C05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B4ECFDF">
            <w:pPr>
              <w:widowControl/>
              <w:jc w:val="left"/>
              <w:rPr>
                <w:rFonts w:ascii="仿宋" w:hAnsi="仿宋" w:eastAsia="仿宋" w:cs="宋体"/>
                <w:kern w:val="0"/>
                <w:sz w:val="20"/>
              </w:rPr>
            </w:pPr>
            <w:r>
              <w:rPr>
                <w:rFonts w:hint="eastAsia" w:ascii="仿宋" w:hAnsi="仿宋" w:eastAsia="仿宋" w:cs="宋体"/>
                <w:kern w:val="0"/>
                <w:sz w:val="20"/>
              </w:rPr>
              <w:t xml:space="preserve"> 7、仓储业</w:t>
            </w:r>
          </w:p>
        </w:tc>
        <w:tc>
          <w:tcPr>
            <w:tcW w:w="1498" w:type="dxa"/>
            <w:tcBorders>
              <w:top w:val="nil"/>
              <w:left w:val="nil"/>
              <w:bottom w:val="single" w:color="auto" w:sz="4" w:space="0"/>
              <w:right w:val="single" w:color="auto" w:sz="4" w:space="0"/>
            </w:tcBorders>
            <w:noWrap w:val="0"/>
            <w:vAlign w:val="bottom"/>
          </w:tcPr>
          <w:p w14:paraId="7559D39F">
            <w:pPr>
              <w:widowControl/>
              <w:jc w:val="left"/>
              <w:rPr>
                <w:rFonts w:ascii="仿宋" w:hAnsi="仿宋" w:eastAsia="仿宋" w:cs="宋体"/>
                <w:kern w:val="0"/>
                <w:sz w:val="20"/>
              </w:rPr>
            </w:pPr>
            <w:r>
              <w:rPr>
                <w:rFonts w:hint="eastAsia" w:ascii="仿宋" w:hAnsi="仿宋" w:eastAsia="仿宋" w:cs="宋体"/>
                <w:kern w:val="0"/>
                <w:sz w:val="20"/>
              </w:rPr>
              <w:t>100≤X＜200</w:t>
            </w:r>
          </w:p>
        </w:tc>
        <w:tc>
          <w:tcPr>
            <w:tcW w:w="1763" w:type="dxa"/>
            <w:tcBorders>
              <w:top w:val="nil"/>
              <w:left w:val="nil"/>
              <w:bottom w:val="single" w:color="auto" w:sz="4" w:space="0"/>
              <w:right w:val="single" w:color="auto" w:sz="4" w:space="0"/>
            </w:tcBorders>
            <w:noWrap w:val="0"/>
            <w:vAlign w:val="bottom"/>
          </w:tcPr>
          <w:p w14:paraId="2FAE1B6C">
            <w:pPr>
              <w:widowControl/>
              <w:jc w:val="left"/>
              <w:rPr>
                <w:rFonts w:ascii="仿宋" w:hAnsi="仿宋" w:eastAsia="仿宋" w:cs="宋体"/>
                <w:kern w:val="0"/>
                <w:sz w:val="20"/>
              </w:rPr>
            </w:pPr>
            <w:r>
              <w:rPr>
                <w:rFonts w:hint="eastAsia" w:ascii="仿宋" w:hAnsi="仿宋" w:eastAsia="仿宋" w:cs="宋体"/>
                <w:kern w:val="0"/>
                <w:sz w:val="20"/>
              </w:rPr>
              <w:t>1000≤Y＜30000</w:t>
            </w:r>
          </w:p>
        </w:tc>
        <w:tc>
          <w:tcPr>
            <w:tcW w:w="1660" w:type="dxa"/>
            <w:tcBorders>
              <w:top w:val="nil"/>
              <w:left w:val="nil"/>
              <w:bottom w:val="single" w:color="auto" w:sz="4" w:space="0"/>
              <w:right w:val="single" w:color="auto" w:sz="8" w:space="0"/>
            </w:tcBorders>
            <w:noWrap w:val="0"/>
            <w:vAlign w:val="bottom"/>
          </w:tcPr>
          <w:p w14:paraId="6B55704D">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23A3F63A">
            <w:pPr>
              <w:widowControl/>
              <w:jc w:val="left"/>
              <w:rPr>
                <w:rFonts w:ascii="仿宋" w:hAnsi="仿宋" w:eastAsia="仿宋" w:cs="宋体"/>
                <w:kern w:val="0"/>
                <w:sz w:val="20"/>
              </w:rPr>
            </w:pPr>
            <w:r>
              <w:rPr>
                <w:rFonts w:hint="eastAsia" w:ascii="仿宋" w:hAnsi="仿宋" w:eastAsia="仿宋" w:cs="宋体"/>
                <w:kern w:val="0"/>
                <w:sz w:val="20"/>
              </w:rPr>
              <w:t>20≤X＜100</w:t>
            </w:r>
          </w:p>
        </w:tc>
        <w:tc>
          <w:tcPr>
            <w:tcW w:w="1636" w:type="dxa"/>
            <w:tcBorders>
              <w:top w:val="nil"/>
              <w:left w:val="nil"/>
              <w:bottom w:val="single" w:color="auto" w:sz="4" w:space="0"/>
              <w:right w:val="single" w:color="auto" w:sz="4" w:space="0"/>
            </w:tcBorders>
            <w:noWrap w:val="0"/>
            <w:vAlign w:val="bottom"/>
          </w:tcPr>
          <w:p w14:paraId="249D5BB0">
            <w:pPr>
              <w:widowControl/>
              <w:jc w:val="left"/>
              <w:rPr>
                <w:rFonts w:ascii="仿宋" w:hAnsi="仿宋" w:eastAsia="仿宋" w:cs="宋体"/>
                <w:kern w:val="0"/>
                <w:sz w:val="20"/>
              </w:rPr>
            </w:pPr>
            <w:r>
              <w:rPr>
                <w:rFonts w:hint="eastAsia" w:ascii="仿宋" w:hAnsi="仿宋" w:eastAsia="仿宋" w:cs="宋体"/>
                <w:kern w:val="0"/>
                <w:sz w:val="20"/>
              </w:rPr>
              <w:t>100≤Y＜1000</w:t>
            </w:r>
          </w:p>
        </w:tc>
        <w:tc>
          <w:tcPr>
            <w:tcW w:w="1520" w:type="dxa"/>
            <w:tcBorders>
              <w:top w:val="nil"/>
              <w:left w:val="nil"/>
              <w:bottom w:val="single" w:color="auto" w:sz="4" w:space="0"/>
              <w:right w:val="single" w:color="auto" w:sz="8" w:space="0"/>
            </w:tcBorders>
            <w:noWrap w:val="0"/>
            <w:vAlign w:val="bottom"/>
          </w:tcPr>
          <w:p w14:paraId="24F0D695">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610888F0">
            <w:pPr>
              <w:widowControl/>
              <w:jc w:val="left"/>
              <w:rPr>
                <w:rFonts w:ascii="仿宋" w:hAnsi="仿宋" w:eastAsia="仿宋" w:cs="宋体"/>
                <w:kern w:val="0"/>
                <w:sz w:val="20"/>
              </w:rPr>
            </w:pPr>
            <w:r>
              <w:rPr>
                <w:rFonts w:hint="eastAsia" w:ascii="仿宋" w:hAnsi="仿宋" w:eastAsia="仿宋" w:cs="宋体"/>
                <w:kern w:val="0"/>
                <w:sz w:val="20"/>
              </w:rPr>
              <w:t>X＜20</w:t>
            </w:r>
          </w:p>
        </w:tc>
        <w:tc>
          <w:tcPr>
            <w:tcW w:w="1275" w:type="dxa"/>
            <w:tcBorders>
              <w:top w:val="nil"/>
              <w:left w:val="nil"/>
              <w:bottom w:val="single" w:color="auto" w:sz="4" w:space="0"/>
              <w:right w:val="single" w:color="auto" w:sz="4" w:space="0"/>
            </w:tcBorders>
            <w:noWrap w:val="0"/>
            <w:vAlign w:val="bottom"/>
          </w:tcPr>
          <w:p w14:paraId="08422C7E">
            <w:pPr>
              <w:widowControl/>
              <w:jc w:val="left"/>
              <w:rPr>
                <w:rFonts w:ascii="仿宋" w:hAnsi="仿宋" w:eastAsia="仿宋" w:cs="宋体"/>
                <w:kern w:val="0"/>
                <w:sz w:val="20"/>
              </w:rPr>
            </w:pPr>
            <w:r>
              <w:rPr>
                <w:rFonts w:hint="eastAsia" w:ascii="仿宋" w:hAnsi="仿宋" w:eastAsia="仿宋" w:cs="宋体"/>
                <w:kern w:val="0"/>
                <w:sz w:val="20"/>
              </w:rPr>
              <w:t>Y＜100</w:t>
            </w:r>
          </w:p>
        </w:tc>
        <w:tc>
          <w:tcPr>
            <w:tcW w:w="1221" w:type="dxa"/>
            <w:tcBorders>
              <w:top w:val="nil"/>
              <w:left w:val="nil"/>
              <w:bottom w:val="single" w:color="auto" w:sz="4" w:space="0"/>
              <w:right w:val="single" w:color="auto" w:sz="8" w:space="0"/>
            </w:tcBorders>
            <w:noWrap w:val="0"/>
            <w:vAlign w:val="bottom"/>
          </w:tcPr>
          <w:p w14:paraId="42C59CB9">
            <w:pPr>
              <w:widowControl/>
              <w:jc w:val="left"/>
              <w:rPr>
                <w:rFonts w:ascii="仿宋" w:hAnsi="仿宋" w:eastAsia="仿宋" w:cs="宋体"/>
                <w:kern w:val="0"/>
                <w:sz w:val="20"/>
              </w:rPr>
            </w:pPr>
            <w:r>
              <w:rPr>
                <w:rFonts w:hint="eastAsia" w:ascii="仿宋" w:hAnsi="仿宋" w:eastAsia="仿宋" w:cs="宋体"/>
                <w:kern w:val="0"/>
                <w:sz w:val="20"/>
              </w:rPr>
              <w:t>　</w:t>
            </w:r>
          </w:p>
        </w:tc>
      </w:tr>
      <w:tr w14:paraId="436E10E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FBF0DDC">
            <w:pPr>
              <w:widowControl/>
              <w:jc w:val="left"/>
              <w:rPr>
                <w:rFonts w:ascii="仿宋" w:hAnsi="仿宋" w:eastAsia="仿宋" w:cs="宋体"/>
                <w:kern w:val="0"/>
                <w:sz w:val="20"/>
              </w:rPr>
            </w:pPr>
            <w:r>
              <w:rPr>
                <w:rFonts w:hint="eastAsia" w:ascii="仿宋" w:hAnsi="仿宋" w:eastAsia="仿宋" w:cs="宋体"/>
                <w:kern w:val="0"/>
                <w:sz w:val="20"/>
              </w:rPr>
              <w:t xml:space="preserve"> 8、邮政业</w:t>
            </w:r>
          </w:p>
        </w:tc>
        <w:tc>
          <w:tcPr>
            <w:tcW w:w="1498" w:type="dxa"/>
            <w:tcBorders>
              <w:top w:val="nil"/>
              <w:left w:val="nil"/>
              <w:bottom w:val="single" w:color="auto" w:sz="4" w:space="0"/>
              <w:right w:val="single" w:color="auto" w:sz="4" w:space="0"/>
            </w:tcBorders>
            <w:noWrap w:val="0"/>
            <w:vAlign w:val="bottom"/>
          </w:tcPr>
          <w:p w14:paraId="4B33CE6B">
            <w:pPr>
              <w:widowControl/>
              <w:jc w:val="left"/>
              <w:rPr>
                <w:rFonts w:ascii="仿宋" w:hAnsi="仿宋" w:eastAsia="仿宋" w:cs="宋体"/>
                <w:kern w:val="0"/>
                <w:sz w:val="20"/>
              </w:rPr>
            </w:pPr>
            <w:r>
              <w:rPr>
                <w:rFonts w:hint="eastAsia" w:ascii="仿宋" w:hAnsi="仿宋" w:eastAsia="仿宋" w:cs="宋体"/>
                <w:kern w:val="0"/>
                <w:sz w:val="20"/>
              </w:rPr>
              <w:t>300≤X＜1000</w:t>
            </w:r>
          </w:p>
        </w:tc>
        <w:tc>
          <w:tcPr>
            <w:tcW w:w="1763" w:type="dxa"/>
            <w:tcBorders>
              <w:top w:val="nil"/>
              <w:left w:val="nil"/>
              <w:bottom w:val="single" w:color="auto" w:sz="4" w:space="0"/>
              <w:right w:val="single" w:color="auto" w:sz="4" w:space="0"/>
            </w:tcBorders>
            <w:noWrap w:val="0"/>
            <w:vAlign w:val="bottom"/>
          </w:tcPr>
          <w:p w14:paraId="3187CF5C">
            <w:pPr>
              <w:widowControl/>
              <w:jc w:val="left"/>
              <w:rPr>
                <w:rFonts w:ascii="仿宋" w:hAnsi="仿宋" w:eastAsia="仿宋" w:cs="宋体"/>
                <w:kern w:val="0"/>
                <w:sz w:val="20"/>
              </w:rPr>
            </w:pPr>
            <w:r>
              <w:rPr>
                <w:rFonts w:hint="eastAsia" w:ascii="仿宋" w:hAnsi="仿宋" w:eastAsia="仿宋" w:cs="宋体"/>
                <w:kern w:val="0"/>
                <w:sz w:val="20"/>
              </w:rPr>
              <w:t>2000≤Y＜30000</w:t>
            </w:r>
          </w:p>
        </w:tc>
        <w:tc>
          <w:tcPr>
            <w:tcW w:w="1660" w:type="dxa"/>
            <w:tcBorders>
              <w:top w:val="nil"/>
              <w:left w:val="nil"/>
              <w:bottom w:val="single" w:color="auto" w:sz="4" w:space="0"/>
              <w:right w:val="single" w:color="auto" w:sz="8" w:space="0"/>
            </w:tcBorders>
            <w:noWrap w:val="0"/>
            <w:vAlign w:val="bottom"/>
          </w:tcPr>
          <w:p w14:paraId="16508578">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60512B50">
            <w:pPr>
              <w:widowControl/>
              <w:jc w:val="left"/>
              <w:rPr>
                <w:rFonts w:ascii="仿宋" w:hAnsi="仿宋" w:eastAsia="仿宋" w:cs="宋体"/>
                <w:kern w:val="0"/>
                <w:sz w:val="20"/>
              </w:rPr>
            </w:pPr>
            <w:r>
              <w:rPr>
                <w:rFonts w:hint="eastAsia" w:ascii="仿宋" w:hAnsi="仿宋" w:eastAsia="仿宋" w:cs="宋体"/>
                <w:kern w:val="0"/>
                <w:sz w:val="20"/>
              </w:rPr>
              <w:t>20≤X＜300</w:t>
            </w:r>
          </w:p>
        </w:tc>
        <w:tc>
          <w:tcPr>
            <w:tcW w:w="1636" w:type="dxa"/>
            <w:tcBorders>
              <w:top w:val="nil"/>
              <w:left w:val="nil"/>
              <w:bottom w:val="single" w:color="auto" w:sz="4" w:space="0"/>
              <w:right w:val="single" w:color="auto" w:sz="4" w:space="0"/>
            </w:tcBorders>
            <w:noWrap w:val="0"/>
            <w:vAlign w:val="bottom"/>
          </w:tcPr>
          <w:p w14:paraId="150DE8E4">
            <w:pPr>
              <w:widowControl/>
              <w:jc w:val="left"/>
              <w:rPr>
                <w:rFonts w:ascii="仿宋" w:hAnsi="仿宋" w:eastAsia="仿宋" w:cs="宋体"/>
                <w:kern w:val="0"/>
                <w:sz w:val="20"/>
              </w:rPr>
            </w:pPr>
            <w:r>
              <w:rPr>
                <w:rFonts w:hint="eastAsia" w:ascii="仿宋" w:hAnsi="仿宋" w:eastAsia="仿宋" w:cs="宋体"/>
                <w:kern w:val="0"/>
                <w:sz w:val="20"/>
              </w:rPr>
              <w:t>100≤Y＜2000</w:t>
            </w:r>
          </w:p>
        </w:tc>
        <w:tc>
          <w:tcPr>
            <w:tcW w:w="1520" w:type="dxa"/>
            <w:tcBorders>
              <w:top w:val="nil"/>
              <w:left w:val="nil"/>
              <w:bottom w:val="single" w:color="auto" w:sz="4" w:space="0"/>
              <w:right w:val="single" w:color="auto" w:sz="8" w:space="0"/>
            </w:tcBorders>
            <w:noWrap w:val="0"/>
            <w:vAlign w:val="bottom"/>
          </w:tcPr>
          <w:p w14:paraId="5208100A">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7FE6DEFF">
            <w:pPr>
              <w:widowControl/>
              <w:jc w:val="left"/>
              <w:rPr>
                <w:rFonts w:ascii="仿宋" w:hAnsi="仿宋" w:eastAsia="仿宋" w:cs="宋体"/>
                <w:kern w:val="0"/>
                <w:sz w:val="20"/>
              </w:rPr>
            </w:pPr>
            <w:r>
              <w:rPr>
                <w:rFonts w:hint="eastAsia" w:ascii="仿宋" w:hAnsi="仿宋" w:eastAsia="仿宋" w:cs="宋体"/>
                <w:kern w:val="0"/>
                <w:sz w:val="20"/>
              </w:rPr>
              <w:t>X＜20</w:t>
            </w:r>
          </w:p>
        </w:tc>
        <w:tc>
          <w:tcPr>
            <w:tcW w:w="1275" w:type="dxa"/>
            <w:tcBorders>
              <w:top w:val="nil"/>
              <w:left w:val="nil"/>
              <w:bottom w:val="single" w:color="auto" w:sz="4" w:space="0"/>
              <w:right w:val="single" w:color="auto" w:sz="4" w:space="0"/>
            </w:tcBorders>
            <w:noWrap w:val="0"/>
            <w:vAlign w:val="bottom"/>
          </w:tcPr>
          <w:p w14:paraId="4D549FAC">
            <w:pPr>
              <w:widowControl/>
              <w:jc w:val="left"/>
              <w:rPr>
                <w:rFonts w:ascii="仿宋" w:hAnsi="仿宋" w:eastAsia="仿宋" w:cs="宋体"/>
                <w:kern w:val="0"/>
                <w:sz w:val="20"/>
              </w:rPr>
            </w:pPr>
            <w:r>
              <w:rPr>
                <w:rFonts w:hint="eastAsia" w:ascii="仿宋" w:hAnsi="仿宋" w:eastAsia="仿宋" w:cs="宋体"/>
                <w:kern w:val="0"/>
                <w:sz w:val="20"/>
              </w:rPr>
              <w:t>Y＜100</w:t>
            </w:r>
          </w:p>
        </w:tc>
        <w:tc>
          <w:tcPr>
            <w:tcW w:w="1221" w:type="dxa"/>
            <w:tcBorders>
              <w:top w:val="nil"/>
              <w:left w:val="nil"/>
              <w:bottom w:val="single" w:color="auto" w:sz="4" w:space="0"/>
              <w:right w:val="single" w:color="auto" w:sz="8" w:space="0"/>
            </w:tcBorders>
            <w:noWrap w:val="0"/>
            <w:vAlign w:val="bottom"/>
          </w:tcPr>
          <w:p w14:paraId="57F42E4C">
            <w:pPr>
              <w:widowControl/>
              <w:jc w:val="left"/>
              <w:rPr>
                <w:rFonts w:ascii="仿宋" w:hAnsi="仿宋" w:eastAsia="仿宋" w:cs="宋体"/>
                <w:kern w:val="0"/>
                <w:sz w:val="20"/>
              </w:rPr>
            </w:pPr>
            <w:r>
              <w:rPr>
                <w:rFonts w:hint="eastAsia" w:ascii="仿宋" w:hAnsi="仿宋" w:eastAsia="仿宋" w:cs="宋体"/>
                <w:kern w:val="0"/>
                <w:sz w:val="20"/>
              </w:rPr>
              <w:t>　</w:t>
            </w:r>
          </w:p>
        </w:tc>
      </w:tr>
      <w:tr w14:paraId="08469CC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19AE9E2">
            <w:pPr>
              <w:widowControl/>
              <w:jc w:val="left"/>
              <w:rPr>
                <w:rFonts w:ascii="仿宋" w:hAnsi="仿宋" w:eastAsia="仿宋" w:cs="宋体"/>
                <w:kern w:val="0"/>
                <w:sz w:val="20"/>
              </w:rPr>
            </w:pPr>
            <w:r>
              <w:rPr>
                <w:rFonts w:hint="eastAsia" w:ascii="仿宋" w:hAnsi="仿宋" w:eastAsia="仿宋" w:cs="宋体"/>
                <w:kern w:val="0"/>
                <w:sz w:val="20"/>
              </w:rPr>
              <w:t xml:space="preserve"> 9、住宿业</w:t>
            </w:r>
          </w:p>
        </w:tc>
        <w:tc>
          <w:tcPr>
            <w:tcW w:w="1498" w:type="dxa"/>
            <w:tcBorders>
              <w:top w:val="nil"/>
              <w:left w:val="nil"/>
              <w:bottom w:val="single" w:color="auto" w:sz="4" w:space="0"/>
              <w:right w:val="single" w:color="auto" w:sz="4" w:space="0"/>
            </w:tcBorders>
            <w:noWrap w:val="0"/>
            <w:vAlign w:val="bottom"/>
          </w:tcPr>
          <w:p w14:paraId="039D9BE6">
            <w:pPr>
              <w:widowControl/>
              <w:jc w:val="left"/>
              <w:rPr>
                <w:rFonts w:ascii="仿宋" w:hAnsi="仿宋" w:eastAsia="仿宋" w:cs="宋体"/>
                <w:kern w:val="0"/>
                <w:sz w:val="20"/>
              </w:rPr>
            </w:pPr>
            <w:r>
              <w:rPr>
                <w:rFonts w:hint="eastAsia" w:ascii="仿宋" w:hAnsi="仿宋" w:eastAsia="仿宋" w:cs="宋体"/>
                <w:kern w:val="0"/>
                <w:sz w:val="20"/>
              </w:rPr>
              <w:t>100≤X＜300</w:t>
            </w:r>
          </w:p>
        </w:tc>
        <w:tc>
          <w:tcPr>
            <w:tcW w:w="1763" w:type="dxa"/>
            <w:tcBorders>
              <w:top w:val="nil"/>
              <w:left w:val="nil"/>
              <w:bottom w:val="single" w:color="auto" w:sz="4" w:space="0"/>
              <w:right w:val="single" w:color="auto" w:sz="4" w:space="0"/>
            </w:tcBorders>
            <w:noWrap w:val="0"/>
            <w:vAlign w:val="bottom"/>
          </w:tcPr>
          <w:p w14:paraId="4646896C">
            <w:pPr>
              <w:widowControl/>
              <w:jc w:val="left"/>
              <w:rPr>
                <w:rFonts w:ascii="仿宋" w:hAnsi="仿宋" w:eastAsia="仿宋" w:cs="宋体"/>
                <w:kern w:val="0"/>
                <w:sz w:val="20"/>
              </w:rPr>
            </w:pPr>
            <w:r>
              <w:rPr>
                <w:rFonts w:hint="eastAsia" w:ascii="仿宋" w:hAnsi="仿宋" w:eastAsia="仿宋" w:cs="宋体"/>
                <w:kern w:val="0"/>
                <w:sz w:val="20"/>
              </w:rPr>
              <w:t>2000≤Y＜10000</w:t>
            </w:r>
          </w:p>
        </w:tc>
        <w:tc>
          <w:tcPr>
            <w:tcW w:w="1660" w:type="dxa"/>
            <w:tcBorders>
              <w:top w:val="nil"/>
              <w:left w:val="nil"/>
              <w:bottom w:val="single" w:color="auto" w:sz="4" w:space="0"/>
              <w:right w:val="single" w:color="auto" w:sz="8" w:space="0"/>
            </w:tcBorders>
            <w:noWrap w:val="0"/>
            <w:vAlign w:val="bottom"/>
          </w:tcPr>
          <w:p w14:paraId="1951142F">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5C4C02D3">
            <w:pPr>
              <w:widowControl/>
              <w:jc w:val="left"/>
              <w:rPr>
                <w:rFonts w:ascii="仿宋" w:hAnsi="仿宋" w:eastAsia="仿宋" w:cs="宋体"/>
                <w:kern w:val="0"/>
                <w:sz w:val="20"/>
              </w:rPr>
            </w:pPr>
            <w:r>
              <w:rPr>
                <w:rFonts w:hint="eastAsia" w:ascii="仿宋" w:hAnsi="仿宋" w:eastAsia="仿宋" w:cs="宋体"/>
                <w:kern w:val="0"/>
                <w:sz w:val="20"/>
              </w:rPr>
              <w:t>10≤X＜100</w:t>
            </w:r>
          </w:p>
        </w:tc>
        <w:tc>
          <w:tcPr>
            <w:tcW w:w="1636" w:type="dxa"/>
            <w:tcBorders>
              <w:top w:val="nil"/>
              <w:left w:val="nil"/>
              <w:bottom w:val="single" w:color="auto" w:sz="4" w:space="0"/>
              <w:right w:val="single" w:color="auto" w:sz="4" w:space="0"/>
            </w:tcBorders>
            <w:noWrap w:val="0"/>
            <w:vAlign w:val="bottom"/>
          </w:tcPr>
          <w:p w14:paraId="6A20D21A">
            <w:pPr>
              <w:widowControl/>
              <w:jc w:val="left"/>
              <w:rPr>
                <w:rFonts w:ascii="仿宋" w:hAnsi="仿宋" w:eastAsia="仿宋" w:cs="宋体"/>
                <w:kern w:val="0"/>
                <w:sz w:val="20"/>
              </w:rPr>
            </w:pPr>
            <w:r>
              <w:rPr>
                <w:rFonts w:hint="eastAsia" w:ascii="仿宋" w:hAnsi="仿宋" w:eastAsia="仿宋" w:cs="宋体"/>
                <w:kern w:val="0"/>
                <w:sz w:val="20"/>
              </w:rPr>
              <w:t>100≤Y＜2000</w:t>
            </w:r>
          </w:p>
        </w:tc>
        <w:tc>
          <w:tcPr>
            <w:tcW w:w="1520" w:type="dxa"/>
            <w:tcBorders>
              <w:top w:val="nil"/>
              <w:left w:val="nil"/>
              <w:bottom w:val="single" w:color="auto" w:sz="4" w:space="0"/>
              <w:right w:val="single" w:color="auto" w:sz="8" w:space="0"/>
            </w:tcBorders>
            <w:noWrap w:val="0"/>
            <w:vAlign w:val="bottom"/>
          </w:tcPr>
          <w:p w14:paraId="26948FEC">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44BC304B">
            <w:pPr>
              <w:widowControl/>
              <w:jc w:val="left"/>
              <w:rPr>
                <w:rFonts w:ascii="仿宋" w:hAnsi="仿宋" w:eastAsia="仿宋" w:cs="宋体"/>
                <w:kern w:val="0"/>
                <w:sz w:val="20"/>
              </w:rPr>
            </w:pPr>
            <w:r>
              <w:rPr>
                <w:rFonts w:hint="eastAsia" w:ascii="仿宋" w:hAnsi="仿宋" w:eastAsia="仿宋" w:cs="宋体"/>
                <w:kern w:val="0"/>
                <w:sz w:val="20"/>
              </w:rPr>
              <w:t>X＜10</w:t>
            </w:r>
          </w:p>
        </w:tc>
        <w:tc>
          <w:tcPr>
            <w:tcW w:w="1275" w:type="dxa"/>
            <w:tcBorders>
              <w:top w:val="nil"/>
              <w:left w:val="nil"/>
              <w:bottom w:val="single" w:color="auto" w:sz="4" w:space="0"/>
              <w:right w:val="single" w:color="auto" w:sz="4" w:space="0"/>
            </w:tcBorders>
            <w:noWrap w:val="0"/>
            <w:vAlign w:val="bottom"/>
          </w:tcPr>
          <w:p w14:paraId="23FD7240">
            <w:pPr>
              <w:widowControl/>
              <w:jc w:val="left"/>
              <w:rPr>
                <w:rFonts w:ascii="仿宋" w:hAnsi="仿宋" w:eastAsia="仿宋" w:cs="宋体"/>
                <w:kern w:val="0"/>
                <w:sz w:val="20"/>
              </w:rPr>
            </w:pPr>
            <w:r>
              <w:rPr>
                <w:rFonts w:hint="eastAsia" w:ascii="仿宋" w:hAnsi="仿宋" w:eastAsia="仿宋" w:cs="宋体"/>
                <w:kern w:val="0"/>
                <w:sz w:val="20"/>
              </w:rPr>
              <w:t>Y＜100</w:t>
            </w:r>
          </w:p>
        </w:tc>
        <w:tc>
          <w:tcPr>
            <w:tcW w:w="1221" w:type="dxa"/>
            <w:tcBorders>
              <w:top w:val="nil"/>
              <w:left w:val="nil"/>
              <w:bottom w:val="single" w:color="auto" w:sz="4" w:space="0"/>
              <w:right w:val="single" w:color="auto" w:sz="8" w:space="0"/>
            </w:tcBorders>
            <w:noWrap w:val="0"/>
            <w:vAlign w:val="bottom"/>
          </w:tcPr>
          <w:p w14:paraId="0276CA85">
            <w:pPr>
              <w:widowControl/>
              <w:jc w:val="left"/>
              <w:rPr>
                <w:rFonts w:ascii="仿宋" w:hAnsi="仿宋" w:eastAsia="仿宋" w:cs="宋体"/>
                <w:kern w:val="0"/>
                <w:sz w:val="20"/>
              </w:rPr>
            </w:pPr>
            <w:r>
              <w:rPr>
                <w:rFonts w:hint="eastAsia" w:ascii="仿宋" w:hAnsi="仿宋" w:eastAsia="仿宋" w:cs="宋体"/>
                <w:kern w:val="0"/>
                <w:sz w:val="20"/>
              </w:rPr>
              <w:t>　</w:t>
            </w:r>
          </w:p>
        </w:tc>
      </w:tr>
      <w:tr w14:paraId="6784B2E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DE41A5A">
            <w:pPr>
              <w:widowControl/>
              <w:jc w:val="left"/>
              <w:rPr>
                <w:rFonts w:ascii="仿宋" w:hAnsi="仿宋" w:eastAsia="仿宋" w:cs="宋体"/>
                <w:kern w:val="0"/>
                <w:sz w:val="20"/>
              </w:rPr>
            </w:pPr>
            <w:r>
              <w:rPr>
                <w:rFonts w:hint="eastAsia" w:ascii="仿宋" w:hAnsi="仿宋" w:eastAsia="仿宋" w:cs="宋体"/>
                <w:kern w:val="0"/>
                <w:sz w:val="20"/>
              </w:rPr>
              <w:t>10、餐饮业</w:t>
            </w:r>
          </w:p>
        </w:tc>
        <w:tc>
          <w:tcPr>
            <w:tcW w:w="1498" w:type="dxa"/>
            <w:tcBorders>
              <w:top w:val="nil"/>
              <w:left w:val="nil"/>
              <w:bottom w:val="single" w:color="auto" w:sz="4" w:space="0"/>
              <w:right w:val="single" w:color="auto" w:sz="4" w:space="0"/>
            </w:tcBorders>
            <w:noWrap w:val="0"/>
            <w:vAlign w:val="bottom"/>
          </w:tcPr>
          <w:p w14:paraId="5542E525">
            <w:pPr>
              <w:widowControl/>
              <w:jc w:val="left"/>
              <w:rPr>
                <w:rFonts w:ascii="仿宋" w:hAnsi="仿宋" w:eastAsia="仿宋" w:cs="宋体"/>
                <w:kern w:val="0"/>
                <w:sz w:val="20"/>
              </w:rPr>
            </w:pPr>
            <w:r>
              <w:rPr>
                <w:rFonts w:hint="eastAsia" w:ascii="仿宋" w:hAnsi="仿宋" w:eastAsia="仿宋" w:cs="宋体"/>
                <w:kern w:val="0"/>
                <w:sz w:val="20"/>
              </w:rPr>
              <w:t>100≤X＜300</w:t>
            </w:r>
          </w:p>
        </w:tc>
        <w:tc>
          <w:tcPr>
            <w:tcW w:w="1763" w:type="dxa"/>
            <w:tcBorders>
              <w:top w:val="nil"/>
              <w:left w:val="nil"/>
              <w:bottom w:val="single" w:color="auto" w:sz="4" w:space="0"/>
              <w:right w:val="single" w:color="auto" w:sz="4" w:space="0"/>
            </w:tcBorders>
            <w:noWrap w:val="0"/>
            <w:vAlign w:val="bottom"/>
          </w:tcPr>
          <w:p w14:paraId="2BBD121C">
            <w:pPr>
              <w:widowControl/>
              <w:jc w:val="left"/>
              <w:rPr>
                <w:rFonts w:ascii="仿宋" w:hAnsi="仿宋" w:eastAsia="仿宋" w:cs="宋体"/>
                <w:kern w:val="0"/>
                <w:sz w:val="20"/>
              </w:rPr>
            </w:pPr>
            <w:r>
              <w:rPr>
                <w:rFonts w:hint="eastAsia" w:ascii="仿宋" w:hAnsi="仿宋" w:eastAsia="仿宋" w:cs="宋体"/>
                <w:kern w:val="0"/>
                <w:sz w:val="20"/>
              </w:rPr>
              <w:t>2000≤Y＜10000</w:t>
            </w:r>
          </w:p>
        </w:tc>
        <w:tc>
          <w:tcPr>
            <w:tcW w:w="1660" w:type="dxa"/>
            <w:tcBorders>
              <w:top w:val="nil"/>
              <w:left w:val="nil"/>
              <w:bottom w:val="single" w:color="auto" w:sz="4" w:space="0"/>
              <w:right w:val="single" w:color="auto" w:sz="8" w:space="0"/>
            </w:tcBorders>
            <w:noWrap w:val="0"/>
            <w:vAlign w:val="bottom"/>
          </w:tcPr>
          <w:p w14:paraId="4B7A12ED">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11007E27">
            <w:pPr>
              <w:widowControl/>
              <w:jc w:val="left"/>
              <w:rPr>
                <w:rFonts w:ascii="仿宋" w:hAnsi="仿宋" w:eastAsia="仿宋" w:cs="宋体"/>
                <w:kern w:val="0"/>
                <w:sz w:val="20"/>
              </w:rPr>
            </w:pPr>
            <w:r>
              <w:rPr>
                <w:rFonts w:hint="eastAsia" w:ascii="仿宋" w:hAnsi="仿宋" w:eastAsia="仿宋" w:cs="宋体"/>
                <w:kern w:val="0"/>
                <w:sz w:val="20"/>
              </w:rPr>
              <w:t>10≤X＜100</w:t>
            </w:r>
          </w:p>
        </w:tc>
        <w:tc>
          <w:tcPr>
            <w:tcW w:w="1636" w:type="dxa"/>
            <w:tcBorders>
              <w:top w:val="nil"/>
              <w:left w:val="nil"/>
              <w:bottom w:val="single" w:color="auto" w:sz="4" w:space="0"/>
              <w:right w:val="single" w:color="auto" w:sz="4" w:space="0"/>
            </w:tcBorders>
            <w:noWrap w:val="0"/>
            <w:vAlign w:val="bottom"/>
          </w:tcPr>
          <w:p w14:paraId="62048FE4">
            <w:pPr>
              <w:widowControl/>
              <w:jc w:val="left"/>
              <w:rPr>
                <w:rFonts w:ascii="仿宋" w:hAnsi="仿宋" w:eastAsia="仿宋" w:cs="宋体"/>
                <w:kern w:val="0"/>
                <w:sz w:val="20"/>
              </w:rPr>
            </w:pPr>
            <w:r>
              <w:rPr>
                <w:rFonts w:hint="eastAsia" w:ascii="仿宋" w:hAnsi="仿宋" w:eastAsia="仿宋" w:cs="宋体"/>
                <w:kern w:val="0"/>
                <w:sz w:val="20"/>
              </w:rPr>
              <w:t>100≤Y＜2000</w:t>
            </w:r>
          </w:p>
        </w:tc>
        <w:tc>
          <w:tcPr>
            <w:tcW w:w="1520" w:type="dxa"/>
            <w:tcBorders>
              <w:top w:val="nil"/>
              <w:left w:val="nil"/>
              <w:bottom w:val="single" w:color="auto" w:sz="4" w:space="0"/>
              <w:right w:val="single" w:color="auto" w:sz="8" w:space="0"/>
            </w:tcBorders>
            <w:noWrap w:val="0"/>
            <w:vAlign w:val="bottom"/>
          </w:tcPr>
          <w:p w14:paraId="3A0FC530">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1EBBDB7A">
            <w:pPr>
              <w:widowControl/>
              <w:jc w:val="left"/>
              <w:rPr>
                <w:rFonts w:ascii="仿宋" w:hAnsi="仿宋" w:eastAsia="仿宋" w:cs="宋体"/>
                <w:kern w:val="0"/>
                <w:sz w:val="20"/>
              </w:rPr>
            </w:pPr>
            <w:r>
              <w:rPr>
                <w:rFonts w:hint="eastAsia" w:ascii="仿宋" w:hAnsi="仿宋" w:eastAsia="仿宋" w:cs="宋体"/>
                <w:kern w:val="0"/>
                <w:sz w:val="20"/>
              </w:rPr>
              <w:t>X＜10</w:t>
            </w:r>
          </w:p>
        </w:tc>
        <w:tc>
          <w:tcPr>
            <w:tcW w:w="1275" w:type="dxa"/>
            <w:tcBorders>
              <w:top w:val="nil"/>
              <w:left w:val="nil"/>
              <w:bottom w:val="single" w:color="auto" w:sz="4" w:space="0"/>
              <w:right w:val="single" w:color="auto" w:sz="4" w:space="0"/>
            </w:tcBorders>
            <w:noWrap w:val="0"/>
            <w:vAlign w:val="bottom"/>
          </w:tcPr>
          <w:p w14:paraId="1C541CE6">
            <w:pPr>
              <w:widowControl/>
              <w:jc w:val="left"/>
              <w:rPr>
                <w:rFonts w:ascii="仿宋" w:hAnsi="仿宋" w:eastAsia="仿宋" w:cs="宋体"/>
                <w:kern w:val="0"/>
                <w:sz w:val="20"/>
              </w:rPr>
            </w:pPr>
            <w:r>
              <w:rPr>
                <w:rFonts w:hint="eastAsia" w:ascii="仿宋" w:hAnsi="仿宋" w:eastAsia="仿宋" w:cs="宋体"/>
                <w:kern w:val="0"/>
                <w:sz w:val="20"/>
              </w:rPr>
              <w:t>V＜100</w:t>
            </w:r>
          </w:p>
        </w:tc>
        <w:tc>
          <w:tcPr>
            <w:tcW w:w="1221" w:type="dxa"/>
            <w:tcBorders>
              <w:top w:val="nil"/>
              <w:left w:val="nil"/>
              <w:bottom w:val="single" w:color="auto" w:sz="4" w:space="0"/>
              <w:right w:val="single" w:color="auto" w:sz="8" w:space="0"/>
            </w:tcBorders>
            <w:noWrap w:val="0"/>
            <w:vAlign w:val="bottom"/>
          </w:tcPr>
          <w:p w14:paraId="1E57BDE0">
            <w:pPr>
              <w:widowControl/>
              <w:jc w:val="left"/>
              <w:rPr>
                <w:rFonts w:ascii="仿宋" w:hAnsi="仿宋" w:eastAsia="仿宋" w:cs="宋体"/>
                <w:kern w:val="0"/>
                <w:sz w:val="20"/>
              </w:rPr>
            </w:pPr>
            <w:r>
              <w:rPr>
                <w:rFonts w:hint="eastAsia" w:ascii="仿宋" w:hAnsi="仿宋" w:eastAsia="仿宋" w:cs="宋体"/>
                <w:kern w:val="0"/>
                <w:sz w:val="20"/>
              </w:rPr>
              <w:t>　</w:t>
            </w:r>
          </w:p>
        </w:tc>
      </w:tr>
      <w:tr w14:paraId="6948116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5800F87">
            <w:pPr>
              <w:widowControl/>
              <w:jc w:val="left"/>
              <w:rPr>
                <w:rFonts w:ascii="仿宋" w:hAnsi="仿宋" w:eastAsia="仿宋" w:cs="宋体"/>
                <w:kern w:val="0"/>
                <w:sz w:val="20"/>
              </w:rPr>
            </w:pPr>
            <w:r>
              <w:rPr>
                <w:rFonts w:hint="eastAsia" w:ascii="仿宋" w:hAnsi="仿宋" w:eastAsia="仿宋" w:cs="宋体"/>
                <w:kern w:val="0"/>
                <w:sz w:val="20"/>
              </w:rPr>
              <w:t>11、信息传输业</w:t>
            </w:r>
          </w:p>
        </w:tc>
        <w:tc>
          <w:tcPr>
            <w:tcW w:w="1498" w:type="dxa"/>
            <w:tcBorders>
              <w:top w:val="nil"/>
              <w:left w:val="nil"/>
              <w:bottom w:val="single" w:color="auto" w:sz="4" w:space="0"/>
              <w:right w:val="single" w:color="auto" w:sz="4" w:space="0"/>
            </w:tcBorders>
            <w:noWrap w:val="0"/>
            <w:vAlign w:val="bottom"/>
          </w:tcPr>
          <w:p w14:paraId="222C15F0">
            <w:pPr>
              <w:widowControl/>
              <w:jc w:val="left"/>
              <w:rPr>
                <w:rFonts w:ascii="仿宋" w:hAnsi="仿宋" w:eastAsia="仿宋" w:cs="宋体"/>
                <w:kern w:val="0"/>
                <w:sz w:val="20"/>
              </w:rPr>
            </w:pPr>
            <w:r>
              <w:rPr>
                <w:rFonts w:hint="eastAsia" w:ascii="仿宋" w:hAnsi="仿宋" w:eastAsia="仿宋" w:cs="宋体"/>
                <w:kern w:val="0"/>
                <w:sz w:val="20"/>
              </w:rPr>
              <w:t>100≤X＜2000</w:t>
            </w:r>
          </w:p>
        </w:tc>
        <w:tc>
          <w:tcPr>
            <w:tcW w:w="1763" w:type="dxa"/>
            <w:tcBorders>
              <w:top w:val="nil"/>
              <w:left w:val="nil"/>
              <w:bottom w:val="single" w:color="auto" w:sz="4" w:space="0"/>
              <w:right w:val="single" w:color="auto" w:sz="4" w:space="0"/>
            </w:tcBorders>
            <w:noWrap w:val="0"/>
            <w:vAlign w:val="bottom"/>
          </w:tcPr>
          <w:p w14:paraId="4C6B3A06">
            <w:pPr>
              <w:widowControl/>
              <w:jc w:val="left"/>
              <w:rPr>
                <w:rFonts w:ascii="仿宋" w:hAnsi="仿宋" w:eastAsia="仿宋" w:cs="宋体"/>
                <w:kern w:val="0"/>
                <w:sz w:val="20"/>
              </w:rPr>
            </w:pPr>
            <w:r>
              <w:rPr>
                <w:rFonts w:hint="eastAsia" w:ascii="仿宋" w:hAnsi="仿宋" w:eastAsia="仿宋" w:cs="宋体"/>
                <w:kern w:val="0"/>
                <w:sz w:val="20"/>
              </w:rPr>
              <w:t>1000≤Y＜100000</w:t>
            </w:r>
          </w:p>
        </w:tc>
        <w:tc>
          <w:tcPr>
            <w:tcW w:w="1660" w:type="dxa"/>
            <w:tcBorders>
              <w:top w:val="nil"/>
              <w:left w:val="nil"/>
              <w:bottom w:val="single" w:color="auto" w:sz="4" w:space="0"/>
              <w:right w:val="single" w:color="auto" w:sz="8" w:space="0"/>
            </w:tcBorders>
            <w:noWrap w:val="0"/>
            <w:vAlign w:val="bottom"/>
          </w:tcPr>
          <w:p w14:paraId="2A0C3726">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2B5383B5">
            <w:pPr>
              <w:widowControl/>
              <w:jc w:val="left"/>
              <w:rPr>
                <w:rFonts w:ascii="仿宋" w:hAnsi="仿宋" w:eastAsia="仿宋" w:cs="宋体"/>
                <w:kern w:val="0"/>
                <w:sz w:val="20"/>
              </w:rPr>
            </w:pPr>
            <w:r>
              <w:rPr>
                <w:rFonts w:hint="eastAsia" w:ascii="仿宋" w:hAnsi="仿宋" w:eastAsia="仿宋" w:cs="宋体"/>
                <w:kern w:val="0"/>
                <w:sz w:val="20"/>
              </w:rPr>
              <w:t>10≤X＜100</w:t>
            </w:r>
          </w:p>
        </w:tc>
        <w:tc>
          <w:tcPr>
            <w:tcW w:w="1636" w:type="dxa"/>
            <w:tcBorders>
              <w:top w:val="nil"/>
              <w:left w:val="nil"/>
              <w:bottom w:val="single" w:color="auto" w:sz="4" w:space="0"/>
              <w:right w:val="single" w:color="auto" w:sz="4" w:space="0"/>
            </w:tcBorders>
            <w:noWrap w:val="0"/>
            <w:vAlign w:val="bottom"/>
          </w:tcPr>
          <w:p w14:paraId="4FF55094">
            <w:pPr>
              <w:widowControl/>
              <w:jc w:val="left"/>
              <w:rPr>
                <w:rFonts w:ascii="仿宋" w:hAnsi="仿宋" w:eastAsia="仿宋" w:cs="宋体"/>
                <w:kern w:val="0"/>
                <w:sz w:val="20"/>
              </w:rPr>
            </w:pPr>
            <w:r>
              <w:rPr>
                <w:rFonts w:hint="eastAsia" w:ascii="仿宋" w:hAnsi="仿宋" w:eastAsia="仿宋" w:cs="宋体"/>
                <w:kern w:val="0"/>
                <w:sz w:val="20"/>
              </w:rPr>
              <w:t>100≤Y＜1000</w:t>
            </w:r>
          </w:p>
        </w:tc>
        <w:tc>
          <w:tcPr>
            <w:tcW w:w="1520" w:type="dxa"/>
            <w:tcBorders>
              <w:top w:val="nil"/>
              <w:left w:val="nil"/>
              <w:bottom w:val="single" w:color="auto" w:sz="4" w:space="0"/>
              <w:right w:val="single" w:color="auto" w:sz="8" w:space="0"/>
            </w:tcBorders>
            <w:noWrap w:val="0"/>
            <w:vAlign w:val="bottom"/>
          </w:tcPr>
          <w:p w14:paraId="2F65A5E8">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25D2C4DE">
            <w:pPr>
              <w:widowControl/>
              <w:jc w:val="left"/>
              <w:rPr>
                <w:rFonts w:ascii="仿宋" w:hAnsi="仿宋" w:eastAsia="仿宋" w:cs="宋体"/>
                <w:kern w:val="0"/>
                <w:sz w:val="20"/>
              </w:rPr>
            </w:pPr>
            <w:r>
              <w:rPr>
                <w:rFonts w:hint="eastAsia" w:ascii="仿宋" w:hAnsi="仿宋" w:eastAsia="仿宋" w:cs="宋体"/>
                <w:kern w:val="0"/>
                <w:sz w:val="20"/>
              </w:rPr>
              <w:t>X＜10</w:t>
            </w:r>
          </w:p>
        </w:tc>
        <w:tc>
          <w:tcPr>
            <w:tcW w:w="1275" w:type="dxa"/>
            <w:tcBorders>
              <w:top w:val="nil"/>
              <w:left w:val="nil"/>
              <w:bottom w:val="single" w:color="auto" w:sz="4" w:space="0"/>
              <w:right w:val="single" w:color="auto" w:sz="4" w:space="0"/>
            </w:tcBorders>
            <w:noWrap w:val="0"/>
            <w:vAlign w:val="bottom"/>
          </w:tcPr>
          <w:p w14:paraId="21DACDFB">
            <w:pPr>
              <w:widowControl/>
              <w:jc w:val="left"/>
              <w:rPr>
                <w:rFonts w:ascii="仿宋" w:hAnsi="仿宋" w:eastAsia="仿宋" w:cs="宋体"/>
                <w:kern w:val="0"/>
                <w:sz w:val="20"/>
              </w:rPr>
            </w:pPr>
            <w:r>
              <w:rPr>
                <w:rFonts w:hint="eastAsia" w:ascii="仿宋" w:hAnsi="仿宋" w:eastAsia="仿宋" w:cs="宋体"/>
                <w:kern w:val="0"/>
                <w:sz w:val="20"/>
              </w:rPr>
              <w:t>Y＜100</w:t>
            </w:r>
          </w:p>
        </w:tc>
        <w:tc>
          <w:tcPr>
            <w:tcW w:w="1221" w:type="dxa"/>
            <w:tcBorders>
              <w:top w:val="nil"/>
              <w:left w:val="nil"/>
              <w:bottom w:val="single" w:color="auto" w:sz="4" w:space="0"/>
              <w:right w:val="single" w:color="auto" w:sz="8" w:space="0"/>
            </w:tcBorders>
            <w:noWrap w:val="0"/>
            <w:vAlign w:val="bottom"/>
          </w:tcPr>
          <w:p w14:paraId="2FFF71EA">
            <w:pPr>
              <w:widowControl/>
              <w:jc w:val="left"/>
              <w:rPr>
                <w:rFonts w:ascii="仿宋" w:hAnsi="仿宋" w:eastAsia="仿宋" w:cs="宋体"/>
                <w:kern w:val="0"/>
                <w:sz w:val="20"/>
              </w:rPr>
            </w:pPr>
            <w:r>
              <w:rPr>
                <w:rFonts w:hint="eastAsia" w:ascii="仿宋" w:hAnsi="仿宋" w:eastAsia="仿宋" w:cs="宋体"/>
                <w:kern w:val="0"/>
                <w:sz w:val="20"/>
              </w:rPr>
              <w:t>　</w:t>
            </w:r>
          </w:p>
        </w:tc>
      </w:tr>
      <w:tr w14:paraId="6DDA051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FE42D7C">
            <w:pPr>
              <w:widowControl/>
              <w:jc w:val="left"/>
              <w:rPr>
                <w:rFonts w:ascii="仿宋" w:hAnsi="仿宋" w:eastAsia="仿宋" w:cs="宋体"/>
                <w:kern w:val="0"/>
                <w:sz w:val="20"/>
              </w:rPr>
            </w:pPr>
            <w:r>
              <w:rPr>
                <w:rFonts w:hint="eastAsia" w:ascii="仿宋" w:hAnsi="仿宋" w:eastAsia="仿宋" w:cs="宋体"/>
                <w:kern w:val="0"/>
                <w:sz w:val="15"/>
              </w:rPr>
              <w:t>12、软件和信息技术服务业</w:t>
            </w:r>
          </w:p>
        </w:tc>
        <w:tc>
          <w:tcPr>
            <w:tcW w:w="1498" w:type="dxa"/>
            <w:tcBorders>
              <w:top w:val="nil"/>
              <w:left w:val="nil"/>
              <w:bottom w:val="single" w:color="auto" w:sz="4" w:space="0"/>
              <w:right w:val="single" w:color="auto" w:sz="4" w:space="0"/>
            </w:tcBorders>
            <w:noWrap w:val="0"/>
            <w:vAlign w:val="bottom"/>
          </w:tcPr>
          <w:p w14:paraId="707D8579">
            <w:pPr>
              <w:widowControl/>
              <w:jc w:val="left"/>
              <w:rPr>
                <w:rFonts w:ascii="仿宋" w:hAnsi="仿宋" w:eastAsia="仿宋" w:cs="宋体"/>
                <w:kern w:val="0"/>
                <w:sz w:val="20"/>
              </w:rPr>
            </w:pPr>
            <w:r>
              <w:rPr>
                <w:rFonts w:hint="eastAsia" w:ascii="仿宋" w:hAnsi="仿宋" w:eastAsia="仿宋" w:cs="宋体"/>
                <w:kern w:val="0"/>
                <w:sz w:val="20"/>
              </w:rPr>
              <w:t>100≤X＜300</w:t>
            </w:r>
          </w:p>
        </w:tc>
        <w:tc>
          <w:tcPr>
            <w:tcW w:w="1763" w:type="dxa"/>
            <w:tcBorders>
              <w:top w:val="nil"/>
              <w:left w:val="nil"/>
              <w:bottom w:val="single" w:color="auto" w:sz="4" w:space="0"/>
              <w:right w:val="single" w:color="auto" w:sz="4" w:space="0"/>
            </w:tcBorders>
            <w:noWrap w:val="0"/>
            <w:vAlign w:val="bottom"/>
          </w:tcPr>
          <w:p w14:paraId="1B5914CC">
            <w:pPr>
              <w:widowControl/>
              <w:jc w:val="left"/>
              <w:rPr>
                <w:rFonts w:ascii="仿宋" w:hAnsi="仿宋" w:eastAsia="仿宋" w:cs="宋体"/>
                <w:kern w:val="0"/>
                <w:sz w:val="20"/>
              </w:rPr>
            </w:pPr>
            <w:r>
              <w:rPr>
                <w:rFonts w:hint="eastAsia" w:ascii="仿宋" w:hAnsi="仿宋" w:eastAsia="仿宋" w:cs="宋体"/>
                <w:kern w:val="0"/>
                <w:sz w:val="20"/>
              </w:rPr>
              <w:t>1000≤Y＜10000</w:t>
            </w:r>
          </w:p>
        </w:tc>
        <w:tc>
          <w:tcPr>
            <w:tcW w:w="1660" w:type="dxa"/>
            <w:tcBorders>
              <w:top w:val="nil"/>
              <w:left w:val="nil"/>
              <w:bottom w:val="single" w:color="auto" w:sz="4" w:space="0"/>
              <w:right w:val="single" w:color="auto" w:sz="8" w:space="0"/>
            </w:tcBorders>
            <w:noWrap w:val="0"/>
            <w:vAlign w:val="bottom"/>
          </w:tcPr>
          <w:p w14:paraId="7CD92FC5">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1C0534FB">
            <w:pPr>
              <w:widowControl/>
              <w:jc w:val="left"/>
              <w:rPr>
                <w:rFonts w:ascii="仿宋" w:hAnsi="仿宋" w:eastAsia="仿宋" w:cs="宋体"/>
                <w:kern w:val="0"/>
                <w:sz w:val="20"/>
              </w:rPr>
            </w:pPr>
            <w:r>
              <w:rPr>
                <w:rFonts w:hint="eastAsia" w:ascii="仿宋" w:hAnsi="仿宋" w:eastAsia="仿宋" w:cs="宋体"/>
                <w:kern w:val="0"/>
                <w:sz w:val="20"/>
              </w:rPr>
              <w:t>10≤X＜100</w:t>
            </w:r>
          </w:p>
        </w:tc>
        <w:tc>
          <w:tcPr>
            <w:tcW w:w="1636" w:type="dxa"/>
            <w:tcBorders>
              <w:top w:val="nil"/>
              <w:left w:val="nil"/>
              <w:bottom w:val="single" w:color="auto" w:sz="4" w:space="0"/>
              <w:right w:val="single" w:color="auto" w:sz="4" w:space="0"/>
            </w:tcBorders>
            <w:noWrap w:val="0"/>
            <w:vAlign w:val="bottom"/>
          </w:tcPr>
          <w:p w14:paraId="5B156E4F">
            <w:pPr>
              <w:widowControl/>
              <w:jc w:val="left"/>
              <w:rPr>
                <w:rFonts w:ascii="仿宋" w:hAnsi="仿宋" w:eastAsia="仿宋" w:cs="宋体"/>
                <w:kern w:val="0"/>
                <w:sz w:val="20"/>
              </w:rPr>
            </w:pPr>
            <w:r>
              <w:rPr>
                <w:rFonts w:hint="eastAsia" w:ascii="仿宋" w:hAnsi="仿宋" w:eastAsia="仿宋" w:cs="宋体"/>
                <w:kern w:val="0"/>
                <w:sz w:val="20"/>
              </w:rPr>
              <w:t xml:space="preserve"> 50≤Y＜1000</w:t>
            </w:r>
          </w:p>
        </w:tc>
        <w:tc>
          <w:tcPr>
            <w:tcW w:w="1520" w:type="dxa"/>
            <w:tcBorders>
              <w:top w:val="nil"/>
              <w:left w:val="nil"/>
              <w:bottom w:val="single" w:color="auto" w:sz="4" w:space="0"/>
              <w:right w:val="single" w:color="auto" w:sz="8" w:space="0"/>
            </w:tcBorders>
            <w:noWrap w:val="0"/>
            <w:vAlign w:val="bottom"/>
          </w:tcPr>
          <w:p w14:paraId="3BB686CB">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488590AF">
            <w:pPr>
              <w:widowControl/>
              <w:jc w:val="left"/>
              <w:rPr>
                <w:rFonts w:ascii="仿宋" w:hAnsi="仿宋" w:eastAsia="仿宋" w:cs="宋体"/>
                <w:kern w:val="0"/>
                <w:sz w:val="20"/>
              </w:rPr>
            </w:pPr>
            <w:r>
              <w:rPr>
                <w:rFonts w:hint="eastAsia" w:ascii="仿宋" w:hAnsi="仿宋" w:eastAsia="仿宋" w:cs="宋体"/>
                <w:kern w:val="0"/>
                <w:sz w:val="20"/>
              </w:rPr>
              <w:t>X＜10</w:t>
            </w:r>
          </w:p>
        </w:tc>
        <w:tc>
          <w:tcPr>
            <w:tcW w:w="1275" w:type="dxa"/>
            <w:tcBorders>
              <w:top w:val="nil"/>
              <w:left w:val="nil"/>
              <w:bottom w:val="single" w:color="auto" w:sz="4" w:space="0"/>
              <w:right w:val="single" w:color="auto" w:sz="4" w:space="0"/>
            </w:tcBorders>
            <w:noWrap w:val="0"/>
            <w:vAlign w:val="bottom"/>
          </w:tcPr>
          <w:p w14:paraId="0598D043">
            <w:pPr>
              <w:widowControl/>
              <w:jc w:val="left"/>
              <w:rPr>
                <w:rFonts w:ascii="仿宋" w:hAnsi="仿宋" w:eastAsia="仿宋" w:cs="宋体"/>
                <w:kern w:val="0"/>
                <w:sz w:val="20"/>
              </w:rPr>
            </w:pPr>
            <w:r>
              <w:rPr>
                <w:rFonts w:hint="eastAsia" w:ascii="仿宋" w:hAnsi="仿宋" w:eastAsia="仿宋" w:cs="宋体"/>
                <w:kern w:val="0"/>
                <w:sz w:val="20"/>
              </w:rPr>
              <w:t>Y＜50</w:t>
            </w:r>
          </w:p>
        </w:tc>
        <w:tc>
          <w:tcPr>
            <w:tcW w:w="1221" w:type="dxa"/>
            <w:tcBorders>
              <w:top w:val="nil"/>
              <w:left w:val="nil"/>
              <w:bottom w:val="single" w:color="auto" w:sz="4" w:space="0"/>
              <w:right w:val="single" w:color="auto" w:sz="8" w:space="0"/>
            </w:tcBorders>
            <w:noWrap w:val="0"/>
            <w:vAlign w:val="bottom"/>
          </w:tcPr>
          <w:p w14:paraId="1AEAEE4F">
            <w:pPr>
              <w:widowControl/>
              <w:jc w:val="left"/>
              <w:rPr>
                <w:rFonts w:ascii="仿宋" w:hAnsi="仿宋" w:eastAsia="仿宋" w:cs="宋体"/>
                <w:kern w:val="0"/>
                <w:sz w:val="20"/>
              </w:rPr>
            </w:pPr>
            <w:r>
              <w:rPr>
                <w:rFonts w:hint="eastAsia" w:ascii="仿宋" w:hAnsi="仿宋" w:eastAsia="仿宋" w:cs="宋体"/>
                <w:kern w:val="0"/>
                <w:sz w:val="20"/>
              </w:rPr>
              <w:t>　</w:t>
            </w:r>
          </w:p>
        </w:tc>
      </w:tr>
      <w:tr w14:paraId="1B799001">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noWrap w:val="0"/>
            <w:vAlign w:val="bottom"/>
          </w:tcPr>
          <w:p w14:paraId="6E5602E1">
            <w:pPr>
              <w:widowControl/>
              <w:jc w:val="left"/>
              <w:rPr>
                <w:rFonts w:ascii="仿宋" w:hAnsi="仿宋" w:eastAsia="仿宋" w:cs="宋体"/>
                <w:kern w:val="0"/>
                <w:sz w:val="20"/>
              </w:rPr>
            </w:pPr>
            <w:r>
              <w:rPr>
                <w:rFonts w:hint="eastAsia" w:ascii="仿宋" w:hAnsi="仿宋" w:eastAsia="仿宋" w:cs="宋体"/>
                <w:kern w:val="0"/>
                <w:sz w:val="20"/>
              </w:rPr>
              <w:t>13、房地产开发经营</w:t>
            </w:r>
          </w:p>
        </w:tc>
        <w:tc>
          <w:tcPr>
            <w:tcW w:w="1498" w:type="dxa"/>
            <w:tcBorders>
              <w:top w:val="nil"/>
              <w:left w:val="nil"/>
              <w:bottom w:val="single" w:color="auto" w:sz="4" w:space="0"/>
              <w:right w:val="single" w:color="auto" w:sz="4" w:space="0"/>
            </w:tcBorders>
            <w:noWrap w:val="0"/>
            <w:vAlign w:val="bottom"/>
          </w:tcPr>
          <w:p w14:paraId="01D50957">
            <w:pPr>
              <w:widowControl/>
              <w:jc w:val="left"/>
              <w:rPr>
                <w:rFonts w:ascii="仿宋" w:hAnsi="仿宋" w:eastAsia="仿宋" w:cs="宋体"/>
                <w:kern w:val="0"/>
                <w:sz w:val="20"/>
              </w:rPr>
            </w:pPr>
            <w:r>
              <w:rPr>
                <w:rFonts w:hint="eastAsia" w:ascii="仿宋" w:hAnsi="仿宋" w:eastAsia="仿宋" w:cs="宋体"/>
                <w:kern w:val="0"/>
                <w:sz w:val="20"/>
              </w:rPr>
              <w:t>　</w:t>
            </w:r>
          </w:p>
        </w:tc>
        <w:tc>
          <w:tcPr>
            <w:tcW w:w="1763" w:type="dxa"/>
            <w:tcBorders>
              <w:top w:val="nil"/>
              <w:left w:val="nil"/>
              <w:bottom w:val="single" w:color="auto" w:sz="4" w:space="0"/>
              <w:right w:val="single" w:color="auto" w:sz="4" w:space="0"/>
            </w:tcBorders>
            <w:noWrap w:val="0"/>
            <w:vAlign w:val="bottom"/>
          </w:tcPr>
          <w:p w14:paraId="1BA4D694">
            <w:pPr>
              <w:widowControl/>
              <w:jc w:val="left"/>
              <w:rPr>
                <w:rFonts w:ascii="仿宋" w:hAnsi="仿宋" w:eastAsia="仿宋" w:cs="宋体"/>
                <w:kern w:val="0"/>
                <w:sz w:val="20"/>
              </w:rPr>
            </w:pPr>
            <w:r>
              <w:rPr>
                <w:rFonts w:hint="eastAsia" w:ascii="仿宋" w:hAnsi="仿宋" w:eastAsia="仿宋" w:cs="宋体"/>
                <w:kern w:val="0"/>
                <w:sz w:val="20"/>
              </w:rPr>
              <w:t>1000≤Y＜200000</w:t>
            </w:r>
          </w:p>
        </w:tc>
        <w:tc>
          <w:tcPr>
            <w:tcW w:w="1660" w:type="dxa"/>
            <w:tcBorders>
              <w:top w:val="nil"/>
              <w:left w:val="nil"/>
              <w:bottom w:val="single" w:color="auto" w:sz="4" w:space="0"/>
              <w:right w:val="single" w:color="auto" w:sz="8" w:space="0"/>
            </w:tcBorders>
            <w:noWrap w:val="0"/>
            <w:vAlign w:val="bottom"/>
          </w:tcPr>
          <w:p w14:paraId="70421E19">
            <w:pPr>
              <w:widowControl/>
              <w:jc w:val="left"/>
              <w:rPr>
                <w:rFonts w:ascii="仿宋" w:hAnsi="仿宋" w:eastAsia="仿宋" w:cs="宋体"/>
                <w:kern w:val="0"/>
                <w:sz w:val="20"/>
              </w:rPr>
            </w:pPr>
            <w:r>
              <w:rPr>
                <w:rFonts w:hint="eastAsia" w:ascii="仿宋" w:hAnsi="仿宋" w:eastAsia="仿宋" w:cs="宋体"/>
                <w:kern w:val="0"/>
                <w:sz w:val="20"/>
              </w:rPr>
              <w:t>5000≤Z＜10000</w:t>
            </w:r>
          </w:p>
        </w:tc>
        <w:tc>
          <w:tcPr>
            <w:tcW w:w="1240" w:type="dxa"/>
            <w:tcBorders>
              <w:top w:val="nil"/>
              <w:left w:val="nil"/>
              <w:bottom w:val="single" w:color="auto" w:sz="4" w:space="0"/>
              <w:right w:val="single" w:color="auto" w:sz="4" w:space="0"/>
            </w:tcBorders>
            <w:noWrap w:val="0"/>
            <w:vAlign w:val="bottom"/>
          </w:tcPr>
          <w:p w14:paraId="4BF5AD44">
            <w:pPr>
              <w:widowControl/>
              <w:jc w:val="left"/>
              <w:rPr>
                <w:rFonts w:ascii="仿宋" w:hAnsi="仿宋" w:eastAsia="仿宋" w:cs="宋体"/>
                <w:kern w:val="0"/>
                <w:sz w:val="20"/>
              </w:rPr>
            </w:pPr>
            <w:r>
              <w:rPr>
                <w:rFonts w:hint="eastAsia" w:ascii="仿宋" w:hAnsi="仿宋" w:eastAsia="仿宋" w:cs="宋体"/>
                <w:kern w:val="0"/>
                <w:sz w:val="20"/>
              </w:rPr>
              <w:t>　</w:t>
            </w:r>
          </w:p>
        </w:tc>
        <w:tc>
          <w:tcPr>
            <w:tcW w:w="1636" w:type="dxa"/>
            <w:tcBorders>
              <w:top w:val="nil"/>
              <w:left w:val="nil"/>
              <w:bottom w:val="single" w:color="auto" w:sz="4" w:space="0"/>
              <w:right w:val="single" w:color="auto" w:sz="4" w:space="0"/>
            </w:tcBorders>
            <w:noWrap w:val="0"/>
            <w:vAlign w:val="bottom"/>
          </w:tcPr>
          <w:p w14:paraId="07EF81D0">
            <w:pPr>
              <w:widowControl/>
              <w:jc w:val="left"/>
              <w:rPr>
                <w:rFonts w:ascii="仿宋" w:hAnsi="仿宋" w:eastAsia="仿宋" w:cs="宋体"/>
                <w:kern w:val="0"/>
                <w:sz w:val="20"/>
              </w:rPr>
            </w:pPr>
            <w:r>
              <w:rPr>
                <w:rFonts w:hint="eastAsia" w:ascii="仿宋" w:hAnsi="仿宋" w:eastAsia="仿宋" w:cs="宋体"/>
                <w:kern w:val="0"/>
                <w:sz w:val="20"/>
              </w:rPr>
              <w:t>100≤Y＜1000</w:t>
            </w:r>
          </w:p>
        </w:tc>
        <w:tc>
          <w:tcPr>
            <w:tcW w:w="1520" w:type="dxa"/>
            <w:tcBorders>
              <w:top w:val="nil"/>
              <w:left w:val="nil"/>
              <w:bottom w:val="single" w:color="auto" w:sz="4" w:space="0"/>
              <w:right w:val="single" w:color="auto" w:sz="8" w:space="0"/>
            </w:tcBorders>
            <w:noWrap w:val="0"/>
            <w:vAlign w:val="bottom"/>
          </w:tcPr>
          <w:p w14:paraId="14F91D7C">
            <w:pPr>
              <w:widowControl/>
              <w:jc w:val="left"/>
              <w:rPr>
                <w:rFonts w:ascii="仿宋" w:hAnsi="仿宋" w:eastAsia="仿宋" w:cs="宋体"/>
                <w:kern w:val="0"/>
                <w:sz w:val="20"/>
              </w:rPr>
            </w:pPr>
            <w:r>
              <w:rPr>
                <w:rFonts w:hint="eastAsia" w:ascii="仿宋" w:hAnsi="仿宋" w:eastAsia="仿宋" w:cs="宋体"/>
                <w:kern w:val="0"/>
                <w:sz w:val="20"/>
              </w:rPr>
              <w:t>2000≤Z＜5000</w:t>
            </w:r>
          </w:p>
        </w:tc>
        <w:tc>
          <w:tcPr>
            <w:tcW w:w="1285" w:type="dxa"/>
            <w:tcBorders>
              <w:top w:val="nil"/>
              <w:left w:val="nil"/>
              <w:bottom w:val="single" w:color="auto" w:sz="4" w:space="0"/>
              <w:right w:val="single" w:color="auto" w:sz="4" w:space="0"/>
            </w:tcBorders>
            <w:noWrap w:val="0"/>
            <w:vAlign w:val="bottom"/>
          </w:tcPr>
          <w:p w14:paraId="580A79F2">
            <w:pPr>
              <w:widowControl/>
              <w:jc w:val="left"/>
              <w:rPr>
                <w:rFonts w:ascii="仿宋" w:hAnsi="仿宋" w:eastAsia="仿宋" w:cs="宋体"/>
                <w:kern w:val="0"/>
                <w:sz w:val="20"/>
              </w:rPr>
            </w:pPr>
            <w:r>
              <w:rPr>
                <w:rFonts w:hint="eastAsia" w:ascii="仿宋" w:hAnsi="仿宋" w:eastAsia="仿宋" w:cs="宋体"/>
                <w:kern w:val="0"/>
                <w:sz w:val="20"/>
              </w:rPr>
              <w:t>　</w:t>
            </w:r>
          </w:p>
        </w:tc>
        <w:tc>
          <w:tcPr>
            <w:tcW w:w="1275" w:type="dxa"/>
            <w:tcBorders>
              <w:top w:val="nil"/>
              <w:left w:val="nil"/>
              <w:bottom w:val="single" w:color="auto" w:sz="4" w:space="0"/>
              <w:right w:val="single" w:color="auto" w:sz="4" w:space="0"/>
            </w:tcBorders>
            <w:noWrap w:val="0"/>
            <w:vAlign w:val="bottom"/>
          </w:tcPr>
          <w:p w14:paraId="760B8F0A">
            <w:pPr>
              <w:widowControl/>
              <w:jc w:val="left"/>
              <w:rPr>
                <w:rFonts w:ascii="仿宋" w:hAnsi="仿宋" w:eastAsia="仿宋" w:cs="宋体"/>
                <w:kern w:val="0"/>
                <w:sz w:val="20"/>
              </w:rPr>
            </w:pPr>
            <w:r>
              <w:rPr>
                <w:rFonts w:hint="eastAsia" w:ascii="仿宋" w:hAnsi="仿宋" w:eastAsia="仿宋" w:cs="宋体"/>
                <w:kern w:val="0"/>
                <w:sz w:val="20"/>
              </w:rPr>
              <w:t>Y＜100</w:t>
            </w:r>
          </w:p>
        </w:tc>
        <w:tc>
          <w:tcPr>
            <w:tcW w:w="1221" w:type="dxa"/>
            <w:tcBorders>
              <w:top w:val="nil"/>
              <w:left w:val="nil"/>
              <w:bottom w:val="single" w:color="auto" w:sz="4" w:space="0"/>
              <w:right w:val="single" w:color="auto" w:sz="8" w:space="0"/>
            </w:tcBorders>
            <w:noWrap w:val="0"/>
            <w:vAlign w:val="bottom"/>
          </w:tcPr>
          <w:p w14:paraId="0DCF94B6">
            <w:pPr>
              <w:widowControl/>
              <w:jc w:val="left"/>
              <w:rPr>
                <w:rFonts w:ascii="仿宋" w:hAnsi="仿宋" w:eastAsia="仿宋" w:cs="宋体"/>
                <w:kern w:val="0"/>
                <w:sz w:val="20"/>
              </w:rPr>
            </w:pPr>
            <w:r>
              <w:rPr>
                <w:rFonts w:hint="eastAsia" w:ascii="仿宋" w:hAnsi="仿宋" w:eastAsia="仿宋" w:cs="宋体"/>
                <w:kern w:val="0"/>
                <w:sz w:val="20"/>
              </w:rPr>
              <w:t>Z＜2000</w:t>
            </w:r>
          </w:p>
        </w:tc>
      </w:tr>
      <w:tr w14:paraId="153EA24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noWrap w:val="0"/>
            <w:vAlign w:val="bottom"/>
          </w:tcPr>
          <w:p w14:paraId="323CAD5A">
            <w:pPr>
              <w:widowControl/>
              <w:jc w:val="left"/>
              <w:rPr>
                <w:rFonts w:ascii="仿宋" w:hAnsi="仿宋" w:eastAsia="仿宋" w:cs="宋体"/>
                <w:kern w:val="0"/>
                <w:sz w:val="20"/>
              </w:rPr>
            </w:pPr>
            <w:r>
              <w:rPr>
                <w:rFonts w:hint="eastAsia" w:ascii="仿宋" w:hAnsi="仿宋" w:eastAsia="仿宋" w:cs="宋体"/>
                <w:kern w:val="0"/>
                <w:sz w:val="20"/>
              </w:rPr>
              <w:t>14、物业管理</w:t>
            </w:r>
          </w:p>
        </w:tc>
        <w:tc>
          <w:tcPr>
            <w:tcW w:w="1498" w:type="dxa"/>
            <w:tcBorders>
              <w:top w:val="nil"/>
              <w:left w:val="nil"/>
              <w:bottom w:val="single" w:color="auto" w:sz="4" w:space="0"/>
              <w:right w:val="single" w:color="auto" w:sz="4" w:space="0"/>
            </w:tcBorders>
            <w:noWrap w:val="0"/>
            <w:vAlign w:val="bottom"/>
          </w:tcPr>
          <w:p w14:paraId="174AF9A0">
            <w:pPr>
              <w:widowControl/>
              <w:jc w:val="left"/>
              <w:rPr>
                <w:rFonts w:ascii="仿宋" w:hAnsi="仿宋" w:eastAsia="仿宋" w:cs="宋体"/>
                <w:kern w:val="0"/>
                <w:sz w:val="20"/>
              </w:rPr>
            </w:pPr>
            <w:r>
              <w:rPr>
                <w:rFonts w:hint="eastAsia" w:ascii="仿宋" w:hAnsi="仿宋" w:eastAsia="仿宋" w:cs="宋体"/>
                <w:kern w:val="0"/>
                <w:sz w:val="20"/>
              </w:rPr>
              <w:t>300≤X＜1000</w:t>
            </w:r>
          </w:p>
        </w:tc>
        <w:tc>
          <w:tcPr>
            <w:tcW w:w="1763" w:type="dxa"/>
            <w:tcBorders>
              <w:top w:val="nil"/>
              <w:left w:val="nil"/>
              <w:bottom w:val="single" w:color="auto" w:sz="4" w:space="0"/>
              <w:right w:val="single" w:color="auto" w:sz="4" w:space="0"/>
            </w:tcBorders>
            <w:noWrap w:val="0"/>
            <w:vAlign w:val="bottom"/>
          </w:tcPr>
          <w:p w14:paraId="2F3BD988">
            <w:pPr>
              <w:widowControl/>
              <w:jc w:val="left"/>
              <w:rPr>
                <w:rFonts w:ascii="仿宋" w:hAnsi="仿宋" w:eastAsia="仿宋" w:cs="宋体"/>
                <w:kern w:val="0"/>
                <w:sz w:val="20"/>
              </w:rPr>
            </w:pPr>
            <w:r>
              <w:rPr>
                <w:rFonts w:hint="eastAsia" w:ascii="仿宋" w:hAnsi="仿宋" w:eastAsia="仿宋" w:cs="宋体"/>
                <w:kern w:val="0"/>
                <w:sz w:val="20"/>
              </w:rPr>
              <w:t>1000≤Y＜5000</w:t>
            </w:r>
          </w:p>
        </w:tc>
        <w:tc>
          <w:tcPr>
            <w:tcW w:w="1660" w:type="dxa"/>
            <w:tcBorders>
              <w:top w:val="nil"/>
              <w:left w:val="nil"/>
              <w:bottom w:val="single" w:color="auto" w:sz="4" w:space="0"/>
              <w:right w:val="single" w:color="auto" w:sz="8" w:space="0"/>
            </w:tcBorders>
            <w:noWrap w:val="0"/>
            <w:vAlign w:val="bottom"/>
          </w:tcPr>
          <w:p w14:paraId="78AE0F6D">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4" w:space="0"/>
              <w:right w:val="single" w:color="auto" w:sz="4" w:space="0"/>
            </w:tcBorders>
            <w:noWrap w:val="0"/>
            <w:vAlign w:val="bottom"/>
          </w:tcPr>
          <w:p w14:paraId="0604C7A8">
            <w:pPr>
              <w:widowControl/>
              <w:jc w:val="left"/>
              <w:rPr>
                <w:rFonts w:ascii="仿宋" w:hAnsi="仿宋" w:eastAsia="仿宋" w:cs="宋体"/>
                <w:kern w:val="0"/>
                <w:sz w:val="20"/>
              </w:rPr>
            </w:pPr>
            <w:r>
              <w:rPr>
                <w:rFonts w:hint="eastAsia" w:ascii="仿宋" w:hAnsi="仿宋" w:eastAsia="仿宋" w:cs="宋体"/>
                <w:kern w:val="0"/>
                <w:sz w:val="20"/>
              </w:rPr>
              <w:t>100≤X＜300</w:t>
            </w:r>
          </w:p>
        </w:tc>
        <w:tc>
          <w:tcPr>
            <w:tcW w:w="1636" w:type="dxa"/>
            <w:tcBorders>
              <w:top w:val="nil"/>
              <w:left w:val="nil"/>
              <w:bottom w:val="single" w:color="auto" w:sz="4" w:space="0"/>
              <w:right w:val="single" w:color="auto" w:sz="4" w:space="0"/>
            </w:tcBorders>
            <w:noWrap w:val="0"/>
            <w:vAlign w:val="bottom"/>
          </w:tcPr>
          <w:p w14:paraId="0B3CB30C">
            <w:pPr>
              <w:widowControl/>
              <w:jc w:val="left"/>
              <w:rPr>
                <w:rFonts w:ascii="仿宋" w:hAnsi="仿宋" w:eastAsia="仿宋" w:cs="宋体"/>
                <w:kern w:val="0"/>
                <w:sz w:val="20"/>
              </w:rPr>
            </w:pPr>
            <w:r>
              <w:rPr>
                <w:rFonts w:hint="eastAsia" w:ascii="仿宋" w:hAnsi="仿宋" w:eastAsia="仿宋" w:cs="宋体"/>
                <w:kern w:val="0"/>
                <w:sz w:val="20"/>
              </w:rPr>
              <w:t>500≤Y＜1000</w:t>
            </w:r>
          </w:p>
        </w:tc>
        <w:tc>
          <w:tcPr>
            <w:tcW w:w="1520" w:type="dxa"/>
            <w:tcBorders>
              <w:top w:val="nil"/>
              <w:left w:val="nil"/>
              <w:bottom w:val="single" w:color="auto" w:sz="4" w:space="0"/>
              <w:right w:val="single" w:color="auto" w:sz="8" w:space="0"/>
            </w:tcBorders>
            <w:noWrap w:val="0"/>
            <w:vAlign w:val="bottom"/>
          </w:tcPr>
          <w:p w14:paraId="07C88226">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4" w:space="0"/>
              <w:right w:val="single" w:color="auto" w:sz="4" w:space="0"/>
            </w:tcBorders>
            <w:noWrap w:val="0"/>
            <w:vAlign w:val="bottom"/>
          </w:tcPr>
          <w:p w14:paraId="546E085C">
            <w:pPr>
              <w:widowControl/>
              <w:jc w:val="left"/>
              <w:rPr>
                <w:rFonts w:ascii="仿宋" w:hAnsi="仿宋" w:eastAsia="仿宋" w:cs="宋体"/>
                <w:kern w:val="0"/>
                <w:sz w:val="20"/>
              </w:rPr>
            </w:pPr>
            <w:r>
              <w:rPr>
                <w:rFonts w:hint="eastAsia" w:ascii="仿宋" w:hAnsi="仿宋" w:eastAsia="仿宋" w:cs="宋体"/>
                <w:kern w:val="0"/>
                <w:sz w:val="20"/>
              </w:rPr>
              <w:t>X＜100</w:t>
            </w:r>
          </w:p>
        </w:tc>
        <w:tc>
          <w:tcPr>
            <w:tcW w:w="1275" w:type="dxa"/>
            <w:tcBorders>
              <w:top w:val="nil"/>
              <w:left w:val="nil"/>
              <w:bottom w:val="single" w:color="auto" w:sz="4" w:space="0"/>
              <w:right w:val="single" w:color="auto" w:sz="4" w:space="0"/>
            </w:tcBorders>
            <w:noWrap w:val="0"/>
            <w:vAlign w:val="bottom"/>
          </w:tcPr>
          <w:p w14:paraId="1C74D4DE">
            <w:pPr>
              <w:widowControl/>
              <w:jc w:val="left"/>
              <w:rPr>
                <w:rFonts w:ascii="仿宋" w:hAnsi="仿宋" w:eastAsia="仿宋" w:cs="宋体"/>
                <w:kern w:val="0"/>
                <w:sz w:val="20"/>
              </w:rPr>
            </w:pPr>
            <w:r>
              <w:rPr>
                <w:rFonts w:hint="eastAsia" w:ascii="仿宋" w:hAnsi="仿宋" w:eastAsia="仿宋" w:cs="宋体"/>
                <w:kern w:val="0"/>
                <w:sz w:val="20"/>
              </w:rPr>
              <w:t>Y＜500</w:t>
            </w:r>
          </w:p>
        </w:tc>
        <w:tc>
          <w:tcPr>
            <w:tcW w:w="1221" w:type="dxa"/>
            <w:tcBorders>
              <w:top w:val="nil"/>
              <w:left w:val="nil"/>
              <w:bottom w:val="single" w:color="auto" w:sz="4" w:space="0"/>
              <w:right w:val="single" w:color="auto" w:sz="8" w:space="0"/>
            </w:tcBorders>
            <w:noWrap w:val="0"/>
            <w:vAlign w:val="bottom"/>
          </w:tcPr>
          <w:p w14:paraId="7B568F3F">
            <w:pPr>
              <w:widowControl/>
              <w:jc w:val="left"/>
              <w:rPr>
                <w:rFonts w:ascii="仿宋" w:hAnsi="仿宋" w:eastAsia="仿宋" w:cs="宋体"/>
                <w:kern w:val="0"/>
                <w:sz w:val="20"/>
              </w:rPr>
            </w:pPr>
            <w:r>
              <w:rPr>
                <w:rFonts w:hint="eastAsia" w:ascii="仿宋" w:hAnsi="仿宋" w:eastAsia="仿宋" w:cs="宋体"/>
                <w:kern w:val="0"/>
                <w:sz w:val="20"/>
              </w:rPr>
              <w:t>　</w:t>
            </w:r>
          </w:p>
        </w:tc>
      </w:tr>
      <w:tr w14:paraId="508B0FE4">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noWrap w:val="0"/>
            <w:vAlign w:val="bottom"/>
          </w:tcPr>
          <w:p w14:paraId="467A58E3">
            <w:pPr>
              <w:widowControl/>
              <w:jc w:val="left"/>
              <w:rPr>
                <w:rFonts w:ascii="仿宋" w:hAnsi="仿宋" w:eastAsia="仿宋" w:cs="宋体"/>
                <w:kern w:val="0"/>
                <w:sz w:val="20"/>
              </w:rPr>
            </w:pPr>
            <w:r>
              <w:rPr>
                <w:rFonts w:hint="eastAsia" w:ascii="仿宋" w:hAnsi="仿宋" w:eastAsia="仿宋" w:cs="宋体"/>
                <w:kern w:val="0"/>
                <w:sz w:val="18"/>
              </w:rPr>
              <w:t>15、租赁和商务服务业</w:t>
            </w:r>
          </w:p>
        </w:tc>
        <w:tc>
          <w:tcPr>
            <w:tcW w:w="1498" w:type="dxa"/>
            <w:tcBorders>
              <w:top w:val="nil"/>
              <w:left w:val="nil"/>
              <w:bottom w:val="single" w:color="auto" w:sz="4" w:space="0"/>
              <w:right w:val="single" w:color="auto" w:sz="4" w:space="0"/>
            </w:tcBorders>
            <w:noWrap w:val="0"/>
            <w:vAlign w:val="bottom"/>
          </w:tcPr>
          <w:p w14:paraId="3DB7D1A7">
            <w:pPr>
              <w:widowControl/>
              <w:jc w:val="left"/>
              <w:rPr>
                <w:rFonts w:ascii="仿宋" w:hAnsi="仿宋" w:eastAsia="仿宋" w:cs="宋体"/>
                <w:kern w:val="0"/>
                <w:sz w:val="20"/>
              </w:rPr>
            </w:pPr>
            <w:r>
              <w:rPr>
                <w:rFonts w:hint="eastAsia" w:ascii="仿宋" w:hAnsi="仿宋" w:eastAsia="仿宋" w:cs="宋体"/>
                <w:kern w:val="0"/>
                <w:sz w:val="20"/>
              </w:rPr>
              <w:t>100≤X＜300</w:t>
            </w:r>
          </w:p>
        </w:tc>
        <w:tc>
          <w:tcPr>
            <w:tcW w:w="1763" w:type="dxa"/>
            <w:tcBorders>
              <w:top w:val="nil"/>
              <w:left w:val="nil"/>
              <w:bottom w:val="single" w:color="auto" w:sz="4" w:space="0"/>
              <w:right w:val="single" w:color="auto" w:sz="4" w:space="0"/>
            </w:tcBorders>
            <w:noWrap w:val="0"/>
            <w:vAlign w:val="bottom"/>
          </w:tcPr>
          <w:p w14:paraId="3EEB3230">
            <w:pPr>
              <w:widowControl/>
              <w:jc w:val="left"/>
              <w:rPr>
                <w:rFonts w:ascii="仿宋" w:hAnsi="仿宋" w:eastAsia="仿宋" w:cs="宋体"/>
                <w:kern w:val="0"/>
                <w:sz w:val="20"/>
              </w:rPr>
            </w:pPr>
            <w:r>
              <w:rPr>
                <w:rFonts w:hint="eastAsia" w:ascii="仿宋" w:hAnsi="仿宋" w:eastAsia="仿宋" w:cs="宋体"/>
                <w:kern w:val="0"/>
                <w:sz w:val="20"/>
              </w:rPr>
              <w:t>　</w:t>
            </w:r>
          </w:p>
        </w:tc>
        <w:tc>
          <w:tcPr>
            <w:tcW w:w="1660" w:type="dxa"/>
            <w:tcBorders>
              <w:top w:val="nil"/>
              <w:left w:val="nil"/>
              <w:bottom w:val="single" w:color="auto" w:sz="4" w:space="0"/>
              <w:right w:val="single" w:color="auto" w:sz="8" w:space="0"/>
            </w:tcBorders>
            <w:noWrap w:val="0"/>
            <w:vAlign w:val="bottom"/>
          </w:tcPr>
          <w:p w14:paraId="793DD7E9">
            <w:pPr>
              <w:widowControl/>
              <w:jc w:val="left"/>
              <w:rPr>
                <w:rFonts w:ascii="仿宋" w:hAnsi="仿宋" w:eastAsia="仿宋" w:cs="宋体"/>
                <w:kern w:val="0"/>
                <w:sz w:val="20"/>
              </w:rPr>
            </w:pPr>
            <w:r>
              <w:rPr>
                <w:rFonts w:hint="eastAsia" w:ascii="仿宋" w:hAnsi="仿宋" w:eastAsia="仿宋" w:cs="宋体"/>
                <w:kern w:val="0"/>
                <w:sz w:val="18"/>
              </w:rPr>
              <w:t>8000≤Z＜120000</w:t>
            </w:r>
          </w:p>
        </w:tc>
        <w:tc>
          <w:tcPr>
            <w:tcW w:w="1240" w:type="dxa"/>
            <w:tcBorders>
              <w:top w:val="nil"/>
              <w:left w:val="nil"/>
              <w:bottom w:val="single" w:color="auto" w:sz="4" w:space="0"/>
              <w:right w:val="single" w:color="auto" w:sz="4" w:space="0"/>
            </w:tcBorders>
            <w:noWrap w:val="0"/>
            <w:vAlign w:val="bottom"/>
          </w:tcPr>
          <w:p w14:paraId="5E5146D9">
            <w:pPr>
              <w:widowControl/>
              <w:jc w:val="left"/>
              <w:rPr>
                <w:rFonts w:ascii="仿宋" w:hAnsi="仿宋" w:eastAsia="仿宋" w:cs="宋体"/>
                <w:kern w:val="0"/>
                <w:sz w:val="20"/>
              </w:rPr>
            </w:pPr>
            <w:r>
              <w:rPr>
                <w:rFonts w:hint="eastAsia" w:ascii="仿宋" w:hAnsi="仿宋" w:eastAsia="仿宋" w:cs="宋体"/>
                <w:kern w:val="0"/>
                <w:sz w:val="20"/>
              </w:rPr>
              <w:t>10≤X＜100</w:t>
            </w:r>
          </w:p>
        </w:tc>
        <w:tc>
          <w:tcPr>
            <w:tcW w:w="1636" w:type="dxa"/>
            <w:tcBorders>
              <w:top w:val="nil"/>
              <w:left w:val="nil"/>
              <w:bottom w:val="single" w:color="auto" w:sz="4" w:space="0"/>
              <w:right w:val="single" w:color="auto" w:sz="4" w:space="0"/>
            </w:tcBorders>
            <w:noWrap w:val="0"/>
            <w:vAlign w:val="bottom"/>
          </w:tcPr>
          <w:p w14:paraId="079B7CBD">
            <w:pPr>
              <w:widowControl/>
              <w:jc w:val="left"/>
              <w:rPr>
                <w:rFonts w:ascii="仿宋" w:hAnsi="仿宋" w:eastAsia="仿宋" w:cs="宋体"/>
                <w:kern w:val="0"/>
                <w:sz w:val="20"/>
              </w:rPr>
            </w:pPr>
            <w:r>
              <w:rPr>
                <w:rFonts w:hint="eastAsia" w:ascii="仿宋" w:hAnsi="仿宋" w:eastAsia="仿宋" w:cs="宋体"/>
                <w:kern w:val="0"/>
                <w:sz w:val="20"/>
              </w:rPr>
              <w:t>　</w:t>
            </w:r>
          </w:p>
        </w:tc>
        <w:tc>
          <w:tcPr>
            <w:tcW w:w="1520" w:type="dxa"/>
            <w:tcBorders>
              <w:top w:val="nil"/>
              <w:left w:val="nil"/>
              <w:bottom w:val="single" w:color="auto" w:sz="4" w:space="0"/>
              <w:right w:val="single" w:color="auto" w:sz="8" w:space="0"/>
            </w:tcBorders>
            <w:noWrap w:val="0"/>
            <w:vAlign w:val="bottom"/>
          </w:tcPr>
          <w:p w14:paraId="1528F5F5">
            <w:pPr>
              <w:widowControl/>
              <w:jc w:val="left"/>
              <w:rPr>
                <w:rFonts w:ascii="仿宋" w:hAnsi="仿宋" w:eastAsia="仿宋" w:cs="宋体"/>
                <w:kern w:val="0"/>
                <w:sz w:val="20"/>
              </w:rPr>
            </w:pPr>
            <w:r>
              <w:rPr>
                <w:rFonts w:hint="eastAsia" w:ascii="仿宋" w:hAnsi="仿宋" w:eastAsia="仿宋" w:cs="宋体"/>
                <w:kern w:val="0"/>
                <w:sz w:val="20"/>
              </w:rPr>
              <w:t xml:space="preserve"> 100≤Z＜8000</w:t>
            </w:r>
          </w:p>
        </w:tc>
        <w:tc>
          <w:tcPr>
            <w:tcW w:w="1285" w:type="dxa"/>
            <w:tcBorders>
              <w:top w:val="nil"/>
              <w:left w:val="nil"/>
              <w:bottom w:val="single" w:color="auto" w:sz="4" w:space="0"/>
              <w:right w:val="single" w:color="auto" w:sz="4" w:space="0"/>
            </w:tcBorders>
            <w:noWrap w:val="0"/>
            <w:vAlign w:val="bottom"/>
          </w:tcPr>
          <w:p w14:paraId="36359D16">
            <w:pPr>
              <w:widowControl/>
              <w:jc w:val="left"/>
              <w:rPr>
                <w:rFonts w:ascii="仿宋" w:hAnsi="仿宋" w:eastAsia="仿宋" w:cs="宋体"/>
                <w:kern w:val="0"/>
                <w:sz w:val="20"/>
              </w:rPr>
            </w:pPr>
            <w:r>
              <w:rPr>
                <w:rFonts w:hint="eastAsia" w:ascii="仿宋" w:hAnsi="仿宋" w:eastAsia="仿宋" w:cs="宋体"/>
                <w:kern w:val="0"/>
                <w:sz w:val="20"/>
              </w:rPr>
              <w:t>X＜10</w:t>
            </w:r>
          </w:p>
        </w:tc>
        <w:tc>
          <w:tcPr>
            <w:tcW w:w="1275" w:type="dxa"/>
            <w:tcBorders>
              <w:top w:val="nil"/>
              <w:left w:val="nil"/>
              <w:bottom w:val="single" w:color="auto" w:sz="4" w:space="0"/>
              <w:right w:val="single" w:color="auto" w:sz="4" w:space="0"/>
            </w:tcBorders>
            <w:noWrap w:val="0"/>
            <w:vAlign w:val="bottom"/>
          </w:tcPr>
          <w:p w14:paraId="40248100">
            <w:pPr>
              <w:widowControl/>
              <w:jc w:val="left"/>
              <w:rPr>
                <w:rFonts w:ascii="仿宋" w:hAnsi="仿宋" w:eastAsia="仿宋" w:cs="宋体"/>
                <w:kern w:val="0"/>
                <w:sz w:val="20"/>
              </w:rPr>
            </w:pPr>
            <w:r>
              <w:rPr>
                <w:rFonts w:hint="eastAsia" w:ascii="仿宋" w:hAnsi="仿宋" w:eastAsia="仿宋" w:cs="宋体"/>
                <w:kern w:val="0"/>
                <w:sz w:val="20"/>
              </w:rPr>
              <w:t>　</w:t>
            </w:r>
          </w:p>
        </w:tc>
        <w:tc>
          <w:tcPr>
            <w:tcW w:w="1221" w:type="dxa"/>
            <w:tcBorders>
              <w:top w:val="nil"/>
              <w:left w:val="nil"/>
              <w:bottom w:val="single" w:color="auto" w:sz="4" w:space="0"/>
              <w:right w:val="single" w:color="auto" w:sz="8" w:space="0"/>
            </w:tcBorders>
            <w:noWrap w:val="0"/>
            <w:vAlign w:val="bottom"/>
          </w:tcPr>
          <w:p w14:paraId="03BD700A">
            <w:pPr>
              <w:widowControl/>
              <w:jc w:val="left"/>
              <w:rPr>
                <w:rFonts w:ascii="仿宋" w:hAnsi="仿宋" w:eastAsia="仿宋" w:cs="宋体"/>
                <w:kern w:val="0"/>
                <w:sz w:val="20"/>
              </w:rPr>
            </w:pPr>
            <w:r>
              <w:rPr>
                <w:rFonts w:hint="eastAsia" w:ascii="仿宋" w:hAnsi="仿宋" w:eastAsia="仿宋" w:cs="宋体"/>
                <w:kern w:val="0"/>
                <w:sz w:val="20"/>
              </w:rPr>
              <w:t>Z＜100</w:t>
            </w:r>
          </w:p>
        </w:tc>
      </w:tr>
      <w:tr w14:paraId="729836F0">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noWrap w:val="0"/>
            <w:vAlign w:val="bottom"/>
          </w:tcPr>
          <w:p w14:paraId="74DE3E6F">
            <w:pPr>
              <w:widowControl/>
              <w:jc w:val="left"/>
              <w:rPr>
                <w:rFonts w:ascii="仿宋" w:hAnsi="仿宋" w:eastAsia="仿宋" w:cs="宋体"/>
                <w:kern w:val="0"/>
                <w:sz w:val="20"/>
              </w:rPr>
            </w:pPr>
            <w:r>
              <w:rPr>
                <w:rFonts w:hint="eastAsia" w:ascii="仿宋" w:hAnsi="仿宋" w:eastAsia="仿宋" w:cs="宋体"/>
                <w:kern w:val="0"/>
                <w:sz w:val="20"/>
              </w:rPr>
              <w:t>16、其他未列明行业</w:t>
            </w:r>
          </w:p>
        </w:tc>
        <w:tc>
          <w:tcPr>
            <w:tcW w:w="1498" w:type="dxa"/>
            <w:tcBorders>
              <w:top w:val="nil"/>
              <w:left w:val="nil"/>
              <w:bottom w:val="single" w:color="auto" w:sz="8" w:space="0"/>
              <w:right w:val="single" w:color="auto" w:sz="4" w:space="0"/>
            </w:tcBorders>
            <w:noWrap w:val="0"/>
            <w:vAlign w:val="bottom"/>
          </w:tcPr>
          <w:p w14:paraId="4D48E407">
            <w:pPr>
              <w:widowControl/>
              <w:jc w:val="left"/>
              <w:rPr>
                <w:rFonts w:ascii="仿宋" w:hAnsi="仿宋" w:eastAsia="仿宋" w:cs="宋体"/>
                <w:kern w:val="0"/>
                <w:sz w:val="20"/>
              </w:rPr>
            </w:pPr>
            <w:r>
              <w:rPr>
                <w:rFonts w:hint="eastAsia" w:ascii="仿宋" w:hAnsi="仿宋" w:eastAsia="仿宋" w:cs="宋体"/>
                <w:kern w:val="0"/>
                <w:sz w:val="20"/>
              </w:rPr>
              <w:t>100≤X＜300</w:t>
            </w:r>
          </w:p>
        </w:tc>
        <w:tc>
          <w:tcPr>
            <w:tcW w:w="1763" w:type="dxa"/>
            <w:tcBorders>
              <w:top w:val="nil"/>
              <w:left w:val="nil"/>
              <w:bottom w:val="single" w:color="auto" w:sz="8" w:space="0"/>
              <w:right w:val="single" w:color="auto" w:sz="4" w:space="0"/>
            </w:tcBorders>
            <w:noWrap w:val="0"/>
            <w:vAlign w:val="bottom"/>
          </w:tcPr>
          <w:p w14:paraId="550ED00D">
            <w:pPr>
              <w:widowControl/>
              <w:jc w:val="left"/>
              <w:rPr>
                <w:rFonts w:ascii="仿宋" w:hAnsi="仿宋" w:eastAsia="仿宋" w:cs="宋体"/>
                <w:kern w:val="0"/>
                <w:sz w:val="20"/>
              </w:rPr>
            </w:pPr>
            <w:r>
              <w:rPr>
                <w:rFonts w:hint="eastAsia" w:ascii="仿宋" w:hAnsi="仿宋" w:eastAsia="仿宋" w:cs="宋体"/>
                <w:kern w:val="0"/>
                <w:sz w:val="20"/>
              </w:rPr>
              <w:t>　</w:t>
            </w:r>
          </w:p>
        </w:tc>
        <w:tc>
          <w:tcPr>
            <w:tcW w:w="1660" w:type="dxa"/>
            <w:tcBorders>
              <w:top w:val="nil"/>
              <w:left w:val="nil"/>
              <w:bottom w:val="single" w:color="auto" w:sz="8" w:space="0"/>
              <w:right w:val="single" w:color="auto" w:sz="8" w:space="0"/>
            </w:tcBorders>
            <w:noWrap w:val="0"/>
            <w:vAlign w:val="bottom"/>
          </w:tcPr>
          <w:p w14:paraId="51CB890C">
            <w:pPr>
              <w:widowControl/>
              <w:jc w:val="left"/>
              <w:rPr>
                <w:rFonts w:ascii="仿宋" w:hAnsi="仿宋" w:eastAsia="仿宋" w:cs="宋体"/>
                <w:kern w:val="0"/>
                <w:sz w:val="20"/>
              </w:rPr>
            </w:pPr>
            <w:r>
              <w:rPr>
                <w:rFonts w:hint="eastAsia" w:ascii="仿宋" w:hAnsi="仿宋" w:eastAsia="仿宋" w:cs="宋体"/>
                <w:kern w:val="0"/>
                <w:sz w:val="20"/>
              </w:rPr>
              <w:t>　</w:t>
            </w:r>
          </w:p>
        </w:tc>
        <w:tc>
          <w:tcPr>
            <w:tcW w:w="1240" w:type="dxa"/>
            <w:tcBorders>
              <w:top w:val="nil"/>
              <w:left w:val="nil"/>
              <w:bottom w:val="single" w:color="auto" w:sz="8" w:space="0"/>
              <w:right w:val="single" w:color="auto" w:sz="4" w:space="0"/>
            </w:tcBorders>
            <w:noWrap w:val="0"/>
            <w:vAlign w:val="bottom"/>
          </w:tcPr>
          <w:p w14:paraId="70AD18FE">
            <w:pPr>
              <w:widowControl/>
              <w:jc w:val="left"/>
              <w:rPr>
                <w:rFonts w:ascii="仿宋" w:hAnsi="仿宋" w:eastAsia="仿宋" w:cs="宋体"/>
                <w:kern w:val="0"/>
                <w:sz w:val="20"/>
              </w:rPr>
            </w:pPr>
            <w:r>
              <w:rPr>
                <w:rFonts w:hint="eastAsia" w:ascii="仿宋" w:hAnsi="仿宋" w:eastAsia="仿宋" w:cs="宋体"/>
                <w:kern w:val="0"/>
                <w:sz w:val="20"/>
              </w:rPr>
              <w:t>10≤X＜100</w:t>
            </w:r>
          </w:p>
        </w:tc>
        <w:tc>
          <w:tcPr>
            <w:tcW w:w="1636" w:type="dxa"/>
            <w:tcBorders>
              <w:top w:val="nil"/>
              <w:left w:val="nil"/>
              <w:bottom w:val="single" w:color="auto" w:sz="8" w:space="0"/>
              <w:right w:val="single" w:color="auto" w:sz="4" w:space="0"/>
            </w:tcBorders>
            <w:noWrap w:val="0"/>
            <w:vAlign w:val="bottom"/>
          </w:tcPr>
          <w:p w14:paraId="202860A5">
            <w:pPr>
              <w:widowControl/>
              <w:jc w:val="left"/>
              <w:rPr>
                <w:rFonts w:ascii="仿宋" w:hAnsi="仿宋" w:eastAsia="仿宋" w:cs="宋体"/>
                <w:kern w:val="0"/>
                <w:sz w:val="20"/>
              </w:rPr>
            </w:pPr>
            <w:r>
              <w:rPr>
                <w:rFonts w:hint="eastAsia" w:ascii="仿宋" w:hAnsi="仿宋" w:eastAsia="仿宋" w:cs="宋体"/>
                <w:kern w:val="0"/>
                <w:sz w:val="20"/>
              </w:rPr>
              <w:t>　</w:t>
            </w:r>
          </w:p>
        </w:tc>
        <w:tc>
          <w:tcPr>
            <w:tcW w:w="1520" w:type="dxa"/>
            <w:tcBorders>
              <w:top w:val="nil"/>
              <w:left w:val="nil"/>
              <w:bottom w:val="single" w:color="auto" w:sz="8" w:space="0"/>
              <w:right w:val="single" w:color="auto" w:sz="8" w:space="0"/>
            </w:tcBorders>
            <w:noWrap w:val="0"/>
            <w:vAlign w:val="bottom"/>
          </w:tcPr>
          <w:p w14:paraId="3D5C66FB">
            <w:pPr>
              <w:widowControl/>
              <w:jc w:val="left"/>
              <w:rPr>
                <w:rFonts w:ascii="仿宋" w:hAnsi="仿宋" w:eastAsia="仿宋" w:cs="宋体"/>
                <w:kern w:val="0"/>
                <w:sz w:val="20"/>
              </w:rPr>
            </w:pPr>
            <w:r>
              <w:rPr>
                <w:rFonts w:hint="eastAsia" w:ascii="仿宋" w:hAnsi="仿宋" w:eastAsia="仿宋" w:cs="宋体"/>
                <w:kern w:val="0"/>
                <w:sz w:val="20"/>
              </w:rPr>
              <w:t>　</w:t>
            </w:r>
          </w:p>
        </w:tc>
        <w:tc>
          <w:tcPr>
            <w:tcW w:w="1285" w:type="dxa"/>
            <w:tcBorders>
              <w:top w:val="nil"/>
              <w:left w:val="nil"/>
              <w:bottom w:val="single" w:color="auto" w:sz="8" w:space="0"/>
              <w:right w:val="single" w:color="auto" w:sz="4" w:space="0"/>
            </w:tcBorders>
            <w:noWrap w:val="0"/>
            <w:vAlign w:val="bottom"/>
          </w:tcPr>
          <w:p w14:paraId="30860878">
            <w:pPr>
              <w:widowControl/>
              <w:jc w:val="left"/>
              <w:rPr>
                <w:rFonts w:ascii="仿宋" w:hAnsi="仿宋" w:eastAsia="仿宋" w:cs="宋体"/>
                <w:kern w:val="0"/>
                <w:sz w:val="20"/>
              </w:rPr>
            </w:pPr>
            <w:r>
              <w:rPr>
                <w:rFonts w:hint="eastAsia" w:ascii="仿宋" w:hAnsi="仿宋" w:eastAsia="仿宋" w:cs="宋体"/>
                <w:kern w:val="0"/>
                <w:sz w:val="20"/>
              </w:rPr>
              <w:t>X＜10</w:t>
            </w:r>
          </w:p>
        </w:tc>
        <w:tc>
          <w:tcPr>
            <w:tcW w:w="1275" w:type="dxa"/>
            <w:tcBorders>
              <w:top w:val="nil"/>
              <w:left w:val="nil"/>
              <w:bottom w:val="single" w:color="auto" w:sz="8" w:space="0"/>
              <w:right w:val="single" w:color="auto" w:sz="4" w:space="0"/>
            </w:tcBorders>
            <w:noWrap w:val="0"/>
            <w:vAlign w:val="bottom"/>
          </w:tcPr>
          <w:p w14:paraId="78EA346C">
            <w:pPr>
              <w:widowControl/>
              <w:jc w:val="left"/>
              <w:rPr>
                <w:rFonts w:ascii="仿宋" w:hAnsi="仿宋" w:eastAsia="仿宋" w:cs="宋体"/>
                <w:kern w:val="0"/>
                <w:sz w:val="20"/>
              </w:rPr>
            </w:pPr>
            <w:r>
              <w:rPr>
                <w:rFonts w:hint="eastAsia" w:ascii="仿宋" w:hAnsi="仿宋" w:eastAsia="仿宋" w:cs="宋体"/>
                <w:kern w:val="0"/>
                <w:sz w:val="20"/>
              </w:rPr>
              <w:t>　</w:t>
            </w:r>
          </w:p>
        </w:tc>
        <w:tc>
          <w:tcPr>
            <w:tcW w:w="1221" w:type="dxa"/>
            <w:tcBorders>
              <w:top w:val="nil"/>
              <w:left w:val="nil"/>
              <w:bottom w:val="single" w:color="auto" w:sz="8" w:space="0"/>
              <w:right w:val="single" w:color="auto" w:sz="8" w:space="0"/>
            </w:tcBorders>
            <w:noWrap w:val="0"/>
            <w:vAlign w:val="bottom"/>
          </w:tcPr>
          <w:p w14:paraId="55B8A2F7">
            <w:pPr>
              <w:widowControl/>
              <w:jc w:val="left"/>
              <w:rPr>
                <w:rFonts w:ascii="仿宋" w:hAnsi="仿宋" w:eastAsia="仿宋" w:cs="宋体"/>
                <w:kern w:val="0"/>
                <w:sz w:val="20"/>
              </w:rPr>
            </w:pPr>
            <w:r>
              <w:rPr>
                <w:rFonts w:hint="eastAsia" w:ascii="仿宋" w:hAnsi="仿宋" w:eastAsia="仿宋" w:cs="宋体"/>
                <w:kern w:val="0"/>
                <w:sz w:val="20"/>
              </w:rPr>
              <w:t>　</w:t>
            </w:r>
          </w:p>
        </w:tc>
      </w:tr>
    </w:tbl>
    <w:p w14:paraId="18A89063">
      <w:pPr>
        <w:widowControl/>
        <w:jc w:val="left"/>
        <w:rPr>
          <w:rFonts w:hint="eastAsia" w:ascii="仿宋" w:hAnsi="仿宋" w:eastAsia="仿宋" w:cs="宋体"/>
          <w:kern w:val="0"/>
          <w:sz w:val="20"/>
        </w:rPr>
      </w:pPr>
      <w:r>
        <w:rPr>
          <w:rFonts w:hint="eastAsia" w:ascii="仿宋" w:hAnsi="仿宋" w:eastAsia="仿宋" w:cs="宋体"/>
          <w:kern w:val="0"/>
          <w:sz w:val="20"/>
        </w:rPr>
        <w:t>说明　1、企业类型的划分以统计部门的统计数据为依据。</w:t>
      </w:r>
    </w:p>
    <w:p w14:paraId="73C10D2E">
      <w:pPr>
        <w:widowControl/>
        <w:numPr>
          <w:ilvl w:val="0"/>
          <w:numId w:val="8"/>
        </w:numPr>
        <w:ind w:firstLine="600" w:firstLineChars="300"/>
        <w:jc w:val="left"/>
        <w:rPr>
          <w:rFonts w:hint="eastAsia" w:ascii="仿宋" w:hAnsi="仿宋" w:eastAsia="仿宋" w:cs="宋体"/>
          <w:kern w:val="0"/>
          <w:sz w:val="20"/>
        </w:rPr>
      </w:pPr>
      <w:r>
        <w:rPr>
          <w:rFonts w:hint="eastAsia" w:ascii="仿宋" w:hAnsi="仿宋" w:eastAsia="仿宋" w:cs="宋体"/>
          <w:kern w:val="0"/>
          <w:sz w:val="20"/>
        </w:rPr>
        <w:t>个体工商户和本规定以外的行业，参照本规定进行划型。</w:t>
      </w:r>
    </w:p>
    <w:p w14:paraId="079FEFCD">
      <w:pPr>
        <w:widowControl/>
        <w:ind w:firstLine="600" w:firstLineChars="300"/>
        <w:jc w:val="left"/>
        <w:rPr>
          <w:rFonts w:ascii="仿宋" w:hAnsi="仿宋" w:eastAsia="仿宋" w:cs="宋体"/>
          <w:kern w:val="0"/>
          <w:sz w:val="20"/>
        </w:rPr>
      </w:pPr>
      <w:r>
        <w:rPr>
          <w:rFonts w:hint="eastAsia" w:ascii="仿宋" w:hAnsi="仿宋" w:eastAsia="仿宋" w:cs="宋体"/>
          <w:kern w:val="0"/>
          <w:sz w:val="20"/>
        </w:rPr>
        <w:t>3、本规定的中型企业标准上限即为大型企业标准的下限。</w:t>
      </w:r>
    </w:p>
    <w:p w14:paraId="6EE3F747">
      <w:pPr>
        <w:pStyle w:val="44"/>
        <w:ind w:firstLine="560"/>
        <w:rPr>
          <w:rFonts w:hint="eastAsia" w:ascii="仿宋" w:hAnsi="仿宋" w:eastAsia="仿宋"/>
        </w:rPr>
        <w:sectPr>
          <w:footerReference r:id="rId13" w:type="first"/>
          <w:footerReference r:id="rId12" w:type="default"/>
          <w:pgSz w:w="16838" w:h="11906" w:orient="landscape"/>
          <w:pgMar w:top="1622" w:right="1418" w:bottom="1287" w:left="1134" w:header="624" w:footer="624" w:gutter="0"/>
          <w:cols w:space="720" w:num="1"/>
          <w:titlePg/>
          <w:docGrid w:linePitch="321" w:charSpace="0"/>
        </w:sectPr>
      </w:pPr>
    </w:p>
    <w:p w14:paraId="5C1951C5">
      <w:pPr>
        <w:spacing w:line="360" w:lineRule="auto"/>
        <w:jc w:val="center"/>
        <w:rPr>
          <w:rFonts w:hint="eastAsia" w:ascii="仿宋" w:hAnsi="仿宋" w:eastAsia="仿宋" w:cs="仿宋"/>
          <w:b/>
          <w:bCs/>
          <w:sz w:val="32"/>
          <w:szCs w:val="32"/>
        </w:rPr>
      </w:pPr>
    </w:p>
    <w:p w14:paraId="1F60943C">
      <w:pPr>
        <w:spacing w:line="360" w:lineRule="auto"/>
        <w:jc w:val="center"/>
        <w:rPr>
          <w:rFonts w:hint="eastAsia" w:ascii="仿宋" w:hAnsi="仿宋" w:eastAsia="仿宋" w:cs="仿宋"/>
          <w:sz w:val="32"/>
          <w:szCs w:val="32"/>
        </w:rPr>
      </w:pPr>
      <w:r>
        <w:rPr>
          <w:rFonts w:hint="eastAsia" w:ascii="仿宋" w:hAnsi="仿宋" w:eastAsia="仿宋" w:cs="仿宋"/>
          <w:b/>
          <w:bCs/>
          <w:sz w:val="32"/>
          <w:szCs w:val="32"/>
        </w:rPr>
        <w:t>四、残疾人福利性单位声明函</w:t>
      </w:r>
    </w:p>
    <w:p w14:paraId="22DCFA5F">
      <w:pPr>
        <w:spacing w:line="360" w:lineRule="auto"/>
        <w:rPr>
          <w:rFonts w:hint="eastAsia" w:ascii="仿宋" w:hAnsi="仿宋" w:eastAsia="仿宋" w:cs="仿宋"/>
          <w:b/>
          <w:spacing w:val="6"/>
          <w:sz w:val="30"/>
          <w:szCs w:val="30"/>
        </w:rPr>
      </w:pPr>
    </w:p>
    <w:p w14:paraId="624DB72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2C603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3377268D">
      <w:pPr>
        <w:spacing w:line="360" w:lineRule="auto"/>
        <w:ind w:firstLine="480" w:firstLineChars="200"/>
        <w:jc w:val="left"/>
        <w:rPr>
          <w:rFonts w:hint="eastAsia" w:ascii="仿宋" w:hAnsi="仿宋" w:eastAsia="仿宋" w:cs="仿宋"/>
          <w:sz w:val="24"/>
        </w:rPr>
      </w:pPr>
    </w:p>
    <w:p w14:paraId="77F1021D">
      <w:pPr>
        <w:spacing w:line="360" w:lineRule="auto"/>
        <w:ind w:firstLine="480" w:firstLineChars="200"/>
        <w:jc w:val="left"/>
        <w:rPr>
          <w:rFonts w:hint="eastAsia" w:ascii="仿宋" w:hAnsi="仿宋" w:eastAsia="仿宋" w:cs="仿宋"/>
          <w:sz w:val="24"/>
        </w:rPr>
      </w:pPr>
    </w:p>
    <w:p w14:paraId="771BB64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                                            投标人（盖章）：</w:t>
      </w:r>
    </w:p>
    <w:p w14:paraId="3B855FB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                                            日  期：</w:t>
      </w:r>
    </w:p>
    <w:p w14:paraId="0E516835">
      <w:pPr>
        <w:spacing w:line="360" w:lineRule="auto"/>
        <w:rPr>
          <w:rFonts w:hint="eastAsia" w:ascii="仿宋" w:hAnsi="仿宋" w:eastAsia="仿宋" w:cs="仿宋"/>
          <w:b/>
          <w:sz w:val="32"/>
          <w:szCs w:val="32"/>
        </w:rPr>
      </w:pPr>
    </w:p>
    <w:p w14:paraId="0614EAE5">
      <w:pPr>
        <w:spacing w:line="360" w:lineRule="auto"/>
        <w:rPr>
          <w:rFonts w:hint="eastAsia" w:ascii="仿宋" w:hAnsi="仿宋" w:eastAsia="仿宋" w:cs="仿宋"/>
          <w:b/>
          <w:sz w:val="32"/>
          <w:szCs w:val="32"/>
        </w:rPr>
      </w:pPr>
    </w:p>
    <w:p w14:paraId="177D042C">
      <w:pPr>
        <w:numPr>
          <w:ilvl w:val="0"/>
          <w:numId w:val="9"/>
        </w:num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政府采购统计基础信息表</w:t>
      </w:r>
    </w:p>
    <w:p w14:paraId="6ED3E2C7">
      <w:pPr>
        <w:pStyle w:val="44"/>
        <w:spacing w:line="360" w:lineRule="auto"/>
        <w:ind w:firstLine="0" w:firstLineChars="0"/>
        <w:rPr>
          <w:rFonts w:hint="eastAsia" w:ascii="仿宋" w:hAnsi="仿宋" w:eastAsia="仿宋" w:cs="仿宋"/>
        </w:rPr>
      </w:pPr>
    </w:p>
    <w:tbl>
      <w:tblPr>
        <w:tblStyle w:val="29"/>
        <w:tblW w:w="8537" w:type="dxa"/>
        <w:jc w:val="center"/>
        <w:tblLayout w:type="fixed"/>
        <w:tblCellMar>
          <w:top w:w="0" w:type="dxa"/>
          <w:left w:w="108" w:type="dxa"/>
          <w:bottom w:w="0" w:type="dxa"/>
          <w:right w:w="108" w:type="dxa"/>
        </w:tblCellMar>
      </w:tblPr>
      <w:tblGrid>
        <w:gridCol w:w="4998"/>
        <w:gridCol w:w="3539"/>
      </w:tblGrid>
      <w:tr w14:paraId="133C5DB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74CBE4B">
            <w:pPr>
              <w:adjustRightInd w:val="0"/>
              <w:spacing w:line="360" w:lineRule="auto"/>
              <w:jc w:val="left"/>
              <w:rPr>
                <w:rFonts w:hint="eastAsia" w:ascii="仿宋" w:hAnsi="仿宋" w:eastAsia="仿宋" w:cs="仿宋"/>
                <w:sz w:val="24"/>
              </w:rPr>
            </w:pPr>
            <w:r>
              <w:rPr>
                <w:rFonts w:hint="eastAsia" w:ascii="仿宋" w:hAnsi="仿宋" w:eastAsia="仿宋" w:cs="仿宋"/>
                <w:sz w:val="24"/>
              </w:rPr>
              <w:t>采购人及采购项目名称</w:t>
            </w:r>
          </w:p>
        </w:tc>
        <w:tc>
          <w:tcPr>
            <w:tcW w:w="3539" w:type="dxa"/>
            <w:tcBorders>
              <w:top w:val="single" w:color="000000" w:sz="4" w:space="0"/>
              <w:left w:val="nil"/>
              <w:bottom w:val="single" w:color="000000" w:sz="4" w:space="0"/>
              <w:right w:val="single" w:color="000000" w:sz="4" w:space="0"/>
            </w:tcBorders>
            <w:noWrap w:val="0"/>
            <w:vAlign w:val="top"/>
          </w:tcPr>
          <w:p w14:paraId="3505C54A">
            <w:pPr>
              <w:spacing w:line="360" w:lineRule="auto"/>
              <w:rPr>
                <w:rFonts w:hint="eastAsia" w:ascii="仿宋" w:hAnsi="仿宋" w:eastAsia="仿宋" w:cs="仿宋"/>
              </w:rPr>
            </w:pPr>
          </w:p>
        </w:tc>
      </w:tr>
      <w:tr w14:paraId="6A0703A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38B3D12">
            <w:pPr>
              <w:adjustRightInd w:val="0"/>
              <w:spacing w:line="360" w:lineRule="auto"/>
              <w:jc w:val="left"/>
              <w:rPr>
                <w:rFonts w:hint="eastAsia" w:ascii="仿宋" w:hAnsi="仿宋" w:eastAsia="仿宋" w:cs="仿宋"/>
                <w:sz w:val="24"/>
              </w:rPr>
            </w:pPr>
            <w:r>
              <w:rPr>
                <w:rFonts w:hint="eastAsia" w:ascii="仿宋" w:hAnsi="仿宋" w:eastAsia="仿宋" w:cs="仿宋"/>
                <w:sz w:val="24"/>
              </w:rPr>
              <w:t>投标单位名称</w:t>
            </w:r>
          </w:p>
        </w:tc>
        <w:tc>
          <w:tcPr>
            <w:tcW w:w="3539" w:type="dxa"/>
            <w:tcBorders>
              <w:top w:val="single" w:color="000000" w:sz="4" w:space="0"/>
              <w:left w:val="nil"/>
              <w:bottom w:val="single" w:color="000000" w:sz="4" w:space="0"/>
              <w:right w:val="single" w:color="000000" w:sz="4" w:space="0"/>
            </w:tcBorders>
            <w:noWrap w:val="0"/>
            <w:vAlign w:val="top"/>
          </w:tcPr>
          <w:p w14:paraId="03C618A1">
            <w:pPr>
              <w:spacing w:line="360" w:lineRule="auto"/>
              <w:rPr>
                <w:rFonts w:hint="eastAsia" w:ascii="仿宋" w:hAnsi="仿宋" w:eastAsia="仿宋" w:cs="仿宋"/>
              </w:rPr>
            </w:pPr>
          </w:p>
        </w:tc>
      </w:tr>
      <w:tr w14:paraId="7EF7AB3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1BFF2F5">
            <w:pPr>
              <w:adjustRightInd w:val="0"/>
              <w:spacing w:line="360" w:lineRule="auto"/>
              <w:jc w:val="left"/>
              <w:rPr>
                <w:rFonts w:hint="eastAsia" w:ascii="仿宋" w:hAnsi="仿宋" w:eastAsia="仿宋" w:cs="仿宋"/>
                <w:sz w:val="24"/>
              </w:rPr>
            </w:pPr>
            <w:r>
              <w:rPr>
                <w:rFonts w:hint="eastAsia" w:ascii="仿宋" w:hAnsi="仿宋" w:eastAsia="仿宋" w:cs="仿宋"/>
                <w:sz w:val="24"/>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top"/>
          </w:tcPr>
          <w:p w14:paraId="144707CD">
            <w:pPr>
              <w:spacing w:line="360" w:lineRule="auto"/>
              <w:rPr>
                <w:rFonts w:hint="eastAsia" w:ascii="仿宋" w:hAnsi="仿宋" w:eastAsia="仿宋" w:cs="仿宋"/>
              </w:rPr>
            </w:pPr>
          </w:p>
        </w:tc>
      </w:tr>
      <w:tr w14:paraId="2FDAC11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3939FAD">
            <w:pPr>
              <w:adjustRightInd w:val="0"/>
              <w:spacing w:line="360" w:lineRule="auto"/>
              <w:jc w:val="left"/>
              <w:rPr>
                <w:rFonts w:hint="eastAsia" w:ascii="仿宋" w:hAnsi="仿宋" w:eastAsia="仿宋" w:cs="仿宋"/>
                <w:sz w:val="24"/>
              </w:rPr>
            </w:pPr>
            <w:r>
              <w:rPr>
                <w:rFonts w:hint="eastAsia" w:ascii="仿宋" w:hAnsi="仿宋" w:eastAsia="仿宋" w:cs="仿宋"/>
                <w:sz w:val="24"/>
              </w:rPr>
              <w:t>投标单位是否为宁波企业</w:t>
            </w:r>
          </w:p>
        </w:tc>
        <w:tc>
          <w:tcPr>
            <w:tcW w:w="3539" w:type="dxa"/>
            <w:tcBorders>
              <w:top w:val="single" w:color="000000" w:sz="4" w:space="0"/>
              <w:left w:val="nil"/>
              <w:bottom w:val="single" w:color="000000" w:sz="4" w:space="0"/>
              <w:right w:val="single" w:color="000000" w:sz="4" w:space="0"/>
            </w:tcBorders>
            <w:noWrap w:val="0"/>
            <w:vAlign w:val="top"/>
          </w:tcPr>
          <w:p w14:paraId="7EB6E32E">
            <w:pPr>
              <w:spacing w:line="360" w:lineRule="auto"/>
              <w:rPr>
                <w:rFonts w:hint="eastAsia" w:ascii="仿宋" w:hAnsi="仿宋" w:eastAsia="仿宋" w:cs="仿宋"/>
              </w:rPr>
            </w:pPr>
          </w:p>
        </w:tc>
      </w:tr>
      <w:tr w14:paraId="0A83B24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10BE668">
            <w:pPr>
              <w:adjustRightInd w:val="0"/>
              <w:spacing w:line="360" w:lineRule="auto"/>
              <w:jc w:val="left"/>
              <w:rPr>
                <w:rFonts w:hint="eastAsia" w:ascii="仿宋" w:hAnsi="仿宋" w:eastAsia="仿宋" w:cs="仿宋"/>
                <w:sz w:val="24"/>
              </w:rPr>
            </w:pPr>
            <w:r>
              <w:rPr>
                <w:rFonts w:hint="eastAsia" w:ascii="仿宋" w:hAnsi="仿宋" w:eastAsia="仿宋" w:cs="仿宋"/>
                <w:sz w:val="24"/>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top"/>
          </w:tcPr>
          <w:p w14:paraId="1602C47A">
            <w:pPr>
              <w:spacing w:line="360" w:lineRule="auto"/>
              <w:rPr>
                <w:rFonts w:hint="eastAsia" w:ascii="仿宋" w:hAnsi="仿宋" w:eastAsia="仿宋" w:cs="仿宋"/>
              </w:rPr>
            </w:pPr>
          </w:p>
        </w:tc>
      </w:tr>
      <w:tr w14:paraId="1CD795C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C4139A3">
            <w:pPr>
              <w:adjustRightInd w:val="0"/>
              <w:spacing w:line="360" w:lineRule="auto"/>
              <w:jc w:val="left"/>
              <w:rPr>
                <w:rFonts w:hint="eastAsia" w:ascii="仿宋" w:hAnsi="仿宋" w:eastAsia="仿宋" w:cs="仿宋"/>
                <w:sz w:val="24"/>
              </w:rPr>
            </w:pPr>
            <w:r>
              <w:rPr>
                <w:rFonts w:hint="eastAsia" w:ascii="仿宋" w:hAnsi="仿宋" w:eastAsia="仿宋" w:cs="仿宋"/>
                <w:sz w:val="24"/>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top"/>
          </w:tcPr>
          <w:p w14:paraId="24E8DC5D">
            <w:pPr>
              <w:spacing w:line="360" w:lineRule="auto"/>
              <w:rPr>
                <w:rFonts w:hint="eastAsia" w:ascii="仿宋" w:hAnsi="仿宋" w:eastAsia="仿宋" w:cs="仿宋"/>
              </w:rPr>
            </w:pPr>
          </w:p>
        </w:tc>
      </w:tr>
      <w:tr w14:paraId="1EED1B4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79B5306">
            <w:pPr>
              <w:adjustRightInd w:val="0"/>
              <w:spacing w:line="360" w:lineRule="auto"/>
              <w:jc w:val="left"/>
              <w:rPr>
                <w:rFonts w:hint="eastAsia" w:ascii="仿宋" w:hAnsi="仿宋" w:eastAsia="仿宋" w:cs="仿宋"/>
                <w:sz w:val="24"/>
              </w:rPr>
            </w:pPr>
            <w:r>
              <w:rPr>
                <w:rFonts w:hint="eastAsia" w:ascii="仿宋" w:hAnsi="仿宋" w:eastAsia="仿宋" w:cs="仿宋"/>
                <w:sz w:val="24"/>
              </w:rPr>
              <w:t>货物原产地国别</w:t>
            </w:r>
          </w:p>
        </w:tc>
        <w:tc>
          <w:tcPr>
            <w:tcW w:w="3539" w:type="dxa"/>
            <w:tcBorders>
              <w:top w:val="single" w:color="000000" w:sz="4" w:space="0"/>
              <w:left w:val="nil"/>
              <w:bottom w:val="single" w:color="000000" w:sz="4" w:space="0"/>
              <w:right w:val="single" w:color="000000" w:sz="4" w:space="0"/>
            </w:tcBorders>
            <w:noWrap w:val="0"/>
            <w:vAlign w:val="top"/>
          </w:tcPr>
          <w:p w14:paraId="6201334F">
            <w:pPr>
              <w:spacing w:line="360" w:lineRule="auto"/>
              <w:rPr>
                <w:rFonts w:hint="eastAsia" w:ascii="仿宋" w:hAnsi="仿宋" w:eastAsia="仿宋" w:cs="仿宋"/>
              </w:rPr>
            </w:pPr>
          </w:p>
        </w:tc>
      </w:tr>
      <w:tr w14:paraId="24C08BB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36D6D18">
            <w:pPr>
              <w:adjustRightInd w:val="0"/>
              <w:spacing w:line="360" w:lineRule="auto"/>
              <w:jc w:val="left"/>
              <w:rPr>
                <w:rFonts w:hint="eastAsia" w:ascii="仿宋" w:hAnsi="仿宋" w:eastAsia="仿宋" w:cs="仿宋"/>
                <w:sz w:val="24"/>
              </w:rPr>
            </w:pPr>
            <w:r>
              <w:rPr>
                <w:rFonts w:hint="eastAsia" w:ascii="仿宋" w:hAnsi="仿宋" w:eastAsia="仿宋" w:cs="仿宋"/>
                <w:sz w:val="24"/>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top"/>
          </w:tcPr>
          <w:p w14:paraId="2611322A">
            <w:pPr>
              <w:spacing w:line="360" w:lineRule="auto"/>
              <w:rPr>
                <w:rFonts w:hint="eastAsia" w:ascii="仿宋" w:hAnsi="仿宋" w:eastAsia="仿宋" w:cs="仿宋"/>
              </w:rPr>
            </w:pPr>
          </w:p>
        </w:tc>
      </w:tr>
      <w:tr w14:paraId="6562E3E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49AC145">
            <w:pPr>
              <w:adjustRightInd w:val="0"/>
              <w:spacing w:line="360" w:lineRule="auto"/>
              <w:jc w:val="left"/>
              <w:rPr>
                <w:rFonts w:hint="eastAsia" w:ascii="仿宋" w:hAnsi="仿宋" w:eastAsia="仿宋" w:cs="仿宋"/>
                <w:sz w:val="24"/>
              </w:rPr>
            </w:pPr>
            <w:r>
              <w:rPr>
                <w:rFonts w:hint="eastAsia" w:ascii="仿宋" w:hAnsi="仿宋" w:eastAsia="仿宋" w:cs="仿宋"/>
                <w:sz w:val="24"/>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top"/>
          </w:tcPr>
          <w:p w14:paraId="0995EA23">
            <w:pPr>
              <w:spacing w:line="360" w:lineRule="auto"/>
              <w:rPr>
                <w:rFonts w:hint="eastAsia" w:ascii="仿宋" w:hAnsi="仿宋" w:eastAsia="仿宋" w:cs="仿宋"/>
              </w:rPr>
            </w:pPr>
          </w:p>
        </w:tc>
      </w:tr>
      <w:tr w14:paraId="01801B1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E1BA352">
            <w:pPr>
              <w:adjustRightInd w:val="0"/>
              <w:spacing w:line="360" w:lineRule="auto"/>
              <w:jc w:val="left"/>
              <w:rPr>
                <w:rFonts w:hint="eastAsia" w:ascii="仿宋" w:hAnsi="仿宋" w:eastAsia="仿宋" w:cs="仿宋"/>
                <w:sz w:val="24"/>
              </w:rPr>
            </w:pPr>
            <w:r>
              <w:rPr>
                <w:rFonts w:hint="eastAsia" w:ascii="仿宋" w:hAnsi="仿宋" w:eastAsia="仿宋" w:cs="仿宋"/>
                <w:sz w:val="24"/>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top"/>
          </w:tcPr>
          <w:p w14:paraId="6ADF8CE6">
            <w:pPr>
              <w:spacing w:line="360" w:lineRule="auto"/>
              <w:rPr>
                <w:rFonts w:hint="eastAsia" w:ascii="仿宋" w:hAnsi="仿宋" w:eastAsia="仿宋" w:cs="仿宋"/>
              </w:rPr>
            </w:pPr>
          </w:p>
        </w:tc>
      </w:tr>
    </w:tbl>
    <w:p w14:paraId="1E2EDB98">
      <w:pPr>
        <w:adjustRightInd w:val="0"/>
        <w:spacing w:line="360" w:lineRule="auto"/>
        <w:jc w:val="left"/>
        <w:rPr>
          <w:rFonts w:hint="eastAsia" w:ascii="仿宋" w:hAnsi="仿宋" w:eastAsia="仿宋" w:cs="仿宋"/>
          <w:sz w:val="24"/>
        </w:rPr>
      </w:pPr>
      <w:r>
        <w:rPr>
          <w:rFonts w:hint="eastAsia" w:ascii="仿宋" w:hAnsi="仿宋" w:eastAsia="仿宋" w:cs="仿宋"/>
          <w:sz w:val="24"/>
        </w:rPr>
        <w:t>备注：请各投标人务必填写此表作为投标文件的组成部分。</w:t>
      </w:r>
    </w:p>
    <w:p w14:paraId="28CEBB78">
      <w:pPr>
        <w:adjustRightInd w:val="0"/>
        <w:spacing w:line="360" w:lineRule="auto"/>
        <w:jc w:val="left"/>
        <w:rPr>
          <w:rFonts w:hint="eastAsia" w:ascii="仿宋" w:hAnsi="仿宋" w:eastAsia="仿宋" w:cs="仿宋"/>
          <w:sz w:val="24"/>
        </w:rPr>
      </w:pPr>
    </w:p>
    <w:p w14:paraId="06525180">
      <w:pPr>
        <w:adjustRightInd w:val="0"/>
        <w:spacing w:line="360" w:lineRule="auto"/>
        <w:jc w:val="left"/>
        <w:rPr>
          <w:rFonts w:hint="eastAsia" w:ascii="仿宋" w:hAnsi="仿宋" w:eastAsia="仿宋" w:cs="仿宋"/>
          <w:sz w:val="24"/>
        </w:rPr>
      </w:pPr>
    </w:p>
    <w:p w14:paraId="1B0A7033">
      <w:pPr>
        <w:pStyle w:val="44"/>
        <w:ind w:firstLine="560"/>
        <w:rPr>
          <w:rFonts w:hint="eastAsia" w:ascii="仿宋" w:hAnsi="仿宋" w:eastAsia="仿宋"/>
        </w:rPr>
      </w:pPr>
    </w:p>
    <w:p w14:paraId="37234815">
      <w:pPr>
        <w:pStyle w:val="44"/>
        <w:ind w:firstLine="560"/>
        <w:rPr>
          <w:rFonts w:hint="eastAsia" w:ascii="仿宋" w:hAnsi="仿宋" w:eastAsia="仿宋"/>
        </w:rPr>
      </w:pPr>
    </w:p>
    <w:p w14:paraId="31B1DDE3">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66B3ED2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4FCBFB9">
      <w:pPr>
        <w:adjustRightInd w:val="0"/>
        <w:spacing w:line="360" w:lineRule="auto"/>
        <w:jc w:val="left"/>
        <w:rPr>
          <w:rFonts w:hint="eastAsia" w:ascii="仿宋" w:hAnsi="仿宋" w:eastAsia="仿宋" w:cs="仿宋"/>
          <w:sz w:val="24"/>
        </w:rPr>
      </w:pPr>
      <w:r>
        <w:rPr>
          <w:rFonts w:hint="eastAsia" w:ascii="仿宋" w:hAnsi="仿宋" w:eastAsia="仿宋" w:cs="仿宋"/>
          <w:sz w:val="24"/>
        </w:rPr>
        <w:t xml:space="preserve">                    日期：</w:t>
      </w:r>
    </w:p>
    <w:p w14:paraId="3AA89815">
      <w:pPr>
        <w:pStyle w:val="44"/>
        <w:ind w:firstLine="0" w:firstLineChars="0"/>
        <w:rPr>
          <w:rFonts w:ascii="仿宋" w:hAnsi="仿宋" w:eastAsia="仿宋"/>
        </w:rPr>
      </w:pPr>
    </w:p>
    <w:p w14:paraId="78605D47">
      <w:pPr>
        <w:pStyle w:val="44"/>
        <w:ind w:firstLine="0" w:firstLineChars="0"/>
        <w:rPr>
          <w:rFonts w:ascii="仿宋" w:hAnsi="仿宋" w:eastAsia="仿宋"/>
        </w:rPr>
      </w:pPr>
    </w:p>
    <w:sectPr>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D215C">
    <w:pPr>
      <w:pStyle w:val="1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52195"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52195" cy="1828800"/>
                      </a:xfrm>
                      <a:prstGeom prst="rect">
                        <a:avLst/>
                      </a:prstGeom>
                      <a:noFill/>
                      <a:ln>
                        <a:noFill/>
                      </a:ln>
                    </wps:spPr>
                    <wps:txbx>
                      <w:txbxContent>
                        <w:p w14:paraId="453C95FA">
                          <w:pPr>
                            <w:pStyle w:val="1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square" lIns="0" tIns="0" rIns="0" bIns="0" upright="0">
                      <a:spAutoFit/>
                    </wps:bodyPr>
                  </wps:wsp>
                </a:graphicData>
              </a:graphic>
            </wp:anchor>
          </w:drawing>
        </mc:Choice>
        <mc:Fallback>
          <w:pict>
            <v:shape id="文本框 1025" o:spid="_x0000_s1026" o:spt="202" type="#_x0000_t202" style="position:absolute;left:0pt;margin-top:0pt;height:144pt;width:82.85pt;mso-position-horizontal:center;mso-position-horizontal-relative:margin;z-index:251659264;mso-width-relative:page;mso-height-relative:page;" filled="f" stroked="f" coordsize="21600,21600" o:gfxdata="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zcqzdMAAAAFAQAADwAAAAAAAAABACAAAAAiAAAA&#10;ZHJzL2Rvd25yZXYueG1sUEsBAhQAFAAAAAgAh07iQMUcW8vTAQAAngMAAA4AAAAAAAAAAQAgAAAA&#10;IgEAAGRycy9lMm9Eb2MueG1sUEsFBgAAAAAGAAYAWQEAAGcFAAAAAA==&#10;">
              <v:fill on="f" focussize="0,0"/>
              <v:stroke on="f"/>
              <v:imagedata o:title=""/>
              <o:lock v:ext="edit" aspectratio="f"/>
              <v:textbox inset="0mm,0mm,0mm,0mm" style="mso-fit-shape-to-text:t;">
                <w:txbxContent>
                  <w:p w14:paraId="453C95FA">
                    <w:pPr>
                      <w:pStyle w:val="1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10A59A95">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230D">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F3A700">
                          <w:pPr>
                            <w:pStyle w:val="19"/>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4gs8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V4gs8oBAACcAwAADgAAAAAAAAABACAAAAAeAQAAZHJzL2Uyb0Rv&#10;Yy54bWxQSwUGAAAAAAYABgBZAQAAWgUAAAAA&#10;">
              <v:fill on="f" focussize="0,0"/>
              <v:stroke on="f"/>
              <v:imagedata o:title=""/>
              <o:lock v:ext="edit" aspectratio="f"/>
              <v:textbox inset="0mm,0mm,0mm,0mm" style="mso-fit-shape-to-text:t;">
                <w:txbxContent>
                  <w:p w14:paraId="50F3A700">
                    <w:pPr>
                      <w:pStyle w:val="19"/>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22F9DF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7E02">
    <w:pPr>
      <w:pStyle w:val="1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D84438">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3D84438">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7511774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C623">
    <w:pPr>
      <w:pStyle w:val="1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1ACE3">
                          <w:pPr>
                            <w:pStyle w:val="19"/>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0031ACE3">
                    <w:pPr>
                      <w:pStyle w:val="19"/>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1255474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0FAB">
    <w:pPr>
      <w:pStyle w:val="1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DB3812">
                          <w:pPr>
                            <w:pStyle w:val="1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22DB3812">
                    <w:pPr>
                      <w:pStyle w:val="1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386E257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C5C5F">
    <w:pPr>
      <w:pStyle w:val="1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5CF519">
                          <w:pPr>
                            <w:pStyle w:val="1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675CF519">
                    <w:pPr>
                      <w:pStyle w:val="1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7AB18871">
    <w:pPr>
      <w:pStyle w:val="1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FDC4">
    <w:pPr>
      <w:pStyle w:val="19"/>
      <w:rPr>
        <w:rStyle w:val="33"/>
      </w:rPr>
    </w:pPr>
    <w:r>
      <w:fldChar w:fldCharType="begin"/>
    </w:r>
    <w:r>
      <w:rPr>
        <w:rStyle w:val="33"/>
      </w:rPr>
      <w:instrText xml:space="preserve">PAGE  </w:instrText>
    </w:r>
    <w:r>
      <w:fldChar w:fldCharType="end"/>
    </w:r>
  </w:p>
  <w:p w14:paraId="13C79D75">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5A439">
    <w:pPr>
      <w:pStyle w:val="19"/>
      <w:jc w:val="center"/>
    </w:pPr>
    <w:r>
      <w:fldChar w:fldCharType="begin"/>
    </w:r>
    <w:r>
      <w:instrText xml:space="preserve"> PAGE   \* MERGEFORMAT </w:instrText>
    </w:r>
    <w:r>
      <w:fldChar w:fldCharType="separate"/>
    </w:r>
    <w:r>
      <w:rPr>
        <w:lang w:val="zh-CN"/>
      </w:rPr>
      <w:t>-</w:t>
    </w:r>
    <w:r>
      <w:t xml:space="preserve"> 30 -</w:t>
    </w:r>
    <w:r>
      <w:fldChar w:fldCharType="end"/>
    </w:r>
  </w:p>
  <w:p w14:paraId="150486A0">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9970">
    <w:pPr>
      <w:pStyle w:val="19"/>
      <w:ind w:right="360"/>
      <w:jc w:val="center"/>
    </w:pPr>
    <w:r>
      <w:rPr>
        <w:rFonts w:hint="eastAsia"/>
      </w:rPr>
      <w:t>85</w:t>
    </w:r>
  </w:p>
  <w:p w14:paraId="3C8E269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EAEBE">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BFA83">
                          <w:pPr>
                            <w:pStyle w:val="1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14:paraId="62BBFA83">
                    <w:pPr>
                      <w:pStyle w:val="1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0E60D737">
    <w:pPr>
      <w:pStyle w:val="1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32D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5F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26" w:firstLine="400"/>
      </w:pPr>
      <w:rPr>
        <w:rFonts w:hint="default"/>
      </w:rPr>
    </w:lvl>
  </w:abstractNum>
  <w:abstractNum w:abstractNumId="2">
    <w:nsid w:val="D2355FC3"/>
    <w:multiLevelType w:val="singleLevel"/>
    <w:tmpl w:val="D2355FC3"/>
    <w:lvl w:ilvl="0" w:tentative="0">
      <w:start w:val="1"/>
      <w:numFmt w:val="decimal"/>
      <w:suff w:val="nothing"/>
      <w:lvlText w:val="%1、"/>
      <w:lvlJc w:val="left"/>
    </w:lvl>
  </w:abstractNum>
  <w:abstractNum w:abstractNumId="3">
    <w:nsid w:val="0CB64857"/>
    <w:multiLevelType w:val="singleLevel"/>
    <w:tmpl w:val="0CB64857"/>
    <w:lvl w:ilvl="0" w:tentative="0">
      <w:start w:val="2"/>
      <w:numFmt w:val="decimal"/>
      <w:suff w:val="nothing"/>
      <w:lvlText w:val="%1、"/>
      <w:lvlJc w:val="left"/>
    </w:lvl>
  </w:abstractNum>
  <w:abstractNum w:abstractNumId="4">
    <w:nsid w:val="1A1BE98A"/>
    <w:multiLevelType w:val="singleLevel"/>
    <w:tmpl w:val="1A1BE98A"/>
    <w:lvl w:ilvl="0" w:tentative="0">
      <w:start w:val="1"/>
      <w:numFmt w:val="decimal"/>
      <w:pStyle w:val="76"/>
      <w:lvlText w:val="%1."/>
      <w:lvlJc w:val="left"/>
      <w:pPr>
        <w:ind w:left="425" w:hanging="425"/>
      </w:pPr>
      <w:rPr>
        <w:rFonts w:hint="default"/>
      </w:rPr>
    </w:lvl>
  </w:abstractNum>
  <w:abstractNum w:abstractNumId="5">
    <w:nsid w:val="2DC53F9C"/>
    <w:multiLevelType w:val="singleLevel"/>
    <w:tmpl w:val="2DC53F9C"/>
    <w:lvl w:ilvl="0" w:tentative="0">
      <w:start w:val="5"/>
      <w:numFmt w:val="chineseCounting"/>
      <w:suff w:val="space"/>
      <w:lvlText w:val="第%1部分"/>
      <w:lvlJc w:val="left"/>
      <w:rPr>
        <w:rFonts w:hint="eastAsia"/>
      </w:rPr>
    </w:lvl>
  </w:abstractNum>
  <w:abstractNum w:abstractNumId="6">
    <w:nsid w:val="41BF0EF9"/>
    <w:multiLevelType w:val="multilevel"/>
    <w:tmpl w:val="41BF0EF9"/>
    <w:lvl w:ilvl="0" w:tentative="0">
      <w:start w:val="1"/>
      <w:numFmt w:val="chineseCountingThousand"/>
      <w:lvlText w:val="%1."/>
      <w:lvlJc w:val="left"/>
      <w:pPr>
        <w:ind w:left="432" w:hanging="432"/>
      </w:pPr>
      <w:rPr>
        <w:rFonts w:hint="eastAsia"/>
      </w:rPr>
    </w:lvl>
    <w:lvl w:ilvl="1" w:tentative="0">
      <w:start w:val="1"/>
      <w:numFmt w:val="chineseCountingThousand"/>
      <w:lvlText w:val="（%2）"/>
      <w:lvlJc w:val="left"/>
      <w:pPr>
        <w:ind w:left="576" w:hanging="576"/>
      </w:pPr>
      <w:rPr>
        <w:rFonts w:hint="eastAsia"/>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495C2BCE"/>
    <w:multiLevelType w:val="singleLevel"/>
    <w:tmpl w:val="495C2BCE"/>
    <w:lvl w:ilvl="0" w:tentative="0">
      <w:start w:val="1"/>
      <w:numFmt w:val="chineseCounting"/>
      <w:suff w:val="nothing"/>
      <w:lvlText w:val="%1、"/>
      <w:lvlJc w:val="left"/>
      <w:rPr>
        <w:rFonts w:hint="eastAsia"/>
      </w:rPr>
    </w:lvl>
  </w:abstractNum>
  <w:abstractNum w:abstractNumId="8">
    <w:nsid w:val="57049846"/>
    <w:multiLevelType w:val="singleLevel"/>
    <w:tmpl w:val="57049846"/>
    <w:lvl w:ilvl="0" w:tentative="0">
      <w:start w:val="1"/>
      <w:numFmt w:val="decimal"/>
      <w:suff w:val="nothing"/>
      <w:lvlText w:val="%1、"/>
      <w:lvlJc w:val="left"/>
    </w:lvl>
  </w:abstractNum>
  <w:num w:numId="1">
    <w:abstractNumId w:val="6"/>
  </w:num>
  <w:num w:numId="2">
    <w:abstractNumId w:val="4"/>
  </w:num>
  <w:num w:numId="3">
    <w:abstractNumId w:val="8"/>
  </w:num>
  <w:num w:numId="4">
    <w:abstractNumId w:val="1"/>
  </w:num>
  <w:num w:numId="5">
    <w:abstractNumId w:val="5"/>
  </w:num>
  <w:num w:numId="6">
    <w:abstractNumId w:val="7"/>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TgwNTljODk3OTE3MGJjYWFlYzg5ZDEyNmNlOGMifQ=="/>
  </w:docVars>
  <w:rsids>
    <w:rsidRoot w:val="00972338"/>
    <w:rsid w:val="00000102"/>
    <w:rsid w:val="000002BC"/>
    <w:rsid w:val="00003718"/>
    <w:rsid w:val="000065EF"/>
    <w:rsid w:val="00006B88"/>
    <w:rsid w:val="00010D4B"/>
    <w:rsid w:val="00012C76"/>
    <w:rsid w:val="00016FEB"/>
    <w:rsid w:val="00023104"/>
    <w:rsid w:val="00025A88"/>
    <w:rsid w:val="00025B56"/>
    <w:rsid w:val="00027AD7"/>
    <w:rsid w:val="000341E4"/>
    <w:rsid w:val="0003485F"/>
    <w:rsid w:val="0003512C"/>
    <w:rsid w:val="00036171"/>
    <w:rsid w:val="00043E70"/>
    <w:rsid w:val="000448A2"/>
    <w:rsid w:val="00045593"/>
    <w:rsid w:val="0004628B"/>
    <w:rsid w:val="00051B55"/>
    <w:rsid w:val="00053FC4"/>
    <w:rsid w:val="00054502"/>
    <w:rsid w:val="00060810"/>
    <w:rsid w:val="000631B4"/>
    <w:rsid w:val="00065B5C"/>
    <w:rsid w:val="0006739E"/>
    <w:rsid w:val="000708B1"/>
    <w:rsid w:val="00073D65"/>
    <w:rsid w:val="00074175"/>
    <w:rsid w:val="000820AB"/>
    <w:rsid w:val="00082F74"/>
    <w:rsid w:val="00083597"/>
    <w:rsid w:val="0008390F"/>
    <w:rsid w:val="000931B7"/>
    <w:rsid w:val="00094446"/>
    <w:rsid w:val="0009514B"/>
    <w:rsid w:val="000A053E"/>
    <w:rsid w:val="000A2004"/>
    <w:rsid w:val="000A29FF"/>
    <w:rsid w:val="000B0671"/>
    <w:rsid w:val="000B416D"/>
    <w:rsid w:val="000B7093"/>
    <w:rsid w:val="000C044A"/>
    <w:rsid w:val="000C2FB3"/>
    <w:rsid w:val="000C7D6E"/>
    <w:rsid w:val="000D038D"/>
    <w:rsid w:val="000E3E2A"/>
    <w:rsid w:val="000F1A2D"/>
    <w:rsid w:val="00105589"/>
    <w:rsid w:val="00111742"/>
    <w:rsid w:val="00123B4C"/>
    <w:rsid w:val="0013185B"/>
    <w:rsid w:val="00133092"/>
    <w:rsid w:val="001349DA"/>
    <w:rsid w:val="0013565F"/>
    <w:rsid w:val="00141FE1"/>
    <w:rsid w:val="001468EE"/>
    <w:rsid w:val="00150658"/>
    <w:rsid w:val="00161888"/>
    <w:rsid w:val="001654E0"/>
    <w:rsid w:val="001726C9"/>
    <w:rsid w:val="0017276D"/>
    <w:rsid w:val="001744E3"/>
    <w:rsid w:val="00182A96"/>
    <w:rsid w:val="00183F34"/>
    <w:rsid w:val="00190AD1"/>
    <w:rsid w:val="00191F9D"/>
    <w:rsid w:val="00197E28"/>
    <w:rsid w:val="001A2CC7"/>
    <w:rsid w:val="001A4BB3"/>
    <w:rsid w:val="001B3E4F"/>
    <w:rsid w:val="001C5EBD"/>
    <w:rsid w:val="001C7EFD"/>
    <w:rsid w:val="001D5C26"/>
    <w:rsid w:val="001D66EA"/>
    <w:rsid w:val="001E1476"/>
    <w:rsid w:val="001E5305"/>
    <w:rsid w:val="001F6CAA"/>
    <w:rsid w:val="0020673D"/>
    <w:rsid w:val="00207470"/>
    <w:rsid w:val="00215866"/>
    <w:rsid w:val="00217187"/>
    <w:rsid w:val="00220EDE"/>
    <w:rsid w:val="00222A0F"/>
    <w:rsid w:val="0022465B"/>
    <w:rsid w:val="0022635D"/>
    <w:rsid w:val="002302AB"/>
    <w:rsid w:val="00232F63"/>
    <w:rsid w:val="00244C40"/>
    <w:rsid w:val="00250415"/>
    <w:rsid w:val="00250595"/>
    <w:rsid w:val="002515E3"/>
    <w:rsid w:val="0025189A"/>
    <w:rsid w:val="002518FE"/>
    <w:rsid w:val="00252C92"/>
    <w:rsid w:val="00256655"/>
    <w:rsid w:val="002601A1"/>
    <w:rsid w:val="002601EE"/>
    <w:rsid w:val="00264988"/>
    <w:rsid w:val="00264B6D"/>
    <w:rsid w:val="0027325A"/>
    <w:rsid w:val="00285C0A"/>
    <w:rsid w:val="002874CC"/>
    <w:rsid w:val="00293747"/>
    <w:rsid w:val="002A2A3E"/>
    <w:rsid w:val="002A2ED5"/>
    <w:rsid w:val="002A6AA9"/>
    <w:rsid w:val="002B042C"/>
    <w:rsid w:val="002B0CCC"/>
    <w:rsid w:val="002B0F35"/>
    <w:rsid w:val="002B314A"/>
    <w:rsid w:val="002B33C1"/>
    <w:rsid w:val="002B57E4"/>
    <w:rsid w:val="002B5A68"/>
    <w:rsid w:val="002C1462"/>
    <w:rsid w:val="002C14A8"/>
    <w:rsid w:val="002C23C6"/>
    <w:rsid w:val="002C256D"/>
    <w:rsid w:val="002C31FD"/>
    <w:rsid w:val="002C449A"/>
    <w:rsid w:val="002D1121"/>
    <w:rsid w:val="002D54C2"/>
    <w:rsid w:val="002F43DF"/>
    <w:rsid w:val="002F7493"/>
    <w:rsid w:val="0030411C"/>
    <w:rsid w:val="003104A8"/>
    <w:rsid w:val="00312473"/>
    <w:rsid w:val="003200A2"/>
    <w:rsid w:val="00321C87"/>
    <w:rsid w:val="00327A04"/>
    <w:rsid w:val="0033288D"/>
    <w:rsid w:val="00335F99"/>
    <w:rsid w:val="003363E8"/>
    <w:rsid w:val="0034254A"/>
    <w:rsid w:val="0034340A"/>
    <w:rsid w:val="00343E29"/>
    <w:rsid w:val="0034440D"/>
    <w:rsid w:val="003462B0"/>
    <w:rsid w:val="00347E02"/>
    <w:rsid w:val="00352FEE"/>
    <w:rsid w:val="00353C91"/>
    <w:rsid w:val="003543A9"/>
    <w:rsid w:val="00361568"/>
    <w:rsid w:val="00370CE5"/>
    <w:rsid w:val="003731A4"/>
    <w:rsid w:val="00373471"/>
    <w:rsid w:val="003758E4"/>
    <w:rsid w:val="003762AB"/>
    <w:rsid w:val="00380494"/>
    <w:rsid w:val="00384670"/>
    <w:rsid w:val="0038597E"/>
    <w:rsid w:val="00390D91"/>
    <w:rsid w:val="00396E27"/>
    <w:rsid w:val="003A2A78"/>
    <w:rsid w:val="003A2D41"/>
    <w:rsid w:val="003A79C0"/>
    <w:rsid w:val="003B0727"/>
    <w:rsid w:val="003B4024"/>
    <w:rsid w:val="003B63EC"/>
    <w:rsid w:val="003C5675"/>
    <w:rsid w:val="003C5764"/>
    <w:rsid w:val="003D3D09"/>
    <w:rsid w:val="003D556D"/>
    <w:rsid w:val="003D69B1"/>
    <w:rsid w:val="003E6F90"/>
    <w:rsid w:val="003F3298"/>
    <w:rsid w:val="003F6DDC"/>
    <w:rsid w:val="004130A4"/>
    <w:rsid w:val="00413715"/>
    <w:rsid w:val="0041390F"/>
    <w:rsid w:val="004175C4"/>
    <w:rsid w:val="004300EF"/>
    <w:rsid w:val="00430D6C"/>
    <w:rsid w:val="00433680"/>
    <w:rsid w:val="00433B13"/>
    <w:rsid w:val="0044235B"/>
    <w:rsid w:val="00442982"/>
    <w:rsid w:val="004454AC"/>
    <w:rsid w:val="00451472"/>
    <w:rsid w:val="00451599"/>
    <w:rsid w:val="00453034"/>
    <w:rsid w:val="00460EC0"/>
    <w:rsid w:val="00461719"/>
    <w:rsid w:val="00470B00"/>
    <w:rsid w:val="00472FF8"/>
    <w:rsid w:val="00474269"/>
    <w:rsid w:val="00485A11"/>
    <w:rsid w:val="00490768"/>
    <w:rsid w:val="00490CB2"/>
    <w:rsid w:val="00492063"/>
    <w:rsid w:val="00492B4C"/>
    <w:rsid w:val="004944EF"/>
    <w:rsid w:val="0049458F"/>
    <w:rsid w:val="00497023"/>
    <w:rsid w:val="004A6E58"/>
    <w:rsid w:val="004A6EB0"/>
    <w:rsid w:val="004B5A36"/>
    <w:rsid w:val="004B716D"/>
    <w:rsid w:val="004C2016"/>
    <w:rsid w:val="004C584A"/>
    <w:rsid w:val="004C66BE"/>
    <w:rsid w:val="004C7545"/>
    <w:rsid w:val="004D211C"/>
    <w:rsid w:val="004D31D2"/>
    <w:rsid w:val="004F3894"/>
    <w:rsid w:val="004F580D"/>
    <w:rsid w:val="004F745E"/>
    <w:rsid w:val="004F7A83"/>
    <w:rsid w:val="005103EF"/>
    <w:rsid w:val="00514163"/>
    <w:rsid w:val="00516E68"/>
    <w:rsid w:val="005211DF"/>
    <w:rsid w:val="00521254"/>
    <w:rsid w:val="0052606B"/>
    <w:rsid w:val="00531804"/>
    <w:rsid w:val="005458E9"/>
    <w:rsid w:val="005460F9"/>
    <w:rsid w:val="00547A58"/>
    <w:rsid w:val="00550F7C"/>
    <w:rsid w:val="00551E60"/>
    <w:rsid w:val="005611D7"/>
    <w:rsid w:val="005637B4"/>
    <w:rsid w:val="005649D2"/>
    <w:rsid w:val="005674FF"/>
    <w:rsid w:val="005708B9"/>
    <w:rsid w:val="00573836"/>
    <w:rsid w:val="00574846"/>
    <w:rsid w:val="00574F7C"/>
    <w:rsid w:val="00587447"/>
    <w:rsid w:val="00590BCE"/>
    <w:rsid w:val="005917B2"/>
    <w:rsid w:val="005A1F42"/>
    <w:rsid w:val="005A5AF7"/>
    <w:rsid w:val="005B0880"/>
    <w:rsid w:val="005B142D"/>
    <w:rsid w:val="005B1898"/>
    <w:rsid w:val="005B20A9"/>
    <w:rsid w:val="005B6610"/>
    <w:rsid w:val="005B738E"/>
    <w:rsid w:val="005C7BFE"/>
    <w:rsid w:val="005D08B7"/>
    <w:rsid w:val="005D39FE"/>
    <w:rsid w:val="005D689B"/>
    <w:rsid w:val="005D6CD7"/>
    <w:rsid w:val="005E029E"/>
    <w:rsid w:val="005E4462"/>
    <w:rsid w:val="005E70F6"/>
    <w:rsid w:val="005F29F2"/>
    <w:rsid w:val="005F3EB8"/>
    <w:rsid w:val="005F55F1"/>
    <w:rsid w:val="0060209E"/>
    <w:rsid w:val="006060CD"/>
    <w:rsid w:val="00607775"/>
    <w:rsid w:val="00616FC9"/>
    <w:rsid w:val="0061722C"/>
    <w:rsid w:val="00621993"/>
    <w:rsid w:val="006226B0"/>
    <w:rsid w:val="006262A9"/>
    <w:rsid w:val="00626787"/>
    <w:rsid w:val="006303F7"/>
    <w:rsid w:val="00630553"/>
    <w:rsid w:val="006344BF"/>
    <w:rsid w:val="0063452A"/>
    <w:rsid w:val="00637091"/>
    <w:rsid w:val="00637AB4"/>
    <w:rsid w:val="006405A9"/>
    <w:rsid w:val="006408F0"/>
    <w:rsid w:val="00643E26"/>
    <w:rsid w:val="0064457B"/>
    <w:rsid w:val="00646F27"/>
    <w:rsid w:val="00646F49"/>
    <w:rsid w:val="00650D1A"/>
    <w:rsid w:val="00653A43"/>
    <w:rsid w:val="00656CD5"/>
    <w:rsid w:val="00657A11"/>
    <w:rsid w:val="006641DC"/>
    <w:rsid w:val="0066745E"/>
    <w:rsid w:val="0067187C"/>
    <w:rsid w:val="006723A8"/>
    <w:rsid w:val="00673BB9"/>
    <w:rsid w:val="006777FF"/>
    <w:rsid w:val="00677EE3"/>
    <w:rsid w:val="00685828"/>
    <w:rsid w:val="00686626"/>
    <w:rsid w:val="00690B96"/>
    <w:rsid w:val="00697EBB"/>
    <w:rsid w:val="006A07B8"/>
    <w:rsid w:val="006A47A2"/>
    <w:rsid w:val="006B2153"/>
    <w:rsid w:val="006C0ABC"/>
    <w:rsid w:val="006C0E88"/>
    <w:rsid w:val="006C1166"/>
    <w:rsid w:val="006C2194"/>
    <w:rsid w:val="006C7E6A"/>
    <w:rsid w:val="006D3B14"/>
    <w:rsid w:val="006D76A7"/>
    <w:rsid w:val="006D7D72"/>
    <w:rsid w:val="006E12DD"/>
    <w:rsid w:val="006E22B3"/>
    <w:rsid w:val="006E3051"/>
    <w:rsid w:val="006F09CD"/>
    <w:rsid w:val="006F3339"/>
    <w:rsid w:val="006F4FBB"/>
    <w:rsid w:val="006F6778"/>
    <w:rsid w:val="006F6EC8"/>
    <w:rsid w:val="0070033D"/>
    <w:rsid w:val="00702292"/>
    <w:rsid w:val="00703EE8"/>
    <w:rsid w:val="007058FF"/>
    <w:rsid w:val="00707AA7"/>
    <w:rsid w:val="00712E1C"/>
    <w:rsid w:val="0071621A"/>
    <w:rsid w:val="00722B1B"/>
    <w:rsid w:val="00734491"/>
    <w:rsid w:val="00734BE2"/>
    <w:rsid w:val="00740FED"/>
    <w:rsid w:val="007434D3"/>
    <w:rsid w:val="00744259"/>
    <w:rsid w:val="00744DB8"/>
    <w:rsid w:val="007507B6"/>
    <w:rsid w:val="00750C36"/>
    <w:rsid w:val="0075592A"/>
    <w:rsid w:val="0075692E"/>
    <w:rsid w:val="0076198F"/>
    <w:rsid w:val="00771DC5"/>
    <w:rsid w:val="00773A48"/>
    <w:rsid w:val="0078153E"/>
    <w:rsid w:val="00783C8E"/>
    <w:rsid w:val="0078419D"/>
    <w:rsid w:val="00790FC5"/>
    <w:rsid w:val="00792346"/>
    <w:rsid w:val="00794701"/>
    <w:rsid w:val="00794987"/>
    <w:rsid w:val="007A0B65"/>
    <w:rsid w:val="007B0E85"/>
    <w:rsid w:val="007B3183"/>
    <w:rsid w:val="007B4823"/>
    <w:rsid w:val="007C10A0"/>
    <w:rsid w:val="007C1BE2"/>
    <w:rsid w:val="007D4F42"/>
    <w:rsid w:val="007E05E6"/>
    <w:rsid w:val="007E3AC5"/>
    <w:rsid w:val="007E6094"/>
    <w:rsid w:val="007F00EF"/>
    <w:rsid w:val="008060D2"/>
    <w:rsid w:val="00810032"/>
    <w:rsid w:val="0081077E"/>
    <w:rsid w:val="00812EEB"/>
    <w:rsid w:val="00814BCD"/>
    <w:rsid w:val="00825FC1"/>
    <w:rsid w:val="00830708"/>
    <w:rsid w:val="008331B9"/>
    <w:rsid w:val="008340AD"/>
    <w:rsid w:val="00842433"/>
    <w:rsid w:val="00846673"/>
    <w:rsid w:val="008513EF"/>
    <w:rsid w:val="008522BA"/>
    <w:rsid w:val="0085375C"/>
    <w:rsid w:val="00854818"/>
    <w:rsid w:val="008559D1"/>
    <w:rsid w:val="00860537"/>
    <w:rsid w:val="00860F9D"/>
    <w:rsid w:val="00861C6E"/>
    <w:rsid w:val="00864D24"/>
    <w:rsid w:val="008651FB"/>
    <w:rsid w:val="0087265A"/>
    <w:rsid w:val="00873623"/>
    <w:rsid w:val="00877D4B"/>
    <w:rsid w:val="008808BC"/>
    <w:rsid w:val="00883C9D"/>
    <w:rsid w:val="0089187F"/>
    <w:rsid w:val="008936BB"/>
    <w:rsid w:val="00893955"/>
    <w:rsid w:val="008941F1"/>
    <w:rsid w:val="008A3844"/>
    <w:rsid w:val="008A6F0A"/>
    <w:rsid w:val="008A7FBF"/>
    <w:rsid w:val="008B6380"/>
    <w:rsid w:val="008C66CA"/>
    <w:rsid w:val="008E1A32"/>
    <w:rsid w:val="008E3269"/>
    <w:rsid w:val="008E68A4"/>
    <w:rsid w:val="008E7B55"/>
    <w:rsid w:val="008F1E30"/>
    <w:rsid w:val="008F36D3"/>
    <w:rsid w:val="00901C46"/>
    <w:rsid w:val="0090317D"/>
    <w:rsid w:val="00904043"/>
    <w:rsid w:val="00917230"/>
    <w:rsid w:val="00920B70"/>
    <w:rsid w:val="00922057"/>
    <w:rsid w:val="009227C1"/>
    <w:rsid w:val="009255A6"/>
    <w:rsid w:val="00927161"/>
    <w:rsid w:val="009301F9"/>
    <w:rsid w:val="00930AEF"/>
    <w:rsid w:val="0093165D"/>
    <w:rsid w:val="00933AFF"/>
    <w:rsid w:val="00937215"/>
    <w:rsid w:val="0094099F"/>
    <w:rsid w:val="009418CB"/>
    <w:rsid w:val="00941ECE"/>
    <w:rsid w:val="00942A2D"/>
    <w:rsid w:val="00943EB8"/>
    <w:rsid w:val="009462F0"/>
    <w:rsid w:val="009505A3"/>
    <w:rsid w:val="009514B5"/>
    <w:rsid w:val="00957AB8"/>
    <w:rsid w:val="00972338"/>
    <w:rsid w:val="00973384"/>
    <w:rsid w:val="0097447E"/>
    <w:rsid w:val="00977EF9"/>
    <w:rsid w:val="00981E76"/>
    <w:rsid w:val="009832EE"/>
    <w:rsid w:val="00986CD2"/>
    <w:rsid w:val="00990DD5"/>
    <w:rsid w:val="009913EF"/>
    <w:rsid w:val="00991A03"/>
    <w:rsid w:val="009946AE"/>
    <w:rsid w:val="009946F7"/>
    <w:rsid w:val="009A0550"/>
    <w:rsid w:val="009A288B"/>
    <w:rsid w:val="009A378B"/>
    <w:rsid w:val="009A4949"/>
    <w:rsid w:val="009A60C6"/>
    <w:rsid w:val="009B0CEA"/>
    <w:rsid w:val="009B3A0D"/>
    <w:rsid w:val="009B3C55"/>
    <w:rsid w:val="009B4168"/>
    <w:rsid w:val="009B65DC"/>
    <w:rsid w:val="009B7968"/>
    <w:rsid w:val="009C6C9E"/>
    <w:rsid w:val="009D23CD"/>
    <w:rsid w:val="009D4E21"/>
    <w:rsid w:val="009E183F"/>
    <w:rsid w:val="009E2054"/>
    <w:rsid w:val="009E28F0"/>
    <w:rsid w:val="009E4449"/>
    <w:rsid w:val="009E577E"/>
    <w:rsid w:val="009F5B34"/>
    <w:rsid w:val="00A0151C"/>
    <w:rsid w:val="00A01EF0"/>
    <w:rsid w:val="00A11DF9"/>
    <w:rsid w:val="00A1324F"/>
    <w:rsid w:val="00A14CBA"/>
    <w:rsid w:val="00A15F1E"/>
    <w:rsid w:val="00A2225C"/>
    <w:rsid w:val="00A22591"/>
    <w:rsid w:val="00A22A2E"/>
    <w:rsid w:val="00A2480A"/>
    <w:rsid w:val="00A25D41"/>
    <w:rsid w:val="00A33098"/>
    <w:rsid w:val="00A439AE"/>
    <w:rsid w:val="00A50365"/>
    <w:rsid w:val="00A508A5"/>
    <w:rsid w:val="00A60C4A"/>
    <w:rsid w:val="00A62166"/>
    <w:rsid w:val="00A64CCA"/>
    <w:rsid w:val="00A70438"/>
    <w:rsid w:val="00A71DEF"/>
    <w:rsid w:val="00A731BD"/>
    <w:rsid w:val="00A735DA"/>
    <w:rsid w:val="00A74B8E"/>
    <w:rsid w:val="00A83DFA"/>
    <w:rsid w:val="00A908EF"/>
    <w:rsid w:val="00A952D5"/>
    <w:rsid w:val="00A9589E"/>
    <w:rsid w:val="00AA17FA"/>
    <w:rsid w:val="00AA68B8"/>
    <w:rsid w:val="00AA6AC1"/>
    <w:rsid w:val="00AB065D"/>
    <w:rsid w:val="00AB789A"/>
    <w:rsid w:val="00AC1D4F"/>
    <w:rsid w:val="00AC349D"/>
    <w:rsid w:val="00AC7DBE"/>
    <w:rsid w:val="00AD0C89"/>
    <w:rsid w:val="00AD0CB8"/>
    <w:rsid w:val="00AD3050"/>
    <w:rsid w:val="00AD43DC"/>
    <w:rsid w:val="00AD4980"/>
    <w:rsid w:val="00AD4DA6"/>
    <w:rsid w:val="00AD6509"/>
    <w:rsid w:val="00AE1AE1"/>
    <w:rsid w:val="00AE2D3B"/>
    <w:rsid w:val="00AE4800"/>
    <w:rsid w:val="00AF4472"/>
    <w:rsid w:val="00AF7637"/>
    <w:rsid w:val="00B01B61"/>
    <w:rsid w:val="00B02806"/>
    <w:rsid w:val="00B04703"/>
    <w:rsid w:val="00B0538F"/>
    <w:rsid w:val="00B06309"/>
    <w:rsid w:val="00B07DCF"/>
    <w:rsid w:val="00B109E0"/>
    <w:rsid w:val="00B14AA4"/>
    <w:rsid w:val="00B228E4"/>
    <w:rsid w:val="00B305A9"/>
    <w:rsid w:val="00B30C14"/>
    <w:rsid w:val="00B3294F"/>
    <w:rsid w:val="00B350C8"/>
    <w:rsid w:val="00B40845"/>
    <w:rsid w:val="00B40A39"/>
    <w:rsid w:val="00B44FDE"/>
    <w:rsid w:val="00B46CB1"/>
    <w:rsid w:val="00B567B8"/>
    <w:rsid w:val="00B62CE0"/>
    <w:rsid w:val="00B76120"/>
    <w:rsid w:val="00B80DE0"/>
    <w:rsid w:val="00B81A4D"/>
    <w:rsid w:val="00B94AE6"/>
    <w:rsid w:val="00B960AF"/>
    <w:rsid w:val="00BA0B4B"/>
    <w:rsid w:val="00BB02C8"/>
    <w:rsid w:val="00BC366F"/>
    <w:rsid w:val="00BC3ECE"/>
    <w:rsid w:val="00BC6453"/>
    <w:rsid w:val="00BC71CE"/>
    <w:rsid w:val="00BD0774"/>
    <w:rsid w:val="00BD1E27"/>
    <w:rsid w:val="00BD499F"/>
    <w:rsid w:val="00BE185C"/>
    <w:rsid w:val="00BE1FB5"/>
    <w:rsid w:val="00BE4F6D"/>
    <w:rsid w:val="00BE7210"/>
    <w:rsid w:val="00BF34F1"/>
    <w:rsid w:val="00BF3EB0"/>
    <w:rsid w:val="00BF5CF6"/>
    <w:rsid w:val="00C06C50"/>
    <w:rsid w:val="00C06F99"/>
    <w:rsid w:val="00C075FD"/>
    <w:rsid w:val="00C14674"/>
    <w:rsid w:val="00C20C93"/>
    <w:rsid w:val="00C32B8B"/>
    <w:rsid w:val="00C32CAF"/>
    <w:rsid w:val="00C331ED"/>
    <w:rsid w:val="00C3337B"/>
    <w:rsid w:val="00C35491"/>
    <w:rsid w:val="00C368CA"/>
    <w:rsid w:val="00C37EAE"/>
    <w:rsid w:val="00C41EF4"/>
    <w:rsid w:val="00C41FF3"/>
    <w:rsid w:val="00C42FBF"/>
    <w:rsid w:val="00C43E38"/>
    <w:rsid w:val="00C46DB3"/>
    <w:rsid w:val="00C511E3"/>
    <w:rsid w:val="00C56685"/>
    <w:rsid w:val="00C56E9B"/>
    <w:rsid w:val="00C575E2"/>
    <w:rsid w:val="00C71D24"/>
    <w:rsid w:val="00C779D4"/>
    <w:rsid w:val="00C802EF"/>
    <w:rsid w:val="00C80765"/>
    <w:rsid w:val="00C81DE3"/>
    <w:rsid w:val="00C87AE6"/>
    <w:rsid w:val="00CA16F0"/>
    <w:rsid w:val="00CA2502"/>
    <w:rsid w:val="00CA4587"/>
    <w:rsid w:val="00CB2A0A"/>
    <w:rsid w:val="00CB6CB3"/>
    <w:rsid w:val="00CC5065"/>
    <w:rsid w:val="00CC67FD"/>
    <w:rsid w:val="00CC7C9F"/>
    <w:rsid w:val="00CD12FE"/>
    <w:rsid w:val="00CD3E41"/>
    <w:rsid w:val="00CD4D12"/>
    <w:rsid w:val="00CD6E6B"/>
    <w:rsid w:val="00CE12E8"/>
    <w:rsid w:val="00CE31E1"/>
    <w:rsid w:val="00CF115E"/>
    <w:rsid w:val="00CF7CA6"/>
    <w:rsid w:val="00D01516"/>
    <w:rsid w:val="00D0311C"/>
    <w:rsid w:val="00D03B6D"/>
    <w:rsid w:val="00D04229"/>
    <w:rsid w:val="00D11667"/>
    <w:rsid w:val="00D13D08"/>
    <w:rsid w:val="00D148B1"/>
    <w:rsid w:val="00D15C55"/>
    <w:rsid w:val="00D168A3"/>
    <w:rsid w:val="00D178A3"/>
    <w:rsid w:val="00D31C3D"/>
    <w:rsid w:val="00D337E5"/>
    <w:rsid w:val="00D34CD1"/>
    <w:rsid w:val="00D354EE"/>
    <w:rsid w:val="00D35B2E"/>
    <w:rsid w:val="00D37850"/>
    <w:rsid w:val="00D407B3"/>
    <w:rsid w:val="00D40B44"/>
    <w:rsid w:val="00D4178B"/>
    <w:rsid w:val="00D51746"/>
    <w:rsid w:val="00D5260C"/>
    <w:rsid w:val="00D53FE1"/>
    <w:rsid w:val="00D5511A"/>
    <w:rsid w:val="00D55930"/>
    <w:rsid w:val="00D55992"/>
    <w:rsid w:val="00D65FF1"/>
    <w:rsid w:val="00D66F14"/>
    <w:rsid w:val="00D73913"/>
    <w:rsid w:val="00D76BC6"/>
    <w:rsid w:val="00D819F3"/>
    <w:rsid w:val="00D85F48"/>
    <w:rsid w:val="00D87C59"/>
    <w:rsid w:val="00D966EA"/>
    <w:rsid w:val="00D976B8"/>
    <w:rsid w:val="00DA1E5E"/>
    <w:rsid w:val="00DB2E6A"/>
    <w:rsid w:val="00DC0361"/>
    <w:rsid w:val="00DC092A"/>
    <w:rsid w:val="00DC4B32"/>
    <w:rsid w:val="00DC5266"/>
    <w:rsid w:val="00DC56FD"/>
    <w:rsid w:val="00DC5B1D"/>
    <w:rsid w:val="00DD1E98"/>
    <w:rsid w:val="00DD7621"/>
    <w:rsid w:val="00DE6850"/>
    <w:rsid w:val="00DE69BE"/>
    <w:rsid w:val="00DE769D"/>
    <w:rsid w:val="00DF0895"/>
    <w:rsid w:val="00DF0A56"/>
    <w:rsid w:val="00DF4DD7"/>
    <w:rsid w:val="00E00549"/>
    <w:rsid w:val="00E00D1E"/>
    <w:rsid w:val="00E0412D"/>
    <w:rsid w:val="00E06124"/>
    <w:rsid w:val="00E1424F"/>
    <w:rsid w:val="00E21236"/>
    <w:rsid w:val="00E2129B"/>
    <w:rsid w:val="00E25EEB"/>
    <w:rsid w:val="00E26B54"/>
    <w:rsid w:val="00E27F0A"/>
    <w:rsid w:val="00E306AE"/>
    <w:rsid w:val="00E33926"/>
    <w:rsid w:val="00E34152"/>
    <w:rsid w:val="00E36AF9"/>
    <w:rsid w:val="00E40DB7"/>
    <w:rsid w:val="00E40FAD"/>
    <w:rsid w:val="00E5592A"/>
    <w:rsid w:val="00E6123C"/>
    <w:rsid w:val="00E620C7"/>
    <w:rsid w:val="00E65AD4"/>
    <w:rsid w:val="00E65FCA"/>
    <w:rsid w:val="00E71208"/>
    <w:rsid w:val="00E73249"/>
    <w:rsid w:val="00E732D0"/>
    <w:rsid w:val="00E73649"/>
    <w:rsid w:val="00E7392E"/>
    <w:rsid w:val="00E7592C"/>
    <w:rsid w:val="00E772F0"/>
    <w:rsid w:val="00E813CC"/>
    <w:rsid w:val="00E84BC6"/>
    <w:rsid w:val="00E90CD2"/>
    <w:rsid w:val="00E973CC"/>
    <w:rsid w:val="00EA338F"/>
    <w:rsid w:val="00EA69C5"/>
    <w:rsid w:val="00EB216A"/>
    <w:rsid w:val="00EB4BD0"/>
    <w:rsid w:val="00EB554A"/>
    <w:rsid w:val="00EC1EBF"/>
    <w:rsid w:val="00EC2281"/>
    <w:rsid w:val="00EC239B"/>
    <w:rsid w:val="00EC5562"/>
    <w:rsid w:val="00ED5808"/>
    <w:rsid w:val="00ED612D"/>
    <w:rsid w:val="00EE1DCA"/>
    <w:rsid w:val="00EF2968"/>
    <w:rsid w:val="00F0038D"/>
    <w:rsid w:val="00F0547C"/>
    <w:rsid w:val="00F0705E"/>
    <w:rsid w:val="00F154FE"/>
    <w:rsid w:val="00F15506"/>
    <w:rsid w:val="00F2640F"/>
    <w:rsid w:val="00F34B9C"/>
    <w:rsid w:val="00F36AD7"/>
    <w:rsid w:val="00F376FF"/>
    <w:rsid w:val="00F54517"/>
    <w:rsid w:val="00F56338"/>
    <w:rsid w:val="00F575FA"/>
    <w:rsid w:val="00F62445"/>
    <w:rsid w:val="00F64157"/>
    <w:rsid w:val="00F65801"/>
    <w:rsid w:val="00F673B5"/>
    <w:rsid w:val="00F756FB"/>
    <w:rsid w:val="00F76262"/>
    <w:rsid w:val="00F8348B"/>
    <w:rsid w:val="00F868FD"/>
    <w:rsid w:val="00FA1E9C"/>
    <w:rsid w:val="00FA3931"/>
    <w:rsid w:val="00FA4925"/>
    <w:rsid w:val="00FA6319"/>
    <w:rsid w:val="00FB127F"/>
    <w:rsid w:val="00FB5060"/>
    <w:rsid w:val="00FB5C78"/>
    <w:rsid w:val="00FB789B"/>
    <w:rsid w:val="00FB7AB4"/>
    <w:rsid w:val="00FC4AE8"/>
    <w:rsid w:val="00FC5DA3"/>
    <w:rsid w:val="00FC7BA1"/>
    <w:rsid w:val="00FD2D85"/>
    <w:rsid w:val="00FD3D9F"/>
    <w:rsid w:val="00FE0B65"/>
    <w:rsid w:val="00FE3196"/>
    <w:rsid w:val="00FF051C"/>
    <w:rsid w:val="00FF612A"/>
    <w:rsid w:val="00FF7613"/>
    <w:rsid w:val="0137554F"/>
    <w:rsid w:val="01B90AD4"/>
    <w:rsid w:val="01BA37FA"/>
    <w:rsid w:val="01C20BC1"/>
    <w:rsid w:val="01DD5244"/>
    <w:rsid w:val="02263013"/>
    <w:rsid w:val="03065425"/>
    <w:rsid w:val="030F0DF0"/>
    <w:rsid w:val="033D6E0E"/>
    <w:rsid w:val="034877EC"/>
    <w:rsid w:val="036F6B27"/>
    <w:rsid w:val="039D18E6"/>
    <w:rsid w:val="04294F27"/>
    <w:rsid w:val="050C23DD"/>
    <w:rsid w:val="056F0960"/>
    <w:rsid w:val="059C5BCD"/>
    <w:rsid w:val="05B316B3"/>
    <w:rsid w:val="05EB743C"/>
    <w:rsid w:val="06800351"/>
    <w:rsid w:val="06B96A50"/>
    <w:rsid w:val="06E15F8D"/>
    <w:rsid w:val="07591AEB"/>
    <w:rsid w:val="076B18B1"/>
    <w:rsid w:val="07921036"/>
    <w:rsid w:val="07A50D69"/>
    <w:rsid w:val="07A62D33"/>
    <w:rsid w:val="084A5DB4"/>
    <w:rsid w:val="08E85DD9"/>
    <w:rsid w:val="08ED6E6B"/>
    <w:rsid w:val="0901343A"/>
    <w:rsid w:val="0925023C"/>
    <w:rsid w:val="09E65669"/>
    <w:rsid w:val="0A764BB2"/>
    <w:rsid w:val="0ABB08A3"/>
    <w:rsid w:val="0AF22EF3"/>
    <w:rsid w:val="0B19257F"/>
    <w:rsid w:val="0BD25035"/>
    <w:rsid w:val="0BDE2A9B"/>
    <w:rsid w:val="0C032502"/>
    <w:rsid w:val="0C0A3BBA"/>
    <w:rsid w:val="0C1C783A"/>
    <w:rsid w:val="0D423C21"/>
    <w:rsid w:val="0DA7666B"/>
    <w:rsid w:val="0DBF4B4E"/>
    <w:rsid w:val="0E3E619E"/>
    <w:rsid w:val="0E406939"/>
    <w:rsid w:val="0E456E02"/>
    <w:rsid w:val="0F3D5D2B"/>
    <w:rsid w:val="0F5F440E"/>
    <w:rsid w:val="0FA638D0"/>
    <w:rsid w:val="0FCB77DB"/>
    <w:rsid w:val="0FD3043D"/>
    <w:rsid w:val="0FD73403"/>
    <w:rsid w:val="0FFB0C72"/>
    <w:rsid w:val="10065366"/>
    <w:rsid w:val="113D0264"/>
    <w:rsid w:val="11412771"/>
    <w:rsid w:val="114E2A15"/>
    <w:rsid w:val="11665A0D"/>
    <w:rsid w:val="11AE4CBE"/>
    <w:rsid w:val="11DD07C5"/>
    <w:rsid w:val="123E176E"/>
    <w:rsid w:val="12443874"/>
    <w:rsid w:val="1292638E"/>
    <w:rsid w:val="13433B2C"/>
    <w:rsid w:val="134B3E4A"/>
    <w:rsid w:val="137D703E"/>
    <w:rsid w:val="13871C6A"/>
    <w:rsid w:val="13983E78"/>
    <w:rsid w:val="13C7650B"/>
    <w:rsid w:val="13FF3EF7"/>
    <w:rsid w:val="14103A0E"/>
    <w:rsid w:val="14476C28"/>
    <w:rsid w:val="145D0B4E"/>
    <w:rsid w:val="14C91E0F"/>
    <w:rsid w:val="15570BDD"/>
    <w:rsid w:val="1559C63D"/>
    <w:rsid w:val="15942AB2"/>
    <w:rsid w:val="160B28B5"/>
    <w:rsid w:val="16300397"/>
    <w:rsid w:val="17AD6EF7"/>
    <w:rsid w:val="17C94409"/>
    <w:rsid w:val="17F16729"/>
    <w:rsid w:val="18492C74"/>
    <w:rsid w:val="18510763"/>
    <w:rsid w:val="18544907"/>
    <w:rsid w:val="188803F5"/>
    <w:rsid w:val="18BC1C96"/>
    <w:rsid w:val="196B1CFB"/>
    <w:rsid w:val="199C3519"/>
    <w:rsid w:val="1A077661"/>
    <w:rsid w:val="1A270B38"/>
    <w:rsid w:val="1ADD6614"/>
    <w:rsid w:val="1B5A745E"/>
    <w:rsid w:val="1B6E08D2"/>
    <w:rsid w:val="1C5F3784"/>
    <w:rsid w:val="1C7D6C93"/>
    <w:rsid w:val="1D7C713F"/>
    <w:rsid w:val="1DB16162"/>
    <w:rsid w:val="1E7D2DDE"/>
    <w:rsid w:val="1EF65EF6"/>
    <w:rsid w:val="1F185A86"/>
    <w:rsid w:val="1F769D65"/>
    <w:rsid w:val="1FDA7F57"/>
    <w:rsid w:val="203B089D"/>
    <w:rsid w:val="204607B7"/>
    <w:rsid w:val="20847C5E"/>
    <w:rsid w:val="209459C7"/>
    <w:rsid w:val="20BE3057"/>
    <w:rsid w:val="21937289"/>
    <w:rsid w:val="219630EB"/>
    <w:rsid w:val="21D201C6"/>
    <w:rsid w:val="21EE1107"/>
    <w:rsid w:val="22056B7C"/>
    <w:rsid w:val="223F2CD1"/>
    <w:rsid w:val="22615F0B"/>
    <w:rsid w:val="228F3875"/>
    <w:rsid w:val="22F53A10"/>
    <w:rsid w:val="22FB2B87"/>
    <w:rsid w:val="235B2F69"/>
    <w:rsid w:val="23933414"/>
    <w:rsid w:val="24054E77"/>
    <w:rsid w:val="245E07C6"/>
    <w:rsid w:val="256F1CEE"/>
    <w:rsid w:val="25AE6883"/>
    <w:rsid w:val="25B70759"/>
    <w:rsid w:val="25D12A4A"/>
    <w:rsid w:val="262D1A90"/>
    <w:rsid w:val="267D1E25"/>
    <w:rsid w:val="26B02E2F"/>
    <w:rsid w:val="26B30632"/>
    <w:rsid w:val="26CF1507"/>
    <w:rsid w:val="26DC33C9"/>
    <w:rsid w:val="27382E17"/>
    <w:rsid w:val="27840C09"/>
    <w:rsid w:val="27A0273B"/>
    <w:rsid w:val="27B55F28"/>
    <w:rsid w:val="27C43035"/>
    <w:rsid w:val="27FB32E7"/>
    <w:rsid w:val="280C5E8F"/>
    <w:rsid w:val="280E605F"/>
    <w:rsid w:val="28324543"/>
    <w:rsid w:val="2871688D"/>
    <w:rsid w:val="288D6951"/>
    <w:rsid w:val="28AB0D79"/>
    <w:rsid w:val="28C30F4C"/>
    <w:rsid w:val="299F3645"/>
    <w:rsid w:val="2A4D0FF4"/>
    <w:rsid w:val="2A8E1ABF"/>
    <w:rsid w:val="2AA1140C"/>
    <w:rsid w:val="2ABB0720"/>
    <w:rsid w:val="2AE145DC"/>
    <w:rsid w:val="2AE155C8"/>
    <w:rsid w:val="2B057BED"/>
    <w:rsid w:val="2BD66F2D"/>
    <w:rsid w:val="2C523826"/>
    <w:rsid w:val="2C6646BB"/>
    <w:rsid w:val="2C6B1CD2"/>
    <w:rsid w:val="2CD914D4"/>
    <w:rsid w:val="2CE50B3E"/>
    <w:rsid w:val="2CF75313"/>
    <w:rsid w:val="2D0F4D53"/>
    <w:rsid w:val="2D1E7B7F"/>
    <w:rsid w:val="2D334EB3"/>
    <w:rsid w:val="2DC55411"/>
    <w:rsid w:val="2E432DCB"/>
    <w:rsid w:val="2E564055"/>
    <w:rsid w:val="2E625356"/>
    <w:rsid w:val="2E7F6628"/>
    <w:rsid w:val="2F1578A4"/>
    <w:rsid w:val="2F1F6DA3"/>
    <w:rsid w:val="2F862E87"/>
    <w:rsid w:val="2F960B66"/>
    <w:rsid w:val="2FB15C4D"/>
    <w:rsid w:val="30090737"/>
    <w:rsid w:val="301645BB"/>
    <w:rsid w:val="303E6BAE"/>
    <w:rsid w:val="305D28EF"/>
    <w:rsid w:val="306C11DC"/>
    <w:rsid w:val="31CA1248"/>
    <w:rsid w:val="31D07EFB"/>
    <w:rsid w:val="31FE41DB"/>
    <w:rsid w:val="32543208"/>
    <w:rsid w:val="32592C46"/>
    <w:rsid w:val="326F2E0E"/>
    <w:rsid w:val="327619D7"/>
    <w:rsid w:val="3316226B"/>
    <w:rsid w:val="337544E7"/>
    <w:rsid w:val="33B56049"/>
    <w:rsid w:val="33BA02F8"/>
    <w:rsid w:val="341C35FC"/>
    <w:rsid w:val="34D45878"/>
    <w:rsid w:val="34E647FA"/>
    <w:rsid w:val="3532088A"/>
    <w:rsid w:val="35492DCC"/>
    <w:rsid w:val="35575A14"/>
    <w:rsid w:val="358F01B2"/>
    <w:rsid w:val="35A65119"/>
    <w:rsid w:val="35F679F4"/>
    <w:rsid w:val="37370181"/>
    <w:rsid w:val="373C0F27"/>
    <w:rsid w:val="37F25055"/>
    <w:rsid w:val="388A0330"/>
    <w:rsid w:val="38E7130F"/>
    <w:rsid w:val="38FC5035"/>
    <w:rsid w:val="39050DB8"/>
    <w:rsid w:val="398B4548"/>
    <w:rsid w:val="39C40C73"/>
    <w:rsid w:val="39FE23AD"/>
    <w:rsid w:val="3A3D6694"/>
    <w:rsid w:val="3AA0348E"/>
    <w:rsid w:val="3AA06FEA"/>
    <w:rsid w:val="3ABB2DA1"/>
    <w:rsid w:val="3B2B784C"/>
    <w:rsid w:val="3B444A87"/>
    <w:rsid w:val="3B497682"/>
    <w:rsid w:val="3BBBCF7B"/>
    <w:rsid w:val="3BE13F53"/>
    <w:rsid w:val="3BE15B0C"/>
    <w:rsid w:val="3C12216A"/>
    <w:rsid w:val="3C7B6538"/>
    <w:rsid w:val="3CC41BA5"/>
    <w:rsid w:val="3CED1D8B"/>
    <w:rsid w:val="3CF90C34"/>
    <w:rsid w:val="3D1B6DFC"/>
    <w:rsid w:val="3D203F0D"/>
    <w:rsid w:val="3D3848DA"/>
    <w:rsid w:val="3D7F5414"/>
    <w:rsid w:val="3D9077EA"/>
    <w:rsid w:val="3D956BAE"/>
    <w:rsid w:val="3DF00CDD"/>
    <w:rsid w:val="3E567991"/>
    <w:rsid w:val="3E627606"/>
    <w:rsid w:val="3E6E0E79"/>
    <w:rsid w:val="3E9B1F29"/>
    <w:rsid w:val="3EA12549"/>
    <w:rsid w:val="3EA54BD4"/>
    <w:rsid w:val="3EF32C54"/>
    <w:rsid w:val="3EFB312E"/>
    <w:rsid w:val="3F263565"/>
    <w:rsid w:val="3F2F6B8F"/>
    <w:rsid w:val="3FBF7BB2"/>
    <w:rsid w:val="3FF214A4"/>
    <w:rsid w:val="3FFFEA38"/>
    <w:rsid w:val="404A1EBE"/>
    <w:rsid w:val="40822146"/>
    <w:rsid w:val="409C410E"/>
    <w:rsid w:val="41124E03"/>
    <w:rsid w:val="41182B56"/>
    <w:rsid w:val="411F5F46"/>
    <w:rsid w:val="41BE3627"/>
    <w:rsid w:val="422E7029"/>
    <w:rsid w:val="42417062"/>
    <w:rsid w:val="42857B53"/>
    <w:rsid w:val="42AB6E74"/>
    <w:rsid w:val="42D55399"/>
    <w:rsid w:val="42E4624A"/>
    <w:rsid w:val="42EB4C45"/>
    <w:rsid w:val="435A7F52"/>
    <w:rsid w:val="439A1BE4"/>
    <w:rsid w:val="43F7001B"/>
    <w:rsid w:val="440305EA"/>
    <w:rsid w:val="4418203D"/>
    <w:rsid w:val="44444E8A"/>
    <w:rsid w:val="44581805"/>
    <w:rsid w:val="44AD2301"/>
    <w:rsid w:val="44C24001"/>
    <w:rsid w:val="44F13427"/>
    <w:rsid w:val="4528655A"/>
    <w:rsid w:val="453E5597"/>
    <w:rsid w:val="456A30E6"/>
    <w:rsid w:val="458B6AE9"/>
    <w:rsid w:val="45DA22F7"/>
    <w:rsid w:val="45EF1B58"/>
    <w:rsid w:val="45FB77CB"/>
    <w:rsid w:val="46492C2C"/>
    <w:rsid w:val="46B51809"/>
    <w:rsid w:val="4771226D"/>
    <w:rsid w:val="47C06F1E"/>
    <w:rsid w:val="482F2E61"/>
    <w:rsid w:val="484E5B20"/>
    <w:rsid w:val="48B10C25"/>
    <w:rsid w:val="48C13778"/>
    <w:rsid w:val="48DE3F6D"/>
    <w:rsid w:val="492635E1"/>
    <w:rsid w:val="49837305"/>
    <w:rsid w:val="49845D29"/>
    <w:rsid w:val="49C679E9"/>
    <w:rsid w:val="49CB3958"/>
    <w:rsid w:val="49EA0282"/>
    <w:rsid w:val="4A7A33BE"/>
    <w:rsid w:val="4AD54A8E"/>
    <w:rsid w:val="4ADD32B8"/>
    <w:rsid w:val="4AF56A77"/>
    <w:rsid w:val="4B2257F9"/>
    <w:rsid w:val="4B4664CE"/>
    <w:rsid w:val="4B494ABD"/>
    <w:rsid w:val="4B564639"/>
    <w:rsid w:val="4BE923F4"/>
    <w:rsid w:val="4C2C2DD4"/>
    <w:rsid w:val="4C3E2B07"/>
    <w:rsid w:val="4CB448AC"/>
    <w:rsid w:val="4CC34DBA"/>
    <w:rsid w:val="4CFB6302"/>
    <w:rsid w:val="4D0E24D9"/>
    <w:rsid w:val="4D1F46E6"/>
    <w:rsid w:val="4DA01C46"/>
    <w:rsid w:val="4DAD7744"/>
    <w:rsid w:val="4DB98D97"/>
    <w:rsid w:val="4DE936B0"/>
    <w:rsid w:val="4E45007C"/>
    <w:rsid w:val="4E4C437E"/>
    <w:rsid w:val="4ECF7116"/>
    <w:rsid w:val="4F5C7625"/>
    <w:rsid w:val="4FA2342A"/>
    <w:rsid w:val="4FA67E41"/>
    <w:rsid w:val="4FB54E8E"/>
    <w:rsid w:val="4FD93366"/>
    <w:rsid w:val="4FEB41D7"/>
    <w:rsid w:val="50384FA9"/>
    <w:rsid w:val="50B61691"/>
    <w:rsid w:val="50D7665D"/>
    <w:rsid w:val="50EF674D"/>
    <w:rsid w:val="50F75417"/>
    <w:rsid w:val="51453FF0"/>
    <w:rsid w:val="514666EF"/>
    <w:rsid w:val="51845CD8"/>
    <w:rsid w:val="51EF789D"/>
    <w:rsid w:val="5221680B"/>
    <w:rsid w:val="52976ACB"/>
    <w:rsid w:val="52D7511B"/>
    <w:rsid w:val="52F84B30"/>
    <w:rsid w:val="53BD300F"/>
    <w:rsid w:val="545B74F3"/>
    <w:rsid w:val="549E4143"/>
    <w:rsid w:val="54B501BD"/>
    <w:rsid w:val="54C67B3F"/>
    <w:rsid w:val="54E168DA"/>
    <w:rsid w:val="55076432"/>
    <w:rsid w:val="55741347"/>
    <w:rsid w:val="55B86B98"/>
    <w:rsid w:val="56494582"/>
    <w:rsid w:val="56586273"/>
    <w:rsid w:val="567053AF"/>
    <w:rsid w:val="56D83DF0"/>
    <w:rsid w:val="57605364"/>
    <w:rsid w:val="577724DB"/>
    <w:rsid w:val="57BFDF72"/>
    <w:rsid w:val="58C3061C"/>
    <w:rsid w:val="59F86C66"/>
    <w:rsid w:val="5A715810"/>
    <w:rsid w:val="5A7D47FA"/>
    <w:rsid w:val="5AC17108"/>
    <w:rsid w:val="5AE61C71"/>
    <w:rsid w:val="5B432AC3"/>
    <w:rsid w:val="5B77749C"/>
    <w:rsid w:val="5BC21E58"/>
    <w:rsid w:val="5D0E3E30"/>
    <w:rsid w:val="5D1155AB"/>
    <w:rsid w:val="5D2A561A"/>
    <w:rsid w:val="5D494E68"/>
    <w:rsid w:val="5DD278D2"/>
    <w:rsid w:val="5E001A03"/>
    <w:rsid w:val="5E0F4078"/>
    <w:rsid w:val="5E2809E6"/>
    <w:rsid w:val="5E500164"/>
    <w:rsid w:val="5EC150E1"/>
    <w:rsid w:val="5F0B7D72"/>
    <w:rsid w:val="5F7A755A"/>
    <w:rsid w:val="5FFB722C"/>
    <w:rsid w:val="606B23C2"/>
    <w:rsid w:val="60922355"/>
    <w:rsid w:val="60DA29A7"/>
    <w:rsid w:val="60E455D3"/>
    <w:rsid w:val="61151C01"/>
    <w:rsid w:val="612400C6"/>
    <w:rsid w:val="613D088A"/>
    <w:rsid w:val="618C29B1"/>
    <w:rsid w:val="61EF3C1A"/>
    <w:rsid w:val="620C7712"/>
    <w:rsid w:val="62283F8D"/>
    <w:rsid w:val="622F7758"/>
    <w:rsid w:val="62427522"/>
    <w:rsid w:val="628A21AA"/>
    <w:rsid w:val="629A088E"/>
    <w:rsid w:val="62C3746A"/>
    <w:rsid w:val="62EE44E7"/>
    <w:rsid w:val="62EF613D"/>
    <w:rsid w:val="63293771"/>
    <w:rsid w:val="639932C3"/>
    <w:rsid w:val="63BA6ABF"/>
    <w:rsid w:val="64025D70"/>
    <w:rsid w:val="64547214"/>
    <w:rsid w:val="64582EC3"/>
    <w:rsid w:val="646C35BE"/>
    <w:rsid w:val="64722E3A"/>
    <w:rsid w:val="64962440"/>
    <w:rsid w:val="64DE67DD"/>
    <w:rsid w:val="653E102A"/>
    <w:rsid w:val="65BA2DA7"/>
    <w:rsid w:val="65CB4FB4"/>
    <w:rsid w:val="66072B4B"/>
    <w:rsid w:val="662F5543"/>
    <w:rsid w:val="6642527F"/>
    <w:rsid w:val="664D3C1B"/>
    <w:rsid w:val="667122DB"/>
    <w:rsid w:val="66833198"/>
    <w:rsid w:val="669A0526"/>
    <w:rsid w:val="669B2FA6"/>
    <w:rsid w:val="66B43C9A"/>
    <w:rsid w:val="66C17C3B"/>
    <w:rsid w:val="6702212A"/>
    <w:rsid w:val="67623DCA"/>
    <w:rsid w:val="67CA42A6"/>
    <w:rsid w:val="67D31EFE"/>
    <w:rsid w:val="68315C76"/>
    <w:rsid w:val="68541CB5"/>
    <w:rsid w:val="685F7C35"/>
    <w:rsid w:val="689100EA"/>
    <w:rsid w:val="6895438F"/>
    <w:rsid w:val="689C6B70"/>
    <w:rsid w:val="68DE51F0"/>
    <w:rsid w:val="69AF24F6"/>
    <w:rsid w:val="69C9180A"/>
    <w:rsid w:val="6A1A7BB9"/>
    <w:rsid w:val="6A1B7B8C"/>
    <w:rsid w:val="6A386990"/>
    <w:rsid w:val="6A6634FD"/>
    <w:rsid w:val="6A8B35E2"/>
    <w:rsid w:val="6AB53B3C"/>
    <w:rsid w:val="6ABE009D"/>
    <w:rsid w:val="6ACB39DD"/>
    <w:rsid w:val="6AE82C77"/>
    <w:rsid w:val="6AFA5417"/>
    <w:rsid w:val="6B395CD4"/>
    <w:rsid w:val="6B6A614A"/>
    <w:rsid w:val="6BA75B7B"/>
    <w:rsid w:val="6BEA3616"/>
    <w:rsid w:val="6C1029BA"/>
    <w:rsid w:val="6C3304CF"/>
    <w:rsid w:val="6C7812C6"/>
    <w:rsid w:val="6C97799E"/>
    <w:rsid w:val="6CA200F0"/>
    <w:rsid w:val="6CC91B21"/>
    <w:rsid w:val="6CD52274"/>
    <w:rsid w:val="6CE87DC7"/>
    <w:rsid w:val="6D7E5FDA"/>
    <w:rsid w:val="6DB96146"/>
    <w:rsid w:val="6E2E4332"/>
    <w:rsid w:val="6E380D0C"/>
    <w:rsid w:val="6E7D0905"/>
    <w:rsid w:val="6E9B8014"/>
    <w:rsid w:val="6EE719FA"/>
    <w:rsid w:val="6EFF4E43"/>
    <w:rsid w:val="6F283233"/>
    <w:rsid w:val="6F2968A7"/>
    <w:rsid w:val="6F481BCF"/>
    <w:rsid w:val="6F84EA77"/>
    <w:rsid w:val="6FE31BB4"/>
    <w:rsid w:val="701D465E"/>
    <w:rsid w:val="70343D8C"/>
    <w:rsid w:val="705A56A8"/>
    <w:rsid w:val="70893AA1"/>
    <w:rsid w:val="709E3A43"/>
    <w:rsid w:val="70E247A7"/>
    <w:rsid w:val="70F97850"/>
    <w:rsid w:val="71401BDB"/>
    <w:rsid w:val="71770865"/>
    <w:rsid w:val="71D75792"/>
    <w:rsid w:val="71F60B5D"/>
    <w:rsid w:val="72030793"/>
    <w:rsid w:val="720A351C"/>
    <w:rsid w:val="720B10BF"/>
    <w:rsid w:val="728C4044"/>
    <w:rsid w:val="72B57CB8"/>
    <w:rsid w:val="733F2580"/>
    <w:rsid w:val="736A735B"/>
    <w:rsid w:val="739E5AB6"/>
    <w:rsid w:val="73FF859E"/>
    <w:rsid w:val="740E02D5"/>
    <w:rsid w:val="74241866"/>
    <w:rsid w:val="74386EE2"/>
    <w:rsid w:val="74C804E3"/>
    <w:rsid w:val="74E12CBB"/>
    <w:rsid w:val="75161A3A"/>
    <w:rsid w:val="75291FBC"/>
    <w:rsid w:val="75D05028"/>
    <w:rsid w:val="75D206DA"/>
    <w:rsid w:val="76134C16"/>
    <w:rsid w:val="76C70512"/>
    <w:rsid w:val="76D2427B"/>
    <w:rsid w:val="773E3A17"/>
    <w:rsid w:val="77AE3DED"/>
    <w:rsid w:val="786C1048"/>
    <w:rsid w:val="78F9378E"/>
    <w:rsid w:val="79017606"/>
    <w:rsid w:val="793A6280"/>
    <w:rsid w:val="79B12DF8"/>
    <w:rsid w:val="79B25E17"/>
    <w:rsid w:val="79C34BC3"/>
    <w:rsid w:val="79CA2CA8"/>
    <w:rsid w:val="7A2460AC"/>
    <w:rsid w:val="7A5622FE"/>
    <w:rsid w:val="7A97325F"/>
    <w:rsid w:val="7AF20495"/>
    <w:rsid w:val="7AFFF9E7"/>
    <w:rsid w:val="7B6A569E"/>
    <w:rsid w:val="7B912423"/>
    <w:rsid w:val="7B9B33DA"/>
    <w:rsid w:val="7BA474D9"/>
    <w:rsid w:val="7BC02B07"/>
    <w:rsid w:val="7C245DEF"/>
    <w:rsid w:val="7C29035E"/>
    <w:rsid w:val="7C305719"/>
    <w:rsid w:val="7C6E04F8"/>
    <w:rsid w:val="7C9A0DE4"/>
    <w:rsid w:val="7CBE3DDC"/>
    <w:rsid w:val="7CC37BC7"/>
    <w:rsid w:val="7CC4169E"/>
    <w:rsid w:val="7D0A3D17"/>
    <w:rsid w:val="7D246F7D"/>
    <w:rsid w:val="7D4D1DE7"/>
    <w:rsid w:val="7D755AD9"/>
    <w:rsid w:val="7D7F2810"/>
    <w:rsid w:val="7D902913"/>
    <w:rsid w:val="7DBA0247"/>
    <w:rsid w:val="7DDA593C"/>
    <w:rsid w:val="7DEA6806"/>
    <w:rsid w:val="7DF63DD1"/>
    <w:rsid w:val="7E3A49DE"/>
    <w:rsid w:val="7E6B47E6"/>
    <w:rsid w:val="7E7C25E5"/>
    <w:rsid w:val="7E812B87"/>
    <w:rsid w:val="7EA85396"/>
    <w:rsid w:val="7EB20667"/>
    <w:rsid w:val="7EEFD066"/>
    <w:rsid w:val="7F1909AD"/>
    <w:rsid w:val="7F1E1A0A"/>
    <w:rsid w:val="7F5E2B76"/>
    <w:rsid w:val="7F76A6BB"/>
    <w:rsid w:val="7FAFDE1C"/>
    <w:rsid w:val="7FE784B4"/>
    <w:rsid w:val="7FF50AC4"/>
    <w:rsid w:val="7FF7AC46"/>
    <w:rsid w:val="9B54BF7C"/>
    <w:rsid w:val="9EEBD662"/>
    <w:rsid w:val="9FC739E0"/>
    <w:rsid w:val="9FF6AB22"/>
    <w:rsid w:val="AEDD7241"/>
    <w:rsid w:val="AF7EEFC2"/>
    <w:rsid w:val="B17FCB3A"/>
    <w:rsid w:val="B6FF89DE"/>
    <w:rsid w:val="B7DC3B8A"/>
    <w:rsid w:val="BBDC4A0B"/>
    <w:rsid w:val="BDF331E6"/>
    <w:rsid w:val="BFDF845C"/>
    <w:rsid w:val="BFFCAE2C"/>
    <w:rsid w:val="C86EF356"/>
    <w:rsid w:val="CBFBC730"/>
    <w:rsid w:val="CD9FBB30"/>
    <w:rsid w:val="D36EA1E9"/>
    <w:rsid w:val="D8FE963F"/>
    <w:rsid w:val="DC7970A2"/>
    <w:rsid w:val="DFB31F7F"/>
    <w:rsid w:val="E6D71CD7"/>
    <w:rsid w:val="E777732B"/>
    <w:rsid w:val="EF75C75F"/>
    <w:rsid w:val="EFBB61B0"/>
    <w:rsid w:val="EFFB28A3"/>
    <w:rsid w:val="F3FE189F"/>
    <w:rsid w:val="F6BFA113"/>
    <w:rsid w:val="F7255E47"/>
    <w:rsid w:val="F77804BD"/>
    <w:rsid w:val="FCFC34F2"/>
    <w:rsid w:val="FEEDB5B5"/>
    <w:rsid w:val="FEFBFE7E"/>
    <w:rsid w:val="FEFD875E"/>
    <w:rsid w:val="FEFE8C5D"/>
    <w:rsid w:val="FF3F0DA7"/>
    <w:rsid w:val="FF7F2FCA"/>
    <w:rsid w:val="FFC38F74"/>
    <w:rsid w:val="FFEF21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widowControl w:val="0"/>
      <w:ind w:firstLine="425"/>
      <w:outlineLvl w:val="0"/>
    </w:pPr>
    <w:rPr>
      <w:b/>
      <w:bCs/>
      <w:i/>
      <w:iCs/>
      <w:sz w:val="52"/>
      <w:szCs w:val="20"/>
    </w:rPr>
  </w:style>
  <w:style w:type="paragraph" w:styleId="3">
    <w:name w:val="heading 2"/>
    <w:basedOn w:val="1"/>
    <w:next w:val="1"/>
    <w:link w:val="46"/>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47"/>
    <w:qFormat/>
    <w:uiPriority w:val="99"/>
    <w:pPr>
      <w:keepNext/>
      <w:keepLines/>
      <w:numPr>
        <w:ilvl w:val="2"/>
        <w:numId w:val="1"/>
      </w:numPr>
      <w:spacing w:before="260" w:after="260" w:line="416" w:lineRule="auto"/>
      <w:outlineLvl w:val="2"/>
    </w:pPr>
    <w:rPr>
      <w:rFonts w:ascii="Calibri" w:hAnsi="Calibri"/>
      <w:b/>
      <w:bCs/>
      <w:sz w:val="32"/>
      <w:szCs w:val="32"/>
    </w:rPr>
  </w:style>
  <w:style w:type="paragraph" w:styleId="5">
    <w:name w:val="heading 4"/>
    <w:basedOn w:val="1"/>
    <w:next w:val="1"/>
    <w:link w:val="48"/>
    <w:qFormat/>
    <w:uiPriority w:val="99"/>
    <w:pPr>
      <w:numPr>
        <w:ilvl w:val="3"/>
        <w:numId w:val="1"/>
      </w:numPr>
      <w:jc w:val="left"/>
      <w:outlineLvl w:val="3"/>
    </w:pPr>
    <w:rPr>
      <w:rFonts w:ascii="宋体" w:hAnsi="宋体" w:cs="Times New Roman"/>
      <w:b/>
      <w:bCs/>
      <w:kern w:val="0"/>
      <w:sz w:val="24"/>
      <w:lang w:eastAsia="en-US"/>
    </w:rPr>
  </w:style>
  <w:style w:type="paragraph" w:styleId="6">
    <w:name w:val="heading 5"/>
    <w:basedOn w:val="1"/>
    <w:next w:val="1"/>
    <w:link w:val="49"/>
    <w:qFormat/>
    <w:uiPriority w:val="9"/>
    <w:pPr>
      <w:keepNext/>
      <w:keepLines/>
      <w:numPr>
        <w:ilvl w:val="4"/>
        <w:numId w:val="1"/>
      </w:numPr>
      <w:spacing w:before="280" w:after="290" w:line="376" w:lineRule="auto"/>
      <w:outlineLvl w:val="4"/>
    </w:pPr>
    <w:rPr>
      <w:rFonts w:ascii="Calibri" w:hAnsi="Calibri"/>
      <w:b/>
      <w:bCs/>
      <w:sz w:val="28"/>
      <w:szCs w:val="28"/>
    </w:rPr>
  </w:style>
  <w:style w:type="paragraph" w:styleId="7">
    <w:name w:val="heading 6"/>
    <w:basedOn w:val="1"/>
    <w:next w:val="1"/>
    <w:link w:val="50"/>
    <w:qFormat/>
    <w:uiPriority w:val="9"/>
    <w:pPr>
      <w:keepNext/>
      <w:keepLines/>
      <w:numPr>
        <w:ilvl w:val="5"/>
        <w:numId w:val="1"/>
      </w:numPr>
      <w:spacing w:before="240" w:after="64" w:line="320" w:lineRule="auto"/>
      <w:outlineLvl w:val="5"/>
    </w:pPr>
    <w:rPr>
      <w:rFonts w:ascii="Calibri Light" w:hAnsi="Calibri Light" w:eastAsia="宋体" w:cs="Times New Roman"/>
      <w:b/>
      <w:bCs/>
      <w:sz w:val="24"/>
    </w:rPr>
  </w:style>
  <w:style w:type="paragraph" w:styleId="8">
    <w:name w:val="heading 7"/>
    <w:basedOn w:val="1"/>
    <w:next w:val="1"/>
    <w:link w:val="51"/>
    <w:qFormat/>
    <w:uiPriority w:val="9"/>
    <w:pPr>
      <w:keepNext/>
      <w:keepLines/>
      <w:numPr>
        <w:ilvl w:val="6"/>
        <w:numId w:val="1"/>
      </w:numPr>
      <w:spacing w:before="240" w:after="64" w:line="320" w:lineRule="auto"/>
      <w:outlineLvl w:val="6"/>
    </w:pPr>
    <w:rPr>
      <w:rFonts w:ascii="Calibri" w:hAnsi="Calibri"/>
      <w:b/>
      <w:bCs/>
      <w:sz w:val="24"/>
    </w:rPr>
  </w:style>
  <w:style w:type="paragraph" w:styleId="9">
    <w:name w:val="heading 8"/>
    <w:basedOn w:val="1"/>
    <w:next w:val="1"/>
    <w:link w:val="52"/>
    <w:qFormat/>
    <w:uiPriority w:val="9"/>
    <w:pPr>
      <w:keepNext/>
      <w:keepLines/>
      <w:numPr>
        <w:ilvl w:val="7"/>
        <w:numId w:val="1"/>
      </w:numPr>
      <w:spacing w:before="240" w:after="64" w:line="320" w:lineRule="auto"/>
      <w:outlineLvl w:val="7"/>
    </w:pPr>
    <w:rPr>
      <w:rFonts w:ascii="Calibri Light" w:hAnsi="Calibri Light" w:eastAsia="宋体" w:cs="Times New Roman"/>
      <w:sz w:val="24"/>
    </w:rPr>
  </w:style>
  <w:style w:type="paragraph" w:styleId="10">
    <w:name w:val="heading 9"/>
    <w:basedOn w:val="1"/>
    <w:next w:val="1"/>
    <w:link w:val="53"/>
    <w:qFormat/>
    <w:uiPriority w:val="9"/>
    <w:pPr>
      <w:keepNext/>
      <w:keepLines/>
      <w:numPr>
        <w:ilvl w:val="8"/>
        <w:numId w:val="1"/>
      </w:numPr>
      <w:spacing w:before="240" w:after="64" w:line="320" w:lineRule="auto"/>
      <w:outlineLvl w:val="8"/>
    </w:pPr>
    <w:rPr>
      <w:rFonts w:ascii="Calibri Light" w:hAnsi="Calibri Light" w:eastAsia="宋体" w:cs="Times New Roman"/>
      <w:szCs w:val="21"/>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2">
    <w:name w:val="caption"/>
    <w:basedOn w:val="1"/>
    <w:next w:val="1"/>
    <w:qFormat/>
    <w:uiPriority w:val="0"/>
    <w:pPr>
      <w:spacing w:before="152" w:after="160"/>
    </w:pPr>
    <w:rPr>
      <w:rFonts w:ascii="Arial" w:hAnsi="Arial" w:eastAsia="黑体"/>
      <w:szCs w:val="20"/>
    </w:rPr>
  </w:style>
  <w:style w:type="paragraph" w:styleId="13">
    <w:name w:val="annotation text"/>
    <w:basedOn w:val="1"/>
    <w:link w:val="54"/>
    <w:qFormat/>
    <w:uiPriority w:val="0"/>
    <w:pPr>
      <w:jc w:val="left"/>
    </w:pPr>
    <w:rPr>
      <w:rFonts w:ascii="等线" w:hAnsi="等线" w:eastAsia="等线" w:cs="Times New Roman"/>
      <w:szCs w:val="22"/>
    </w:rPr>
  </w:style>
  <w:style w:type="paragraph" w:styleId="14">
    <w:name w:val="Body Text"/>
    <w:basedOn w:val="1"/>
    <w:next w:val="15"/>
    <w:link w:val="55"/>
    <w:qFormat/>
    <w:uiPriority w:val="0"/>
    <w:pPr>
      <w:autoSpaceDE w:val="0"/>
      <w:autoSpaceDN w:val="0"/>
      <w:spacing w:line="360" w:lineRule="auto"/>
    </w:pPr>
    <w:rPr>
      <w:rFonts w:ascii="宋体" w:hAnsi="Arial" w:cs="Arial"/>
      <w:snapToGrid w:val="0"/>
      <w:sz w:val="24"/>
      <w:szCs w:val="21"/>
      <w:lang w:val="zh-CN"/>
    </w:rPr>
  </w:style>
  <w:style w:type="paragraph" w:styleId="15">
    <w:name w:val="Date"/>
    <w:basedOn w:val="1"/>
    <w:next w:val="1"/>
    <w:link w:val="56"/>
    <w:qFormat/>
    <w:uiPriority w:val="0"/>
    <w:pPr>
      <w:ind w:left="100" w:leftChars="2500"/>
    </w:pPr>
    <w:rPr>
      <w:rFonts w:ascii="宋体"/>
      <w:sz w:val="24"/>
      <w:szCs w:val="21"/>
      <w:lang w:val="zh-CN"/>
    </w:rPr>
  </w:style>
  <w:style w:type="paragraph" w:styleId="16">
    <w:name w:val="Body Text Indent"/>
    <w:basedOn w:val="1"/>
    <w:link w:val="57"/>
    <w:qFormat/>
    <w:uiPriority w:val="0"/>
    <w:pPr>
      <w:spacing w:line="480" w:lineRule="exact"/>
      <w:ind w:firstLine="480" w:firstLineChars="200"/>
    </w:pPr>
    <w:rPr>
      <w:rFonts w:ascii="宋体" w:hAnsi="宋体"/>
      <w:sz w:val="24"/>
    </w:rPr>
  </w:style>
  <w:style w:type="paragraph" w:styleId="17">
    <w:name w:val="Plain Text"/>
    <w:basedOn w:val="1"/>
    <w:link w:val="58"/>
    <w:qFormat/>
    <w:uiPriority w:val="0"/>
    <w:rPr>
      <w:rFonts w:ascii="宋体" w:hAnsi="Courier New" w:cs="Arial"/>
      <w:snapToGrid w:val="0"/>
      <w:szCs w:val="21"/>
    </w:rPr>
  </w:style>
  <w:style w:type="paragraph" w:styleId="18">
    <w:name w:val="Balloon Text"/>
    <w:basedOn w:val="1"/>
    <w:link w:val="59"/>
    <w:qFormat/>
    <w:uiPriority w:val="0"/>
    <w:rPr>
      <w:sz w:val="18"/>
      <w:szCs w:val="18"/>
    </w:rPr>
  </w:style>
  <w:style w:type="paragraph" w:styleId="19">
    <w:name w:val="footer"/>
    <w:basedOn w:val="1"/>
    <w:link w:val="60"/>
    <w:qFormat/>
    <w:uiPriority w:val="0"/>
    <w:pPr>
      <w:tabs>
        <w:tab w:val="center" w:pos="4153"/>
        <w:tab w:val="right" w:pos="8306"/>
      </w:tabs>
      <w:snapToGrid w:val="0"/>
      <w:jc w:val="left"/>
    </w:pPr>
    <w:rPr>
      <w:sz w:val="18"/>
      <w:szCs w:val="18"/>
    </w:rPr>
  </w:style>
  <w:style w:type="paragraph" w:styleId="20">
    <w:name w:val="header"/>
    <w:basedOn w:val="1"/>
    <w:link w:val="61"/>
    <w:qFormat/>
    <w:uiPriority w:val="0"/>
    <w:pPr>
      <w:pBdr>
        <w:bottom w:val="single" w:color="auto" w:sz="6" w:space="1"/>
      </w:pBdr>
      <w:tabs>
        <w:tab w:val="center" w:pos="4153"/>
        <w:tab w:val="right" w:pos="8306"/>
      </w:tabs>
      <w:snapToGrid w:val="0"/>
      <w:ind w:right="360"/>
    </w:pPr>
    <w:rPr>
      <w:rFonts w:ascii="仿宋_GB2312" w:eastAsia="仿宋_GB2312"/>
      <w:b/>
      <w:i/>
      <w:sz w:val="18"/>
      <w:szCs w:val="18"/>
      <w:u w:val="single"/>
    </w:rPr>
  </w:style>
  <w:style w:type="paragraph" w:styleId="21">
    <w:name w:val="toc 1"/>
    <w:basedOn w:val="1"/>
    <w:next w:val="1"/>
    <w:qFormat/>
    <w:uiPriority w:val="39"/>
    <w:pPr>
      <w:tabs>
        <w:tab w:val="right" w:leader="dot" w:pos="9060"/>
      </w:tabs>
      <w:spacing w:line="600" w:lineRule="auto"/>
    </w:pPr>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toc 2"/>
    <w:basedOn w:val="1"/>
    <w:next w:val="1"/>
    <w:qFormat/>
    <w:uiPriority w:val="39"/>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Title"/>
    <w:basedOn w:val="1"/>
    <w:next w:val="1"/>
    <w:link w:val="62"/>
    <w:qFormat/>
    <w:uiPriority w:val="0"/>
    <w:pPr>
      <w:spacing w:before="240" w:after="60"/>
      <w:jc w:val="center"/>
      <w:outlineLvl w:val="0"/>
    </w:pPr>
    <w:rPr>
      <w:rFonts w:ascii="Cambria" w:hAnsi="Cambria"/>
      <w:b/>
      <w:bCs/>
      <w:sz w:val="32"/>
      <w:szCs w:val="32"/>
    </w:rPr>
  </w:style>
  <w:style w:type="paragraph" w:styleId="26">
    <w:name w:val="annotation subject"/>
    <w:basedOn w:val="13"/>
    <w:next w:val="13"/>
    <w:link w:val="63"/>
    <w:qFormat/>
    <w:uiPriority w:val="0"/>
    <w:rPr>
      <w:rFonts w:ascii="等线" w:hAnsi="等线" w:eastAsia="等线" w:cs="Times New Roman"/>
      <w:b/>
      <w:bCs/>
    </w:rPr>
  </w:style>
  <w:style w:type="paragraph" w:styleId="27">
    <w:name w:val="Body Text First Indent"/>
    <w:basedOn w:val="14"/>
    <w:link w:val="64"/>
    <w:qFormat/>
    <w:uiPriority w:val="0"/>
    <w:pPr>
      <w:autoSpaceDE/>
      <w:autoSpaceDN/>
      <w:spacing w:after="120" w:line="240" w:lineRule="auto"/>
      <w:ind w:firstLine="420" w:firstLineChars="100"/>
    </w:pPr>
    <w:rPr>
      <w:rFonts w:ascii="Times New Roman" w:hAnsi="Times New Roman" w:cs="Times New Roman"/>
      <w:snapToGrid/>
      <w:sz w:val="21"/>
      <w:szCs w:val="24"/>
      <w:lang w:val="en-US"/>
    </w:rPr>
  </w:style>
  <w:style w:type="paragraph" w:styleId="28">
    <w:name w:val="Body Text First Indent 2"/>
    <w:basedOn w:val="16"/>
    <w:next w:val="1"/>
    <w:link w:val="65"/>
    <w:qFormat/>
    <w:uiPriority w:val="0"/>
    <w:pPr>
      <w:autoSpaceDE w:val="0"/>
      <w:autoSpaceDN w:val="0"/>
      <w:adjustRightInd w:val="0"/>
      <w:spacing w:before="100" w:beforeAutospacing="1" w:after="120" w:line="240" w:lineRule="auto"/>
      <w:ind w:leftChars="200" w:firstLine="420"/>
      <w:textAlignment w:val="baseline"/>
    </w:pPr>
    <w:rPr>
      <w:rFonts w:ascii="Calibri" w:hAnsi="Calibri"/>
      <w:kern w:val="0"/>
      <w:sz w:val="28"/>
      <w:szCs w:val="28"/>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rPr>
  </w:style>
  <w:style w:type="character" w:styleId="33">
    <w:name w:val="page number"/>
    <w:qFormat/>
    <w:uiPriority w:val="0"/>
    <w:rPr>
      <w:rFonts w:ascii="Arial" w:hAnsi="Arial" w:eastAsia="黑体" w:cs="Arial"/>
      <w:snapToGrid w:val="0"/>
      <w:kern w:val="0"/>
      <w:szCs w:val="21"/>
    </w:rPr>
  </w:style>
  <w:style w:type="character" w:styleId="34">
    <w:name w:val="FollowedHyperlink"/>
    <w:qFormat/>
    <w:uiPriority w:val="0"/>
    <w:rPr>
      <w:color w:val="3F88BF"/>
      <w:u w:val="none"/>
    </w:rPr>
  </w:style>
  <w:style w:type="character" w:styleId="35">
    <w:name w:val="Emphasis"/>
    <w:qFormat/>
    <w:uiPriority w:val="0"/>
  </w:style>
  <w:style w:type="character" w:styleId="36">
    <w:name w:val="HTML Definition"/>
    <w:qFormat/>
    <w:uiPriority w:val="0"/>
  </w:style>
  <w:style w:type="character" w:styleId="37">
    <w:name w:val="HTML Variable"/>
    <w:qFormat/>
    <w:uiPriority w:val="0"/>
  </w:style>
  <w:style w:type="character" w:styleId="38">
    <w:name w:val="Hyperlink"/>
    <w:qFormat/>
    <w:uiPriority w:val="99"/>
    <w:rPr>
      <w:rFonts w:ascii="Arial" w:hAnsi="Arial" w:eastAsia="黑体" w:cs="Arial"/>
      <w:snapToGrid w:val="0"/>
      <w:color w:val="000000"/>
      <w:kern w:val="0"/>
      <w:sz w:val="18"/>
      <w:szCs w:val="18"/>
      <w:u w:val="none"/>
    </w:rPr>
  </w:style>
  <w:style w:type="character" w:styleId="39">
    <w:name w:val="HTML Code"/>
    <w:qFormat/>
    <w:uiPriority w:val="0"/>
    <w:rPr>
      <w:rFonts w:hint="default" w:ascii="Arial" w:hAnsi="Arial" w:eastAsia="Arial" w:cs="Arial"/>
      <w:sz w:val="20"/>
    </w:rPr>
  </w:style>
  <w:style w:type="character" w:styleId="40">
    <w:name w:val="annotation reference"/>
    <w:qFormat/>
    <w:uiPriority w:val="0"/>
    <w:rPr>
      <w:sz w:val="21"/>
      <w:szCs w:val="21"/>
    </w:rPr>
  </w:style>
  <w:style w:type="character" w:styleId="41">
    <w:name w:val="HTML Cite"/>
    <w:qFormat/>
    <w:uiPriority w:val="0"/>
  </w:style>
  <w:style w:type="character" w:styleId="42">
    <w:name w:val="HTML Keyboard"/>
    <w:qFormat/>
    <w:uiPriority w:val="0"/>
    <w:rPr>
      <w:rFonts w:hint="default" w:ascii="Arial" w:hAnsi="Arial" w:eastAsia="Arial" w:cs="Arial"/>
      <w:sz w:val="20"/>
    </w:rPr>
  </w:style>
  <w:style w:type="character" w:styleId="43">
    <w:name w:val="HTML Sample"/>
    <w:qFormat/>
    <w:uiPriority w:val="0"/>
    <w:rPr>
      <w:rFonts w:hint="eastAsia" w:ascii="Arial" w:hAnsi="Arial" w:eastAsia="Arial" w:cs="Arial"/>
    </w:rPr>
  </w:style>
  <w:style w:type="paragraph" w:customStyle="1" w:styleId="44">
    <w:name w:val="_Style 3"/>
    <w:basedOn w:val="1"/>
    <w:qFormat/>
    <w:uiPriority w:val="1"/>
    <w:pPr>
      <w:adjustRightInd/>
      <w:ind w:firstLine="420" w:firstLineChars="200"/>
    </w:pPr>
    <w:rPr>
      <w:rFonts w:eastAsia="仿宋_GB2312"/>
      <w:sz w:val="28"/>
    </w:rPr>
  </w:style>
  <w:style w:type="character" w:customStyle="1" w:styleId="45">
    <w:name w:val="标题 1 Char"/>
    <w:link w:val="2"/>
    <w:qFormat/>
    <w:uiPriority w:val="0"/>
    <w:rPr>
      <w:b/>
      <w:bCs/>
      <w:i/>
      <w:iCs/>
      <w:kern w:val="2"/>
      <w:sz w:val="52"/>
    </w:rPr>
  </w:style>
  <w:style w:type="character" w:customStyle="1" w:styleId="46">
    <w:name w:val="标题 2 Char"/>
    <w:link w:val="3"/>
    <w:qFormat/>
    <w:uiPriority w:val="99"/>
    <w:rPr>
      <w:rFonts w:ascii="仿宋_GB2312" w:hAnsi="仿宋" w:eastAsia="仿宋_GB2312"/>
      <w:b/>
      <w:bCs/>
      <w:kern w:val="2"/>
      <w:sz w:val="32"/>
      <w:szCs w:val="32"/>
      <w:lang w:val="zh-CN"/>
    </w:rPr>
  </w:style>
  <w:style w:type="character" w:customStyle="1" w:styleId="47">
    <w:name w:val="标题 3 Char"/>
    <w:link w:val="4"/>
    <w:qFormat/>
    <w:uiPriority w:val="99"/>
    <w:rPr>
      <w:rFonts w:ascii="Calibri" w:hAnsi="Calibri"/>
      <w:b/>
      <w:bCs/>
      <w:kern w:val="2"/>
      <w:sz w:val="32"/>
      <w:szCs w:val="32"/>
    </w:rPr>
  </w:style>
  <w:style w:type="character" w:customStyle="1" w:styleId="48">
    <w:name w:val="标题 4 Char"/>
    <w:link w:val="5"/>
    <w:qFormat/>
    <w:uiPriority w:val="99"/>
    <w:rPr>
      <w:rFonts w:ascii="宋体" w:hAnsi="宋体"/>
      <w:b/>
      <w:bCs/>
      <w:sz w:val="24"/>
      <w:szCs w:val="24"/>
      <w:lang w:eastAsia="en-US"/>
    </w:rPr>
  </w:style>
  <w:style w:type="character" w:customStyle="1" w:styleId="49">
    <w:name w:val="标题 5 Char"/>
    <w:link w:val="6"/>
    <w:semiHidden/>
    <w:qFormat/>
    <w:uiPriority w:val="9"/>
    <w:rPr>
      <w:rFonts w:ascii="Calibri" w:hAnsi="Calibri"/>
      <w:b/>
      <w:bCs/>
      <w:kern w:val="2"/>
      <w:sz w:val="28"/>
      <w:szCs w:val="28"/>
    </w:rPr>
  </w:style>
  <w:style w:type="character" w:customStyle="1" w:styleId="50">
    <w:name w:val="标题 6 Char"/>
    <w:link w:val="7"/>
    <w:semiHidden/>
    <w:qFormat/>
    <w:uiPriority w:val="9"/>
    <w:rPr>
      <w:rFonts w:ascii="Calibri Light" w:hAnsi="Calibri Light"/>
      <w:b/>
      <w:bCs/>
      <w:kern w:val="2"/>
      <w:sz w:val="24"/>
      <w:szCs w:val="24"/>
    </w:rPr>
  </w:style>
  <w:style w:type="character" w:customStyle="1" w:styleId="51">
    <w:name w:val="标题 7 Char"/>
    <w:link w:val="8"/>
    <w:semiHidden/>
    <w:qFormat/>
    <w:uiPriority w:val="9"/>
    <w:rPr>
      <w:rFonts w:ascii="Calibri" w:hAnsi="Calibri"/>
      <w:b/>
      <w:bCs/>
      <w:kern w:val="2"/>
      <w:sz w:val="24"/>
      <w:szCs w:val="24"/>
    </w:rPr>
  </w:style>
  <w:style w:type="character" w:customStyle="1" w:styleId="52">
    <w:name w:val="标题 8 Char"/>
    <w:link w:val="9"/>
    <w:semiHidden/>
    <w:qFormat/>
    <w:uiPriority w:val="9"/>
    <w:rPr>
      <w:rFonts w:ascii="Calibri Light" w:hAnsi="Calibri Light"/>
      <w:kern w:val="2"/>
      <w:sz w:val="24"/>
      <w:szCs w:val="24"/>
    </w:rPr>
  </w:style>
  <w:style w:type="character" w:customStyle="1" w:styleId="53">
    <w:name w:val="标题 9 Char"/>
    <w:link w:val="10"/>
    <w:semiHidden/>
    <w:qFormat/>
    <w:uiPriority w:val="9"/>
    <w:rPr>
      <w:rFonts w:ascii="Calibri Light" w:hAnsi="Calibri Light"/>
      <w:kern w:val="2"/>
      <w:sz w:val="21"/>
      <w:szCs w:val="21"/>
    </w:rPr>
  </w:style>
  <w:style w:type="character" w:customStyle="1" w:styleId="54">
    <w:name w:val="批注文字 Char"/>
    <w:link w:val="13"/>
    <w:qFormat/>
    <w:uiPriority w:val="0"/>
    <w:rPr>
      <w:rFonts w:ascii="等线" w:hAnsi="等线" w:eastAsia="等线"/>
      <w:kern w:val="2"/>
      <w:sz w:val="21"/>
      <w:szCs w:val="22"/>
    </w:rPr>
  </w:style>
  <w:style w:type="character" w:customStyle="1" w:styleId="55">
    <w:name w:val="正文文本 Char"/>
    <w:link w:val="14"/>
    <w:qFormat/>
    <w:uiPriority w:val="0"/>
    <w:rPr>
      <w:rFonts w:ascii="宋体" w:hAnsi="Arial" w:cs="Arial"/>
      <w:snapToGrid/>
      <w:kern w:val="2"/>
      <w:sz w:val="24"/>
      <w:szCs w:val="21"/>
      <w:lang w:val="zh-CN"/>
    </w:rPr>
  </w:style>
  <w:style w:type="character" w:customStyle="1" w:styleId="56">
    <w:name w:val="日期 Char"/>
    <w:link w:val="15"/>
    <w:qFormat/>
    <w:uiPriority w:val="0"/>
    <w:rPr>
      <w:rFonts w:ascii="宋体"/>
      <w:kern w:val="2"/>
      <w:sz w:val="24"/>
      <w:szCs w:val="21"/>
      <w:lang w:val="zh-CN"/>
    </w:rPr>
  </w:style>
  <w:style w:type="character" w:customStyle="1" w:styleId="57">
    <w:name w:val="正文文本缩进 Char"/>
    <w:link w:val="16"/>
    <w:qFormat/>
    <w:uiPriority w:val="0"/>
    <w:rPr>
      <w:rFonts w:ascii="宋体" w:hAnsi="宋体"/>
      <w:kern w:val="2"/>
      <w:sz w:val="24"/>
      <w:szCs w:val="24"/>
    </w:rPr>
  </w:style>
  <w:style w:type="character" w:customStyle="1" w:styleId="58">
    <w:name w:val="纯文本 Char"/>
    <w:link w:val="17"/>
    <w:qFormat/>
    <w:uiPriority w:val="0"/>
    <w:rPr>
      <w:rFonts w:ascii="宋体" w:hAnsi="Courier New" w:cs="Arial"/>
      <w:snapToGrid/>
      <w:kern w:val="2"/>
      <w:sz w:val="21"/>
      <w:szCs w:val="21"/>
    </w:rPr>
  </w:style>
  <w:style w:type="character" w:customStyle="1" w:styleId="59">
    <w:name w:val="批注框文本 Char"/>
    <w:link w:val="18"/>
    <w:qFormat/>
    <w:uiPriority w:val="0"/>
    <w:rPr>
      <w:kern w:val="2"/>
      <w:sz w:val="18"/>
      <w:szCs w:val="18"/>
    </w:rPr>
  </w:style>
  <w:style w:type="character" w:customStyle="1" w:styleId="60">
    <w:name w:val="页脚 Char"/>
    <w:link w:val="19"/>
    <w:qFormat/>
    <w:uiPriority w:val="0"/>
    <w:rPr>
      <w:kern w:val="2"/>
      <w:sz w:val="18"/>
      <w:szCs w:val="18"/>
    </w:rPr>
  </w:style>
  <w:style w:type="character" w:customStyle="1" w:styleId="61">
    <w:name w:val="页眉 Char"/>
    <w:link w:val="20"/>
    <w:qFormat/>
    <w:uiPriority w:val="0"/>
    <w:rPr>
      <w:rFonts w:ascii="仿宋_GB2312" w:eastAsia="仿宋_GB2312"/>
      <w:b/>
      <w:i/>
      <w:kern w:val="2"/>
      <w:sz w:val="18"/>
      <w:szCs w:val="18"/>
      <w:u w:val="single"/>
    </w:rPr>
  </w:style>
  <w:style w:type="character" w:customStyle="1" w:styleId="62">
    <w:name w:val="标题 Char"/>
    <w:link w:val="25"/>
    <w:qFormat/>
    <w:uiPriority w:val="0"/>
    <w:rPr>
      <w:rFonts w:ascii="Cambria" w:hAnsi="Cambria"/>
      <w:b/>
      <w:bCs/>
      <w:kern w:val="2"/>
      <w:sz w:val="32"/>
      <w:szCs w:val="32"/>
    </w:rPr>
  </w:style>
  <w:style w:type="character" w:customStyle="1" w:styleId="63">
    <w:name w:val="批注主题 Char"/>
    <w:link w:val="26"/>
    <w:qFormat/>
    <w:uiPriority w:val="0"/>
    <w:rPr>
      <w:rFonts w:ascii="等线" w:hAnsi="等线" w:eastAsia="等线"/>
      <w:b/>
      <w:bCs/>
      <w:kern w:val="2"/>
      <w:sz w:val="21"/>
      <w:szCs w:val="22"/>
    </w:rPr>
  </w:style>
  <w:style w:type="character" w:customStyle="1" w:styleId="64">
    <w:name w:val="正文首行缩进 Char"/>
    <w:link w:val="27"/>
    <w:qFormat/>
    <w:uiPriority w:val="0"/>
    <w:rPr>
      <w:rFonts w:ascii="宋体" w:hAnsi="Arial" w:cs="Arial"/>
      <w:snapToGrid w:val="0"/>
      <w:kern w:val="2"/>
      <w:sz w:val="21"/>
      <w:szCs w:val="24"/>
      <w:lang w:val="zh-CN"/>
    </w:rPr>
  </w:style>
  <w:style w:type="character" w:customStyle="1" w:styleId="65">
    <w:name w:val="正文首行缩进 2 Char"/>
    <w:link w:val="28"/>
    <w:qFormat/>
    <w:uiPriority w:val="0"/>
    <w:rPr>
      <w:rFonts w:ascii="Calibri" w:hAnsi="Calibri"/>
      <w:kern w:val="2"/>
      <w:sz w:val="28"/>
      <w:szCs w:val="28"/>
    </w:rPr>
  </w:style>
  <w:style w:type="paragraph" w:customStyle="1" w:styleId="66">
    <w:name w:val="索引 11"/>
    <w:basedOn w:val="1"/>
    <w:next w:val="1"/>
    <w:qFormat/>
    <w:uiPriority w:val="99"/>
    <w:pPr>
      <w:adjustRightInd/>
      <w:spacing w:line="360" w:lineRule="auto"/>
    </w:pPr>
    <w:rPr>
      <w:rFonts w:ascii="仿宋_GB2312" w:eastAsia="仿宋_GB2312"/>
      <w:sz w:val="24"/>
      <w:szCs w:val="20"/>
    </w:rPr>
  </w:style>
  <w:style w:type="paragraph" w:customStyle="1" w:styleId="6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0">
    <w:name w:val="纯文本1"/>
    <w:basedOn w:val="1"/>
    <w:qFormat/>
    <w:uiPriority w:val="0"/>
    <w:pPr>
      <w:adjustRightInd/>
    </w:pPr>
    <w:rPr>
      <w:rFonts w:ascii="宋体" w:hAnsi="Courier New"/>
      <w:kern w:val="0"/>
      <w:sz w:val="20"/>
      <w:szCs w:val="20"/>
    </w:rPr>
  </w:style>
  <w:style w:type="paragraph" w:customStyle="1" w:styleId="7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纯文本_0_0"/>
    <w:basedOn w:val="71"/>
    <w:qFormat/>
    <w:uiPriority w:val="0"/>
    <w:rPr>
      <w:rFonts w:ascii="宋体" w:hAnsi="Courier New"/>
      <w:szCs w:val="21"/>
    </w:rPr>
  </w:style>
  <w:style w:type="paragraph" w:customStyle="1" w:styleId="73">
    <w:name w:val="正文2"/>
    <w:basedOn w:val="1"/>
    <w:qFormat/>
    <w:uiPriority w:val="0"/>
    <w:pPr>
      <w:spacing w:before="156" w:line="360" w:lineRule="auto"/>
      <w:ind w:firstLine="510" w:firstLineChars="200"/>
    </w:pPr>
    <w:rPr>
      <w:sz w:val="24"/>
      <w:szCs w:val="20"/>
    </w:rPr>
  </w:style>
  <w:style w:type="paragraph" w:customStyle="1" w:styleId="7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75">
    <w:name w:val="font41"/>
    <w:qFormat/>
    <w:uiPriority w:val="0"/>
    <w:rPr>
      <w:rFonts w:ascii="Calibri" w:hAnsi="Calibri" w:cs="Calibri"/>
      <w:color w:val="000000"/>
      <w:sz w:val="21"/>
      <w:szCs w:val="21"/>
      <w:u w:val="none"/>
    </w:rPr>
  </w:style>
  <w:style w:type="paragraph" w:customStyle="1" w:styleId="76">
    <w:name w:val="正文段"/>
    <w:basedOn w:val="1"/>
    <w:qFormat/>
    <w:uiPriority w:val="0"/>
    <w:pPr>
      <w:widowControl/>
      <w:numPr>
        <w:ilvl w:val="0"/>
        <w:numId w:val="2"/>
      </w:numPr>
      <w:tabs>
        <w:tab w:val="left" w:pos="1200"/>
      </w:tabs>
      <w:snapToGrid w:val="0"/>
      <w:spacing w:afterLines="50"/>
    </w:pPr>
    <w:rPr>
      <w:rFonts w:ascii="Times New Roman" w:hAnsi="Times New Roman"/>
      <w:kern w:val="0"/>
      <w:sz w:val="24"/>
      <w:szCs w:val="20"/>
    </w:rPr>
  </w:style>
  <w:style w:type="paragraph" w:styleId="77">
    <w:name w:val="List Paragraph"/>
    <w:basedOn w:val="1"/>
    <w:link w:val="78"/>
    <w:qFormat/>
    <w:uiPriority w:val="99"/>
    <w:pPr>
      <w:ind w:firstLine="420" w:firstLineChars="200"/>
    </w:pPr>
    <w:rPr>
      <w:rFonts w:ascii="Calibri" w:hAnsi="Calibri"/>
      <w:szCs w:val="22"/>
      <w:lang w:val="zh-CN"/>
    </w:rPr>
  </w:style>
  <w:style w:type="character" w:customStyle="1" w:styleId="78">
    <w:name w:val="列出段落 Char"/>
    <w:link w:val="77"/>
    <w:qFormat/>
    <w:locked/>
    <w:uiPriority w:val="34"/>
    <w:rPr>
      <w:rFonts w:ascii="Calibri" w:hAnsi="Calibri"/>
      <w:kern w:val="2"/>
      <w:sz w:val="21"/>
      <w:szCs w:val="22"/>
      <w:lang w:val="zh-CN"/>
    </w:rPr>
  </w:style>
  <w:style w:type="paragraph" w:customStyle="1" w:styleId="7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正文首行缩进 21"/>
    <w:basedOn w:val="81"/>
    <w:qFormat/>
    <w:uiPriority w:val="0"/>
    <w:pPr>
      <w:ind w:firstLine="420"/>
    </w:pPr>
  </w:style>
  <w:style w:type="paragraph" w:customStyle="1" w:styleId="81">
    <w:name w:val="正文文本缩进1"/>
    <w:basedOn w:val="1"/>
    <w:qFormat/>
    <w:uiPriority w:val="0"/>
    <w:pPr>
      <w:spacing w:line="500" w:lineRule="exact"/>
      <w:ind w:firstLine="880" w:firstLineChars="200"/>
    </w:pPr>
    <w:rPr>
      <w:rFonts w:ascii="Times New Roman" w:hAnsi="Times New Roman" w:eastAsia="宋体" w:cs="Times New Roman"/>
    </w:rPr>
  </w:style>
  <w:style w:type="character" w:customStyle="1" w:styleId="82">
    <w:name w:val="displayarti"/>
    <w:qFormat/>
    <w:uiPriority w:val="0"/>
    <w:rPr>
      <w:color w:val="FFFFFF"/>
      <w:shd w:val="clear" w:color="auto" w:fill="A00000"/>
    </w:rPr>
  </w:style>
  <w:style w:type="character" w:customStyle="1" w:styleId="83">
    <w:name w:val="gpa"/>
    <w:qFormat/>
    <w:uiPriority w:val="0"/>
    <w:rPr>
      <w:rFonts w:ascii="Arial" w:hAnsi="Arial" w:cs="Arial"/>
      <w:sz w:val="15"/>
      <w:szCs w:val="15"/>
    </w:rPr>
  </w:style>
  <w:style w:type="character" w:customStyle="1" w:styleId="84">
    <w:name w:val="num"/>
    <w:qFormat/>
    <w:uiPriority w:val="0"/>
    <w:rPr>
      <w:b/>
      <w:color w:val="FF7800"/>
    </w:rPr>
  </w:style>
  <w:style w:type="character" w:customStyle="1" w:styleId="85">
    <w:name w:val="selected"/>
    <w:qFormat/>
    <w:uiPriority w:val="0"/>
    <w:rPr>
      <w:shd w:val="clear" w:color="auto" w:fill="B00006"/>
    </w:rPr>
  </w:style>
  <w:style w:type="character" w:customStyle="1" w:styleId="86">
    <w:name w:val="release-day"/>
    <w:qFormat/>
    <w:uiPriority w:val="0"/>
    <w:rPr>
      <w:bdr w:val="single" w:color="BDEBB0" w:sz="6" w:space="0"/>
      <w:shd w:val="clear" w:color="auto" w:fill="F5FFF1"/>
    </w:rPr>
  </w:style>
  <w:style w:type="character" w:customStyle="1" w:styleId="87">
    <w:name w:val="answer-title10"/>
    <w:qFormat/>
    <w:uiPriority w:val="0"/>
  </w:style>
  <w:style w:type="character" w:customStyle="1" w:styleId="88">
    <w:name w:val="10"/>
    <w:qFormat/>
    <w:uiPriority w:val="0"/>
    <w:rPr>
      <w:rFonts w:hint="default" w:ascii="Times New Roman" w:hAnsi="Times New Roman" w:cs="Times New Roman"/>
    </w:rPr>
  </w:style>
  <w:style w:type="character" w:customStyle="1" w:styleId="89">
    <w:name w:val="15"/>
    <w:qFormat/>
    <w:uiPriority w:val="0"/>
    <w:rPr>
      <w:rFonts w:hint="default" w:ascii="Times New Roman" w:hAnsi="Times New Roman" w:cs="Times New Roman"/>
    </w:rPr>
  </w:style>
  <w:style w:type="paragraph" w:customStyle="1" w:styleId="90">
    <w:name w:val="Char"/>
    <w:basedOn w:val="1"/>
    <w:qFormat/>
    <w:uiPriority w:val="0"/>
    <w:rPr>
      <w:rFonts w:ascii="Tahoma" w:hAnsi="Tahoma"/>
      <w:sz w:val="24"/>
      <w:szCs w:val="20"/>
    </w:rPr>
  </w:style>
  <w:style w:type="paragraph" w:customStyle="1" w:styleId="91">
    <w:name w:val="样式 表格正文 + 两端对齐"/>
    <w:basedOn w:val="1"/>
    <w:qFormat/>
    <w:uiPriority w:val="0"/>
    <w:pPr>
      <w:spacing w:line="300" w:lineRule="auto"/>
    </w:pPr>
    <w:rPr>
      <w:sz w:val="24"/>
      <w:szCs w:val="20"/>
    </w:rPr>
  </w:style>
  <w:style w:type="paragraph" w:customStyle="1" w:styleId="92">
    <w:name w:val="Char Char Char Char"/>
    <w:basedOn w:val="1"/>
    <w:qFormat/>
    <w:uiPriority w:val="0"/>
    <w:rPr>
      <w:rFonts w:ascii="仿宋_GB2312" w:eastAsia="仿宋_GB2312"/>
      <w:b/>
      <w:sz w:val="32"/>
      <w:szCs w:val="32"/>
    </w:rPr>
  </w:style>
  <w:style w:type="character" w:customStyle="1" w:styleId="93">
    <w:name w:val="批注文字 字符1"/>
    <w:semiHidden/>
    <w:qFormat/>
    <w:uiPriority w:val="99"/>
    <w:rPr>
      <w:rFonts w:ascii="Times New Roman" w:hAnsi="Times New Roman" w:eastAsia="宋体" w:cs="Times New Roman"/>
      <w:szCs w:val="20"/>
    </w:rPr>
  </w:style>
  <w:style w:type="paragraph" w:customStyle="1" w:styleId="94">
    <w:name w:val="默认段落字体 Para Char Char Char Char"/>
    <w:basedOn w:val="1"/>
    <w:qFormat/>
    <w:uiPriority w:val="0"/>
    <w:pPr>
      <w:adjustRightInd w:val="0"/>
      <w:spacing w:line="360" w:lineRule="auto"/>
    </w:pPr>
    <w:rPr>
      <w:kern w:val="0"/>
      <w:sz w:val="24"/>
      <w:szCs w:val="20"/>
    </w:rPr>
  </w:style>
  <w:style w:type="paragraph" w:customStyle="1" w:styleId="95">
    <w:name w:val="Char Char Char Char Char Char Char"/>
    <w:basedOn w:val="1"/>
    <w:qFormat/>
    <w:uiPriority w:val="0"/>
    <w:pPr>
      <w:widowControl/>
      <w:spacing w:after="160" w:line="240" w:lineRule="exact"/>
      <w:jc w:val="left"/>
    </w:pPr>
    <w:rPr>
      <w:rFonts w:ascii="宋体" w:hAnsi="宋体"/>
      <w:b/>
      <w:sz w:val="24"/>
      <w:szCs w:val="20"/>
    </w:rPr>
  </w:style>
  <w:style w:type="paragraph" w:customStyle="1" w:styleId="96">
    <w:name w:val="列出段落11"/>
    <w:basedOn w:val="1"/>
    <w:qFormat/>
    <w:uiPriority w:val="0"/>
    <w:pPr>
      <w:ind w:firstLine="420" w:firstLineChars="200"/>
    </w:pPr>
    <w:rPr>
      <w:rFonts w:ascii="宋体" w:hAnsi="宋体" w:cs="宋体"/>
      <w:sz w:val="24"/>
    </w:rPr>
  </w:style>
  <w:style w:type="paragraph" w:customStyle="1" w:styleId="97">
    <w:name w:val="样式1"/>
    <w:basedOn w:val="1"/>
    <w:qFormat/>
    <w:uiPriority w:val="0"/>
    <w:pPr>
      <w:spacing w:before="100" w:beforeAutospacing="1" w:after="100" w:afterAutospacing="1"/>
      <w:ind w:left="709" w:hanging="709"/>
    </w:pPr>
    <w:rPr>
      <w:rFonts w:ascii="宋体" w:hAnsi="宋体" w:cs="宋体"/>
      <w:szCs w:val="21"/>
    </w:rPr>
  </w:style>
  <w:style w:type="paragraph" w:customStyle="1" w:styleId="98">
    <w:name w:val="Char Char Char Char1 Char Char Char Char"/>
    <w:basedOn w:val="1"/>
    <w:qFormat/>
    <w:uiPriority w:val="0"/>
    <w:pPr>
      <w:widowControl/>
      <w:spacing w:after="160" w:line="240" w:lineRule="exact"/>
      <w:jc w:val="left"/>
    </w:pPr>
    <w:rPr>
      <w:szCs w:val="20"/>
    </w:rPr>
  </w:style>
  <w:style w:type="paragraph" w:customStyle="1" w:styleId="99">
    <w:name w:val="此正文"/>
    <w:basedOn w:val="1"/>
    <w:qFormat/>
    <w:uiPriority w:val="0"/>
    <w:pPr>
      <w:spacing w:line="360" w:lineRule="auto"/>
      <w:ind w:firstLine="200" w:firstLineChars="200"/>
    </w:pPr>
    <w:rPr>
      <w:sz w:val="24"/>
    </w:rPr>
  </w:style>
  <w:style w:type="paragraph" w:customStyle="1" w:styleId="100">
    <w:name w:val="修订1"/>
    <w:unhideWhenUsed/>
    <w:qFormat/>
    <w:uiPriority w:val="99"/>
    <w:rPr>
      <w:rFonts w:ascii="Times New Roman" w:hAnsi="Times New Roman" w:eastAsia="宋体" w:cs="Times New Roman"/>
      <w:kern w:val="2"/>
      <w:sz w:val="21"/>
      <w:lang w:val="en-US" w:eastAsia="zh-CN" w:bidi="ar-SA"/>
    </w:rPr>
  </w:style>
  <w:style w:type="character" w:customStyle="1" w:styleId="101">
    <w:name w:val="纯文本 Char4"/>
    <w:qFormat/>
    <w:uiPriority w:val="0"/>
    <w:rPr>
      <w:rFonts w:hint="eastAsia" w:ascii="宋体" w:hAnsi="Courier New" w:eastAsia="宋体" w:cs="Courier New"/>
      <w:kern w:val="0"/>
      <w:szCs w:val="21"/>
    </w:rPr>
  </w:style>
  <w:style w:type="paragraph" w:customStyle="1" w:styleId="102">
    <w:name w:val="_Style 101"/>
    <w:basedOn w:val="2"/>
    <w:next w:val="1"/>
    <w:unhideWhenUsed/>
    <w:qFormat/>
    <w:uiPriority w:val="39"/>
    <w:pPr>
      <w:keepLines/>
      <w:widowControl/>
      <w:spacing w:before="480" w:line="276" w:lineRule="auto"/>
      <w:ind w:firstLine="0"/>
      <w:jc w:val="left"/>
      <w:outlineLvl w:val="9"/>
    </w:pPr>
    <w:rPr>
      <w:rFonts w:ascii="Cambria" w:hAnsi="Cambria" w:eastAsia="宋体" w:cs="Times New Roman"/>
      <w:i w:val="0"/>
      <w:iCs w:val="0"/>
      <w:color w:val="365F91"/>
      <w:kern w:val="0"/>
      <w:sz w:val="28"/>
      <w:szCs w:val="28"/>
    </w:rPr>
  </w:style>
  <w:style w:type="paragraph" w:customStyle="1" w:styleId="103">
    <w:name w:val="列出段落1"/>
    <w:basedOn w:val="1"/>
    <w:qFormat/>
    <w:uiPriority w:val="0"/>
    <w:pPr>
      <w:ind w:firstLine="420" w:firstLineChars="200"/>
    </w:pPr>
    <w:rPr>
      <w:rFonts w:ascii="Calibri" w:hAnsi="Calibri"/>
      <w:szCs w:val="21"/>
    </w:rPr>
  </w:style>
  <w:style w:type="paragraph" w:customStyle="1" w:styleId="104">
    <w:name w:val="List Paragraph1"/>
    <w:basedOn w:val="1"/>
    <w:qFormat/>
    <w:uiPriority w:val="0"/>
    <w:pPr>
      <w:ind w:firstLine="420" w:firstLineChars="200"/>
    </w:pPr>
    <w:rPr>
      <w:rFonts w:ascii="等线" w:hAnsi="等线" w:eastAsia="等线"/>
      <w:szCs w:val="21"/>
    </w:rPr>
  </w:style>
  <w:style w:type="table" w:customStyle="1" w:styleId="105">
    <w:name w:val="网格型1"/>
    <w:basedOn w:val="29"/>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table" w:customStyle="1" w:styleId="106">
    <w:name w:val="网格型2"/>
    <w:basedOn w:val="29"/>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customStyle="1" w:styleId="107">
    <w:name w:val="页眉 字符"/>
    <w:qFormat/>
    <w:uiPriority w:val="0"/>
    <w:rPr>
      <w:kern w:val="2"/>
      <w:sz w:val="18"/>
      <w:szCs w:val="18"/>
    </w:rPr>
  </w:style>
  <w:style w:type="character" w:customStyle="1" w:styleId="108">
    <w:name w:val="页脚 字符"/>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77</Pages>
  <Words>4259</Words>
  <Characters>4683</Characters>
  <Lines>1</Lines>
  <Paragraphs>1</Paragraphs>
  <TotalTime>109</TotalTime>
  <ScaleCrop>false</ScaleCrop>
  <LinksUpToDate>false</LinksUpToDate>
  <CharactersWithSpaces>4829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user</dc:creator>
  <cp:lastModifiedBy>冰比冰水冰_周雨²º¹⁸</cp:lastModifiedBy>
  <cp:lastPrinted>2023-06-16T10:21:00Z</cp:lastPrinted>
  <dcterms:modified xsi:type="dcterms:W3CDTF">2024-11-28T01:04:15Z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49B76A55E29E4AEEAE1AD1DB1536C482_13</vt:lpwstr>
  </property>
</Properties>
</file>