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9089">
      <w:pPr>
        <w:spacing w:after="120" w:line="800" w:lineRule="exact"/>
        <w:rPr>
          <w:rFonts w:hint="eastAsia" w:ascii="宋体" w:hAnsi="宋体" w:eastAsia="宋体" w:cs="宋体"/>
          <w:b/>
          <w:sz w:val="24"/>
          <w:szCs w:val="24"/>
        </w:rPr>
      </w:pPr>
    </w:p>
    <w:p w14:paraId="3CC45B84">
      <w:pPr>
        <w:spacing w:after="120" w:line="1000" w:lineRule="exact"/>
        <w:jc w:val="center"/>
        <w:rPr>
          <w:rFonts w:hint="eastAsia" w:ascii="宋体" w:hAnsi="宋体" w:eastAsia="宋体" w:cs="宋体"/>
          <w:b/>
          <w:sz w:val="44"/>
          <w:szCs w:val="52"/>
        </w:rPr>
      </w:pPr>
      <w:r>
        <w:rPr>
          <w:rFonts w:hint="eastAsia" w:ascii="宋体" w:hAnsi="宋体" w:eastAsia="宋体" w:cs="宋体"/>
          <w:b/>
          <w:sz w:val="44"/>
          <w:szCs w:val="52"/>
        </w:rPr>
        <w:t>大榭片区“十五五”发展规划项目</w:t>
      </w:r>
    </w:p>
    <w:p w14:paraId="64F9E8D1">
      <w:pPr>
        <w:spacing w:after="120" w:line="1000" w:lineRule="exact"/>
        <w:jc w:val="center"/>
        <w:rPr>
          <w:rFonts w:hint="eastAsia" w:ascii="宋体" w:hAnsi="宋体" w:eastAsia="宋体" w:cs="宋体"/>
          <w:b/>
          <w:sz w:val="44"/>
          <w:szCs w:val="52"/>
        </w:rPr>
      </w:pPr>
      <w:r>
        <w:rPr>
          <w:rFonts w:hint="eastAsia" w:ascii="宋体" w:hAnsi="宋体" w:eastAsia="宋体" w:cs="宋体"/>
          <w:b/>
          <w:sz w:val="44"/>
          <w:szCs w:val="52"/>
        </w:rPr>
        <w:t>竞争性磋商文件</w:t>
      </w:r>
    </w:p>
    <w:p w14:paraId="3EA8408D">
      <w:pPr>
        <w:spacing w:after="120" w:line="1000" w:lineRule="exact"/>
        <w:rPr>
          <w:rFonts w:hint="eastAsia" w:ascii="宋体" w:hAnsi="宋体" w:eastAsia="宋体" w:cs="宋体"/>
          <w:b/>
          <w:sz w:val="44"/>
          <w:szCs w:val="52"/>
        </w:rPr>
      </w:pPr>
    </w:p>
    <w:p w14:paraId="39BDD853">
      <w:pPr>
        <w:rPr>
          <w:rFonts w:hint="eastAsia" w:ascii="宋体" w:hAnsi="宋体" w:eastAsia="宋体" w:cs="宋体"/>
          <w:b/>
          <w:sz w:val="36"/>
          <w:szCs w:val="36"/>
        </w:rPr>
      </w:pPr>
    </w:p>
    <w:p w14:paraId="00EC5139">
      <w:pPr>
        <w:spacing w:line="800" w:lineRule="exact"/>
        <w:ind w:firstLine="643" w:firstLineChars="200"/>
        <w:rPr>
          <w:rFonts w:hint="eastAsia" w:ascii="宋体" w:hAnsi="宋体" w:eastAsia="宋体" w:cs="宋体"/>
          <w:b/>
          <w:sz w:val="32"/>
          <w:szCs w:val="32"/>
        </w:rPr>
      </w:pPr>
    </w:p>
    <w:p w14:paraId="355CCFA5">
      <w:pPr>
        <w:spacing w:line="800" w:lineRule="exact"/>
        <w:ind w:firstLine="643" w:firstLineChars="200"/>
        <w:rPr>
          <w:rFonts w:hint="eastAsia" w:ascii="宋体" w:hAnsi="宋体" w:eastAsia="宋体" w:cs="宋体"/>
          <w:b/>
          <w:sz w:val="32"/>
          <w:szCs w:val="32"/>
        </w:rPr>
      </w:pPr>
    </w:p>
    <w:p w14:paraId="583E4CDB">
      <w:pPr>
        <w:spacing w:line="800" w:lineRule="exact"/>
        <w:ind w:firstLine="643" w:firstLineChars="200"/>
        <w:rPr>
          <w:rFonts w:hint="eastAsia" w:ascii="宋体" w:hAnsi="宋体" w:eastAsia="宋体" w:cs="宋体"/>
          <w:b/>
          <w:sz w:val="32"/>
          <w:szCs w:val="32"/>
        </w:rPr>
      </w:pPr>
    </w:p>
    <w:p w14:paraId="128A44CA">
      <w:pPr>
        <w:spacing w:line="800" w:lineRule="exact"/>
        <w:ind w:firstLine="643" w:firstLineChars="200"/>
        <w:rPr>
          <w:rFonts w:hint="default" w:ascii="宋体" w:hAnsi="宋体" w:eastAsia="宋体" w:cs="宋体"/>
          <w:b/>
          <w:sz w:val="32"/>
          <w:szCs w:val="32"/>
          <w:lang w:val="en-US" w:eastAsia="zh-CN"/>
        </w:rPr>
      </w:pPr>
      <w:r>
        <w:rPr>
          <w:rFonts w:hint="eastAsia" w:ascii="宋体" w:hAnsi="宋体" w:eastAsia="宋体" w:cs="宋体"/>
          <w:b/>
          <w:sz w:val="32"/>
          <w:szCs w:val="32"/>
        </w:rPr>
        <w:t>项目编号：NBITC-202530001GC-BL</w:t>
      </w:r>
      <w:r>
        <w:rPr>
          <w:rFonts w:hint="eastAsia" w:ascii="宋体" w:hAnsi="宋体" w:cs="宋体"/>
          <w:b/>
          <w:sz w:val="32"/>
          <w:szCs w:val="32"/>
          <w:lang w:val="en-US" w:eastAsia="zh-CN"/>
        </w:rPr>
        <w:t>007</w:t>
      </w:r>
    </w:p>
    <w:p w14:paraId="259F42A4">
      <w:pPr>
        <w:spacing w:line="8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采购人：宁波经济技术开发区大榭经济发展中心</w:t>
      </w:r>
    </w:p>
    <w:p w14:paraId="7F171BA4">
      <w:pPr>
        <w:spacing w:line="8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代理机构：宁波市国际招标有限公司</w:t>
      </w:r>
    </w:p>
    <w:p w14:paraId="7F72A2C9">
      <w:pPr>
        <w:spacing w:line="8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编制日期：2025年</w:t>
      </w:r>
      <w:r>
        <w:rPr>
          <w:rFonts w:hint="eastAsia" w:ascii="宋体" w:hAnsi="宋体" w:cs="宋体"/>
          <w:b/>
          <w:sz w:val="32"/>
          <w:szCs w:val="32"/>
          <w:lang w:val="en-US" w:eastAsia="zh-CN"/>
        </w:rPr>
        <w:t>2</w:t>
      </w:r>
      <w:r>
        <w:rPr>
          <w:rFonts w:hint="eastAsia" w:ascii="宋体" w:hAnsi="宋体" w:eastAsia="宋体" w:cs="宋体"/>
          <w:b/>
          <w:sz w:val="32"/>
          <w:szCs w:val="32"/>
        </w:rPr>
        <w:t>月</w:t>
      </w:r>
    </w:p>
    <w:p w14:paraId="232DDA54">
      <w:pPr>
        <w:spacing w:line="600" w:lineRule="exact"/>
        <w:ind w:firstLine="1656" w:firstLineChars="550"/>
        <w:rPr>
          <w:rFonts w:hint="eastAsia" w:ascii="宋体" w:hAnsi="宋体" w:eastAsia="宋体" w:cs="宋体"/>
          <w:b/>
          <w:sz w:val="30"/>
          <w:szCs w:val="30"/>
        </w:rPr>
      </w:pPr>
    </w:p>
    <w:p w14:paraId="77DBA25A">
      <w:pPr>
        <w:spacing w:line="400" w:lineRule="exact"/>
        <w:jc w:val="center"/>
        <w:rPr>
          <w:rFonts w:hint="eastAsia" w:ascii="宋体" w:hAnsi="宋体" w:eastAsia="宋体" w:cs="宋体"/>
          <w:b/>
          <w:sz w:val="24"/>
          <w:szCs w:val="24"/>
        </w:rPr>
        <w:sectPr>
          <w:headerReference r:id="rId3" w:type="default"/>
          <w:footerReference r:id="rId4" w:type="default"/>
          <w:footerReference r:id="rId5" w:type="even"/>
          <w:type w:val="nextColumn"/>
          <w:pgSz w:w="11907" w:h="16840"/>
          <w:pgMar w:top="1474" w:right="1474" w:bottom="1474" w:left="1474" w:header="907" w:footer="850" w:gutter="0"/>
          <w:pgBorders>
            <w:top w:val="none" w:sz="0" w:space="0"/>
            <w:left w:val="none" w:sz="0" w:space="0"/>
            <w:bottom w:val="none" w:sz="0" w:space="0"/>
            <w:right w:val="none" w:sz="0" w:space="0"/>
          </w:pgBorders>
          <w:pgNumType w:fmt="decimal" w:start="1"/>
          <w:cols w:space="720" w:num="1"/>
          <w:docGrid w:linePitch="285" w:charSpace="0"/>
        </w:sectPr>
      </w:pPr>
    </w:p>
    <w:p w14:paraId="1029194E">
      <w:pPr>
        <w:spacing w:line="480" w:lineRule="auto"/>
        <w:jc w:val="center"/>
        <w:rPr>
          <w:rFonts w:hint="eastAsia" w:ascii="宋体" w:hAnsi="宋体" w:eastAsia="宋体" w:cs="宋体"/>
          <w:b/>
          <w:sz w:val="24"/>
          <w:szCs w:val="24"/>
        </w:rPr>
      </w:pPr>
    </w:p>
    <w:p w14:paraId="739EE9B5">
      <w:pPr>
        <w:spacing w:line="1200" w:lineRule="exact"/>
        <w:jc w:val="center"/>
        <w:rPr>
          <w:rFonts w:hint="eastAsia" w:ascii="宋体" w:hAnsi="宋体" w:eastAsia="宋体" w:cs="宋体"/>
          <w:b/>
          <w:sz w:val="72"/>
          <w:szCs w:val="72"/>
        </w:rPr>
      </w:pPr>
      <w:r>
        <w:rPr>
          <w:rFonts w:hint="eastAsia" w:ascii="宋体" w:hAnsi="宋体" w:eastAsia="宋体" w:cs="宋体"/>
          <w:b/>
          <w:sz w:val="72"/>
          <w:szCs w:val="72"/>
        </w:rPr>
        <w:t>温馨提醒</w:t>
      </w:r>
    </w:p>
    <w:p w14:paraId="5C37EC15">
      <w:pPr>
        <w:spacing w:line="1000" w:lineRule="exact"/>
        <w:jc w:val="left"/>
        <w:rPr>
          <w:rFonts w:hint="eastAsia" w:ascii="宋体" w:hAnsi="宋体" w:eastAsia="宋体" w:cs="宋体"/>
          <w:b/>
          <w:sz w:val="30"/>
          <w:szCs w:val="30"/>
        </w:rPr>
      </w:pPr>
      <w:r>
        <w:rPr>
          <w:rFonts w:hint="eastAsia" w:ascii="宋体" w:hAnsi="宋体" w:eastAsia="宋体" w:cs="宋体"/>
          <w:b/>
          <w:sz w:val="30"/>
          <w:szCs w:val="30"/>
        </w:rPr>
        <w:t>1</w:t>
      </w:r>
      <w:r>
        <w:rPr>
          <w:rFonts w:hint="eastAsia" w:ascii="宋体" w:hAnsi="宋体" w:eastAsia="宋体" w:cs="宋体"/>
          <w:b/>
          <w:sz w:val="30"/>
          <w:szCs w:val="30"/>
          <w:lang w:eastAsia="zh-CN"/>
        </w:rPr>
        <w:t>.</w:t>
      </w:r>
      <w:r>
        <w:rPr>
          <w:rFonts w:hint="eastAsia" w:ascii="宋体" w:hAnsi="宋体" w:eastAsia="宋体" w:cs="宋体"/>
          <w:b/>
          <w:sz w:val="30"/>
          <w:szCs w:val="30"/>
        </w:rPr>
        <w:t>磋商响应文件应按竞争性磋商文件要求将“资格文件”、“商务和技术文件”、“报价文件”分别编制。</w:t>
      </w:r>
    </w:p>
    <w:p w14:paraId="61C4F1CC">
      <w:pPr>
        <w:spacing w:line="1000" w:lineRule="exact"/>
        <w:jc w:val="left"/>
        <w:rPr>
          <w:rFonts w:hint="eastAsia" w:ascii="宋体" w:hAnsi="宋体" w:eastAsia="宋体" w:cs="宋体"/>
          <w:b/>
          <w:sz w:val="30"/>
          <w:szCs w:val="30"/>
        </w:rPr>
      </w:pPr>
      <w:r>
        <w:rPr>
          <w:rFonts w:hint="eastAsia" w:ascii="宋体" w:hAnsi="宋体" w:eastAsia="宋体" w:cs="宋体"/>
          <w:b/>
          <w:sz w:val="30"/>
          <w:szCs w:val="30"/>
        </w:rPr>
        <w:t>2</w:t>
      </w:r>
      <w:r>
        <w:rPr>
          <w:rFonts w:hint="eastAsia" w:ascii="宋体" w:hAnsi="宋体" w:eastAsia="宋体" w:cs="宋体"/>
          <w:b/>
          <w:sz w:val="30"/>
          <w:szCs w:val="30"/>
          <w:lang w:eastAsia="zh-CN"/>
        </w:rPr>
        <w:t>.</w:t>
      </w:r>
      <w:r>
        <w:rPr>
          <w:rFonts w:hint="eastAsia" w:ascii="宋体" w:hAnsi="宋体" w:eastAsia="宋体" w:cs="宋体"/>
          <w:b/>
          <w:sz w:val="30"/>
          <w:szCs w:val="30"/>
        </w:rPr>
        <w:t>“商务和技术文件”中不得出现涉及报价的内容，否则作无效报价处理。</w:t>
      </w:r>
    </w:p>
    <w:p w14:paraId="37320BEC">
      <w:pPr>
        <w:spacing w:line="1000" w:lineRule="exact"/>
        <w:jc w:val="left"/>
        <w:rPr>
          <w:rFonts w:hint="eastAsia" w:ascii="宋体" w:hAnsi="宋体" w:eastAsia="宋体" w:cs="宋体"/>
          <w:b/>
          <w:sz w:val="30"/>
          <w:szCs w:val="30"/>
        </w:rPr>
      </w:pPr>
      <w:r>
        <w:rPr>
          <w:rFonts w:hint="eastAsia" w:ascii="宋体" w:hAnsi="宋体" w:eastAsia="宋体" w:cs="宋体"/>
          <w:b/>
          <w:sz w:val="30"/>
          <w:szCs w:val="30"/>
        </w:rPr>
        <w:t>3</w:t>
      </w:r>
      <w:r>
        <w:rPr>
          <w:rFonts w:hint="eastAsia" w:ascii="宋体" w:hAnsi="宋体" w:eastAsia="宋体" w:cs="宋体"/>
          <w:b/>
          <w:sz w:val="30"/>
          <w:szCs w:val="30"/>
          <w:lang w:eastAsia="zh-CN"/>
        </w:rPr>
        <w:t>.</w:t>
      </w:r>
      <w:r>
        <w:rPr>
          <w:rFonts w:hint="eastAsia" w:ascii="宋体" w:hAnsi="宋体" w:eastAsia="宋体" w:cs="宋体"/>
          <w:b/>
          <w:sz w:val="30"/>
          <w:szCs w:val="30"/>
        </w:rPr>
        <w:t>采购人可以对已发出的竞争性磋商文件进行必要的澄清或者修改，将以“更正公告”的形式发布在政采云平台，供应商应及时登录政采云平台，进行浏览并下载，未及时浏览下载的责任自负。</w:t>
      </w:r>
    </w:p>
    <w:p w14:paraId="394D2292">
      <w:pPr>
        <w:spacing w:line="1000" w:lineRule="exact"/>
        <w:jc w:val="left"/>
        <w:rPr>
          <w:rFonts w:hint="eastAsia" w:ascii="宋体" w:hAnsi="宋体" w:eastAsia="宋体" w:cs="宋体"/>
          <w:b/>
          <w:sz w:val="30"/>
          <w:szCs w:val="30"/>
        </w:rPr>
      </w:pPr>
    </w:p>
    <w:p w14:paraId="6F8864BD">
      <w:pPr>
        <w:tabs>
          <w:tab w:val="center" w:pos="4365"/>
        </w:tabs>
        <w:spacing w:line="480" w:lineRule="auto"/>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5A710880">
      <w:pPr>
        <w:keepNext w:val="0"/>
        <w:keepLines w:val="0"/>
        <w:pageBreakBefore w:val="0"/>
        <w:widowControl w:val="0"/>
        <w:tabs>
          <w:tab w:val="center" w:pos="4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rPr>
      </w:pPr>
    </w:p>
    <w:p w14:paraId="05077B1C">
      <w:pPr>
        <w:keepNext w:val="0"/>
        <w:keepLines w:val="0"/>
        <w:pageBreakBefore w:val="0"/>
        <w:widowControl w:val="0"/>
        <w:tabs>
          <w:tab w:val="center" w:pos="4365"/>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目录</w:t>
      </w:r>
    </w:p>
    <w:p w14:paraId="3F0958A3">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_Toc14819 </w:instrText>
      </w:r>
      <w:r>
        <w:rPr>
          <w:rFonts w:hint="eastAsia" w:ascii="宋体" w:hAnsi="宋体" w:eastAsia="宋体" w:cs="宋体"/>
        </w:rPr>
        <w:fldChar w:fldCharType="separate"/>
      </w:r>
      <w:r>
        <w:rPr>
          <w:rFonts w:hint="eastAsia" w:ascii="宋体" w:hAnsi="宋体" w:eastAsia="宋体" w:cs="宋体"/>
          <w:szCs w:val="30"/>
        </w:rPr>
        <w:t>第一章竞争性磋商公告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rPr>
        <w:fldChar w:fldCharType="end"/>
      </w:r>
    </w:p>
    <w:p w14:paraId="6D0FC682">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_Toc10663 </w:instrText>
      </w:r>
      <w:r>
        <w:rPr>
          <w:rFonts w:hint="eastAsia" w:ascii="宋体" w:hAnsi="宋体" w:eastAsia="宋体" w:cs="宋体"/>
        </w:rPr>
        <w:fldChar w:fldCharType="separate"/>
      </w:r>
      <w:r>
        <w:rPr>
          <w:rFonts w:hint="eastAsia" w:ascii="宋体" w:hAnsi="宋体" w:eastAsia="宋体" w:cs="宋体"/>
          <w:szCs w:val="30"/>
        </w:rPr>
        <w:t>第二章磋商须知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_Toc10663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rPr>
        <w:fldChar w:fldCharType="end"/>
      </w:r>
    </w:p>
    <w:p w14:paraId="650ED89B">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_Toc24794 </w:instrText>
      </w:r>
      <w:r>
        <w:rPr>
          <w:rFonts w:hint="eastAsia" w:ascii="宋体" w:hAnsi="宋体" w:eastAsia="宋体" w:cs="宋体"/>
        </w:rPr>
        <w:fldChar w:fldCharType="separate"/>
      </w:r>
      <w:r>
        <w:rPr>
          <w:rFonts w:hint="eastAsia" w:ascii="宋体" w:hAnsi="宋体" w:eastAsia="宋体" w:cs="宋体"/>
          <w:szCs w:val="30"/>
        </w:rPr>
        <w:t>第三章评定成交的标准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_Toc24794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auto"/>
        </w:rPr>
        <w:fldChar w:fldCharType="end"/>
      </w:r>
    </w:p>
    <w:p w14:paraId="01D23E88">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_Toc16179 </w:instrText>
      </w:r>
      <w:r>
        <w:rPr>
          <w:rFonts w:hint="eastAsia" w:ascii="宋体" w:hAnsi="宋体" w:eastAsia="宋体" w:cs="宋体"/>
        </w:rPr>
        <w:fldChar w:fldCharType="separate"/>
      </w:r>
      <w:r>
        <w:rPr>
          <w:rFonts w:hint="eastAsia" w:ascii="宋体" w:hAnsi="宋体" w:eastAsia="宋体" w:cs="宋体"/>
          <w:szCs w:val="30"/>
        </w:rPr>
        <w:t>第四章合同样本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_Toc16179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rPr>
        <w:fldChar w:fldCharType="end"/>
      </w:r>
    </w:p>
    <w:p w14:paraId="286FF1C0">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_Toc4607 </w:instrText>
      </w:r>
      <w:r>
        <w:rPr>
          <w:rFonts w:hint="eastAsia" w:ascii="宋体" w:hAnsi="宋体" w:eastAsia="宋体" w:cs="宋体"/>
        </w:rPr>
        <w:fldChar w:fldCharType="separate"/>
      </w:r>
      <w:r>
        <w:rPr>
          <w:rFonts w:hint="eastAsia" w:ascii="宋体" w:hAnsi="宋体" w:eastAsia="宋体" w:cs="宋体"/>
          <w:szCs w:val="30"/>
        </w:rPr>
        <w:t>第五章采购需求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_Toc4607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rPr>
        <w:fldChar w:fldCharType="end"/>
      </w:r>
    </w:p>
    <w:p w14:paraId="0634B3CA">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_Toc8962 </w:instrText>
      </w:r>
      <w:r>
        <w:rPr>
          <w:rFonts w:hint="eastAsia" w:ascii="宋体" w:hAnsi="宋体" w:eastAsia="宋体" w:cs="宋体"/>
        </w:rPr>
        <w:fldChar w:fldCharType="separate"/>
      </w:r>
      <w:r>
        <w:rPr>
          <w:rFonts w:hint="eastAsia" w:ascii="宋体" w:hAnsi="宋体" w:eastAsia="宋体" w:cs="宋体"/>
          <w:szCs w:val="30"/>
        </w:rPr>
        <w:t>第六章商务条款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_Toc8962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rPr>
        <w:fldChar w:fldCharType="end"/>
      </w:r>
    </w:p>
    <w:p w14:paraId="407B75B0">
      <w:pPr>
        <w:pStyle w:val="33"/>
        <w:tabs>
          <w:tab w:val="right" w:leader="dot" w:pos="8959"/>
          <w:tab w:val="clear" w:pos="8721"/>
        </w:tabs>
        <w:spacing w:line="360" w:lineRule="auto"/>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_Toc6896 </w:instrText>
      </w:r>
      <w:r>
        <w:rPr>
          <w:rFonts w:hint="eastAsia" w:ascii="宋体" w:hAnsi="宋体" w:eastAsia="宋体" w:cs="宋体"/>
        </w:rPr>
        <w:fldChar w:fldCharType="separate"/>
      </w:r>
      <w:r>
        <w:rPr>
          <w:rFonts w:hint="eastAsia" w:ascii="宋体" w:hAnsi="宋体" w:eastAsia="宋体" w:cs="宋体"/>
          <w:szCs w:val="30"/>
        </w:rPr>
        <w:t>第七章附件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_Toc6896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rPr>
        <w:fldChar w:fldCharType="end"/>
      </w:r>
    </w:p>
    <w:p w14:paraId="5584DDA7">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sectPr>
          <w:headerReference r:id="rId6" w:type="default"/>
          <w:type w:val="nextColumn"/>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eastAsia="宋体" w:cs="宋体"/>
          <w:color w:val="auto"/>
        </w:rPr>
        <w:fldChar w:fldCharType="end"/>
      </w:r>
      <w:bookmarkStart w:id="60" w:name="_GoBack"/>
      <w:bookmarkEnd w:id="60"/>
    </w:p>
    <w:p w14:paraId="7C4D8F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sz w:val="30"/>
          <w:szCs w:val="30"/>
        </w:rPr>
      </w:pPr>
      <w:bookmarkStart w:id="0" w:name="_Toc14819"/>
      <w:r>
        <w:rPr>
          <w:rFonts w:hint="eastAsia" w:ascii="宋体" w:hAnsi="宋体" w:eastAsia="宋体" w:cs="宋体"/>
          <w:b/>
          <w:sz w:val="30"/>
          <w:szCs w:val="30"/>
        </w:rPr>
        <w:t>第一章竞争性磋商公告</w:t>
      </w:r>
      <w:bookmarkEnd w:id="0"/>
    </w:p>
    <w:p w14:paraId="71F87165">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b/>
          <w:szCs w:val="21"/>
        </w:rPr>
      </w:pPr>
      <w:r>
        <w:rPr>
          <w:rFonts w:hint="eastAsia" w:ascii="宋体" w:hAnsi="宋体" w:eastAsia="宋体" w:cs="宋体"/>
          <w:b/>
          <w:szCs w:val="21"/>
        </w:rPr>
        <w:t>项目概况</w:t>
      </w:r>
    </w:p>
    <w:p w14:paraId="370D0F7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大榭片区“十五五”发展规划项目的潜在供应商应在政府采购云平台（</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"http://www.zcygov.cn）获取（下载）采购文件，并于2023年3月" </w:instrText>
      </w:r>
      <w:r>
        <w:rPr>
          <w:rFonts w:hint="eastAsia" w:ascii="宋体" w:hAnsi="宋体" w:eastAsia="宋体" w:cs="宋体"/>
          <w:szCs w:val="21"/>
        </w:rPr>
        <w:fldChar w:fldCharType="separate"/>
      </w:r>
      <w:r>
        <w:rPr>
          <w:rFonts w:hint="eastAsia" w:ascii="宋体" w:hAnsi="宋体" w:eastAsia="宋体" w:cs="宋体"/>
          <w:szCs w:val="21"/>
        </w:rPr>
        <w:t>www.zcygov.cn）获取（下载）采购文件，并于2025年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rPr>
        <w:fldChar w:fldCharType="end"/>
      </w:r>
      <w:r>
        <w:rPr>
          <w:rFonts w:hint="eastAsia" w:ascii="宋体" w:hAnsi="宋体" w:eastAsia="宋体" w:cs="宋体"/>
          <w:szCs w:val="21"/>
          <w:lang w:val="en-US" w:eastAsia="zh-CN"/>
        </w:rPr>
        <w:t>18</w:t>
      </w:r>
      <w:r>
        <w:rPr>
          <w:rFonts w:hint="eastAsia" w:ascii="宋体" w:hAnsi="宋体" w:eastAsia="宋体" w:cs="宋体"/>
          <w:szCs w:val="21"/>
        </w:rPr>
        <w:t>日13:00（北京时间）前提交（上传）响应文件。</w:t>
      </w:r>
    </w:p>
    <w:p w14:paraId="52082806">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一、项目基本情况</w:t>
      </w:r>
    </w:p>
    <w:p w14:paraId="6145B9C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rPr>
        <w:t>项目编号：NBITC-202530001GC-BL</w:t>
      </w:r>
      <w:r>
        <w:rPr>
          <w:rFonts w:hint="eastAsia" w:ascii="宋体" w:hAnsi="宋体" w:cs="宋体"/>
          <w:szCs w:val="21"/>
          <w:lang w:val="en-US" w:eastAsia="zh-CN"/>
        </w:rPr>
        <w:t>007</w:t>
      </w:r>
    </w:p>
    <w:p w14:paraId="4989AFE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项目名称：大榭片区“十五五”发展规划项目</w:t>
      </w:r>
    </w:p>
    <w:p w14:paraId="4B18D04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采购方式：竞争性磋商</w:t>
      </w:r>
    </w:p>
    <w:p w14:paraId="43E551E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预算金额（元）：350000</w:t>
      </w:r>
    </w:p>
    <w:p w14:paraId="3772777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最高限价（元）：350000</w:t>
      </w:r>
    </w:p>
    <w:p w14:paraId="161BDB4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采购需求：详见“第五章采购需求”。</w:t>
      </w:r>
    </w:p>
    <w:p w14:paraId="317534E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标项一</w:t>
      </w:r>
      <w:r>
        <w:rPr>
          <w:rFonts w:hint="eastAsia" w:ascii="宋体" w:hAnsi="宋体" w:eastAsia="宋体" w:cs="宋体"/>
          <w:szCs w:val="21"/>
          <w:highlight w:val="none"/>
          <w:lang w:val="en-US" w:eastAsia="zh-CN"/>
        </w:rPr>
        <w:t>:</w:t>
      </w:r>
    </w:p>
    <w:p w14:paraId="4E79820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highlight w:val="none"/>
        </w:rPr>
        <w:t>标项名称：大榭片区“十五五”发展规划服务</w:t>
      </w:r>
    </w:p>
    <w:p w14:paraId="19D4032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数量：1</w:t>
      </w:r>
    </w:p>
    <w:p w14:paraId="3AB7A9D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最高金额（元）：350000</w:t>
      </w:r>
    </w:p>
    <w:p w14:paraId="51D9562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单位：批</w:t>
      </w:r>
    </w:p>
    <w:p w14:paraId="7C53D41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简要规格描述：开展大榭片区提升发展的目标路径研究，编制形成大榭片区“十五五”发展规划。</w:t>
      </w:r>
    </w:p>
    <w:p w14:paraId="3D237E2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备注：详见“第五章采购需求”。</w:t>
      </w:r>
    </w:p>
    <w:p w14:paraId="4588508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合同履约期限：2025年11月30日前编制形成《大榭片区“十五五”发展规划》。</w:t>
      </w:r>
    </w:p>
    <w:p w14:paraId="23B76DF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本项目（否）接受联合体</w:t>
      </w:r>
      <w:r>
        <w:rPr>
          <w:rFonts w:hint="eastAsia" w:ascii="宋体" w:hAnsi="宋体" w:cs="宋体"/>
          <w:szCs w:val="21"/>
          <w:lang w:eastAsia="zh-CN"/>
        </w:rPr>
        <w:t>响应</w:t>
      </w:r>
      <w:r>
        <w:rPr>
          <w:rFonts w:hint="eastAsia" w:ascii="宋体" w:hAnsi="宋体" w:eastAsia="宋体" w:cs="宋体"/>
          <w:szCs w:val="21"/>
        </w:rPr>
        <w:t>。</w:t>
      </w:r>
    </w:p>
    <w:p w14:paraId="1EEE7854">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二、申请人的资格要求</w:t>
      </w:r>
    </w:p>
    <w:p w14:paraId="0F3BF4D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1.满足《中华人民共和国政府采购法》第二十二条规定；未被“信用中国”（www.creditchina.gov.cn)、中国政府采购网（www.ccgp.gov.cn）列入失信被执行人、</w:t>
      </w:r>
      <w:r>
        <w:rPr>
          <w:rFonts w:hint="eastAsia" w:ascii="宋体" w:hAnsi="宋体" w:eastAsia="宋体" w:cs="宋体"/>
          <w:szCs w:val="21"/>
          <w:lang w:eastAsia="zh-CN"/>
        </w:rPr>
        <w:t>重大税收违法失信主体</w:t>
      </w:r>
      <w:r>
        <w:rPr>
          <w:rFonts w:hint="eastAsia" w:ascii="宋体" w:hAnsi="宋体" w:eastAsia="宋体" w:cs="宋体"/>
          <w:szCs w:val="21"/>
        </w:rPr>
        <w:t>、政府采购严重违法失信行为记录名单。</w:t>
      </w:r>
    </w:p>
    <w:p w14:paraId="46B28CC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2.落实政府采购政策需满足的资格要求：无。</w:t>
      </w:r>
    </w:p>
    <w:p w14:paraId="376D659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3.本项目的特定资格要求：无。</w:t>
      </w:r>
    </w:p>
    <w:p w14:paraId="75D7AD40">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szCs w:val="21"/>
          <w:lang w:eastAsia="zh-CN"/>
        </w:rPr>
      </w:pPr>
      <w:r>
        <w:rPr>
          <w:rFonts w:hint="eastAsia" w:ascii="宋体" w:hAnsi="宋体" w:eastAsia="宋体" w:cs="宋体"/>
          <w:b/>
          <w:bCs/>
          <w:szCs w:val="21"/>
        </w:rPr>
        <w:t>三、获取（下载）采购文件</w:t>
      </w:r>
    </w:p>
    <w:p w14:paraId="26585E1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时间：自公告发出之日起至2025年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cs="宋体"/>
          <w:szCs w:val="21"/>
          <w:lang w:val="en-US" w:eastAsia="zh-CN"/>
        </w:rPr>
        <w:t>12</w:t>
      </w:r>
      <w:r>
        <w:rPr>
          <w:rFonts w:hint="eastAsia" w:ascii="宋体" w:hAnsi="宋体" w:eastAsia="宋体" w:cs="宋体"/>
          <w:szCs w:val="21"/>
        </w:rPr>
        <w:t>日，每天上午00:00至12:00，下午12:00至23:59（北京时间，线上获取法定节假日均可，线下获取文件法定节假日除外）</w:t>
      </w:r>
    </w:p>
    <w:p w14:paraId="5AE654C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地点（网址）：政府采购云平台（www.zcygov.cn）</w:t>
      </w:r>
    </w:p>
    <w:p w14:paraId="649B217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sectPr>
          <w:footerReference r:id="rId7" w:type="default"/>
          <w:type w:val="nextColumn"/>
          <w:pgSz w:w="11907" w:h="16840"/>
          <w:pgMar w:top="1474" w:right="1474" w:bottom="1474" w:left="1474" w:header="907" w:footer="850" w:gutter="0"/>
          <w:pgBorders>
            <w:top w:val="none" w:sz="0" w:space="0"/>
            <w:left w:val="none" w:sz="0" w:space="0"/>
            <w:bottom w:val="none" w:sz="0" w:space="0"/>
            <w:right w:val="none" w:sz="0" w:space="0"/>
          </w:pgBorders>
          <w:pgNumType w:fmt="decimal" w:start="1"/>
          <w:cols w:space="720" w:num="1"/>
          <w:docGrid w:linePitch="285" w:charSpace="0"/>
        </w:sectPr>
      </w:pPr>
      <w:r>
        <w:rPr>
          <w:rFonts w:hint="eastAsia" w:ascii="宋体" w:hAnsi="宋体" w:eastAsia="宋体" w:cs="宋体"/>
          <w:szCs w:val="21"/>
        </w:rPr>
        <w:t>方式：（1）供应商登录政府采购云平台（www.zcygov.cn）的注册账号后，进入政采云系统“项目采购”模块“获取采购文件”菜单，进行网上获取采购文件。如有疑问请及时咨询网站客服，咨询电话：95763。（2）获取采购文件前，供应商应按照《浙江省政府采购供应商注册及诚信管理暂</w:t>
      </w:r>
    </w:p>
    <w:p w14:paraId="5BFAA39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行办法》的规定在“浙江政府采购网（zfcg.czt.zj.gov.cn）”上进行供应商注册申请，并通过财政部门的终审后登记加入到“浙江省政府采购供应商库”。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磋商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14:paraId="6396672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售价（元）：0</w:t>
      </w:r>
    </w:p>
    <w:p w14:paraId="269A8DA6">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四、响应文件提交（上传）</w:t>
      </w:r>
    </w:p>
    <w:p w14:paraId="5153C3E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截止时间：2025年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cs="宋体"/>
          <w:szCs w:val="21"/>
          <w:lang w:val="en-US" w:eastAsia="zh-CN"/>
        </w:rPr>
        <w:t>18</w:t>
      </w:r>
      <w:r>
        <w:rPr>
          <w:rFonts w:hint="eastAsia" w:ascii="宋体" w:hAnsi="宋体" w:eastAsia="宋体" w:cs="宋体"/>
          <w:szCs w:val="21"/>
        </w:rPr>
        <w:t>日13:00（北京时间）</w:t>
      </w:r>
    </w:p>
    <w:p w14:paraId="683EF47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地点（网址）：</w:t>
      </w:r>
      <w:r>
        <w:rPr>
          <w:rFonts w:hint="eastAsia" w:ascii="宋体" w:hAnsi="宋体" w:eastAsia="宋体" w:cs="宋体"/>
          <w:kern w:val="0"/>
          <w:szCs w:val="21"/>
        </w:rPr>
        <w:t>（1）“电子加密投标文件”：政府采购云平台（www.zcygov.cn）在线提交；（2）“电子备份投标文件”(采用现场递交方式）：</w:t>
      </w:r>
      <w:r>
        <w:rPr>
          <w:rFonts w:hint="eastAsia" w:ascii="宋体" w:hAnsi="宋体" w:eastAsia="宋体" w:cs="宋体"/>
          <w:szCs w:val="21"/>
        </w:rPr>
        <w:t>宁波市北仑区新碶长江路1166号（北仑行政大楼B座三楼北仑区招投标中心交易厅）</w:t>
      </w:r>
    </w:p>
    <w:p w14:paraId="3DDF0A1B">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五、响应文件开启</w:t>
      </w:r>
    </w:p>
    <w:p w14:paraId="392C702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开启时间：2025年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cs="宋体"/>
          <w:szCs w:val="21"/>
          <w:lang w:val="en-US" w:eastAsia="zh-CN"/>
        </w:rPr>
        <w:t>18</w:t>
      </w:r>
      <w:r>
        <w:rPr>
          <w:rFonts w:hint="eastAsia" w:ascii="宋体" w:hAnsi="宋体" w:eastAsia="宋体" w:cs="宋体"/>
          <w:szCs w:val="21"/>
        </w:rPr>
        <w:t>日13:00（北京时间）</w:t>
      </w:r>
    </w:p>
    <w:p w14:paraId="3238DF5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地点（网址）：</w:t>
      </w:r>
      <w:r>
        <w:rPr>
          <w:rFonts w:hint="eastAsia" w:ascii="宋体" w:hAnsi="宋体" w:eastAsia="宋体" w:cs="宋体"/>
          <w:kern w:val="0"/>
          <w:szCs w:val="21"/>
        </w:rPr>
        <w:t>政府采购云平台（www.zcygov.cn）在线开启</w:t>
      </w:r>
    </w:p>
    <w:p w14:paraId="78034EEB">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六、公告期限</w:t>
      </w:r>
    </w:p>
    <w:p w14:paraId="5CBFFA4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自本公告发布之日起3个工作日。</w:t>
      </w:r>
    </w:p>
    <w:p w14:paraId="392BCB64">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七、其他补充事宜</w:t>
      </w:r>
    </w:p>
    <w:p w14:paraId="47A4AEC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AAA00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1C109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F4980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20C50728">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八、凡对本次采购活动提出询问、质疑、投诉，请按以下方式联系</w:t>
      </w:r>
    </w:p>
    <w:p w14:paraId="470FBED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1.采购人信息</w:t>
      </w:r>
    </w:p>
    <w:p w14:paraId="79FFED5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名称：宁波经济技术开发区大榭经济发展中心</w:t>
      </w:r>
    </w:p>
    <w:p w14:paraId="03A1DBA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地址：宁波市北仑区大榭街道滨海南路111号东楼 </w:t>
      </w:r>
    </w:p>
    <w:p w14:paraId="6F59F59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传真：/</w:t>
      </w:r>
    </w:p>
    <w:p w14:paraId="1FE90E5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项目联系人（询问）： 王老师</w:t>
      </w:r>
    </w:p>
    <w:p w14:paraId="41B2666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项目联系方式（询问）：0574-89283229</w:t>
      </w:r>
    </w:p>
    <w:p w14:paraId="2871D04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质疑联系人：吴老师</w:t>
      </w:r>
    </w:p>
    <w:p w14:paraId="69A7C0F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highlight w:val="none"/>
        </w:rPr>
        <w:t>质疑联系方式：0574-89283229</w:t>
      </w:r>
    </w:p>
    <w:p w14:paraId="1D38CA0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2.采购代理机构信息</w:t>
      </w:r>
    </w:p>
    <w:p w14:paraId="349575B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名称：宁波市国际招标有限公司</w:t>
      </w:r>
    </w:p>
    <w:p w14:paraId="6215C58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地址：宁波市江北区环城北路西段207弄19号世茂茂悦商业中心1号楼八楼</w:t>
      </w:r>
    </w:p>
    <w:p w14:paraId="5C0C974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传真：0574-87388460</w:t>
      </w:r>
    </w:p>
    <w:p w14:paraId="14A946D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项目联系人（询问）：</w:t>
      </w:r>
      <w:r>
        <w:rPr>
          <w:rFonts w:hint="eastAsia" w:ascii="宋体" w:hAnsi="宋体" w:eastAsia="宋体" w:cs="宋体"/>
          <w:kern w:val="0"/>
          <w:szCs w:val="21"/>
        </w:rPr>
        <w:t>陈洋、</w:t>
      </w:r>
      <w:r>
        <w:rPr>
          <w:rFonts w:hint="eastAsia" w:ascii="宋体" w:hAnsi="宋体" w:eastAsia="宋体" w:cs="宋体"/>
          <w:kern w:val="0"/>
          <w:szCs w:val="21"/>
          <w:lang w:eastAsia="zh-CN"/>
        </w:rPr>
        <w:t>应嘉奕</w:t>
      </w:r>
      <w:r>
        <w:rPr>
          <w:rFonts w:hint="eastAsia" w:ascii="宋体" w:hAnsi="宋体" w:eastAsia="宋体" w:cs="宋体"/>
          <w:kern w:val="0"/>
          <w:szCs w:val="21"/>
        </w:rPr>
        <w:t>、严锋、张敏恒</w:t>
      </w:r>
      <w:r>
        <w:rPr>
          <w:rFonts w:hint="eastAsia" w:ascii="宋体" w:hAnsi="宋体" w:eastAsia="宋体" w:cs="宋体"/>
          <w:kern w:val="0"/>
          <w:szCs w:val="21"/>
          <w:lang w:eastAsia="zh-CN"/>
        </w:rPr>
        <w:t>、曹晓琪</w:t>
      </w:r>
    </w:p>
    <w:p w14:paraId="23714A9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项目联系方式（询问）：0574-87295348</w:t>
      </w:r>
    </w:p>
    <w:p w14:paraId="242B5B5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质疑联系人：夏伟立</w:t>
      </w:r>
    </w:p>
    <w:p w14:paraId="38118E3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质疑联系方式：0574-87128864</w:t>
      </w:r>
    </w:p>
    <w:p w14:paraId="7112DA0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3.同级政府采购监督管理部门</w:t>
      </w:r>
    </w:p>
    <w:p w14:paraId="3176BB0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名称：北仑区财政局政府采购办公室</w:t>
      </w:r>
    </w:p>
    <w:p w14:paraId="00851E7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地址：北仑区四明山路775号行政大楼A座六楼</w:t>
      </w:r>
    </w:p>
    <w:p w14:paraId="64B506C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传真：/</w:t>
      </w:r>
    </w:p>
    <w:p w14:paraId="6054ADE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联系人：田老师</w:t>
      </w:r>
    </w:p>
    <w:p w14:paraId="139A2CC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监督投诉电话：0574-89383756</w:t>
      </w:r>
    </w:p>
    <w:p w14:paraId="21D9933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p>
    <w:p w14:paraId="1736998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若对项目采购电子交易系统操作有疑问，可登录政采云（https://www.zcygov.cn/），点击右侧咨询小采，获取采小蜜智能服务管家帮助，或拨打政采云服务热线95763获取热线服务帮助。</w:t>
      </w:r>
    </w:p>
    <w:p w14:paraId="6C91140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Cs w:val="21"/>
        </w:rPr>
      </w:pPr>
      <w:r>
        <w:rPr>
          <w:rFonts w:hint="eastAsia" w:ascii="宋体" w:hAnsi="宋体" w:eastAsia="宋体" w:cs="宋体"/>
          <w:szCs w:val="21"/>
        </w:rPr>
        <w:t>CA问题联系电话（人工）：汇信CA400-888-4636；天谷CA400-087-8198。</w:t>
      </w:r>
    </w:p>
    <w:p w14:paraId="350F159B">
      <w:pPr>
        <w:rPr>
          <w:rFonts w:hint="eastAsia" w:ascii="宋体" w:hAnsi="宋体" w:eastAsia="宋体" w:cs="宋体"/>
          <w:szCs w:val="21"/>
        </w:rPr>
      </w:pPr>
    </w:p>
    <w:p w14:paraId="64C21AFC">
      <w:pPr>
        <w:spacing w:line="360" w:lineRule="auto"/>
        <w:rPr>
          <w:rFonts w:hint="eastAsia" w:ascii="宋体" w:hAnsi="宋体" w:eastAsia="宋体" w:cs="宋体"/>
          <w:szCs w:val="21"/>
        </w:rPr>
      </w:pPr>
    </w:p>
    <w:p w14:paraId="3419D96E">
      <w:pPr>
        <w:spacing w:line="400" w:lineRule="exact"/>
        <w:ind w:firstLine="420" w:firstLineChars="200"/>
        <w:rPr>
          <w:rFonts w:hint="eastAsia" w:ascii="宋体" w:hAnsi="宋体" w:eastAsia="宋体" w:cs="宋体"/>
          <w:szCs w:val="21"/>
        </w:rPr>
        <w:sectPr>
          <w:footerReference r:id="rId8" w:type="default"/>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p>
    <w:p w14:paraId="39A4EAD5">
      <w:pPr>
        <w:keepNext w:val="0"/>
        <w:keepLines w:val="0"/>
        <w:pageBreakBefore w:val="0"/>
        <w:kinsoku/>
        <w:wordWrap/>
        <w:overflowPunct/>
        <w:topLinePunct w:val="0"/>
        <w:autoSpaceDE/>
        <w:autoSpaceDN/>
        <w:bidi w:val="0"/>
        <w:spacing w:line="400" w:lineRule="exact"/>
        <w:jc w:val="center"/>
        <w:textAlignment w:val="auto"/>
        <w:outlineLvl w:val="0"/>
        <w:rPr>
          <w:rFonts w:hint="eastAsia" w:ascii="宋体" w:hAnsi="宋体" w:eastAsia="宋体" w:cs="宋体"/>
          <w:b/>
          <w:sz w:val="30"/>
          <w:szCs w:val="30"/>
        </w:rPr>
      </w:pPr>
      <w:bookmarkStart w:id="1" w:name="_Toc10663"/>
      <w:r>
        <w:rPr>
          <w:rFonts w:hint="eastAsia" w:ascii="宋体" w:hAnsi="宋体" w:eastAsia="宋体" w:cs="宋体"/>
          <w:b/>
          <w:sz w:val="30"/>
          <w:szCs w:val="30"/>
        </w:rPr>
        <w:t>第二章磋商须知</w:t>
      </w:r>
      <w:bookmarkEnd w:id="1"/>
    </w:p>
    <w:p w14:paraId="6743C9BA">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一、适用范围</w:t>
      </w:r>
    </w:p>
    <w:p w14:paraId="5DBACEA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本竞争性磋商文件仅适用于本项目所叙述的服务的磋商、评审、验收、合同履约、付款等（法律、法规另有规定的，从其规定）。</w:t>
      </w:r>
    </w:p>
    <w:p w14:paraId="33BB56C9">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二、定义</w:t>
      </w:r>
    </w:p>
    <w:p w14:paraId="6A51C59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“采购人”系指宁波经济技术开发区大榭经济发展中心。</w:t>
      </w:r>
    </w:p>
    <w:p w14:paraId="5455A1E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“代理机构”系指宁波市国际招标有限公司。</w:t>
      </w:r>
    </w:p>
    <w:p w14:paraId="5E54FA9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“供应商”系指向采购人提交磋商响应文件的供应商。</w:t>
      </w:r>
    </w:p>
    <w:p w14:paraId="2E8C1A5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“服务”系指本竞争性磋商文件规定供应商须承担的类似义务。</w:t>
      </w:r>
    </w:p>
    <w:p w14:paraId="67742D3D">
      <w:pPr>
        <w:keepNext w:val="0"/>
        <w:keepLines w:val="0"/>
        <w:pageBreakBefore w:val="0"/>
        <w:widowControl/>
        <w:kinsoku/>
        <w:wordWrap/>
        <w:overflowPunct/>
        <w:topLinePunct w:val="0"/>
        <w:autoSpaceDE/>
        <w:autoSpaceDN/>
        <w:bidi w:val="0"/>
        <w:spacing w:line="400" w:lineRule="exact"/>
        <w:ind w:firstLine="420" w:firstLineChars="200"/>
        <w:contextualSpacing/>
        <w:jc w:val="left"/>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“同级政府采购监管部门”系指北仑区财政局政府采购办公室。</w:t>
      </w:r>
    </w:p>
    <w:p w14:paraId="6E1C51A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合格的响应货物或服务：</w:t>
      </w:r>
    </w:p>
    <w:p w14:paraId="4D98D68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6.1应该是中国境内生产的货物或提供的服务。</w:t>
      </w:r>
    </w:p>
    <w:p w14:paraId="4FF9CAA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若响应货物或服务是国家实行许可证制度或生产注册证制度的产品或服务，则应具备相应有效的证书。</w:t>
      </w:r>
    </w:p>
    <w:p w14:paraId="4DE969F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磋商文件允许采购进口产品的，若响应货物是进口产品，供应商应保证所投产品为可履行合法报通关手续进入中国关境内、在中国海关完税的可合法销售的货物。</w:t>
      </w:r>
    </w:p>
    <w:p w14:paraId="6E8DDFD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6.2国家规定有标准及规范的，响应货物或服务应按有效的标准及规范执行，应符合国家及磋商文件提出的有关技术、质量、安全标准。</w:t>
      </w:r>
    </w:p>
    <w:p w14:paraId="7C1D06E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6.3供应商应保证所提供的产品或服务免受第三方提出侵犯其知识产权（专利权、商标权、工业设计权及使用权等）的索赔或起诉，否则，由此可能产生的一切法律责任和经济责任均由供应商承担。</w:t>
      </w:r>
    </w:p>
    <w:p w14:paraId="714DFF2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”系指实质性响应条款。</w:t>
      </w:r>
    </w:p>
    <w:p w14:paraId="02EF8BE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szCs w:val="21"/>
        </w:rPr>
      </w:pPr>
      <w:r>
        <w:rPr>
          <w:rFonts w:hint="eastAsia" w:ascii="宋体" w:hAnsi="宋体" w:eastAsia="宋体" w:cs="宋体"/>
          <w:szCs w:val="21"/>
          <w:lang w:eastAsia="zh-CN"/>
        </w:rPr>
        <w:t>★</w:t>
      </w:r>
      <w:r>
        <w:rPr>
          <w:rFonts w:hint="eastAsia" w:ascii="宋体" w:hAnsi="宋体" w:eastAsia="宋体" w:cs="宋体"/>
          <w:b/>
          <w:szCs w:val="21"/>
        </w:rPr>
        <w:t>三、供应商的资格要求</w:t>
      </w:r>
    </w:p>
    <w:p w14:paraId="431A215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详见竞争性磋商公告。</w:t>
      </w:r>
    </w:p>
    <w:p w14:paraId="7A1FB1C7">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四、磋商费用</w:t>
      </w:r>
    </w:p>
    <w:p w14:paraId="016F7A9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不论磋商的结果如何，供应商自行承担其参加本次磋商活动有关的全部费用。</w:t>
      </w:r>
    </w:p>
    <w:p w14:paraId="544DD5D0">
      <w:pPr>
        <w:keepNext w:val="0"/>
        <w:keepLines w:val="0"/>
        <w:pageBreakBefore w:val="0"/>
        <w:kinsoku/>
        <w:wordWrap/>
        <w:overflowPunct/>
        <w:topLinePunct w:val="0"/>
        <w:autoSpaceDE/>
        <w:autoSpaceDN/>
        <w:bidi w:val="0"/>
        <w:adjustRightInd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五、磋商报价</w:t>
      </w:r>
    </w:p>
    <w:p w14:paraId="6D18443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以人民币为结算货币。</w:t>
      </w:r>
      <w:r>
        <w:rPr>
          <w:rFonts w:hint="eastAsia" w:ascii="宋体" w:hAnsi="宋体" w:eastAsia="宋体" w:cs="宋体"/>
        </w:rPr>
        <w:t>报价为完成第五章采购需求所需的所有费用，包括但不仅限于规划费、人工费、交通费、调研费、材料费、税金及利润等。</w:t>
      </w:r>
    </w:p>
    <w:p w14:paraId="706E9A43">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六、磋商有效期</w:t>
      </w:r>
    </w:p>
    <w:p w14:paraId="1B307D8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bCs/>
          <w:szCs w:val="21"/>
          <w:lang w:eastAsia="zh-CN"/>
        </w:rPr>
        <w:t>★</w:t>
      </w: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磋商响应文件从磋商之日起，磋商有效期为90个日历日。磋商有效期不能小于竞争性磋商文件的要求。</w:t>
      </w:r>
    </w:p>
    <w:p w14:paraId="0B45DE7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特殊情况下，采购人可与供应商协商延缓磋商响应文件的有效期，这种要求和答复均以书面形式进行。</w:t>
      </w:r>
    </w:p>
    <w:p w14:paraId="3E5FD4B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供应商可拒绝接受延期要求。同意延长有效期的供应商不能修改磋商响应文件。</w:t>
      </w:r>
    </w:p>
    <w:p w14:paraId="078FBD8D">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七、磋商响应文件的形式和效力</w:t>
      </w:r>
    </w:p>
    <w:p w14:paraId="721867F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响应文件分为电子响应文件以及备份响应文件，备份响应文件为以</w:t>
      </w:r>
      <w:r>
        <w:rPr>
          <w:rFonts w:hint="eastAsia" w:ascii="宋体" w:hAnsi="宋体" w:eastAsia="宋体" w:cs="宋体"/>
          <w:kern w:val="0"/>
          <w:szCs w:val="21"/>
        </w:rPr>
        <w:t>U盘或光盘存储的电子</w:t>
      </w:r>
      <w:r>
        <w:rPr>
          <w:rFonts w:hint="eastAsia" w:ascii="宋体" w:hAnsi="宋体" w:eastAsia="宋体" w:cs="宋体"/>
          <w:szCs w:val="21"/>
        </w:rPr>
        <w:t>备份响应文件。</w:t>
      </w:r>
    </w:p>
    <w:p w14:paraId="17870CC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电子响应文件，按“项目采购-电子招投标操作指南”及本磋商文件要求制作，并加密。</w:t>
      </w:r>
    </w:p>
    <w:p w14:paraId="0F96076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以</w:t>
      </w:r>
      <w:r>
        <w:rPr>
          <w:rFonts w:hint="eastAsia" w:ascii="宋体" w:hAnsi="宋体" w:eastAsia="宋体" w:cs="宋体"/>
          <w:kern w:val="0"/>
          <w:szCs w:val="21"/>
        </w:rPr>
        <w:t>U盘或光盘存储的电子</w:t>
      </w:r>
      <w:r>
        <w:rPr>
          <w:rFonts w:hint="eastAsia" w:ascii="宋体" w:hAnsi="宋体" w:eastAsia="宋体" w:cs="宋体"/>
          <w:szCs w:val="21"/>
        </w:rPr>
        <w:t>备份响应文件，按“项目采购-电子招投标操作指南”制作的电子备份文件。</w:t>
      </w:r>
    </w:p>
    <w:p w14:paraId="2519284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响应文件填写字迹必须清楚、工整，对不同文字文本响应文件的解释发生异议的，以中文文本为准。</w:t>
      </w:r>
    </w:p>
    <w:p w14:paraId="3579AAE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开标时间后半小时内（202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2</w:t>
      </w:r>
      <w:r>
        <w:rPr>
          <w:rFonts w:hint="eastAsia" w:ascii="宋体" w:hAnsi="宋体" w:eastAsia="宋体" w:cs="宋体"/>
          <w:szCs w:val="21"/>
        </w:rPr>
        <w:t>月</w:t>
      </w:r>
      <w:r>
        <w:rPr>
          <w:rFonts w:hint="eastAsia" w:ascii="宋体" w:hAnsi="宋体" w:cs="宋体"/>
          <w:szCs w:val="21"/>
          <w:lang w:val="en-US" w:eastAsia="zh-CN"/>
        </w:rPr>
        <w:t>18</w:t>
      </w:r>
      <w:r>
        <w:rPr>
          <w:rFonts w:hint="eastAsia" w:ascii="宋体" w:hAnsi="宋体" w:eastAsia="宋体" w:cs="宋体"/>
          <w:szCs w:val="21"/>
        </w:rPr>
        <w:t>日13:30分前）供应商可以登录政府采购云平台（www.zcygov.cn），用“项目采购-开标评标”功能进行解密电子响应文件。供应商按时在线解密电子响应文件的，以在线解密的电子响应文件作为评审依据，若供应商在规定时间内（2025年2月18日13:30分前）无法解密或解密失败，则以电子备份响应文件作为评审依据（若电子备份响应文件与政采云平台上传的电子响应文件被识别为不一致，视为响应文件撤回）。</w:t>
      </w:r>
    </w:p>
    <w:p w14:paraId="2428754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lang w:val="en-US" w:eastAsia="zh-CN"/>
        </w:rPr>
        <w:t>.</w:t>
      </w:r>
      <w:r>
        <w:rPr>
          <w:rFonts w:hint="eastAsia" w:ascii="宋体" w:hAnsi="宋体" w:eastAsia="宋体" w:cs="宋体"/>
          <w:szCs w:val="21"/>
        </w:rPr>
        <w:t>响应文件的效力</w:t>
      </w:r>
    </w:p>
    <w:p w14:paraId="15D0E3D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响应文件的启用，按先后顺位分别为电子响应文件、以</w:t>
      </w:r>
      <w:r>
        <w:rPr>
          <w:rFonts w:hint="eastAsia" w:ascii="宋体" w:hAnsi="宋体" w:eastAsia="宋体" w:cs="宋体"/>
          <w:kern w:val="0"/>
          <w:szCs w:val="21"/>
        </w:rPr>
        <w:t>U盘或光盘存储的电子</w:t>
      </w:r>
      <w:r>
        <w:rPr>
          <w:rFonts w:hint="eastAsia" w:ascii="宋体" w:hAnsi="宋体" w:eastAsia="宋体" w:cs="宋体"/>
          <w:szCs w:val="21"/>
        </w:rPr>
        <w:t>备份响应文件。在下一顺位的响应文件启用时，前一顺位的响应文件自动失效。</w:t>
      </w:r>
    </w:p>
    <w:p w14:paraId="5C6C5FF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电子响应文件未能按时解密，供应商提供了电子备份响应文件的，以电子备份响应文件作为依据，否则视为响应文件撤回。电子响应文件已按时解密的，电子备份响应文件自动失效。</w:t>
      </w:r>
    </w:p>
    <w:p w14:paraId="5DC24A0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八、磋商响应文件的组成、制作</w:t>
      </w:r>
    </w:p>
    <w:p w14:paraId="674F0B75">
      <w:pPr>
        <w:keepNext w:val="0"/>
        <w:keepLines w:val="0"/>
        <w:pageBreakBefore w:val="0"/>
        <w:kinsoku/>
        <w:wordWrap/>
        <w:overflowPunct/>
        <w:topLinePunct w:val="0"/>
        <w:autoSpaceDE/>
        <w:autoSpaceDN/>
        <w:bidi w:val="0"/>
        <w:snapToGrid w:val="0"/>
        <w:spacing w:line="400" w:lineRule="exact"/>
        <w:ind w:firstLine="411" w:firstLineChars="196"/>
        <w:jc w:val="left"/>
        <w:textAlignment w:val="auto"/>
        <w:rPr>
          <w:rFonts w:hint="eastAsia" w:ascii="宋体" w:hAnsi="宋体" w:eastAsia="宋体" w:cs="宋体"/>
          <w:b/>
          <w:szCs w:val="21"/>
        </w:rPr>
      </w:pPr>
      <w:r>
        <w:rPr>
          <w:rFonts w:hint="eastAsia" w:ascii="宋体" w:hAnsi="宋体" w:eastAsia="宋体" w:cs="宋体"/>
          <w:bCs/>
          <w:szCs w:val="21"/>
        </w:rPr>
        <w:t>1</w:t>
      </w:r>
      <w:r>
        <w:rPr>
          <w:rFonts w:hint="eastAsia" w:ascii="宋体" w:hAnsi="宋体" w:eastAsia="宋体" w:cs="宋体"/>
          <w:bCs/>
          <w:szCs w:val="21"/>
          <w:lang w:val="en-US" w:eastAsia="zh-CN"/>
        </w:rPr>
        <w:t>.</w:t>
      </w:r>
      <w:r>
        <w:rPr>
          <w:rFonts w:hint="eastAsia" w:ascii="宋体" w:hAnsi="宋体" w:eastAsia="宋体" w:cs="宋体"/>
          <w:bCs/>
          <w:szCs w:val="21"/>
        </w:rPr>
        <w:t>响应文件的组成：</w:t>
      </w:r>
    </w:p>
    <w:p w14:paraId="0C11E02B">
      <w:pPr>
        <w:keepNext w:val="0"/>
        <w:keepLines w:val="0"/>
        <w:pageBreakBefore w:val="0"/>
        <w:kinsoku/>
        <w:wordWrap/>
        <w:overflowPunct/>
        <w:topLinePunct w:val="0"/>
        <w:autoSpaceDE/>
        <w:autoSpaceDN/>
        <w:bidi w:val="0"/>
        <w:snapToGrid w:val="0"/>
        <w:spacing w:line="400" w:lineRule="exact"/>
        <w:ind w:firstLine="413" w:firstLineChars="196"/>
        <w:jc w:val="left"/>
        <w:textAlignment w:val="auto"/>
        <w:rPr>
          <w:rFonts w:hint="eastAsia" w:ascii="宋体" w:hAnsi="宋体" w:eastAsia="宋体" w:cs="宋体"/>
          <w:b/>
          <w:szCs w:val="21"/>
        </w:rPr>
      </w:pPr>
      <w:r>
        <w:rPr>
          <w:rFonts w:hint="eastAsia" w:ascii="宋体" w:hAnsi="宋体" w:eastAsia="宋体" w:cs="宋体"/>
          <w:b/>
          <w:szCs w:val="21"/>
        </w:rPr>
        <w:t>A</w:t>
      </w:r>
      <w:r>
        <w:rPr>
          <w:rFonts w:hint="eastAsia" w:ascii="宋体" w:hAnsi="宋体" w:eastAsia="宋体" w:cs="宋体"/>
          <w:b/>
          <w:szCs w:val="21"/>
          <w:lang w:val="en-US" w:eastAsia="zh-CN"/>
        </w:rPr>
        <w:t>.</w:t>
      </w:r>
      <w:r>
        <w:rPr>
          <w:rFonts w:hint="eastAsia" w:ascii="宋体" w:hAnsi="宋体" w:eastAsia="宋体" w:cs="宋体"/>
          <w:b/>
          <w:szCs w:val="21"/>
        </w:rPr>
        <w:t>第一册：资格文件</w:t>
      </w:r>
    </w:p>
    <w:p w14:paraId="69B6F54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szCs w:val="21"/>
          <w:lang w:eastAsia="zh-CN"/>
        </w:rPr>
        <w:t>★</w:t>
      </w:r>
      <w:r>
        <w:rPr>
          <w:rFonts w:hint="eastAsia" w:ascii="宋体" w:hAnsi="宋体" w:eastAsia="宋体" w:cs="宋体"/>
          <w:szCs w:val="21"/>
        </w:rPr>
        <w:t>A1</w:t>
      </w:r>
      <w:r>
        <w:rPr>
          <w:rFonts w:hint="eastAsia" w:ascii="宋体" w:hAnsi="宋体" w:eastAsia="宋体" w:cs="宋体"/>
          <w:szCs w:val="21"/>
          <w:lang w:val="en-US" w:eastAsia="zh-CN"/>
        </w:rPr>
        <w:t>.</w:t>
      </w:r>
      <w:r>
        <w:rPr>
          <w:rFonts w:hint="eastAsia" w:ascii="宋体" w:hAnsi="宋体" w:eastAsia="宋体" w:cs="宋体"/>
        </w:rPr>
        <w:t>关于资格的承诺函</w:t>
      </w:r>
      <w:r>
        <w:rPr>
          <w:rFonts w:hint="eastAsia" w:ascii="宋体" w:hAnsi="宋体" w:cs="宋体"/>
          <w:color w:val="auto"/>
          <w:szCs w:val="21"/>
          <w:highlight w:val="none"/>
        </w:rPr>
        <w:t>（格式见附件）</w:t>
      </w:r>
      <w:r>
        <w:rPr>
          <w:rFonts w:hint="eastAsia" w:ascii="宋体" w:hAnsi="宋体" w:eastAsia="宋体" w:cs="宋体"/>
        </w:rPr>
        <w:t>；</w:t>
      </w:r>
    </w:p>
    <w:p w14:paraId="0140CC7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szCs w:val="21"/>
          <w:lang w:eastAsia="zh-CN"/>
        </w:rPr>
        <w:t>★</w:t>
      </w:r>
      <w:r>
        <w:rPr>
          <w:rFonts w:hint="eastAsia" w:ascii="宋体" w:hAnsi="宋体" w:eastAsia="宋体" w:cs="宋体"/>
          <w:szCs w:val="21"/>
        </w:rPr>
        <w:t>A2</w:t>
      </w:r>
      <w:r>
        <w:rPr>
          <w:rFonts w:hint="eastAsia" w:ascii="宋体" w:hAnsi="宋体" w:eastAsia="宋体" w:cs="宋体"/>
          <w:szCs w:val="21"/>
          <w:lang w:val="en-US" w:eastAsia="zh-CN"/>
        </w:rPr>
        <w:t>.</w:t>
      </w:r>
      <w:r>
        <w:rPr>
          <w:rFonts w:hint="eastAsia" w:ascii="宋体" w:hAnsi="宋体" w:eastAsia="宋体" w:cs="宋体"/>
          <w:kern w:val="0"/>
        </w:rPr>
        <w:t>营业执照副本（或事业法人登记证副本或其他登记证明材料）复印件加盖供应商公章（供应商如果有名称变更的，应提供由行政主管部门出具的变更证明文件复印件加盖供应商公章）；</w:t>
      </w:r>
    </w:p>
    <w:p w14:paraId="5A25EDA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kern w:val="0"/>
          <w:lang w:eastAsia="zh-CN"/>
        </w:rPr>
      </w:pPr>
      <w:r>
        <w:rPr>
          <w:rFonts w:hint="eastAsia" w:ascii="宋体" w:hAnsi="宋体" w:eastAsia="宋体" w:cs="宋体"/>
          <w:szCs w:val="21"/>
        </w:rPr>
        <w:t>A3</w:t>
      </w:r>
      <w:r>
        <w:rPr>
          <w:rFonts w:hint="eastAsia" w:ascii="宋体" w:hAnsi="宋体" w:eastAsia="宋体" w:cs="宋体"/>
          <w:szCs w:val="21"/>
          <w:lang w:val="en-US" w:eastAsia="zh-CN"/>
        </w:rPr>
        <w:t>.</w:t>
      </w:r>
      <w:r>
        <w:rPr>
          <w:rFonts w:hint="eastAsia" w:ascii="宋体" w:hAnsi="宋体" w:eastAsia="宋体" w:cs="宋体"/>
          <w:szCs w:val="21"/>
        </w:rPr>
        <w:t>供应商认为需要的其他资料（如有需提供）</w:t>
      </w:r>
      <w:r>
        <w:rPr>
          <w:rFonts w:hint="eastAsia" w:ascii="宋体" w:hAnsi="宋体" w:cs="宋体"/>
          <w:szCs w:val="21"/>
          <w:lang w:eastAsia="zh-CN"/>
        </w:rPr>
        <w:t>。</w:t>
      </w:r>
    </w:p>
    <w:p w14:paraId="741ECC05">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B</w:t>
      </w:r>
      <w:r>
        <w:rPr>
          <w:rFonts w:hint="eastAsia" w:ascii="宋体" w:hAnsi="宋体" w:eastAsia="宋体" w:cs="宋体"/>
          <w:b/>
          <w:szCs w:val="21"/>
          <w:lang w:val="en-US" w:eastAsia="zh-CN"/>
        </w:rPr>
        <w:t>.</w:t>
      </w:r>
      <w:r>
        <w:rPr>
          <w:rFonts w:hint="eastAsia" w:ascii="宋体" w:hAnsi="宋体" w:eastAsia="宋体" w:cs="宋体"/>
          <w:b/>
          <w:szCs w:val="21"/>
        </w:rPr>
        <w:t>第二册：商务和技术文件</w:t>
      </w:r>
    </w:p>
    <w:p w14:paraId="008F253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B1</w:t>
      </w:r>
      <w:r>
        <w:rPr>
          <w:rFonts w:hint="eastAsia" w:ascii="宋体" w:hAnsi="宋体" w:eastAsia="宋体" w:cs="宋体"/>
          <w:szCs w:val="21"/>
          <w:lang w:val="en-US" w:eastAsia="zh-CN"/>
        </w:rPr>
        <w:t>.</w:t>
      </w:r>
      <w:r>
        <w:rPr>
          <w:rFonts w:hint="eastAsia" w:ascii="宋体" w:hAnsi="宋体" w:eastAsia="宋体" w:cs="宋体"/>
          <w:szCs w:val="21"/>
        </w:rPr>
        <w:t>磋商函</w:t>
      </w:r>
      <w:r>
        <w:rPr>
          <w:rFonts w:hint="eastAsia" w:ascii="宋体" w:hAnsi="宋体" w:cs="宋体"/>
          <w:color w:val="auto"/>
          <w:szCs w:val="21"/>
          <w:highlight w:val="none"/>
        </w:rPr>
        <w:t>（格式见附件）</w:t>
      </w:r>
      <w:r>
        <w:rPr>
          <w:rFonts w:hint="eastAsia" w:ascii="宋体" w:hAnsi="宋体" w:eastAsia="宋体" w:cs="宋体"/>
          <w:szCs w:val="21"/>
        </w:rPr>
        <w:t>；</w:t>
      </w:r>
    </w:p>
    <w:p w14:paraId="698C370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B2</w:t>
      </w:r>
      <w:r>
        <w:rPr>
          <w:rFonts w:hint="eastAsia" w:ascii="宋体" w:hAnsi="宋体" w:eastAsia="宋体" w:cs="宋体"/>
          <w:szCs w:val="21"/>
          <w:lang w:val="en-US" w:eastAsia="zh-CN"/>
        </w:rPr>
        <w:t>.</w:t>
      </w:r>
      <w:r>
        <w:rPr>
          <w:rFonts w:hint="eastAsia" w:ascii="宋体" w:hAnsi="宋体" w:eastAsia="宋体" w:cs="宋体"/>
          <w:szCs w:val="21"/>
        </w:rPr>
        <w:t>法定代表人身份证明</w:t>
      </w:r>
      <w:r>
        <w:rPr>
          <w:rFonts w:hint="eastAsia" w:ascii="宋体" w:hAnsi="宋体" w:cs="宋体"/>
          <w:color w:val="auto"/>
          <w:szCs w:val="21"/>
          <w:highlight w:val="none"/>
        </w:rPr>
        <w:t>（格式见附件）</w:t>
      </w:r>
      <w:r>
        <w:rPr>
          <w:rFonts w:hint="eastAsia" w:ascii="宋体" w:hAnsi="宋体" w:eastAsia="宋体" w:cs="宋体"/>
          <w:szCs w:val="21"/>
        </w:rPr>
        <w:t>；</w:t>
      </w:r>
    </w:p>
    <w:p w14:paraId="7D170D4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B3</w:t>
      </w:r>
      <w:r>
        <w:rPr>
          <w:rFonts w:hint="eastAsia" w:ascii="宋体" w:hAnsi="宋体" w:eastAsia="宋体" w:cs="宋体"/>
          <w:szCs w:val="21"/>
          <w:lang w:val="en-US" w:eastAsia="zh-CN"/>
        </w:rPr>
        <w:t>.</w:t>
      </w:r>
      <w:r>
        <w:rPr>
          <w:rFonts w:hint="eastAsia" w:ascii="宋体" w:hAnsi="宋体" w:eastAsia="宋体" w:cs="宋体"/>
          <w:szCs w:val="21"/>
        </w:rPr>
        <w:t>法定代表人授权书</w:t>
      </w:r>
      <w:r>
        <w:rPr>
          <w:rFonts w:hint="eastAsia" w:ascii="宋体" w:hAnsi="宋体" w:cs="宋体"/>
          <w:color w:val="auto"/>
          <w:szCs w:val="21"/>
          <w:highlight w:val="none"/>
        </w:rPr>
        <w:t>（格式见附件）</w:t>
      </w:r>
      <w:r>
        <w:rPr>
          <w:rFonts w:hint="eastAsia" w:ascii="宋体" w:hAnsi="宋体" w:eastAsia="宋体" w:cs="宋体"/>
          <w:szCs w:val="21"/>
        </w:rPr>
        <w:t>；</w:t>
      </w:r>
    </w:p>
    <w:p w14:paraId="230CB43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B4</w:t>
      </w:r>
      <w:r>
        <w:rPr>
          <w:rFonts w:hint="eastAsia" w:ascii="宋体" w:hAnsi="宋体" w:eastAsia="宋体" w:cs="宋体"/>
          <w:szCs w:val="21"/>
          <w:lang w:val="en-US" w:eastAsia="zh-CN"/>
        </w:rPr>
        <w:t>.</w:t>
      </w:r>
      <w:r>
        <w:rPr>
          <w:rFonts w:hint="eastAsia" w:ascii="宋体" w:hAnsi="宋体" w:eastAsia="宋体" w:cs="宋体"/>
          <w:szCs w:val="21"/>
        </w:rPr>
        <w:t>商务条款响应表</w:t>
      </w:r>
      <w:r>
        <w:rPr>
          <w:rFonts w:hint="eastAsia" w:ascii="宋体" w:hAnsi="宋体" w:cs="宋体"/>
          <w:color w:val="auto"/>
          <w:szCs w:val="21"/>
          <w:highlight w:val="none"/>
        </w:rPr>
        <w:t>（格式见附件）</w:t>
      </w:r>
      <w:r>
        <w:rPr>
          <w:rFonts w:hint="eastAsia" w:ascii="宋体" w:hAnsi="宋体" w:eastAsia="宋体" w:cs="宋体"/>
          <w:szCs w:val="21"/>
        </w:rPr>
        <w:t>；</w:t>
      </w:r>
    </w:p>
    <w:p w14:paraId="055D08B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B5</w:t>
      </w:r>
      <w:r>
        <w:rPr>
          <w:rFonts w:hint="eastAsia" w:ascii="宋体" w:hAnsi="宋体" w:eastAsia="宋体" w:cs="宋体"/>
          <w:szCs w:val="21"/>
          <w:lang w:val="en-US" w:eastAsia="zh-CN"/>
        </w:rPr>
        <w:t>.</w:t>
      </w:r>
      <w:r>
        <w:rPr>
          <w:rFonts w:hint="eastAsia" w:ascii="宋体" w:hAnsi="宋体" w:eastAsia="宋体" w:cs="宋体"/>
          <w:szCs w:val="21"/>
        </w:rPr>
        <w:t>技术条款响应表</w:t>
      </w:r>
      <w:r>
        <w:rPr>
          <w:rFonts w:hint="eastAsia" w:ascii="宋体" w:hAnsi="宋体" w:cs="宋体"/>
          <w:color w:val="auto"/>
          <w:szCs w:val="21"/>
          <w:highlight w:val="none"/>
        </w:rPr>
        <w:t>（格式见附件）</w:t>
      </w:r>
      <w:r>
        <w:rPr>
          <w:rFonts w:hint="eastAsia" w:ascii="宋体" w:hAnsi="宋体" w:eastAsia="宋体" w:cs="宋体"/>
          <w:szCs w:val="21"/>
        </w:rPr>
        <w:t>；</w:t>
      </w:r>
    </w:p>
    <w:p w14:paraId="30D1924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B6</w:t>
      </w:r>
      <w:r>
        <w:rPr>
          <w:rFonts w:hint="eastAsia" w:ascii="宋体" w:hAnsi="宋体" w:eastAsia="宋体" w:cs="宋体"/>
          <w:szCs w:val="21"/>
          <w:lang w:val="en-US" w:eastAsia="zh-CN"/>
        </w:rPr>
        <w:t>.</w:t>
      </w:r>
      <w:r>
        <w:rPr>
          <w:rFonts w:hint="eastAsia" w:ascii="宋体" w:hAnsi="宋体" w:eastAsia="宋体" w:cs="宋体"/>
          <w:szCs w:val="21"/>
        </w:rPr>
        <w:t>第三章“评定成交的标准”中“商务技术评分表”要求提供的评分资料（如有需提供）；</w:t>
      </w:r>
    </w:p>
    <w:p w14:paraId="7D79C6A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B7</w:t>
      </w:r>
      <w:r>
        <w:rPr>
          <w:rFonts w:hint="eastAsia" w:ascii="宋体" w:hAnsi="宋体" w:eastAsia="宋体" w:cs="宋体"/>
          <w:szCs w:val="21"/>
          <w:lang w:val="en-US" w:eastAsia="zh-CN"/>
        </w:rPr>
        <w:t>.</w:t>
      </w:r>
      <w:r>
        <w:rPr>
          <w:rFonts w:hint="eastAsia" w:ascii="宋体" w:hAnsi="宋体" w:eastAsia="宋体" w:cs="宋体"/>
          <w:szCs w:val="21"/>
        </w:rPr>
        <w:t>供应商认为需要的其他资料（如有需提供）。</w:t>
      </w:r>
    </w:p>
    <w:p w14:paraId="50D6AD1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“商务和技术文件”中不得出现涉及报价的内容，否则作无效报价处理。</w:t>
      </w:r>
    </w:p>
    <w:p w14:paraId="42FA345D">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C</w:t>
      </w:r>
      <w:r>
        <w:rPr>
          <w:rFonts w:hint="eastAsia" w:ascii="宋体" w:hAnsi="宋体" w:eastAsia="宋体" w:cs="宋体"/>
          <w:b/>
          <w:szCs w:val="21"/>
          <w:lang w:val="en-US" w:eastAsia="zh-CN"/>
        </w:rPr>
        <w:t>.</w:t>
      </w:r>
      <w:r>
        <w:rPr>
          <w:rFonts w:hint="eastAsia" w:ascii="宋体" w:hAnsi="宋体" w:eastAsia="宋体" w:cs="宋体"/>
          <w:b/>
          <w:szCs w:val="21"/>
        </w:rPr>
        <w:t>第三册：报价文件</w:t>
      </w:r>
    </w:p>
    <w:p w14:paraId="4578C70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C1</w:t>
      </w:r>
      <w:r>
        <w:rPr>
          <w:rFonts w:hint="eastAsia" w:ascii="宋体" w:hAnsi="宋体" w:eastAsia="宋体" w:cs="宋体"/>
          <w:szCs w:val="21"/>
          <w:lang w:val="en-US" w:eastAsia="zh-CN"/>
        </w:rPr>
        <w:t>.</w:t>
      </w:r>
      <w:r>
        <w:rPr>
          <w:rFonts w:hint="eastAsia" w:ascii="宋体" w:hAnsi="宋体" w:eastAsia="宋体" w:cs="宋体"/>
          <w:szCs w:val="21"/>
        </w:rPr>
        <w:t>报价一览表</w:t>
      </w:r>
      <w:r>
        <w:rPr>
          <w:rFonts w:hint="eastAsia" w:ascii="宋体" w:hAnsi="宋体" w:cs="宋体"/>
          <w:color w:val="auto"/>
          <w:szCs w:val="21"/>
          <w:highlight w:val="none"/>
        </w:rPr>
        <w:t>（格式见附件）</w:t>
      </w:r>
      <w:r>
        <w:rPr>
          <w:rFonts w:hint="eastAsia" w:ascii="宋体" w:hAnsi="宋体" w:eastAsia="宋体" w:cs="宋体"/>
          <w:szCs w:val="21"/>
        </w:rPr>
        <w:t>；</w:t>
      </w:r>
    </w:p>
    <w:p w14:paraId="77FF20FE">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C2</w:t>
      </w:r>
      <w:r>
        <w:rPr>
          <w:rFonts w:hint="eastAsia" w:ascii="宋体" w:hAnsi="宋体" w:eastAsia="宋体" w:cs="宋体"/>
          <w:color w:val="auto"/>
          <w:szCs w:val="21"/>
          <w:lang w:val="en-US" w:eastAsia="zh-CN"/>
        </w:rPr>
        <w:t>.</w:t>
      </w:r>
      <w:r>
        <w:rPr>
          <w:rFonts w:hint="eastAsia" w:ascii="宋体" w:hAnsi="宋体" w:eastAsia="宋体" w:cs="宋体"/>
          <w:color w:val="auto"/>
          <w:szCs w:val="21"/>
        </w:rPr>
        <w:t>中小企业声明函</w:t>
      </w:r>
      <w:r>
        <w:rPr>
          <w:rFonts w:hint="eastAsia" w:ascii="宋体" w:hAnsi="宋体" w:cs="宋体"/>
          <w:color w:val="auto"/>
          <w:szCs w:val="21"/>
          <w:highlight w:val="none"/>
        </w:rPr>
        <w:t>（格式见附件）</w:t>
      </w:r>
      <w:r>
        <w:rPr>
          <w:rFonts w:hint="eastAsia" w:ascii="宋体" w:hAnsi="宋体" w:eastAsia="宋体" w:cs="宋体"/>
          <w:color w:val="auto"/>
          <w:szCs w:val="21"/>
        </w:rPr>
        <w:t>或C3</w:t>
      </w:r>
      <w:r>
        <w:rPr>
          <w:rFonts w:hint="eastAsia" w:ascii="宋体" w:hAnsi="宋体" w:eastAsia="宋体" w:cs="宋体"/>
          <w:color w:val="auto"/>
          <w:szCs w:val="21"/>
          <w:lang w:val="en-US" w:eastAsia="zh-CN"/>
        </w:rPr>
        <w:t>.</w:t>
      </w:r>
      <w:r>
        <w:rPr>
          <w:rFonts w:hint="eastAsia" w:ascii="宋体" w:hAnsi="宋体" w:eastAsia="宋体" w:cs="宋体"/>
          <w:color w:val="auto"/>
          <w:szCs w:val="21"/>
        </w:rPr>
        <w:t>残疾人福利性单位声明函</w:t>
      </w:r>
      <w:r>
        <w:rPr>
          <w:rFonts w:hint="eastAsia" w:ascii="宋体" w:hAnsi="宋体" w:cs="宋体"/>
          <w:color w:val="auto"/>
          <w:szCs w:val="21"/>
          <w:highlight w:val="none"/>
          <w:lang w:val="en-US" w:eastAsia="zh-CN"/>
        </w:rPr>
        <w:t>（如有请提供，格式见附件）或C4.省级以上监狱管理局、戒毒管理局（含新疆生产建设兵团）出具的属于监狱企业的证明文件（如有请提供）</w:t>
      </w:r>
      <w:r>
        <w:rPr>
          <w:rFonts w:hint="eastAsia" w:ascii="宋体" w:hAnsi="宋体" w:eastAsia="宋体" w:cs="宋体"/>
          <w:color w:val="auto"/>
          <w:szCs w:val="21"/>
        </w:rPr>
        <w:t>；</w:t>
      </w:r>
    </w:p>
    <w:p w14:paraId="0C90855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C</w:t>
      </w:r>
      <w:r>
        <w:rPr>
          <w:rFonts w:hint="eastAsia" w:ascii="宋体" w:hAnsi="宋体" w:cs="宋体"/>
          <w:szCs w:val="21"/>
          <w:lang w:val="en-US" w:eastAsia="zh-CN"/>
        </w:rPr>
        <w:t>5</w:t>
      </w:r>
      <w:r>
        <w:rPr>
          <w:rFonts w:hint="eastAsia" w:ascii="宋体" w:hAnsi="宋体" w:eastAsia="宋体" w:cs="宋体"/>
          <w:szCs w:val="21"/>
          <w:lang w:val="en-US" w:eastAsia="zh-CN"/>
        </w:rPr>
        <w:t>.</w:t>
      </w:r>
      <w:r>
        <w:rPr>
          <w:rFonts w:hint="eastAsia" w:ascii="宋体" w:hAnsi="宋体" w:eastAsia="宋体" w:cs="宋体"/>
          <w:szCs w:val="21"/>
        </w:rPr>
        <w:t>供应商认为需要的其他资料（如有需提供）。</w:t>
      </w:r>
    </w:p>
    <w:p w14:paraId="025B784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供应商应对磋商响应文件编制目录和评分索引表以方便查询。</w:t>
      </w:r>
    </w:p>
    <w:p w14:paraId="16896B2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磋商响应文件</w:t>
      </w:r>
      <w:r>
        <w:rPr>
          <w:rFonts w:hint="eastAsia" w:ascii="宋体" w:hAnsi="宋体" w:eastAsia="宋体" w:cs="宋体"/>
          <w:bCs/>
          <w:szCs w:val="21"/>
        </w:rPr>
        <w:t>制作：</w:t>
      </w:r>
    </w:p>
    <w:p w14:paraId="3A98174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应按照本项目磋商文件和政府采购云平台的要求编制、加密并递交磋商响应文件。供应商在使用系统进行磋商的过程中遇到涉及平台使用的任何问题，可致电政府采购云平台技术支持热线咨询，联系方式：95763。</w:t>
      </w:r>
    </w:p>
    <w:p w14:paraId="06CDC183">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（2）供应商通过政府采购云平台电子投标工具制作磋商响应文件。电子投标工具请供应商自行前往浙江政府采购网下载并安装（zfcg.czt.zj.gov.cn/bidClientTemplate/2019-05-27/12946.html）。</w:t>
      </w:r>
    </w:p>
    <w:p w14:paraId="19DD8730">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供应商磋商响应文件制作及电子交易操作指南详见：</w:t>
      </w:r>
    </w:p>
    <w:p w14:paraId="7097D92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①政府采购项目电子交易管理操作指南（视频）：</w:t>
      </w:r>
    </w:p>
    <w:p w14:paraId="4957759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rPr>
        <w:fldChar w:fldCharType="begin"/>
      </w:r>
      <w:r>
        <w:rPr>
          <w:rFonts w:hint="eastAsia" w:ascii="宋体" w:hAnsi="宋体" w:eastAsia="宋体" w:cs="宋体"/>
        </w:rPr>
        <w:instrText xml:space="preserve"> HYPERLINK "https://service.zcygov.cn/" \l "/knowledges/CW1EtGwBFdiHxlNd6I3m/7GyLXW0BXgMSmLUuYuPM" </w:instrText>
      </w:r>
      <w:r>
        <w:rPr>
          <w:rFonts w:hint="eastAsia" w:ascii="宋体" w:hAnsi="宋体" w:eastAsia="宋体" w:cs="宋体"/>
        </w:rPr>
        <w:fldChar w:fldCharType="separate"/>
      </w:r>
      <w:r>
        <w:rPr>
          <w:rFonts w:hint="eastAsia" w:ascii="宋体" w:hAnsi="宋体" w:eastAsia="宋体" w:cs="宋体"/>
        </w:rPr>
        <w:t>service.zcygov.cn/#/knowledges/CW1EtGwBFdiHxlNd6I3m/7GyLXW0BXgMSmLUuYuPM</w:t>
      </w:r>
      <w:r>
        <w:rPr>
          <w:rFonts w:hint="eastAsia" w:ascii="宋体" w:hAnsi="宋体" w:eastAsia="宋体" w:cs="宋体"/>
        </w:rPr>
        <w:fldChar w:fldCharType="end"/>
      </w:r>
      <w:r>
        <w:rPr>
          <w:rFonts w:hint="eastAsia" w:ascii="宋体" w:hAnsi="宋体" w:eastAsia="宋体" w:cs="宋体"/>
          <w:bCs/>
          <w:szCs w:val="21"/>
        </w:rPr>
        <w:t>（电脑登录账号观看）；</w:t>
      </w:r>
    </w:p>
    <w:p w14:paraId="642FE5B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②政府采购项目电子交易管理操作指南（文本）：</w:t>
      </w:r>
    </w:p>
    <w:p w14:paraId="3619E75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service.zcygov.cn/#/knowledges/CW1EtGwBFdiHxlNd6I3m/6IMVAG0BFdiHxlNdQ8Na（电脑登录账号浏览）。</w:t>
      </w:r>
    </w:p>
    <w:p w14:paraId="3674EDA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（3）以U盘或光盘存储的电子备份磋商响应文件1份，即按“项目采购-电子招投标操作指南”制作的电子备份文件，以用于异常情况处理。</w:t>
      </w:r>
    </w:p>
    <w:p w14:paraId="55EBDCF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szCs w:val="21"/>
        </w:rPr>
      </w:pPr>
      <w:r>
        <w:rPr>
          <w:rFonts w:hint="eastAsia" w:ascii="宋体" w:hAnsi="宋体" w:eastAsia="宋体" w:cs="宋体"/>
          <w:bCs/>
          <w:szCs w:val="21"/>
        </w:rPr>
        <w:t>（4）磋商前准备：各供应商应在磋商截止时间前确保成为浙江政府采购网正式注册入库供应商，并完成CA数字证书办理。因未注册入库、未办理CA数字证书等原因造成无法磋商或磋商失败等后果由供应商自行承担。供应商CA申领操作指南（help.zcygov.cn/web/site_2/2018/11-29/2452.html），完成CA数字证书办理预计一周左右，请供应商自行把握时间。</w:t>
      </w:r>
    </w:p>
    <w:p w14:paraId="797D75A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bCs/>
          <w:szCs w:val="21"/>
        </w:rPr>
      </w:pPr>
      <w:r>
        <w:rPr>
          <w:rFonts w:hint="eastAsia" w:ascii="宋体" w:hAnsi="宋体" w:eastAsia="宋体" w:cs="宋体"/>
          <w:szCs w:val="21"/>
          <w:lang w:eastAsia="zh-CN"/>
        </w:rPr>
        <w:t>★</w:t>
      </w:r>
      <w:r>
        <w:rPr>
          <w:rFonts w:hint="eastAsia" w:ascii="宋体" w:hAnsi="宋体" w:eastAsia="宋体" w:cs="宋体"/>
          <w:b/>
          <w:bCs/>
          <w:szCs w:val="21"/>
        </w:rPr>
        <w:t>九、磋商响应文件的签署盖章</w:t>
      </w:r>
    </w:p>
    <w:p w14:paraId="29F7D226">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竞争性磋商文件第七章“附件”中标明加盖公章或签字的，</w:t>
      </w:r>
      <w:r>
        <w:rPr>
          <w:rFonts w:hint="eastAsia" w:ascii="宋体" w:hAnsi="宋体" w:eastAsia="宋体" w:cs="宋体"/>
          <w:bCs/>
          <w:szCs w:val="21"/>
        </w:rPr>
        <w:t>加盖公章部分采用CA签章，</w:t>
      </w:r>
      <w:r>
        <w:rPr>
          <w:rFonts w:hint="eastAsia" w:ascii="宋体" w:hAnsi="宋体" w:eastAsia="宋体" w:cs="宋体"/>
          <w:szCs w:val="21"/>
        </w:rPr>
        <w:t>签字部分由法定代表人或授权代表签字后扫描上传。授权代表签字的，</w:t>
      </w:r>
      <w:r>
        <w:rPr>
          <w:rFonts w:hint="eastAsia" w:ascii="宋体" w:hAnsi="宋体" w:eastAsia="宋体" w:cs="宋体"/>
          <w:kern w:val="0"/>
          <w:szCs w:val="21"/>
        </w:rPr>
        <w:t>还</w:t>
      </w:r>
      <w:r>
        <w:rPr>
          <w:rFonts w:hint="eastAsia" w:ascii="宋体" w:hAnsi="宋体" w:eastAsia="宋体" w:cs="宋体"/>
          <w:szCs w:val="21"/>
        </w:rPr>
        <w:t>应附法定代表人签署的法定代表人授权书。</w:t>
      </w:r>
    </w:p>
    <w:p w14:paraId="445B5B1C">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十、磋商响应文件的密封和标记</w:t>
      </w:r>
    </w:p>
    <w:p w14:paraId="2BCE197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电子磋商响应文件：供应商应根据“项目采购-电子招投标操作指南”及本竞争性磋商文件规定的格式和顺序编制电子磋商响应文件并进行关联定位。</w:t>
      </w:r>
    </w:p>
    <w:p w14:paraId="10D9169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kern w:val="0"/>
          <w:szCs w:val="21"/>
        </w:rPr>
        <w:t>以U盘或光盘存储的电子备份磋商响应文件</w:t>
      </w:r>
      <w:r>
        <w:rPr>
          <w:rFonts w:hint="eastAsia" w:ascii="宋体" w:hAnsi="宋体" w:eastAsia="宋体" w:cs="宋体"/>
          <w:szCs w:val="21"/>
        </w:rPr>
        <w:t>用封袋密封后递交。</w:t>
      </w:r>
    </w:p>
    <w:p w14:paraId="3639917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kern w:val="0"/>
          <w:szCs w:val="21"/>
        </w:rPr>
        <w:t>电子备份磋商响应文件须在</w:t>
      </w:r>
      <w:r>
        <w:rPr>
          <w:rFonts w:hint="eastAsia" w:ascii="宋体" w:hAnsi="宋体" w:eastAsia="宋体" w:cs="宋体"/>
          <w:szCs w:val="21"/>
        </w:rPr>
        <w:t>封袋上注明：</w:t>
      </w:r>
    </w:p>
    <w:p w14:paraId="6F872448">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u w:val="single"/>
        </w:rPr>
      </w:pPr>
      <w:r>
        <w:rPr>
          <w:rFonts w:hint="eastAsia" w:ascii="宋体" w:hAnsi="宋体" w:eastAsia="宋体" w:cs="宋体"/>
          <w:szCs w:val="21"/>
        </w:rPr>
        <w:t>（1）注明：</w:t>
      </w:r>
      <w:r>
        <w:rPr>
          <w:rFonts w:hint="eastAsia" w:ascii="宋体" w:hAnsi="宋体" w:eastAsia="宋体" w:cs="宋体"/>
          <w:szCs w:val="21"/>
          <w:u w:val="single"/>
        </w:rPr>
        <w:t>“电子备份磋商响应文件”</w:t>
      </w:r>
      <w:r>
        <w:rPr>
          <w:rFonts w:hint="eastAsia" w:ascii="宋体" w:hAnsi="宋体" w:eastAsia="宋体" w:cs="宋体"/>
          <w:szCs w:val="21"/>
        </w:rPr>
        <w:t>；</w:t>
      </w:r>
    </w:p>
    <w:p w14:paraId="3AD03953">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（2）项目编号：</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3AC54E53">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（3）项目名称：</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25DB5BC0">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（4）所投标项（如有多个标项须填写）：</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0697A540">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（5）在</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日</w:t>
      </w:r>
      <w:r>
        <w:rPr>
          <w:rFonts w:hint="eastAsia" w:ascii="宋体" w:hAnsi="宋体" w:eastAsia="宋体" w:cs="宋体"/>
          <w:szCs w:val="21"/>
        </w:rPr>
        <w:t>（规定的开启日期和时间）前不准启封；</w:t>
      </w:r>
    </w:p>
    <w:p w14:paraId="1050F8CD">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（6）供应商的名称：</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3D41FAA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供应商须在包封上加盖供应商公章或由其法定代表人或授权代表签字。</w:t>
      </w:r>
    </w:p>
    <w:p w14:paraId="794F201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供应商未按上述要求标记的，采购人（代理机构）不承担错放或提前开封的责任。</w:t>
      </w:r>
    </w:p>
    <w:p w14:paraId="5642B086">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bookmarkStart w:id="2" w:name="_Toc237939759"/>
      <w:r>
        <w:rPr>
          <w:rFonts w:hint="eastAsia" w:ascii="宋体" w:hAnsi="宋体" w:eastAsia="宋体" w:cs="宋体"/>
          <w:b/>
          <w:szCs w:val="21"/>
        </w:rPr>
        <w:t>十一、磋商响应文件的递交</w:t>
      </w:r>
      <w:bookmarkEnd w:id="2"/>
    </w:p>
    <w:p w14:paraId="593C1A6B">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电子磋商响应文件：供应商应于提交磋商响应文件截止时间前将电子磋商响应文件（含资格文件、商务和技术文件、报价文件）上传到政府采购云平台（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Cs w:val="21"/>
        </w:rPr>
        <w:t>www.zcygov.cn</w:t>
      </w:r>
      <w:r>
        <w:rPr>
          <w:rFonts w:hint="eastAsia" w:ascii="宋体" w:hAnsi="宋体" w:eastAsia="宋体" w:cs="宋体"/>
          <w:szCs w:val="21"/>
        </w:rPr>
        <w:fldChar w:fldCharType="end"/>
      </w:r>
      <w:r>
        <w:rPr>
          <w:rFonts w:hint="eastAsia" w:ascii="宋体" w:hAnsi="宋体" w:eastAsia="宋体" w:cs="宋体"/>
          <w:szCs w:val="21"/>
        </w:rPr>
        <w:t>）。</w:t>
      </w:r>
    </w:p>
    <w:p w14:paraId="0B50F0DD">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电子备份磋商响应文件：供应商于提交响应文件截止时间前一天前，将以U盘或光盘存储的电子备份文件（1份，含资格文件、商务和技术文件、报价文件）密封后通过顺丰等邮寄或现场递交方式送达，送达地址：宁波市江北区世茂日湖中心1号楼8楼，联系人：陈洋，电话：0574-87295348。供应商邮寄后须将邮件单号、联系电话发送至代理机构电子邮箱（电子邮箱：nbitc@126.com），并致电采购代理机构，以便采购代理机构查询物流记录。各供应商应当确保电子备份文件的密封包装在邮寄过程保持完好，并在邮寄包裹上注明项目名称、项目编号。</w:t>
      </w:r>
      <w:r>
        <w:rPr>
          <w:rFonts w:hint="eastAsia" w:ascii="宋体" w:hAnsi="宋体" w:eastAsia="宋体" w:cs="宋体"/>
          <w:b/>
          <w:bCs/>
          <w:szCs w:val="21"/>
        </w:rPr>
        <w:t>开标当天截止时间前</w:t>
      </w:r>
      <w:r>
        <w:rPr>
          <w:rFonts w:hint="eastAsia" w:ascii="宋体" w:hAnsi="宋体" w:eastAsia="宋体" w:cs="宋体"/>
          <w:szCs w:val="21"/>
        </w:rPr>
        <w:t>递交送至：宁波市北仑区新矸长江路1166号（北仑行政大楼B座三楼北仑区招投标中心交易厅）。</w:t>
      </w:r>
    </w:p>
    <w:p w14:paraId="4C8EFE37">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电子备份文件密封破损而不符合采购文件对电子备份文件的密封要求的、或电子备份文件未能在磋商截止时间前送达的，代理机构将拒绝其电子备份文件。供应商自行考虑邮寄在途时间，电子备份文件送达时间以代理机构工作人员实际签收时间为准。</w:t>
      </w:r>
    </w:p>
    <w:p w14:paraId="30D71274">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电子备份文件不强制要求提交，但因电子备份文件未能按时解密或解密失败，供应商又未提交电子备份文件的，将被视为磋商响应文件撤回，其磋商响应无效。</w:t>
      </w:r>
    </w:p>
    <w:p w14:paraId="15C64673">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逾期送达的或者未送达指定地点的电子备份文件，代理机构不予受理。</w:t>
      </w:r>
    </w:p>
    <w:p w14:paraId="6B847BBB">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磋商响应文件的补充、修改</w:t>
      </w:r>
    </w:p>
    <w:p w14:paraId="358321EA">
      <w:pPr>
        <w:keepNext w:val="0"/>
        <w:keepLines w:val="0"/>
        <w:pageBreakBefore w:val="0"/>
        <w:tabs>
          <w:tab w:val="left" w:pos="90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highlight w:val="none"/>
        </w:rPr>
        <w:t>磋商响应截止时间前，供应商可以对递交的响应文件进行补充、修改，补充、修改电子磋商文件的，应当先行撤回原文件，补充、修改后重新上传，电子备份文件也应重新制作递交。在磋商截止时间之后，供应商不得对其响应文件进行补充、修改。磋商采购截止时间之后供应商要求撤销响应文件的，应向采购人提交正式文件。</w:t>
      </w:r>
    </w:p>
    <w:p w14:paraId="4F8BA2D6">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szCs w:val="21"/>
        </w:rPr>
      </w:pPr>
      <w:r>
        <w:rPr>
          <w:rFonts w:hint="eastAsia" w:ascii="宋体" w:hAnsi="宋体" w:eastAsia="宋体" w:cs="宋体"/>
          <w:b/>
          <w:szCs w:val="21"/>
        </w:rPr>
        <w:t>十二、竞争性磋商文件的澄清或修改</w:t>
      </w:r>
    </w:p>
    <w:p w14:paraId="7AE839C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b/>
          <w:szCs w:val="21"/>
        </w:rPr>
        <w:t>采购人可以对已发出的竞争性磋商文件进行必要的澄清或者修改，将以“更正公告”的形式发布在政采云平台，供应商应及时登录政采云平台，进行浏览并下载，未及时浏览下载的责任自负。</w:t>
      </w:r>
      <w:r>
        <w:rPr>
          <w:rFonts w:hint="eastAsia" w:ascii="宋体" w:hAnsi="宋体" w:eastAsia="宋体" w:cs="宋体"/>
          <w:szCs w:val="21"/>
        </w:rPr>
        <w:t>澄清或者修改的内容可能影响磋商响应文件编制的，采购人应当在</w:t>
      </w:r>
      <w:r>
        <w:rPr>
          <w:rFonts w:hint="eastAsia" w:ascii="宋体" w:hAnsi="宋体" w:eastAsia="宋体" w:cs="宋体"/>
          <w:bCs/>
          <w:iCs/>
          <w:szCs w:val="21"/>
        </w:rPr>
        <w:t>提交磋商响应文件的截止时间</w:t>
      </w:r>
      <w:r>
        <w:rPr>
          <w:rFonts w:hint="eastAsia" w:ascii="宋体" w:hAnsi="宋体" w:eastAsia="宋体" w:cs="宋体"/>
          <w:szCs w:val="21"/>
        </w:rPr>
        <w:t>至少5日前，不足5日的，采购人应当顺延</w:t>
      </w:r>
      <w:r>
        <w:rPr>
          <w:rFonts w:hint="eastAsia" w:ascii="宋体" w:hAnsi="宋体" w:eastAsia="宋体" w:cs="宋体"/>
          <w:bCs/>
          <w:iCs/>
          <w:szCs w:val="21"/>
        </w:rPr>
        <w:t>提交磋商响应文件的截止时间</w:t>
      </w:r>
      <w:r>
        <w:rPr>
          <w:rFonts w:hint="eastAsia" w:ascii="宋体" w:hAnsi="宋体" w:eastAsia="宋体" w:cs="宋体"/>
          <w:szCs w:val="21"/>
        </w:rPr>
        <w:t>；澄清或者修改的内容不影响磋商响应文件编制的，则不受5日的期限限制。澄清或者修改的内容为竞争性磋商文件的组成部分，对所有供应商具有约束力。</w:t>
      </w:r>
    </w:p>
    <w:p w14:paraId="5D513BA3">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十三、质疑</w:t>
      </w:r>
    </w:p>
    <w:p w14:paraId="1588CF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p>
    <w:p w14:paraId="06324E3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提出质疑的供应商应当是参与所质疑项目采购活动的供应商。未依法获取采购文件的，不得就采购文件提出质疑；未提交磋商响应文件的供应商，视为与采购结果没有利害关系，不得就采购响应截止时间后的采购过程、采购结果提出质疑。</w:t>
      </w:r>
    </w:p>
    <w:p w14:paraId="3A28583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070958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44EBA05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采购人、采购代理机构接收质疑函的方式：只接收供应商以当面递交、邮寄、传真或电子邮件方式提出的质疑函，以其他方式提出的质疑不予接收。</w:t>
      </w:r>
    </w:p>
    <w:p w14:paraId="3631529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14:paraId="3413BA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14:paraId="374437D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采购人、采购代理机构以实际收到质疑函原件之日作为收到质疑函的日期，将在收到质疑函后7个工作日内作出答复。</w:t>
      </w:r>
    </w:p>
    <w:p w14:paraId="5F70C7C2">
      <w:pPr>
        <w:keepNext w:val="0"/>
        <w:keepLines w:val="0"/>
        <w:pageBreakBefore w:val="0"/>
        <w:kinsoku/>
        <w:wordWrap/>
        <w:overflowPunct/>
        <w:topLinePunct w:val="0"/>
        <w:autoSpaceDE/>
        <w:autoSpaceDN/>
        <w:bidi w:val="0"/>
        <w:adjustRightInd w:val="0"/>
        <w:spacing w:line="400" w:lineRule="exact"/>
        <w:ind w:firstLine="420" w:firstLineChars="200"/>
        <w:jc w:val="left"/>
        <w:textAlignment w:val="auto"/>
        <w:rPr>
          <w:rFonts w:hint="eastAsia" w:ascii="宋体" w:hAnsi="宋体" w:eastAsia="宋体" w:cs="宋体"/>
          <w:b/>
          <w:szCs w:val="21"/>
        </w:rPr>
      </w:pPr>
      <w:r>
        <w:rPr>
          <w:rFonts w:hint="eastAsia" w:ascii="宋体" w:hAnsi="宋体" w:eastAsia="宋体" w:cs="宋体"/>
          <w:szCs w:val="21"/>
        </w:rPr>
        <w:t>7</w:t>
      </w:r>
      <w:r>
        <w:rPr>
          <w:rFonts w:hint="eastAsia" w:ascii="宋体" w:hAnsi="宋体" w:eastAsia="宋体" w:cs="宋体"/>
          <w:szCs w:val="21"/>
          <w:lang w:val="en-US" w:eastAsia="zh-CN"/>
        </w:rPr>
        <w:t>.</w:t>
      </w:r>
      <w:r>
        <w:rPr>
          <w:rFonts w:hint="eastAsia" w:ascii="宋体" w:hAnsi="宋体" w:eastAsia="宋体" w:cs="宋体"/>
          <w:szCs w:val="21"/>
        </w:rPr>
        <w:t>采购人、采购代理机构接收质疑函的联系人、联系电话和通讯地址等信息详见竞争性磋商公告。</w:t>
      </w:r>
    </w:p>
    <w:p w14:paraId="27A0CDDB">
      <w:pPr>
        <w:keepNext w:val="0"/>
        <w:keepLines w:val="0"/>
        <w:pageBreakBefore w:val="0"/>
        <w:kinsoku/>
        <w:wordWrap/>
        <w:overflowPunct/>
        <w:topLinePunct w:val="0"/>
        <w:autoSpaceDE/>
        <w:autoSpaceDN/>
        <w:bidi w:val="0"/>
        <w:adjustRightInd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rPr>
        <w:t>十四、预算价（最高限价）</w:t>
      </w:r>
    </w:p>
    <w:p w14:paraId="5A10ABBF">
      <w:pPr>
        <w:keepNext w:val="0"/>
        <w:keepLines w:val="0"/>
        <w:pageBreakBefore w:val="0"/>
        <w:kinsoku/>
        <w:wordWrap/>
        <w:overflowPunct/>
        <w:topLinePunct w:val="0"/>
        <w:autoSpaceDE/>
        <w:autoSpaceDN/>
        <w:bidi w:val="0"/>
        <w:adjustRightInd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本项目设有最高限价：标项一人民币35万元，超过最高限价的报价</w:t>
      </w:r>
      <w:r>
        <w:rPr>
          <w:rFonts w:hint="eastAsia" w:ascii="宋体" w:hAnsi="宋体" w:eastAsia="宋体" w:cs="宋体"/>
        </w:rPr>
        <w:t>按无效标处理</w:t>
      </w:r>
      <w:r>
        <w:rPr>
          <w:rFonts w:hint="eastAsia" w:ascii="宋体" w:hAnsi="宋体" w:eastAsia="宋体" w:cs="宋体"/>
          <w:szCs w:val="21"/>
        </w:rPr>
        <w:t>。</w:t>
      </w:r>
    </w:p>
    <w:p w14:paraId="7442976B">
      <w:pPr>
        <w:keepNext w:val="0"/>
        <w:keepLines w:val="0"/>
        <w:pageBreakBefore w:val="0"/>
        <w:kinsoku/>
        <w:wordWrap/>
        <w:overflowPunct/>
        <w:topLinePunct w:val="0"/>
        <w:autoSpaceDE/>
        <w:autoSpaceDN/>
        <w:bidi w:val="0"/>
        <w:adjustRightInd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十五、评审</w:t>
      </w:r>
    </w:p>
    <w:p w14:paraId="18CD4D8E">
      <w:pPr>
        <w:keepNext w:val="0"/>
        <w:keepLines w:val="0"/>
        <w:pageBreakBefore w:val="0"/>
        <w:kinsoku/>
        <w:wordWrap/>
        <w:overflowPunct/>
        <w:topLinePunct w:val="0"/>
        <w:autoSpaceDE/>
        <w:autoSpaceDN/>
        <w:bidi w:val="0"/>
        <w:adjustRightInd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具体详见第三章“评定成交的标准”。</w:t>
      </w:r>
    </w:p>
    <w:p w14:paraId="42A00E42">
      <w:pPr>
        <w:keepNext w:val="0"/>
        <w:keepLines w:val="0"/>
        <w:pageBreakBefore w:val="0"/>
        <w:kinsoku/>
        <w:wordWrap/>
        <w:overflowPunct/>
        <w:topLinePunct w:val="0"/>
        <w:autoSpaceDE/>
        <w:autoSpaceDN/>
        <w:bidi w:val="0"/>
        <w:adjustRightInd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十六、成交结果通知</w:t>
      </w:r>
    </w:p>
    <w:p w14:paraId="4011E1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采购人确认评审结果后，代理机构将在相关媒体上发布成交结果公告，并向确定成交供应商发出确定成交通知书。</w:t>
      </w:r>
    </w:p>
    <w:p w14:paraId="0949022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确定成交通知书发出后，若确定成交供应商放弃成交，应当承担相应的法律责任，确定成交通知书对采购人和确定成交供应商具有同等法律效力。</w:t>
      </w:r>
    </w:p>
    <w:p w14:paraId="6B4AE9D4">
      <w:pPr>
        <w:keepNext w:val="0"/>
        <w:keepLines w:val="0"/>
        <w:pageBreakBefore w:val="0"/>
        <w:kinsoku/>
        <w:wordWrap/>
        <w:overflowPunct/>
        <w:topLinePunct w:val="0"/>
        <w:autoSpaceDE/>
        <w:autoSpaceDN/>
        <w:bidi w:val="0"/>
        <w:adjustRightInd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十七、签订合同</w:t>
      </w:r>
    </w:p>
    <w:p w14:paraId="27891CB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确定成交供应商在确定成交通知书发出后30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46C40430">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十八、代理服务费</w:t>
      </w:r>
    </w:p>
    <w:p w14:paraId="1C2CFC1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代理机构</w:t>
      </w:r>
      <w:r>
        <w:rPr>
          <w:rFonts w:hint="eastAsia" w:ascii="宋体" w:hAnsi="宋体" w:eastAsia="宋体" w:cs="宋体"/>
          <w:szCs w:val="21"/>
        </w:rPr>
        <w:t>向</w:t>
      </w:r>
      <w:r>
        <w:rPr>
          <w:rFonts w:hint="eastAsia" w:ascii="宋体" w:hAnsi="宋体" w:eastAsia="宋体" w:cs="宋体"/>
        </w:rPr>
        <w:t>确定成交供应商</w:t>
      </w:r>
      <w:r>
        <w:rPr>
          <w:rFonts w:hint="eastAsia" w:ascii="宋体" w:hAnsi="宋体" w:eastAsia="宋体" w:cs="宋体"/>
          <w:szCs w:val="21"/>
        </w:rPr>
        <w:t>收取代理服务费，代理服务费金额为确定成交通知书确定的成交金额的1.35%，不足4000元按4000元计取。</w:t>
      </w:r>
    </w:p>
    <w:p w14:paraId="7582A022">
      <w:pPr>
        <w:keepNext w:val="0"/>
        <w:keepLines w:val="0"/>
        <w:pageBreakBefore w:val="0"/>
        <w:kinsoku/>
        <w:wordWrap/>
        <w:overflowPunct/>
        <w:topLinePunct w:val="0"/>
        <w:autoSpaceDE/>
        <w:autoSpaceDN/>
        <w:bidi w:val="0"/>
        <w:adjustRightInd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成交供应商应在代理机构发出成交通知书5个工作日内向本代理机构支付代理服务费。</w:t>
      </w:r>
    </w:p>
    <w:p w14:paraId="7230A76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代理服务费只收现金、银行票汇款、电汇款。</w:t>
      </w:r>
    </w:p>
    <w:p w14:paraId="67DCB0A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账户名称：宁波市国际招标有限公司</w:t>
      </w:r>
    </w:p>
    <w:p w14:paraId="3590A2A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开户银行：上海浦东发展银行宁波分行江北支行</w:t>
      </w:r>
    </w:p>
    <w:p w14:paraId="432A443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银行账号：94090154800000191</w:t>
      </w:r>
    </w:p>
    <w:p w14:paraId="30AEC54B">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十九、特别说明</w:t>
      </w:r>
    </w:p>
    <w:p w14:paraId="07C2404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3" w:name="_Toc441316546"/>
      <w:bookmarkStart w:id="4" w:name="_Toc419729150"/>
      <w:bookmarkStart w:id="5" w:name="_Toc436408700"/>
      <w:bookmarkStart w:id="6" w:name="_Toc21541007"/>
      <w:bookmarkStart w:id="7" w:name="_Toc441316554"/>
      <w:bookmarkStart w:id="8" w:name="_Toc436408708"/>
      <w:bookmarkStart w:id="9" w:name="_Toc419729158"/>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执行财政部、工业和信息化部《政府采购促进中小企业发展管理办法》（财库〔2020〕46号）。政府采购活动中有关中小企业的相关规定如下：</w:t>
      </w:r>
      <w:bookmarkEnd w:id="3"/>
      <w:bookmarkEnd w:id="4"/>
      <w:bookmarkEnd w:id="5"/>
      <w:bookmarkEnd w:id="6"/>
    </w:p>
    <w:p w14:paraId="1D4E9C8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10" w:name="_Toc436408701"/>
      <w:bookmarkStart w:id="11" w:name="_Toc441316547"/>
      <w:bookmarkStart w:id="12" w:name="_Toc21541008"/>
      <w:bookmarkStart w:id="13" w:name="_Toc419729151"/>
      <w:r>
        <w:rPr>
          <w:rFonts w:hint="eastAsia" w:ascii="宋体" w:hAnsi="宋体" w:eastAsia="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0"/>
      <w:bookmarkEnd w:id="11"/>
      <w:bookmarkEnd w:id="12"/>
      <w:bookmarkEnd w:id="13"/>
      <w:r>
        <w:rPr>
          <w:rFonts w:hint="eastAsia" w:ascii="宋体" w:hAnsi="宋体" w:eastAsia="宋体" w:cs="宋体"/>
          <w:szCs w:val="21"/>
        </w:rPr>
        <w:t>。</w:t>
      </w:r>
    </w:p>
    <w:p w14:paraId="5EFF61B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7BB451C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（2）在政府采购活动中，供应商提供的货物、工程或者服务符合下列情形的，享受《政府采购促进中小企业发展管理办法》规定的中小企业扶持政策：</w:t>
      </w:r>
    </w:p>
    <w:p w14:paraId="2D61FEED">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14" w:name="_Toc441316548"/>
      <w:bookmarkStart w:id="15" w:name="_Toc419729152"/>
      <w:bookmarkStart w:id="16" w:name="_Toc21541009"/>
      <w:bookmarkStart w:id="17" w:name="_Toc436408702"/>
      <w:r>
        <w:rPr>
          <w:rFonts w:hint="eastAsia" w:ascii="宋体" w:hAnsi="宋体" w:eastAsia="宋体" w:cs="宋体"/>
          <w:szCs w:val="21"/>
        </w:rPr>
        <w:t>①在货物采购项目中，货物由中小企业制造，即货物由中小企业生产且使用该中小企业商号或者注册商标；</w:t>
      </w:r>
      <w:bookmarkEnd w:id="14"/>
      <w:bookmarkEnd w:id="15"/>
      <w:bookmarkEnd w:id="16"/>
      <w:bookmarkEnd w:id="17"/>
    </w:p>
    <w:p w14:paraId="5E8D4EF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18" w:name="_Toc436408703"/>
      <w:bookmarkStart w:id="19" w:name="_Toc21541010"/>
      <w:bookmarkStart w:id="20" w:name="_Toc441316549"/>
      <w:bookmarkStart w:id="21" w:name="_Toc419729153"/>
      <w:r>
        <w:rPr>
          <w:rFonts w:hint="eastAsia" w:ascii="宋体" w:hAnsi="宋体" w:eastAsia="宋体" w:cs="宋体"/>
          <w:szCs w:val="21"/>
        </w:rPr>
        <w:t>②在工程采购项目中，工程由中小企业承建，即工程施工单位为中小企业</w:t>
      </w:r>
      <w:bookmarkEnd w:id="18"/>
      <w:bookmarkEnd w:id="19"/>
      <w:bookmarkEnd w:id="20"/>
      <w:bookmarkEnd w:id="21"/>
      <w:r>
        <w:rPr>
          <w:rFonts w:hint="eastAsia" w:ascii="宋体" w:hAnsi="宋体" w:eastAsia="宋体" w:cs="宋体"/>
          <w:szCs w:val="21"/>
        </w:rPr>
        <w:t>；</w:t>
      </w:r>
    </w:p>
    <w:p w14:paraId="19971FC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③在服务采购项目中，服务由中小企业承接，即提供服务的人员为中小企业依照《中华人民共和国劳动合同法》订立劳动合同的从业人员。</w:t>
      </w:r>
    </w:p>
    <w:p w14:paraId="58CCF389">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在货物采购项目中，供应商提供的货物既有中小企业制造货物，也有大型企业制造货物的，不享受《政府采购促进中小企业发展管理办法》规定的中小企业扶持政策。</w:t>
      </w:r>
    </w:p>
    <w:p w14:paraId="3B2CD70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0CDB8F6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（3）中小企业参加政府采购活动，应当出具《政府采购促进中小企业发展管理办法》规定的《中小企业声明函》，否则不得享受相关中小企业扶持政策。</w:t>
      </w:r>
    </w:p>
    <w:p w14:paraId="12FA959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13C6667">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供应商提供声明函内容不实的，属于提供虚假材料谋取中标、成交，依照《中华人民共和国政府采购法》等国家有关规定追究相应责任。</w:t>
      </w:r>
    </w:p>
    <w:p w14:paraId="137517D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适用招标投标法的政府采购工程建设项目，供应商提供声明函内容不实的，属于弄虚作假骗取成交，依照《中华人民共和国招标投标法》等国家有关规定追究相应责任。</w:t>
      </w:r>
    </w:p>
    <w:p w14:paraId="5A0A2F1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（5）《中小企业声明函》由参加磋商的供应商提交，如供应商为代理商，须自行采集制造商的中小企业划分类型信息填入相应栏目并对其真实性负责。</w:t>
      </w:r>
    </w:p>
    <w:p w14:paraId="5694128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22" w:name="_Toc495244277"/>
      <w:bookmarkStart w:id="23" w:name="_Toc21541015"/>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执行财政部、司法部《关于政府采购支持监狱企业发展有关问题的通知》。监狱企业（监狱和戒毒企业）提供自己企业的产品（服务）参加磋商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2"/>
      <w:bookmarkEnd w:id="23"/>
    </w:p>
    <w:p w14:paraId="015680D2">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24" w:name="_Toc21541016"/>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24"/>
    </w:p>
    <w:p w14:paraId="44287BC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bookmarkStart w:id="25" w:name="_Toc21541017"/>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szCs w:val="21"/>
        </w:rPr>
        <w:t>本项目不组织潜在供应商现场考察或者召开磋商前答疑。</w:t>
      </w:r>
      <w:bookmarkEnd w:id="25"/>
    </w:p>
    <w:p w14:paraId="6B1936D8">
      <w:pPr>
        <w:keepNext w:val="0"/>
        <w:keepLines w:val="0"/>
        <w:pageBreakBefore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szCs w:val="21"/>
          <w:u w:val="single"/>
        </w:rPr>
      </w:pPr>
      <w:r>
        <w:rPr>
          <w:rFonts w:hint="eastAsia" w:ascii="宋体" w:hAnsi="宋体" w:eastAsia="宋体" w:cs="宋体"/>
          <w:b/>
          <w:szCs w:val="21"/>
          <w:u w:val="none"/>
        </w:rPr>
        <w:t>5</w:t>
      </w:r>
      <w:r>
        <w:rPr>
          <w:rFonts w:hint="eastAsia" w:ascii="宋体" w:hAnsi="宋体" w:eastAsia="宋体" w:cs="宋体"/>
          <w:b/>
          <w:szCs w:val="21"/>
          <w:u w:val="none"/>
          <w:lang w:val="en-US" w:eastAsia="zh-CN"/>
        </w:rPr>
        <w:t>.</w:t>
      </w:r>
      <w:r>
        <w:rPr>
          <w:rFonts w:hint="eastAsia" w:ascii="宋体" w:hAnsi="宋体" w:eastAsia="宋体" w:cs="宋体"/>
          <w:b/>
          <w:u w:val="none"/>
        </w:rPr>
        <w:t>两家或两家以上供应商提供的磋商响应文件出自同一终端设备的，或在相同Internet主机分配地址（相同IP地址）获取竞争性磋商文件或网上</w:t>
      </w:r>
      <w:r>
        <w:rPr>
          <w:rFonts w:hint="eastAsia" w:ascii="宋体" w:hAnsi="宋体" w:cs="宋体"/>
          <w:b/>
          <w:u w:val="none"/>
          <w:lang w:eastAsia="zh-CN"/>
        </w:rPr>
        <w:t>响应</w:t>
      </w:r>
      <w:r>
        <w:rPr>
          <w:rFonts w:hint="eastAsia" w:ascii="宋体" w:hAnsi="宋体" w:eastAsia="宋体" w:cs="宋体"/>
          <w:b/>
          <w:u w:val="none"/>
        </w:rPr>
        <w:t>的，视为无效响应。</w:t>
      </w:r>
    </w:p>
    <w:p w14:paraId="4475210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本竞争性磋商文件未及事项，在签订合同时供需双方友好商定。</w:t>
      </w:r>
      <w:bookmarkEnd w:id="7"/>
      <w:bookmarkEnd w:id="8"/>
    </w:p>
    <w:p w14:paraId="5AF0769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7</w:t>
      </w:r>
      <w:bookmarkEnd w:id="9"/>
      <w:bookmarkStart w:id="26" w:name="_Toc419729159"/>
      <w:r>
        <w:rPr>
          <w:rFonts w:hint="eastAsia" w:ascii="宋体" w:hAnsi="宋体" w:eastAsia="宋体" w:cs="宋体"/>
          <w:szCs w:val="21"/>
          <w:lang w:val="en-US" w:eastAsia="zh-CN"/>
        </w:rPr>
        <w:t>.</w:t>
      </w:r>
      <w:r>
        <w:rPr>
          <w:rFonts w:hint="eastAsia" w:ascii="宋体" w:hAnsi="宋体" w:eastAsia="宋体" w:cs="宋体"/>
          <w:szCs w:val="21"/>
        </w:rPr>
        <w:t>本竞争性磋商文件解释权归采购人。</w:t>
      </w:r>
      <w:bookmarkEnd w:id="26"/>
    </w:p>
    <w:p w14:paraId="19FF409F">
      <w:pPr>
        <w:spacing w:line="400" w:lineRule="exact"/>
        <w:rPr>
          <w:rFonts w:hint="eastAsia" w:ascii="宋体" w:hAnsi="宋体" w:eastAsia="宋体" w:cs="宋体"/>
          <w:b/>
          <w:szCs w:val="21"/>
        </w:rPr>
        <w:sectPr>
          <w:footerReference r:id="rId9" w:type="default"/>
          <w:type w:val="nextColumn"/>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p>
    <w:p w14:paraId="1BA41BD2">
      <w:pPr>
        <w:keepNext w:val="0"/>
        <w:keepLines w:val="0"/>
        <w:pageBreakBefore w:val="0"/>
        <w:kinsoku/>
        <w:wordWrap/>
        <w:overflowPunct/>
        <w:topLinePunct w:val="0"/>
        <w:bidi w:val="0"/>
        <w:spacing w:line="400" w:lineRule="exact"/>
        <w:ind w:left="0" w:leftChars="0"/>
        <w:jc w:val="center"/>
        <w:textAlignment w:val="auto"/>
        <w:outlineLvl w:val="0"/>
        <w:rPr>
          <w:rFonts w:hint="eastAsia" w:ascii="宋体" w:hAnsi="宋体" w:eastAsia="宋体" w:cs="宋体"/>
          <w:b/>
          <w:sz w:val="30"/>
          <w:szCs w:val="30"/>
        </w:rPr>
      </w:pPr>
      <w:bookmarkStart w:id="27" w:name="_Toc387409457"/>
      <w:bookmarkStart w:id="28" w:name="_Toc24794"/>
      <w:bookmarkStart w:id="29" w:name="_Toc28418"/>
      <w:bookmarkStart w:id="30" w:name="_Toc21522"/>
      <w:bookmarkStart w:id="31" w:name="OLE_LINK1"/>
      <w:r>
        <w:rPr>
          <w:rFonts w:hint="eastAsia" w:ascii="宋体" w:hAnsi="宋体" w:eastAsia="宋体" w:cs="宋体"/>
          <w:b/>
          <w:sz w:val="30"/>
          <w:szCs w:val="30"/>
        </w:rPr>
        <w:t>第三章评定成交的标准</w:t>
      </w:r>
      <w:bookmarkEnd w:id="27"/>
      <w:bookmarkEnd w:id="28"/>
    </w:p>
    <w:bookmarkEnd w:id="29"/>
    <w:bookmarkEnd w:id="30"/>
    <w:p w14:paraId="32EB1D1D">
      <w:pPr>
        <w:keepNext w:val="0"/>
        <w:keepLines w:val="0"/>
        <w:pageBreakBefore w:val="0"/>
        <w:kinsoku/>
        <w:wordWrap/>
        <w:overflowPunct/>
        <w:topLinePunct w:val="0"/>
        <w:autoSpaceDE w:val="0"/>
        <w:autoSpaceDN w:val="0"/>
        <w:bidi w:val="0"/>
        <w:adjustRightInd w:val="0"/>
        <w:spacing w:line="400" w:lineRule="exact"/>
        <w:ind w:left="0" w:leftChars="0"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一、评审方法</w:t>
      </w:r>
    </w:p>
    <w:p w14:paraId="49E953CC">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本项目采用综合评分法。评审得分满分100分，磋商小组按照评审得分由高到低顺序进行排序，推荐成交候选供应商。若评审得分相同，则采取抽签方式确定排序。</w:t>
      </w:r>
    </w:p>
    <w:p w14:paraId="43E7DFDA">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rPr>
      </w:pPr>
      <w:r>
        <w:rPr>
          <w:rFonts w:hint="eastAsia" w:ascii="宋体" w:hAnsi="宋体" w:eastAsia="宋体" w:cs="宋体"/>
        </w:rPr>
        <w:t>2</w:t>
      </w:r>
      <w:bookmarkStart w:id="32" w:name="_Hlk35433721"/>
      <w:r>
        <w:rPr>
          <w:rFonts w:hint="eastAsia" w:ascii="宋体" w:hAnsi="宋体" w:eastAsia="宋体" w:cs="宋体"/>
          <w:lang w:val="en-US" w:eastAsia="zh-CN"/>
        </w:rPr>
        <w:t>.</w:t>
      </w:r>
      <w:r>
        <w:rPr>
          <w:rFonts w:hint="eastAsia" w:ascii="宋体" w:hAnsi="宋体" w:eastAsia="宋体" w:cs="宋体"/>
        </w:rPr>
        <w:t>《关于促进残疾人就业政府采购政策的通知》（财库[2017]141号）、《政府采购促进中小企业发展管理办法》（财库〔2020〕46号）、《关于政府采购支持监狱企业发展有关问题的通知》（财库[2014]68号）。</w:t>
      </w:r>
    </w:p>
    <w:bookmarkEnd w:id="32"/>
    <w:p w14:paraId="6A9DDF55">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w:t>
      </w:r>
      <w:r>
        <w:rPr>
          <w:rFonts w:hint="eastAsia" w:ascii="宋体" w:hAnsi="宋体" w:eastAsia="宋体" w:cs="宋体"/>
          <w:color w:val="auto"/>
          <w:szCs w:val="21"/>
        </w:rPr>
        <w:t>本次采购为非专门面向中小企业，采购标的对应的中小企业划分标准所属行业：</w:t>
      </w:r>
      <w:r>
        <w:rPr>
          <w:rFonts w:hint="eastAsia" w:ascii="宋体" w:hAnsi="宋体" w:eastAsia="宋体" w:cs="宋体"/>
          <w:b/>
          <w:iCs/>
          <w:color w:val="auto"/>
          <w:kern w:val="0"/>
          <w:u w:val="single"/>
        </w:rPr>
        <w:t>其他未列明行业</w:t>
      </w:r>
      <w:r>
        <w:rPr>
          <w:rFonts w:hint="eastAsia" w:ascii="宋体" w:hAnsi="宋体" w:eastAsia="宋体" w:cs="宋体"/>
          <w:color w:val="auto"/>
          <w:szCs w:val="21"/>
        </w:rPr>
        <w:t>。</w:t>
      </w:r>
      <w:r>
        <w:rPr>
          <w:rFonts w:hint="eastAsia" w:ascii="宋体" w:hAnsi="宋体" w:eastAsia="宋体" w:cs="宋体"/>
          <w:szCs w:val="21"/>
        </w:rPr>
        <w:t>本次评标将对满足招标文件第二章第十九条第1、2、3款要求的服务承接企业均为小微企业的价格给予10%的扣除，用扣除后的价格参与评审。价格扣除只用于评审过程，如中标</w:t>
      </w:r>
      <w:r>
        <w:rPr>
          <w:rFonts w:hint="eastAsia" w:ascii="宋体" w:hAnsi="宋体" w:cs="宋体"/>
          <w:szCs w:val="21"/>
          <w:lang w:eastAsia="zh-CN"/>
        </w:rPr>
        <w:t>（成交）</w:t>
      </w:r>
      <w:r>
        <w:rPr>
          <w:rFonts w:hint="eastAsia" w:ascii="宋体" w:hAnsi="宋体" w:eastAsia="宋体" w:cs="宋体"/>
          <w:szCs w:val="21"/>
        </w:rPr>
        <w:t>，中标</w:t>
      </w:r>
      <w:r>
        <w:rPr>
          <w:rFonts w:hint="eastAsia" w:ascii="宋体" w:hAnsi="宋体" w:cs="宋体"/>
          <w:szCs w:val="21"/>
          <w:lang w:eastAsia="zh-CN"/>
        </w:rPr>
        <w:t>（成交）</w:t>
      </w:r>
      <w:r>
        <w:rPr>
          <w:rFonts w:hint="eastAsia" w:ascii="宋体" w:hAnsi="宋体" w:eastAsia="宋体" w:cs="宋体"/>
          <w:szCs w:val="21"/>
        </w:rPr>
        <w:t>价格仍按照其</w:t>
      </w:r>
      <w:r>
        <w:rPr>
          <w:rFonts w:hint="eastAsia" w:ascii="宋体" w:hAnsi="宋体" w:cs="宋体"/>
          <w:szCs w:val="21"/>
          <w:lang w:eastAsia="zh-CN"/>
        </w:rPr>
        <w:t>响应</w:t>
      </w:r>
      <w:r>
        <w:rPr>
          <w:rFonts w:hint="eastAsia" w:ascii="宋体" w:hAnsi="宋体" w:eastAsia="宋体" w:cs="宋体"/>
          <w:szCs w:val="21"/>
        </w:rPr>
        <w:t>价格进行公示。</w:t>
      </w:r>
    </w:p>
    <w:p w14:paraId="7B3EFD8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kern w:val="0"/>
          <w:szCs w:val="21"/>
        </w:rPr>
        <w:t>磋商小组成员</w:t>
      </w:r>
      <w:r>
        <w:rPr>
          <w:rFonts w:hint="eastAsia" w:ascii="宋体" w:hAnsi="宋体" w:eastAsia="宋体" w:cs="宋体"/>
          <w:szCs w:val="21"/>
        </w:rPr>
        <w:t>对需要共同认定的事项存在争议的，应当按照少数服从多数的原则作出结论。</w:t>
      </w:r>
    </w:p>
    <w:p w14:paraId="385182CC">
      <w:pPr>
        <w:keepNext w:val="0"/>
        <w:keepLines w:val="0"/>
        <w:pageBreakBefore w:val="0"/>
        <w:kinsoku/>
        <w:wordWrap/>
        <w:overflowPunct/>
        <w:topLinePunct w:val="0"/>
        <w:autoSpaceDE w:val="0"/>
        <w:autoSpaceDN w:val="0"/>
        <w:bidi w:val="0"/>
        <w:adjustRightInd w:val="0"/>
        <w:spacing w:line="400" w:lineRule="exact"/>
        <w:ind w:left="0" w:leftChars="0" w:firstLine="422" w:firstLineChars="200"/>
        <w:jc w:val="left"/>
        <w:textAlignment w:val="auto"/>
        <w:rPr>
          <w:rFonts w:hint="eastAsia" w:ascii="宋体" w:hAnsi="宋体" w:eastAsia="宋体" w:cs="宋体"/>
          <w:b/>
          <w:kern w:val="0"/>
          <w:szCs w:val="21"/>
        </w:rPr>
      </w:pPr>
      <w:bookmarkStart w:id="33" w:name="_Toc214700098"/>
      <w:bookmarkStart w:id="34" w:name="_Toc462213330"/>
      <w:bookmarkStart w:id="35" w:name="_Toc462213213"/>
      <w:bookmarkStart w:id="36" w:name="_Toc237939770"/>
      <w:bookmarkStart w:id="37" w:name="_Toc387409459"/>
      <w:bookmarkStart w:id="38" w:name="_Toc462213257"/>
      <w:bookmarkStart w:id="39" w:name="_Toc462179376"/>
      <w:bookmarkStart w:id="40" w:name="_Toc214700230"/>
      <w:r>
        <w:rPr>
          <w:rFonts w:hint="eastAsia" w:ascii="宋体" w:hAnsi="宋体" w:eastAsia="宋体" w:cs="宋体"/>
          <w:b/>
          <w:kern w:val="0"/>
          <w:szCs w:val="21"/>
        </w:rPr>
        <w:t>二、磋商小组</w:t>
      </w:r>
      <w:bookmarkEnd w:id="33"/>
      <w:bookmarkEnd w:id="34"/>
      <w:bookmarkEnd w:id="35"/>
      <w:bookmarkEnd w:id="36"/>
      <w:bookmarkEnd w:id="37"/>
      <w:bookmarkEnd w:id="38"/>
      <w:bookmarkEnd w:id="39"/>
      <w:bookmarkEnd w:id="40"/>
    </w:p>
    <w:p w14:paraId="5803889C">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kern w:val="0"/>
          <w:szCs w:val="21"/>
        </w:rPr>
      </w:pPr>
      <w:bookmarkStart w:id="41" w:name="_Toc214700099"/>
      <w:bookmarkStart w:id="42" w:name="_Toc214700231"/>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采购人依法组建磋商小组，磋商小组</w:t>
      </w:r>
      <w:r>
        <w:rPr>
          <w:rFonts w:hint="eastAsia" w:ascii="宋体" w:hAnsi="宋体" w:eastAsia="宋体" w:cs="宋体"/>
          <w:szCs w:val="21"/>
        </w:rPr>
        <w:t>由采购人代表和专家组成，</w:t>
      </w:r>
      <w:r>
        <w:rPr>
          <w:rFonts w:hint="eastAsia" w:ascii="宋体" w:hAnsi="宋体" w:eastAsia="宋体" w:cs="宋体"/>
          <w:kern w:val="0"/>
          <w:szCs w:val="21"/>
        </w:rPr>
        <w:t>负责对磋商响应文件进行评审。</w:t>
      </w:r>
      <w:bookmarkEnd w:id="41"/>
      <w:bookmarkEnd w:id="42"/>
    </w:p>
    <w:p w14:paraId="12C592FE">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1CD62834">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磋商小组所有成员应当集中与单一供应商分别进行磋商，并给予所有参加磋商的供应商平等的磋商机会。</w:t>
      </w:r>
    </w:p>
    <w:p w14:paraId="1D103392">
      <w:pPr>
        <w:keepNext w:val="0"/>
        <w:keepLines w:val="0"/>
        <w:pageBreakBefore w:val="0"/>
        <w:kinsoku/>
        <w:wordWrap/>
        <w:overflowPunct/>
        <w:topLinePunct w:val="0"/>
        <w:autoSpaceDE w:val="0"/>
        <w:autoSpaceDN w:val="0"/>
        <w:bidi w:val="0"/>
        <w:adjustRightInd w:val="0"/>
        <w:spacing w:line="400" w:lineRule="exact"/>
        <w:ind w:left="0" w:leftChars="0"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三、评审程序</w:t>
      </w:r>
    </w:p>
    <w:p w14:paraId="5C63AB5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b/>
          <w:szCs w:val="21"/>
        </w:rPr>
      </w:pPr>
      <w:r>
        <w:rPr>
          <w:rFonts w:hint="eastAsia" w:ascii="宋体" w:hAnsi="宋体" w:eastAsia="宋体" w:cs="宋体"/>
          <w:szCs w:val="21"/>
        </w:rPr>
        <w:t>1</w:t>
      </w:r>
      <w:r>
        <w:rPr>
          <w:rFonts w:hint="eastAsia" w:ascii="宋体" w:hAnsi="宋体" w:eastAsia="宋体" w:cs="宋体"/>
          <w:szCs w:val="21"/>
          <w:lang w:val="en-US" w:eastAsia="zh-CN"/>
        </w:rPr>
        <w:t>.</w:t>
      </w:r>
      <w:r>
        <w:rPr>
          <w:rFonts w:hint="eastAsia" w:ascii="宋体" w:hAnsi="宋体" w:eastAsia="宋体" w:cs="宋体"/>
          <w:szCs w:val="21"/>
        </w:rPr>
        <w:t>资格文件、商务和技术文件初步审查：包含资格性审查和符合性审查。资格性审查是指采购人或代理机构根据“附表1资格性审查表”的要求对磋商响应文件逐一进行评审。符合性审查是指</w:t>
      </w:r>
      <w:r>
        <w:rPr>
          <w:rFonts w:hint="eastAsia" w:ascii="宋体" w:hAnsi="宋体" w:cs="宋体"/>
          <w:szCs w:val="21"/>
          <w:lang w:eastAsia="zh-CN"/>
        </w:rPr>
        <w:t>磋商</w:t>
      </w:r>
      <w:r>
        <w:rPr>
          <w:rFonts w:hint="eastAsia" w:ascii="宋体" w:hAnsi="宋体" w:eastAsia="宋体" w:cs="宋体"/>
          <w:szCs w:val="21"/>
        </w:rPr>
        <w:t>小组根据“附表2符合性审查表”的要求对磋商响应文件逐一进行评审。</w:t>
      </w:r>
      <w:r>
        <w:rPr>
          <w:rFonts w:hint="eastAsia" w:ascii="宋体" w:hAnsi="宋体" w:eastAsia="宋体" w:cs="宋体"/>
          <w:b/>
          <w:szCs w:val="21"/>
        </w:rPr>
        <w:t>资格性审查和符合性审查中，有任意一项审查结论不合格的，作无效响应处理。</w:t>
      </w:r>
    </w:p>
    <w:p w14:paraId="5A4C89EC">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lang w:val="zh-CN"/>
        </w:rPr>
        <w:t>比较与评价：</w:t>
      </w:r>
      <w:r>
        <w:rPr>
          <w:rFonts w:hint="eastAsia" w:ascii="宋体" w:hAnsi="宋体" w:cs="宋体"/>
          <w:szCs w:val="21"/>
          <w:lang w:eastAsia="zh-CN"/>
        </w:rPr>
        <w:t>磋商</w:t>
      </w:r>
      <w:r>
        <w:rPr>
          <w:rFonts w:hint="eastAsia" w:ascii="宋体" w:hAnsi="宋体" w:eastAsia="宋体" w:cs="宋体"/>
          <w:szCs w:val="21"/>
        </w:rPr>
        <w:t>小组根据“附表3商务技术评分表”的要求，</w:t>
      </w:r>
      <w:r>
        <w:rPr>
          <w:rFonts w:hint="eastAsia" w:ascii="宋体" w:hAnsi="宋体" w:eastAsia="宋体" w:cs="宋体"/>
          <w:szCs w:val="21"/>
          <w:lang w:val="zh-CN"/>
        </w:rPr>
        <w:t>对照磋商响应文件的应答进行比较，判定其偏差性质和程度，</w:t>
      </w:r>
      <w:r>
        <w:rPr>
          <w:rFonts w:hint="eastAsia" w:ascii="宋体" w:hAnsi="宋体" w:eastAsia="宋体" w:cs="宋体"/>
          <w:szCs w:val="21"/>
        </w:rPr>
        <w:t>由</w:t>
      </w:r>
      <w:r>
        <w:rPr>
          <w:rFonts w:hint="eastAsia" w:ascii="宋体" w:hAnsi="宋体" w:cs="宋体"/>
          <w:szCs w:val="21"/>
          <w:lang w:eastAsia="zh-CN"/>
        </w:rPr>
        <w:t>磋商</w:t>
      </w:r>
      <w:r>
        <w:rPr>
          <w:rFonts w:hint="eastAsia" w:ascii="宋体" w:hAnsi="宋体" w:eastAsia="宋体" w:cs="宋体"/>
          <w:szCs w:val="21"/>
        </w:rPr>
        <w:t>小组成员在分值范围内自行评分。供应商商务技术得分为各</w:t>
      </w:r>
      <w:r>
        <w:rPr>
          <w:rFonts w:hint="eastAsia" w:ascii="宋体" w:hAnsi="宋体" w:cs="宋体"/>
          <w:szCs w:val="21"/>
          <w:lang w:eastAsia="zh-CN"/>
        </w:rPr>
        <w:t>磋商</w:t>
      </w:r>
      <w:r>
        <w:rPr>
          <w:rFonts w:hint="eastAsia" w:ascii="宋体" w:hAnsi="宋体" w:eastAsia="宋体" w:cs="宋体"/>
          <w:szCs w:val="21"/>
        </w:rPr>
        <w:t>小组成员有效评分的算术平均值（小数点后保留二位数）。</w:t>
      </w:r>
    </w:p>
    <w:p w14:paraId="0F45DE0A">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b/>
          <w:szCs w:val="21"/>
        </w:rPr>
      </w:pPr>
      <w:r>
        <w:rPr>
          <w:rFonts w:hint="eastAsia" w:ascii="宋体" w:hAnsi="宋体" w:eastAsia="宋体" w:cs="宋体"/>
          <w:szCs w:val="21"/>
        </w:rPr>
        <w:t>3</w:t>
      </w:r>
      <w:r>
        <w:rPr>
          <w:rFonts w:hint="eastAsia" w:ascii="宋体" w:hAnsi="宋体" w:eastAsia="宋体" w:cs="宋体"/>
          <w:szCs w:val="21"/>
          <w:lang w:val="en-US" w:eastAsia="zh-CN"/>
        </w:rPr>
        <w:t>.</w:t>
      </w:r>
      <w:r>
        <w:rPr>
          <w:rFonts w:hint="eastAsia" w:ascii="宋体" w:hAnsi="宋体" w:eastAsia="宋体" w:cs="宋体"/>
          <w:szCs w:val="21"/>
        </w:rPr>
        <w:t>报价文件初步审查：报价文件初步审查是指</w:t>
      </w:r>
      <w:r>
        <w:rPr>
          <w:rFonts w:hint="eastAsia" w:ascii="宋体" w:hAnsi="宋体" w:cs="宋体"/>
          <w:szCs w:val="21"/>
          <w:lang w:eastAsia="zh-CN"/>
        </w:rPr>
        <w:t>磋商</w:t>
      </w:r>
      <w:r>
        <w:rPr>
          <w:rFonts w:hint="eastAsia" w:ascii="宋体" w:hAnsi="宋体" w:eastAsia="宋体" w:cs="宋体"/>
          <w:szCs w:val="21"/>
        </w:rPr>
        <w:t>小组根据“附表4报价初步审查表”的要求对磋商响应文件逐一进行评审。</w:t>
      </w:r>
      <w:r>
        <w:rPr>
          <w:rFonts w:hint="eastAsia" w:ascii="宋体" w:hAnsi="宋体" w:eastAsia="宋体" w:cs="宋体"/>
          <w:b/>
          <w:szCs w:val="21"/>
        </w:rPr>
        <w:t>初步审查中，审查结论不合格的，作无效报价处理。</w:t>
      </w:r>
    </w:p>
    <w:p w14:paraId="1DFFCA16">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kern w:val="0"/>
          <w:szCs w:val="21"/>
        </w:rPr>
        <w:t>磋商小组所有成员与单一供应商分别进行磋商，</w:t>
      </w:r>
      <w:r>
        <w:rPr>
          <w:rFonts w:hint="eastAsia" w:ascii="宋体" w:hAnsi="宋体" w:eastAsia="宋体" w:cs="宋体"/>
        </w:rPr>
        <w:t>参加磋商的供应商在规定时间内提交最后报价。最后报价也须在政采云中完成。</w:t>
      </w:r>
    </w:p>
    <w:p w14:paraId="131DFE0C">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在评审过程中，发现的价格计算错误按下述原则修正：</w:t>
      </w:r>
    </w:p>
    <w:p w14:paraId="63E26376">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（1）磋商响应文件中报价一览表内容与磋商响应文件中分项报价表内容不一致的，以报价一览表为准；</w:t>
      </w:r>
    </w:p>
    <w:p w14:paraId="63FE6545">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（2）磋商响应文件的大写金额和小写金额不一致的，以大写金额为准；</w:t>
      </w:r>
    </w:p>
    <w:p w14:paraId="5FC2A367">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（3）单价金额小数点有明显错位的，应以总价为准，并修改单价；</w:t>
      </w:r>
    </w:p>
    <w:p w14:paraId="7F82BC07">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E980B4A">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rPr>
      </w:pPr>
      <w:r>
        <w:rPr>
          <w:rFonts w:hint="eastAsia" w:ascii="宋体" w:hAnsi="宋体" w:eastAsia="宋体" w:cs="宋体"/>
        </w:rPr>
        <w:t>同时出现两种以上不一致的，按照上述顺序修正。</w:t>
      </w:r>
    </w:p>
    <w:p w14:paraId="0FC9EC52">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cs="宋体"/>
          <w:szCs w:val="21"/>
          <w:lang w:eastAsia="zh-CN"/>
        </w:rPr>
        <w:t>磋商</w:t>
      </w:r>
      <w:r>
        <w:rPr>
          <w:rFonts w:hint="eastAsia" w:ascii="宋体" w:hAnsi="宋体" w:eastAsia="宋体" w:cs="宋体"/>
          <w:szCs w:val="21"/>
        </w:rPr>
        <w:t>小组根据“附表5价格评分表”的规定，计算供应商报价得分（小数点后保留二位数）。</w:t>
      </w:r>
    </w:p>
    <w:p w14:paraId="5B48D04D">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en-US" w:eastAsia="zh-CN"/>
        </w:rPr>
        <w:t>.</w:t>
      </w:r>
      <w:r>
        <w:rPr>
          <w:rFonts w:hint="eastAsia" w:ascii="宋体" w:hAnsi="宋体" w:eastAsia="宋体" w:cs="宋体"/>
          <w:szCs w:val="21"/>
        </w:rPr>
        <w:t>综合评估：供应商的评审得分为商务和技术得分与报价得分之和。</w:t>
      </w:r>
    </w:p>
    <w:p w14:paraId="62867A25">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w:t>
      </w:r>
      <w:r>
        <w:rPr>
          <w:rFonts w:hint="eastAsia" w:ascii="宋体" w:hAnsi="宋体" w:eastAsia="宋体" w:cs="宋体"/>
          <w:szCs w:val="21"/>
        </w:rPr>
        <w:t>推荐</w:t>
      </w:r>
      <w:r>
        <w:rPr>
          <w:rFonts w:hint="eastAsia" w:ascii="宋体" w:hAnsi="宋体" w:eastAsia="宋体" w:cs="宋体"/>
        </w:rPr>
        <w:t>成交候选供应商</w:t>
      </w:r>
      <w:r>
        <w:rPr>
          <w:rFonts w:hint="eastAsia" w:ascii="宋体" w:hAnsi="宋体" w:eastAsia="宋体" w:cs="宋体"/>
          <w:szCs w:val="21"/>
        </w:rPr>
        <w:t>：</w:t>
      </w:r>
      <w:r>
        <w:rPr>
          <w:rFonts w:hint="eastAsia" w:ascii="宋体" w:hAnsi="宋体" w:eastAsia="宋体" w:cs="宋体"/>
        </w:rPr>
        <w:t>磋商小组按照评审得分由高到低顺序进行排序，推荐成交候选供应商。若评审得分相同，则采取抽签方式确定排序。</w:t>
      </w:r>
    </w:p>
    <w:p w14:paraId="46CEFE33">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val="en-US" w:eastAsia="zh-CN"/>
        </w:rPr>
        <w:t>.</w:t>
      </w:r>
      <w:r>
        <w:rPr>
          <w:rFonts w:hint="eastAsia" w:ascii="宋体" w:hAnsi="宋体" w:eastAsia="宋体" w:cs="宋体"/>
          <w:szCs w:val="21"/>
        </w:rPr>
        <w:t>确定成交供应商</w:t>
      </w:r>
    </w:p>
    <w:p w14:paraId="5B645B39">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小组按评审得分由高到低的排序，向采购人推荐</w:t>
      </w:r>
      <w:r>
        <w:rPr>
          <w:rFonts w:hint="eastAsia" w:ascii="宋体" w:hAnsi="宋体" w:eastAsia="宋体" w:cs="宋体"/>
        </w:rPr>
        <w:t>成交候选供应商</w:t>
      </w:r>
      <w:r>
        <w:rPr>
          <w:rFonts w:hint="eastAsia" w:ascii="宋体" w:hAnsi="宋体" w:eastAsia="宋体" w:cs="宋体"/>
          <w:szCs w:val="21"/>
        </w:rPr>
        <w:t>。代理机构应当自评审结束之日起2个工作日内将评审报告送交采购人。采购人应当自收到评审报告之日起5个工作日内在评审报告推荐的</w:t>
      </w:r>
      <w:r>
        <w:rPr>
          <w:rFonts w:hint="eastAsia" w:ascii="宋体" w:hAnsi="宋体" w:eastAsia="宋体" w:cs="宋体"/>
        </w:rPr>
        <w:t>成交候选供应商</w:t>
      </w:r>
      <w:r>
        <w:rPr>
          <w:rFonts w:hint="eastAsia" w:ascii="宋体" w:hAnsi="宋体" w:eastAsia="宋体" w:cs="宋体"/>
          <w:szCs w:val="21"/>
        </w:rPr>
        <w:t>中，按每个标项的推荐顺序确定</w:t>
      </w:r>
      <w:r>
        <w:rPr>
          <w:rFonts w:hint="eastAsia" w:ascii="宋体" w:hAnsi="宋体" w:eastAsia="宋体" w:cs="宋体"/>
          <w:b/>
          <w:szCs w:val="21"/>
        </w:rPr>
        <w:t>1名成交供应商</w:t>
      </w:r>
      <w:r>
        <w:rPr>
          <w:rFonts w:hint="eastAsia" w:ascii="宋体" w:hAnsi="宋体" w:eastAsia="宋体" w:cs="宋体"/>
          <w:szCs w:val="21"/>
        </w:rPr>
        <w:t>。成交供应商因不可抗力或者自身原因不能履行政府采购合同的，采购人可以按照评审报告推荐的下一成交候选供应商为成交供应商或重新采购。</w:t>
      </w:r>
    </w:p>
    <w:p w14:paraId="1959BF24">
      <w:pPr>
        <w:keepNext w:val="0"/>
        <w:keepLines w:val="0"/>
        <w:pageBreakBefore w:val="0"/>
        <w:kinsoku/>
        <w:wordWrap/>
        <w:overflowPunct/>
        <w:topLinePunct w:val="0"/>
        <w:autoSpaceDE w:val="0"/>
        <w:autoSpaceDN w:val="0"/>
        <w:bidi w:val="0"/>
        <w:adjustRightInd w:val="0"/>
        <w:spacing w:line="400" w:lineRule="exact"/>
        <w:ind w:left="0" w:leftChars="0"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四、磋商的澄清</w:t>
      </w:r>
    </w:p>
    <w:p w14:paraId="5EF0816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2B303E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政采云具体操作如下：</w:t>
      </w:r>
    </w:p>
    <w:p w14:paraId="06D6E82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在评审过程中，如</w:t>
      </w:r>
      <w:r>
        <w:rPr>
          <w:rFonts w:hint="eastAsia" w:ascii="宋体" w:hAnsi="宋体" w:cs="宋体"/>
          <w:szCs w:val="21"/>
          <w:lang w:eastAsia="zh-CN"/>
        </w:rPr>
        <w:t>磋商</w:t>
      </w:r>
      <w:r>
        <w:rPr>
          <w:rFonts w:hint="eastAsia" w:ascii="宋体" w:hAnsi="宋体" w:eastAsia="宋体" w:cs="宋体"/>
        </w:rPr>
        <w:t>小组对磋商响应文件有疑问，由评审组长将问题汇总后发函，或由采购代理机构代替发起。供应商在截止时间前，予以回复。此回复将作为磋商响应文件内容的一部分，具有相应的法律效力。</w:t>
      </w:r>
    </w:p>
    <w:p w14:paraId="21E7450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路径：用户中心—项目采购—询标澄清</w:t>
      </w:r>
    </w:p>
    <w:p w14:paraId="0830D1E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（1）政采云平台通过待办事项和短信提醒供应商在截止时间前完成澄清。</w:t>
      </w:r>
    </w:p>
    <w:p w14:paraId="0B26B8B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（2）供应商在“询标澄清-待办理”标签页下选择状态为“待澄清”的项目，点击操作栏【澄清】。</w:t>
      </w:r>
    </w:p>
    <w:p w14:paraId="6304F54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（3）查看函内容，在澄清截止时间前上传澄清文件并对澄清文件进行签章。（注：澄清文件必须以PDF格式上传，文件大小：50M。）</w:t>
      </w:r>
    </w:p>
    <w:p w14:paraId="24004CE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（4）签章完成，文件名称处显示“已签章”，供应商可“撤回签章”修改澄清函和“查看文件”。</w:t>
      </w:r>
    </w:p>
    <w:p w14:paraId="7A8F3BBB">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5591D071">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（6）完成状态：供应商澄清文件提交成功后，在“询标澄清-全部”标签页下显示状态为“已澄清”。</w:t>
      </w:r>
    </w:p>
    <w:p w14:paraId="07FAA791">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磋商现场，供应商安排</w:t>
      </w:r>
      <w:r>
        <w:rPr>
          <w:rFonts w:hint="eastAsia" w:ascii="宋体" w:hAnsi="宋体" w:eastAsia="宋体" w:cs="宋体"/>
          <w:szCs w:val="21"/>
        </w:rPr>
        <w:t>法定代表人或授权代表到场的，则由</w:t>
      </w:r>
      <w:r>
        <w:rPr>
          <w:rFonts w:hint="eastAsia" w:ascii="宋体" w:hAnsi="宋体" w:eastAsia="宋体" w:cs="宋体"/>
        </w:rPr>
        <w:t>评审组长将问题汇总后向供应商发出书面“采购响应文件问题澄清通知”，供应商应对需要澄清的问题作书面回答，该书面澄清应当由</w:t>
      </w:r>
      <w:r>
        <w:rPr>
          <w:rFonts w:hint="eastAsia" w:ascii="宋体" w:hAnsi="宋体" w:eastAsia="宋体" w:cs="宋体"/>
          <w:szCs w:val="21"/>
        </w:rPr>
        <w:t>供应商的法定代表人或授权代表签字</w:t>
      </w:r>
      <w:r>
        <w:rPr>
          <w:rFonts w:hint="eastAsia" w:ascii="宋体" w:hAnsi="宋体" w:eastAsia="宋体" w:cs="宋体"/>
        </w:rPr>
        <w:t>或者加盖供应商公章。书面澄清将作为磋商响应文件内容的一部分，具有相应的法律效力。</w:t>
      </w:r>
    </w:p>
    <w:p w14:paraId="6253B252">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供应商未在截止时间前完成澄清，将被视作自动放弃。</w:t>
      </w:r>
    </w:p>
    <w:p w14:paraId="642F81DC">
      <w:pPr>
        <w:keepNext w:val="0"/>
        <w:keepLines w:val="0"/>
        <w:pageBreakBefore w:val="0"/>
        <w:kinsoku/>
        <w:wordWrap/>
        <w:overflowPunct/>
        <w:topLinePunct w:val="0"/>
        <w:autoSpaceDE w:val="0"/>
        <w:autoSpaceDN w:val="0"/>
        <w:bidi w:val="0"/>
        <w:adjustRightInd w:val="0"/>
        <w:spacing w:line="400" w:lineRule="exact"/>
        <w:ind w:left="0" w:leftChars="0"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五、其他说明</w:t>
      </w:r>
    </w:p>
    <w:p w14:paraId="5B731153">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采购人不向未成交供应商解释未成交原因，不退还磋商响应文件。</w:t>
      </w:r>
    </w:p>
    <w:p w14:paraId="44BBF713">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szCs w:val="21"/>
        </w:rPr>
        <w:t>价格是评审的重要因素之一，但最低报价不是成交的唯一依据。</w:t>
      </w:r>
    </w:p>
    <w:p w14:paraId="39FC28DB">
      <w:pPr>
        <w:keepNext w:val="0"/>
        <w:keepLines w:val="0"/>
        <w:pageBreakBefore w:val="0"/>
        <w:kinsoku/>
        <w:wordWrap/>
        <w:overflowPunct/>
        <w:topLinePunct w:val="0"/>
        <w:autoSpaceDE w:val="0"/>
        <w:autoSpaceDN w:val="0"/>
        <w:bidi w:val="0"/>
        <w:adjustRightIn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在采购过程中符合要求的供应商不足3家的，采购人或采购代理机构应当终止采购活动，发布项目终止公告并说明原因，重新开展采购活动。</w:t>
      </w:r>
    </w:p>
    <w:p w14:paraId="602AB903">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szCs w:val="21"/>
          <w:lang w:val="en-US" w:eastAsia="zh-CN"/>
        </w:rPr>
        <w:t>.</w:t>
      </w:r>
      <w:r>
        <w:rPr>
          <w:rFonts w:hint="eastAsia" w:ascii="宋体" w:hAnsi="宋体" w:eastAsia="宋体" w:cs="宋体"/>
        </w:rPr>
        <w:t>提供相同品牌产品且通过资格性审查、符合性审查的不同供应商参加同一标项磋商的，按一家供应商计算，评审后评审得分最高的同品牌供应商获得成交候选供应商推荐资格；综合得分相同的，由</w:t>
      </w:r>
      <w:r>
        <w:rPr>
          <w:rFonts w:hint="eastAsia" w:ascii="宋体" w:hAnsi="宋体" w:cs="宋体"/>
          <w:szCs w:val="21"/>
          <w:lang w:eastAsia="zh-CN"/>
        </w:rPr>
        <w:t>磋商</w:t>
      </w:r>
      <w:r>
        <w:rPr>
          <w:rFonts w:hint="eastAsia" w:ascii="宋体" w:hAnsi="宋体" w:eastAsia="宋体" w:cs="宋体"/>
        </w:rPr>
        <w:t>小组采取随机抽取方式确定，其他同品牌供应商不作为成交候选供应商。</w:t>
      </w:r>
    </w:p>
    <w:p w14:paraId="4F0D3A6B">
      <w:pPr>
        <w:keepNext w:val="0"/>
        <w:keepLines w:val="0"/>
        <w:pageBreakBefore w:val="0"/>
        <w:kinsoku/>
        <w:wordWrap/>
        <w:overflowPunct/>
        <w:topLinePunct w:val="0"/>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rPr>
        <w:t>非单一产品采购项目，多家供应商提供的核心产品品牌相同的，按上述规定处理。</w:t>
      </w:r>
    </w:p>
    <w:p w14:paraId="755467CE">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附表1：</w:t>
      </w:r>
    </w:p>
    <w:p w14:paraId="510C37EB">
      <w:pPr>
        <w:keepNext w:val="0"/>
        <w:keepLines w:val="0"/>
        <w:pageBreakBefore w:val="0"/>
        <w:widowControl/>
        <w:kinsoku/>
        <w:wordWrap/>
        <w:overflowPunct/>
        <w:topLinePunct w:val="0"/>
        <w:bidi w:val="0"/>
        <w:snapToGrid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资格性审查表</w:t>
      </w:r>
    </w:p>
    <w:tbl>
      <w:tblPr>
        <w:tblStyle w:val="4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418"/>
        <w:gridCol w:w="5099"/>
      </w:tblGrid>
      <w:tr w14:paraId="561E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tcBorders>
              <w:tl2br w:val="nil"/>
              <w:tr2bl w:val="nil"/>
            </w:tcBorders>
            <w:vAlign w:val="center"/>
          </w:tcPr>
          <w:p w14:paraId="0FE058C5">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1864" w:type="pct"/>
            <w:tcBorders>
              <w:tl2br w:val="nil"/>
              <w:tr2bl w:val="nil"/>
            </w:tcBorders>
            <w:vAlign w:val="center"/>
          </w:tcPr>
          <w:p w14:paraId="099957F4">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要求说明</w:t>
            </w:r>
          </w:p>
        </w:tc>
        <w:tc>
          <w:tcPr>
            <w:tcW w:w="2780" w:type="pct"/>
            <w:tcBorders>
              <w:tl2br w:val="nil"/>
              <w:tr2bl w:val="nil"/>
            </w:tcBorders>
            <w:vAlign w:val="center"/>
          </w:tcPr>
          <w:p w14:paraId="0F7ADADA">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审查要求</w:t>
            </w:r>
          </w:p>
        </w:tc>
      </w:tr>
      <w:tr w14:paraId="1903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tcBorders>
              <w:tl2br w:val="nil"/>
              <w:tr2bl w:val="nil"/>
            </w:tcBorders>
            <w:vAlign w:val="center"/>
          </w:tcPr>
          <w:p w14:paraId="08E82043">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1864" w:type="pct"/>
            <w:tcBorders>
              <w:tl2br w:val="nil"/>
              <w:tr2bl w:val="nil"/>
            </w:tcBorders>
            <w:vAlign w:val="center"/>
          </w:tcPr>
          <w:p w14:paraId="152FD7D3">
            <w:pPr>
              <w:keepNext w:val="0"/>
              <w:keepLines w:val="0"/>
              <w:pageBreakBefore w:val="0"/>
              <w:kinsoku/>
              <w:wordWrap/>
              <w:overflowPunct/>
              <w:topLinePunct w:val="0"/>
              <w:bidi w:val="0"/>
              <w:spacing w:line="400" w:lineRule="exact"/>
              <w:ind w:left="0" w:leftChars="0"/>
              <w:jc w:val="left"/>
              <w:textAlignment w:val="auto"/>
              <w:rPr>
                <w:rFonts w:hint="eastAsia" w:ascii="宋体" w:hAnsi="宋体" w:eastAsia="宋体" w:cs="宋体"/>
                <w:szCs w:val="21"/>
              </w:rPr>
            </w:pPr>
            <w:r>
              <w:rPr>
                <w:rFonts w:hint="eastAsia" w:ascii="宋体" w:hAnsi="宋体" w:eastAsia="宋体" w:cs="宋体"/>
                <w:szCs w:val="21"/>
              </w:rPr>
              <w:t>满足《中华人民共和国政府采购法》第二十二条规定；未被“信用中国”（www.creditchina.gov.cn)、中国政府采购网（www.ccgp.gov.cn）列入失信被执行人、</w:t>
            </w:r>
            <w:r>
              <w:rPr>
                <w:rFonts w:hint="eastAsia" w:ascii="宋体" w:hAnsi="宋体" w:eastAsia="宋体" w:cs="宋体"/>
                <w:szCs w:val="21"/>
                <w:lang w:eastAsia="zh-CN"/>
              </w:rPr>
              <w:t>重大税收违法失信主体</w:t>
            </w:r>
            <w:r>
              <w:rPr>
                <w:rFonts w:hint="eastAsia" w:ascii="宋体" w:hAnsi="宋体" w:eastAsia="宋体" w:cs="宋体"/>
                <w:szCs w:val="21"/>
              </w:rPr>
              <w:t>、政府采购严重违法失信行为记录名单。</w:t>
            </w:r>
          </w:p>
        </w:tc>
        <w:tc>
          <w:tcPr>
            <w:tcW w:w="2780" w:type="pct"/>
            <w:tcBorders>
              <w:tl2br w:val="nil"/>
              <w:tr2bl w:val="nil"/>
            </w:tcBorders>
            <w:vAlign w:val="center"/>
          </w:tcPr>
          <w:p w14:paraId="64099486">
            <w:pPr>
              <w:keepNext w:val="0"/>
              <w:keepLines w:val="0"/>
              <w:pageBreakBefore w:val="0"/>
              <w:kinsoku/>
              <w:wordWrap/>
              <w:overflowPunct/>
              <w:topLinePunct w:val="0"/>
              <w:bidi w:val="0"/>
              <w:spacing w:line="400" w:lineRule="exact"/>
              <w:ind w:left="0" w:leftChars="0"/>
              <w:jc w:val="left"/>
              <w:textAlignment w:val="auto"/>
              <w:rPr>
                <w:rFonts w:hint="eastAsia" w:ascii="宋体" w:hAnsi="宋体" w:eastAsia="宋体" w:cs="宋体"/>
                <w:kern w:val="0"/>
              </w:rPr>
            </w:pPr>
            <w:r>
              <w:rPr>
                <w:rFonts w:hint="eastAsia" w:ascii="宋体" w:hAnsi="宋体" w:eastAsia="宋体" w:cs="宋体"/>
                <w:szCs w:val="21"/>
              </w:rPr>
              <w:t>A1</w:t>
            </w:r>
            <w:r>
              <w:rPr>
                <w:rFonts w:hint="eastAsia" w:ascii="宋体" w:hAnsi="宋体" w:eastAsia="宋体" w:cs="宋体"/>
                <w:szCs w:val="21"/>
                <w:lang w:val="en-US" w:eastAsia="zh-CN"/>
              </w:rPr>
              <w:t>.</w:t>
            </w:r>
            <w:r>
              <w:rPr>
                <w:rFonts w:hint="eastAsia" w:ascii="宋体" w:hAnsi="宋体" w:eastAsia="宋体" w:cs="宋体"/>
              </w:rPr>
              <w:t>关于资格的承诺函；</w:t>
            </w:r>
          </w:p>
          <w:p w14:paraId="4F101E4F">
            <w:pPr>
              <w:keepNext w:val="0"/>
              <w:keepLines w:val="0"/>
              <w:pageBreakBefore w:val="0"/>
              <w:kinsoku/>
              <w:wordWrap/>
              <w:overflowPunct/>
              <w:topLinePunct w:val="0"/>
              <w:bidi w:val="0"/>
              <w:spacing w:line="400" w:lineRule="exact"/>
              <w:ind w:left="0" w:leftChars="0"/>
              <w:jc w:val="left"/>
              <w:textAlignment w:val="auto"/>
              <w:rPr>
                <w:rFonts w:hint="eastAsia" w:ascii="宋体" w:hAnsi="宋体" w:eastAsia="宋体" w:cs="宋体"/>
                <w:b/>
              </w:rPr>
            </w:pPr>
            <w:r>
              <w:rPr>
                <w:rFonts w:hint="eastAsia" w:ascii="宋体" w:hAnsi="宋体" w:eastAsia="宋体" w:cs="宋体"/>
                <w:szCs w:val="21"/>
              </w:rPr>
              <w:t>A2</w:t>
            </w:r>
            <w:r>
              <w:rPr>
                <w:rFonts w:hint="eastAsia" w:ascii="宋体" w:hAnsi="宋体" w:eastAsia="宋体" w:cs="宋体"/>
                <w:szCs w:val="21"/>
                <w:lang w:val="en-US" w:eastAsia="zh-CN"/>
              </w:rPr>
              <w:t>.</w:t>
            </w:r>
            <w:r>
              <w:rPr>
                <w:rFonts w:hint="eastAsia" w:ascii="宋体" w:hAnsi="宋体" w:eastAsia="宋体" w:cs="宋体"/>
                <w:kern w:val="0"/>
              </w:rPr>
              <w:t>营业执照副本（或事业法人登记证副本或其他登记证明材料）复印件加盖供应商公章（供应商如果有名称变更的，应提供由行政主管部门出具的变更证明文件复印件加盖供应商公章）；</w:t>
            </w:r>
          </w:p>
        </w:tc>
      </w:tr>
      <w:tr w14:paraId="5409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vAlign w:val="center"/>
          </w:tcPr>
          <w:p w14:paraId="0DD57895">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b/>
                <w:szCs w:val="21"/>
              </w:rPr>
              <w:t>资格性审查结论</w:t>
            </w:r>
          </w:p>
        </w:tc>
      </w:tr>
    </w:tbl>
    <w:p w14:paraId="2AEE485F">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b/>
        </w:rPr>
      </w:pPr>
      <w:r>
        <w:rPr>
          <w:rFonts w:hint="eastAsia" w:ascii="宋体" w:hAnsi="宋体" w:eastAsia="宋体" w:cs="宋体"/>
          <w:b/>
        </w:rPr>
        <w:t>注：1</w:t>
      </w:r>
      <w:r>
        <w:rPr>
          <w:rFonts w:hint="eastAsia" w:ascii="宋体" w:hAnsi="宋体" w:eastAsia="宋体" w:cs="宋体"/>
          <w:b/>
          <w:lang w:val="en-US" w:eastAsia="zh-CN"/>
        </w:rPr>
        <w:t>.</w:t>
      </w:r>
      <w:r>
        <w:rPr>
          <w:rFonts w:hint="eastAsia" w:ascii="宋体" w:hAnsi="宋体" w:eastAsia="宋体" w:cs="宋体"/>
          <w:b/>
        </w:rPr>
        <w:t>上述资格证明文件未按竞争性磋商文件要求附入磋商响应文件中的，资格性审查不合格。</w:t>
      </w:r>
    </w:p>
    <w:p w14:paraId="7E69C011">
      <w:pPr>
        <w:keepNext w:val="0"/>
        <w:keepLines w:val="0"/>
        <w:pageBreakBefore w:val="0"/>
        <w:kinsoku/>
        <w:wordWrap/>
        <w:overflowPunct/>
        <w:topLinePunct w:val="0"/>
        <w:bidi w:val="0"/>
        <w:spacing w:line="400" w:lineRule="exact"/>
        <w:ind w:left="0" w:leftChars="0" w:firstLine="422" w:firstLineChars="200"/>
        <w:textAlignment w:val="auto"/>
        <w:rPr>
          <w:rFonts w:hint="eastAsia"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w:t>
      </w:r>
      <w:r>
        <w:rPr>
          <w:rFonts w:hint="eastAsia" w:ascii="宋体" w:hAnsi="宋体" w:eastAsia="宋体" w:cs="宋体"/>
          <w:b/>
        </w:rPr>
        <w:t>上述审查项目中，任意一项不符合的，资格性审查不合格。</w:t>
      </w:r>
    </w:p>
    <w:p w14:paraId="12882308">
      <w:pPr>
        <w:keepNext w:val="0"/>
        <w:keepLines w:val="0"/>
        <w:pageBreakBefore w:val="0"/>
        <w:kinsoku/>
        <w:wordWrap/>
        <w:overflowPunct/>
        <w:topLinePunct w:val="0"/>
        <w:bidi w:val="0"/>
        <w:spacing w:line="400" w:lineRule="exact"/>
        <w:ind w:left="0" w:leftChars="0" w:firstLine="422" w:firstLineChars="200"/>
        <w:textAlignment w:val="auto"/>
        <w:rPr>
          <w:rFonts w:hint="eastAsia" w:ascii="宋体" w:hAnsi="宋体" w:eastAsia="宋体" w:cs="宋体"/>
          <w:b/>
        </w:rPr>
      </w:pPr>
      <w:r>
        <w:rPr>
          <w:rFonts w:hint="eastAsia" w:ascii="宋体" w:hAnsi="宋体" w:eastAsia="宋体" w:cs="宋体"/>
          <w:b/>
        </w:rPr>
        <w:t>3</w:t>
      </w:r>
      <w:r>
        <w:rPr>
          <w:rFonts w:hint="eastAsia" w:ascii="宋体" w:hAnsi="宋体" w:eastAsia="宋体" w:cs="宋体"/>
          <w:b/>
          <w:lang w:val="en-US" w:eastAsia="zh-CN"/>
        </w:rPr>
        <w:t>.</w:t>
      </w:r>
      <w:r>
        <w:rPr>
          <w:rFonts w:hint="eastAsia" w:ascii="宋体" w:hAnsi="宋体" w:eastAsia="宋体" w:cs="宋体"/>
          <w:b/>
        </w:rPr>
        <w:t>采购人、代理机构将于磋商当天通过“信用中国”网站查询供应商失信被执行人、</w:t>
      </w:r>
      <w:r>
        <w:rPr>
          <w:rFonts w:hint="eastAsia" w:ascii="宋体" w:hAnsi="宋体" w:cs="宋体"/>
          <w:b/>
          <w:lang w:eastAsia="zh-CN"/>
        </w:rPr>
        <w:t>重大税收违法失信主体</w:t>
      </w:r>
      <w:r>
        <w:rPr>
          <w:rFonts w:hint="eastAsia" w:ascii="宋体" w:hAnsi="宋体" w:eastAsia="宋体" w:cs="宋体"/>
          <w:b/>
        </w:rPr>
        <w:t>信用记录，通过中国政府采购网查询供应商政府采购严重违法失信行为信用记录。若供应商被列入失信被执行人、</w:t>
      </w:r>
      <w:r>
        <w:rPr>
          <w:rFonts w:hint="eastAsia" w:ascii="宋体" w:hAnsi="宋体" w:eastAsia="宋体" w:cs="宋体"/>
          <w:b/>
          <w:lang w:eastAsia="zh-CN"/>
        </w:rPr>
        <w:t>重大税收违法失信主体</w:t>
      </w:r>
      <w:r>
        <w:rPr>
          <w:rFonts w:hint="eastAsia" w:ascii="宋体" w:hAnsi="宋体" w:eastAsia="宋体" w:cs="宋体"/>
          <w:b/>
        </w:rPr>
        <w:t>、政府采购严重违法失信行为记录名单，其资格审查为不合格，其磋商将被认定为无效响应。</w:t>
      </w:r>
    </w:p>
    <w:p w14:paraId="25C1BC24">
      <w:pPr>
        <w:keepNext w:val="0"/>
        <w:keepLines w:val="0"/>
        <w:pageBreakBefore w:val="0"/>
        <w:kinsoku/>
        <w:wordWrap/>
        <w:overflowPunct/>
        <w:topLinePunct w:val="0"/>
        <w:bidi w:val="0"/>
        <w:spacing w:line="400" w:lineRule="exact"/>
        <w:ind w:left="0" w:leftChars="0" w:firstLine="422" w:firstLineChars="200"/>
        <w:textAlignment w:val="auto"/>
        <w:rPr>
          <w:rFonts w:hint="eastAsia" w:ascii="宋体" w:hAnsi="宋体" w:eastAsia="宋体" w:cs="宋体"/>
          <w:b/>
        </w:rPr>
      </w:pPr>
      <w:r>
        <w:rPr>
          <w:rFonts w:hint="eastAsia" w:ascii="宋体" w:hAnsi="宋体" w:eastAsia="宋体" w:cs="宋体"/>
          <w:b/>
        </w:rPr>
        <w:t>若在磋商当天因不可抗力事件导致无法查询且一时无法恢复查询的，可在成交公示期间对成交候选人进行事后查询。成交候选人被列入失信被执行人、</w:t>
      </w:r>
      <w:r>
        <w:rPr>
          <w:rFonts w:hint="eastAsia" w:ascii="宋体" w:hAnsi="宋体" w:eastAsia="宋体" w:cs="宋体"/>
          <w:b/>
          <w:lang w:eastAsia="zh-CN"/>
        </w:rPr>
        <w:t>重大税收违法失信主体</w:t>
      </w:r>
      <w:r>
        <w:rPr>
          <w:rFonts w:hint="eastAsia" w:ascii="宋体" w:hAnsi="宋体" w:eastAsia="宋体" w:cs="宋体"/>
          <w:b/>
        </w:rPr>
        <w:t>、政府采购严重违法失信行为记录名单的，采购人将依法取消其成交资格。</w:t>
      </w:r>
    </w:p>
    <w:p w14:paraId="65F66B7E">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附表2：</w:t>
      </w:r>
    </w:p>
    <w:p w14:paraId="5EE02C5A">
      <w:pPr>
        <w:keepNext w:val="0"/>
        <w:keepLines w:val="0"/>
        <w:pageBreakBefore w:val="0"/>
        <w:widowControl/>
        <w:kinsoku/>
        <w:wordWrap/>
        <w:overflowPunct/>
        <w:topLinePunct w:val="0"/>
        <w:bidi w:val="0"/>
        <w:snapToGrid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符合性审查表</w:t>
      </w:r>
    </w:p>
    <w:tbl>
      <w:tblPr>
        <w:tblStyle w:val="4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969"/>
        <w:gridCol w:w="5419"/>
      </w:tblGrid>
      <w:tr w14:paraId="2AA3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26" w:type="pct"/>
            <w:tcBorders>
              <w:tl2br w:val="nil"/>
              <w:tr2bl w:val="nil"/>
            </w:tcBorders>
          </w:tcPr>
          <w:p w14:paraId="347AB410">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1619" w:type="pct"/>
            <w:tcBorders>
              <w:tl2br w:val="nil"/>
              <w:tr2bl w:val="nil"/>
            </w:tcBorders>
          </w:tcPr>
          <w:p w14:paraId="68EB1B32">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审查项目</w:t>
            </w:r>
          </w:p>
        </w:tc>
        <w:tc>
          <w:tcPr>
            <w:tcW w:w="2954" w:type="pct"/>
            <w:tcBorders>
              <w:tl2br w:val="nil"/>
              <w:tr2bl w:val="nil"/>
            </w:tcBorders>
          </w:tcPr>
          <w:p w14:paraId="5A466F16">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t>要求</w:t>
            </w:r>
          </w:p>
        </w:tc>
      </w:tr>
      <w:tr w14:paraId="3B5B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tcBorders>
              <w:tl2br w:val="nil"/>
              <w:tr2bl w:val="nil"/>
            </w:tcBorders>
            <w:vAlign w:val="center"/>
          </w:tcPr>
          <w:p w14:paraId="4447698D">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1619" w:type="pct"/>
            <w:tcBorders>
              <w:tl2br w:val="nil"/>
              <w:tr2bl w:val="nil"/>
            </w:tcBorders>
            <w:vAlign w:val="center"/>
          </w:tcPr>
          <w:p w14:paraId="599B2C02">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磋商有效期：符合第二章第六条的要求。</w:t>
            </w:r>
          </w:p>
        </w:tc>
        <w:tc>
          <w:tcPr>
            <w:tcW w:w="2954" w:type="pct"/>
            <w:tcBorders>
              <w:tl2br w:val="nil"/>
              <w:tr2bl w:val="nil"/>
            </w:tcBorders>
            <w:vAlign w:val="center"/>
          </w:tcPr>
          <w:p w14:paraId="69938317">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提供“磋商函”。</w:t>
            </w:r>
          </w:p>
        </w:tc>
      </w:tr>
      <w:tr w14:paraId="7559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tcBorders>
              <w:tl2br w:val="nil"/>
              <w:tr2bl w:val="nil"/>
            </w:tcBorders>
            <w:vAlign w:val="center"/>
          </w:tcPr>
          <w:p w14:paraId="0DE76586">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1619" w:type="pct"/>
            <w:tcBorders>
              <w:tl2br w:val="nil"/>
              <w:tr2bl w:val="nil"/>
            </w:tcBorders>
            <w:vAlign w:val="center"/>
          </w:tcPr>
          <w:p w14:paraId="459DC0C9">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法定代表人身份证明、法定代表人授权书。</w:t>
            </w:r>
          </w:p>
        </w:tc>
        <w:tc>
          <w:tcPr>
            <w:tcW w:w="2954" w:type="pct"/>
            <w:tcBorders>
              <w:tl2br w:val="nil"/>
              <w:tr2bl w:val="nil"/>
            </w:tcBorders>
            <w:vAlign w:val="center"/>
          </w:tcPr>
          <w:p w14:paraId="289A7211">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（1）磋商响应文件由法定代表人签字的，提供“法定代表人身份证明”。</w:t>
            </w:r>
          </w:p>
          <w:p w14:paraId="37B48FDD">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（2）磋商响应文件由授权代表签字的，提供“法定代表人授权书”。</w:t>
            </w:r>
          </w:p>
        </w:tc>
      </w:tr>
      <w:tr w14:paraId="7680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tcBorders>
              <w:tl2br w:val="nil"/>
              <w:tr2bl w:val="nil"/>
            </w:tcBorders>
            <w:vAlign w:val="center"/>
          </w:tcPr>
          <w:p w14:paraId="2C70F085">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1619" w:type="pct"/>
            <w:tcBorders>
              <w:tl2br w:val="nil"/>
              <w:tr2bl w:val="nil"/>
            </w:tcBorders>
            <w:vAlign w:val="center"/>
          </w:tcPr>
          <w:p w14:paraId="5F439663">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签署盖章：符合第二章“磋商须知”第九、1条的要求。</w:t>
            </w:r>
          </w:p>
        </w:tc>
        <w:tc>
          <w:tcPr>
            <w:tcW w:w="2954" w:type="pct"/>
            <w:tcBorders>
              <w:tl2br w:val="nil"/>
              <w:tr2bl w:val="nil"/>
            </w:tcBorders>
            <w:vAlign w:val="center"/>
          </w:tcPr>
          <w:p w14:paraId="72B58697">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lang w:eastAsia="zh-CN"/>
              </w:rPr>
            </w:pPr>
            <w:r>
              <w:rPr>
                <w:rFonts w:hint="eastAsia" w:ascii="宋体" w:hAnsi="宋体" w:eastAsia="宋体" w:cs="宋体"/>
                <w:szCs w:val="21"/>
              </w:rPr>
              <w:t>磋商响应文件的签署盖章</w:t>
            </w:r>
            <w:r>
              <w:rPr>
                <w:rFonts w:hint="eastAsia" w:ascii="宋体" w:hAnsi="宋体" w:cs="宋体"/>
                <w:szCs w:val="21"/>
                <w:lang w:eastAsia="zh-CN"/>
              </w:rPr>
              <w:t>。</w:t>
            </w:r>
          </w:p>
        </w:tc>
      </w:tr>
      <w:tr w14:paraId="24C8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vMerge w:val="restart"/>
            <w:tcBorders>
              <w:tl2br w:val="nil"/>
              <w:tr2bl w:val="nil"/>
            </w:tcBorders>
            <w:vAlign w:val="center"/>
          </w:tcPr>
          <w:p w14:paraId="4E962103">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1619" w:type="pct"/>
            <w:vMerge w:val="restart"/>
            <w:tcBorders>
              <w:tl2br w:val="nil"/>
              <w:tr2bl w:val="nil"/>
            </w:tcBorders>
            <w:vAlign w:val="center"/>
          </w:tcPr>
          <w:p w14:paraId="321D7482">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r>
              <w:rPr>
                <w:rFonts w:hint="eastAsia" w:ascii="宋体" w:hAnsi="宋体" w:eastAsia="宋体" w:cs="宋体"/>
                <w:szCs w:val="21"/>
              </w:rPr>
              <w:t>其他</w:t>
            </w:r>
          </w:p>
        </w:tc>
        <w:tc>
          <w:tcPr>
            <w:tcW w:w="2954" w:type="pct"/>
            <w:tcBorders>
              <w:tl2br w:val="nil"/>
              <w:tr2bl w:val="nil"/>
            </w:tcBorders>
            <w:vAlign w:val="center"/>
          </w:tcPr>
          <w:p w14:paraId="597EFD8F">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lang w:eastAsia="zh-CN"/>
              </w:rPr>
            </w:pPr>
            <w:r>
              <w:rPr>
                <w:rFonts w:hint="eastAsia" w:ascii="宋体" w:hAnsi="宋体" w:eastAsia="宋体" w:cs="宋体"/>
                <w:szCs w:val="21"/>
              </w:rPr>
              <w:t>对同个标项不允许提供两个磋商方案</w:t>
            </w:r>
            <w:r>
              <w:rPr>
                <w:rFonts w:hint="eastAsia" w:ascii="宋体" w:hAnsi="宋体" w:cs="宋体"/>
                <w:szCs w:val="21"/>
                <w:lang w:eastAsia="zh-CN"/>
              </w:rPr>
              <w:t>。</w:t>
            </w:r>
          </w:p>
        </w:tc>
      </w:tr>
      <w:tr w14:paraId="5A7B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vMerge w:val="continue"/>
            <w:tcBorders>
              <w:tl2br w:val="nil"/>
              <w:tr2bl w:val="nil"/>
            </w:tcBorders>
            <w:vAlign w:val="center"/>
          </w:tcPr>
          <w:p w14:paraId="644D13AF">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p>
        </w:tc>
        <w:tc>
          <w:tcPr>
            <w:tcW w:w="1619" w:type="pct"/>
            <w:vMerge w:val="continue"/>
            <w:tcBorders>
              <w:tl2br w:val="nil"/>
              <w:tr2bl w:val="nil"/>
            </w:tcBorders>
            <w:vAlign w:val="center"/>
          </w:tcPr>
          <w:p w14:paraId="7A6D5BCB">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p>
        </w:tc>
        <w:tc>
          <w:tcPr>
            <w:tcW w:w="2954" w:type="pct"/>
            <w:tcBorders>
              <w:tl2br w:val="nil"/>
              <w:tr2bl w:val="nil"/>
            </w:tcBorders>
            <w:vAlign w:val="center"/>
          </w:tcPr>
          <w:p w14:paraId="6FCC9330">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lang w:eastAsia="zh-CN"/>
              </w:rPr>
            </w:pPr>
            <w:r>
              <w:rPr>
                <w:rFonts w:hint="eastAsia" w:ascii="宋体" w:hAnsi="宋体" w:eastAsia="宋体" w:cs="宋体"/>
                <w:szCs w:val="21"/>
              </w:rPr>
              <w:t>不允许出现与磋商文件有重大偏离的磋商响应文件</w:t>
            </w:r>
            <w:r>
              <w:rPr>
                <w:rFonts w:hint="eastAsia" w:ascii="宋体" w:hAnsi="宋体" w:cs="宋体"/>
                <w:szCs w:val="21"/>
                <w:lang w:eastAsia="zh-CN"/>
              </w:rPr>
              <w:t>。</w:t>
            </w:r>
          </w:p>
        </w:tc>
      </w:tr>
      <w:tr w14:paraId="7812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vMerge w:val="continue"/>
            <w:tcBorders>
              <w:tl2br w:val="nil"/>
              <w:tr2bl w:val="nil"/>
            </w:tcBorders>
            <w:vAlign w:val="center"/>
          </w:tcPr>
          <w:p w14:paraId="67C7E6D5">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p>
        </w:tc>
        <w:tc>
          <w:tcPr>
            <w:tcW w:w="1619" w:type="pct"/>
            <w:vMerge w:val="continue"/>
            <w:tcBorders>
              <w:tl2br w:val="nil"/>
              <w:tr2bl w:val="nil"/>
            </w:tcBorders>
            <w:vAlign w:val="center"/>
          </w:tcPr>
          <w:p w14:paraId="129CDE66">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p>
        </w:tc>
        <w:tc>
          <w:tcPr>
            <w:tcW w:w="2954" w:type="pct"/>
            <w:tcBorders>
              <w:tl2br w:val="nil"/>
              <w:tr2bl w:val="nil"/>
            </w:tcBorders>
            <w:vAlign w:val="center"/>
          </w:tcPr>
          <w:p w14:paraId="024F46F2">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lang w:eastAsia="zh-CN"/>
              </w:rPr>
            </w:pPr>
            <w:r>
              <w:rPr>
                <w:rFonts w:hint="eastAsia" w:ascii="宋体" w:hAnsi="宋体" w:eastAsia="宋体" w:cs="宋体"/>
                <w:szCs w:val="21"/>
              </w:rPr>
              <w:t>供应商不得在磋商活动中提供任何虚假材料或从事其他违法活动的</w:t>
            </w:r>
            <w:r>
              <w:rPr>
                <w:rFonts w:hint="eastAsia" w:ascii="宋体" w:hAnsi="宋体" w:cs="宋体"/>
                <w:szCs w:val="21"/>
                <w:lang w:eastAsia="zh-CN"/>
              </w:rPr>
              <w:t>。</w:t>
            </w:r>
          </w:p>
        </w:tc>
      </w:tr>
      <w:tr w14:paraId="69A2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vMerge w:val="continue"/>
            <w:tcBorders>
              <w:tl2br w:val="nil"/>
              <w:tr2bl w:val="nil"/>
            </w:tcBorders>
            <w:vAlign w:val="center"/>
          </w:tcPr>
          <w:p w14:paraId="206DEEB3">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p>
        </w:tc>
        <w:tc>
          <w:tcPr>
            <w:tcW w:w="1619" w:type="pct"/>
            <w:vMerge w:val="continue"/>
            <w:tcBorders>
              <w:tl2br w:val="nil"/>
              <w:tr2bl w:val="nil"/>
            </w:tcBorders>
            <w:vAlign w:val="center"/>
          </w:tcPr>
          <w:p w14:paraId="539D25B6">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p>
        </w:tc>
        <w:tc>
          <w:tcPr>
            <w:tcW w:w="2954" w:type="pct"/>
            <w:tcBorders>
              <w:tl2br w:val="nil"/>
              <w:tr2bl w:val="nil"/>
            </w:tcBorders>
            <w:vAlign w:val="center"/>
          </w:tcPr>
          <w:p w14:paraId="462F415E">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lang w:eastAsia="zh-CN"/>
              </w:rPr>
            </w:pPr>
            <w:r>
              <w:rPr>
                <w:rFonts w:hint="eastAsia" w:ascii="宋体" w:hAnsi="宋体" w:eastAsia="宋体" w:cs="宋体"/>
                <w:szCs w:val="21"/>
              </w:rPr>
              <w:t>符合法律、法规和磋商文件中规定的其他实质性要求（实质性要求磋商文件中“</w:t>
            </w:r>
            <w:r>
              <w:rPr>
                <w:rFonts w:hint="eastAsia" w:ascii="宋体" w:hAnsi="宋体" w:eastAsia="宋体" w:cs="宋体"/>
                <w:szCs w:val="21"/>
                <w:lang w:eastAsia="zh-CN"/>
              </w:rPr>
              <w:t>★</w:t>
            </w:r>
            <w:r>
              <w:rPr>
                <w:rFonts w:hint="eastAsia" w:ascii="宋体" w:hAnsi="宋体" w:eastAsia="宋体" w:cs="宋体"/>
                <w:szCs w:val="21"/>
              </w:rPr>
              <w:t>”标记）</w:t>
            </w:r>
            <w:r>
              <w:rPr>
                <w:rFonts w:hint="eastAsia" w:ascii="宋体" w:hAnsi="宋体" w:cs="宋体"/>
                <w:szCs w:val="21"/>
                <w:lang w:eastAsia="zh-CN"/>
              </w:rPr>
              <w:t>。</w:t>
            </w:r>
          </w:p>
        </w:tc>
      </w:tr>
      <w:tr w14:paraId="1C9A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vMerge w:val="continue"/>
            <w:tcBorders>
              <w:tl2br w:val="nil"/>
              <w:tr2bl w:val="nil"/>
            </w:tcBorders>
            <w:vAlign w:val="center"/>
          </w:tcPr>
          <w:p w14:paraId="048C94FE">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p>
        </w:tc>
        <w:tc>
          <w:tcPr>
            <w:tcW w:w="1619" w:type="pct"/>
            <w:vMerge w:val="continue"/>
            <w:tcBorders>
              <w:tl2br w:val="nil"/>
              <w:tr2bl w:val="nil"/>
            </w:tcBorders>
            <w:vAlign w:val="center"/>
          </w:tcPr>
          <w:p w14:paraId="4354B155">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szCs w:val="21"/>
              </w:rPr>
            </w:pPr>
          </w:p>
        </w:tc>
        <w:tc>
          <w:tcPr>
            <w:tcW w:w="2954" w:type="pct"/>
            <w:tcBorders>
              <w:tl2br w:val="nil"/>
              <w:tr2bl w:val="nil"/>
            </w:tcBorders>
            <w:vAlign w:val="center"/>
          </w:tcPr>
          <w:p w14:paraId="5B09B78A">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cs="宋体"/>
                <w:szCs w:val="21"/>
                <w:lang w:eastAsia="zh-CN"/>
              </w:rPr>
              <w:t>磋商</w:t>
            </w:r>
            <w:r>
              <w:rPr>
                <w:rFonts w:hint="eastAsia" w:ascii="宋体" w:hAnsi="宋体" w:eastAsia="宋体" w:cs="宋体"/>
              </w:rPr>
              <w:t>小组经过审查，认定供应商虚假应标、串通</w:t>
            </w:r>
            <w:r>
              <w:rPr>
                <w:rFonts w:hint="eastAsia" w:ascii="宋体" w:hAnsi="宋体" w:cs="宋体"/>
                <w:lang w:eastAsia="zh-CN"/>
              </w:rPr>
              <w:t>响应</w:t>
            </w:r>
            <w:r>
              <w:rPr>
                <w:rFonts w:hint="eastAsia" w:ascii="宋体" w:hAnsi="宋体" w:eastAsia="宋体" w:cs="宋体"/>
              </w:rPr>
              <w:t>的，有下列情形之一的，视为供应商串通</w:t>
            </w:r>
            <w:r>
              <w:rPr>
                <w:rFonts w:hint="eastAsia" w:ascii="宋体" w:hAnsi="宋体" w:cs="宋体"/>
                <w:lang w:eastAsia="zh-CN"/>
              </w:rPr>
              <w:t>响应</w:t>
            </w:r>
            <w:r>
              <w:rPr>
                <w:rFonts w:hint="eastAsia" w:ascii="宋体" w:hAnsi="宋体" w:eastAsia="宋体" w:cs="宋体"/>
              </w:rPr>
              <w:t>：</w:t>
            </w:r>
          </w:p>
          <w:p w14:paraId="172D2564">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eastAsia="宋体" w:cs="宋体"/>
              </w:rPr>
              <w:t>（1）不同供应商的响应文件由同一单位或者个人编制；</w:t>
            </w:r>
          </w:p>
          <w:p w14:paraId="26B61FF8">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eastAsia="宋体" w:cs="宋体"/>
              </w:rPr>
              <w:t>（2）不同供应商委托同一单位或者个人办理</w:t>
            </w:r>
            <w:r>
              <w:rPr>
                <w:rFonts w:hint="eastAsia" w:ascii="宋体" w:hAnsi="宋体" w:cs="宋体"/>
                <w:lang w:eastAsia="zh-CN"/>
              </w:rPr>
              <w:t>响应</w:t>
            </w:r>
            <w:r>
              <w:rPr>
                <w:rFonts w:hint="eastAsia" w:ascii="宋体" w:hAnsi="宋体" w:eastAsia="宋体" w:cs="宋体"/>
              </w:rPr>
              <w:t>事宜；</w:t>
            </w:r>
          </w:p>
          <w:p w14:paraId="6E328D47">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eastAsia="宋体" w:cs="宋体"/>
              </w:rPr>
              <w:t>（3）不同供应商的磋商响应文件载明的项目管理成员或者联系人员为同一人；</w:t>
            </w:r>
          </w:p>
          <w:p w14:paraId="3544B64B">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eastAsia="宋体" w:cs="宋体"/>
              </w:rPr>
              <w:t>（4）不同供应商的磋商响应文件异常一致或者</w:t>
            </w:r>
            <w:r>
              <w:rPr>
                <w:rFonts w:hint="eastAsia" w:ascii="宋体" w:hAnsi="宋体" w:cs="宋体"/>
                <w:lang w:eastAsia="zh-CN"/>
              </w:rPr>
              <w:t>响应</w:t>
            </w:r>
            <w:r>
              <w:rPr>
                <w:rFonts w:hint="eastAsia" w:ascii="宋体" w:hAnsi="宋体" w:eastAsia="宋体" w:cs="宋体"/>
              </w:rPr>
              <w:t>报价呈规律性差异；</w:t>
            </w:r>
          </w:p>
          <w:p w14:paraId="0809075E">
            <w:pPr>
              <w:keepNext w:val="0"/>
              <w:keepLines w:val="0"/>
              <w:pageBreakBefore w:val="0"/>
              <w:kinsoku/>
              <w:wordWrap/>
              <w:overflowPunct/>
              <w:topLinePunct w:val="0"/>
              <w:bidi w:val="0"/>
              <w:snapToGrid w:val="0"/>
              <w:spacing w:line="400" w:lineRule="exact"/>
              <w:ind w:left="0" w:leftChars="0"/>
              <w:textAlignment w:val="auto"/>
              <w:rPr>
                <w:rFonts w:hint="eastAsia" w:ascii="宋体" w:hAnsi="宋体" w:eastAsia="宋体" w:cs="宋体"/>
              </w:rPr>
            </w:pPr>
            <w:r>
              <w:rPr>
                <w:rFonts w:hint="eastAsia" w:ascii="宋体" w:hAnsi="宋体" w:eastAsia="宋体" w:cs="宋体"/>
              </w:rPr>
              <w:t>（5）不同供应商的磋商响应文件相互混装。</w:t>
            </w:r>
          </w:p>
        </w:tc>
      </w:tr>
      <w:tr w14:paraId="6FC4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pct"/>
            <w:tcBorders>
              <w:tl2br w:val="nil"/>
              <w:tr2bl w:val="nil"/>
            </w:tcBorders>
            <w:vAlign w:val="center"/>
          </w:tcPr>
          <w:p w14:paraId="449A39DE">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2969" w:type="dxa"/>
            <w:tcBorders>
              <w:tl2br w:val="nil"/>
              <w:tr2bl w:val="nil"/>
            </w:tcBorders>
            <w:vAlign w:val="center"/>
          </w:tcPr>
          <w:p w14:paraId="7557B2EE">
            <w:pPr>
              <w:keepNext w:val="0"/>
              <w:keepLines w:val="0"/>
              <w:pageBreakBefore w:val="0"/>
              <w:kinsoku/>
              <w:wordWrap/>
              <w:overflowPunct/>
              <w:topLinePunct w:val="0"/>
              <w:bidi w:val="0"/>
              <w:spacing w:line="400" w:lineRule="exact"/>
              <w:ind w:left="0" w:leftChars="0"/>
              <w:jc w:val="left"/>
              <w:textAlignment w:val="auto"/>
              <w:rPr>
                <w:rFonts w:hint="eastAsia" w:ascii="宋体" w:hAnsi="宋体" w:eastAsia="宋体" w:cs="宋体"/>
                <w:szCs w:val="21"/>
              </w:rPr>
            </w:pPr>
            <w:r>
              <w:rPr>
                <w:rFonts w:hint="eastAsia" w:ascii="宋体" w:hAnsi="宋体" w:eastAsia="宋体" w:cs="宋体"/>
                <w:szCs w:val="21"/>
              </w:rPr>
              <w:t>本项目（否）接受联合体</w:t>
            </w:r>
            <w:r>
              <w:rPr>
                <w:rFonts w:hint="eastAsia" w:ascii="宋体" w:hAnsi="宋体" w:cs="宋体"/>
                <w:szCs w:val="21"/>
                <w:lang w:eastAsia="zh-CN"/>
              </w:rPr>
              <w:t>响应</w:t>
            </w:r>
            <w:r>
              <w:rPr>
                <w:rFonts w:hint="eastAsia" w:ascii="宋体" w:hAnsi="宋体" w:eastAsia="宋体" w:cs="宋体"/>
                <w:szCs w:val="21"/>
              </w:rPr>
              <w:t>。</w:t>
            </w:r>
          </w:p>
        </w:tc>
        <w:tc>
          <w:tcPr>
            <w:tcW w:w="5419" w:type="dxa"/>
            <w:tcBorders>
              <w:tl2br w:val="nil"/>
              <w:tr2bl w:val="nil"/>
            </w:tcBorders>
            <w:vAlign w:val="center"/>
          </w:tcPr>
          <w:p w14:paraId="6BE0058E">
            <w:pPr>
              <w:keepNext w:val="0"/>
              <w:keepLines w:val="0"/>
              <w:pageBreakBefore w:val="0"/>
              <w:kinsoku/>
              <w:wordWrap/>
              <w:overflowPunct/>
              <w:topLinePunct w:val="0"/>
              <w:bidi w:val="0"/>
              <w:spacing w:line="400" w:lineRule="exact"/>
              <w:ind w:left="0" w:leftChars="0"/>
              <w:jc w:val="left"/>
              <w:textAlignment w:val="auto"/>
              <w:rPr>
                <w:rFonts w:hint="eastAsia" w:ascii="宋体" w:hAnsi="宋体" w:eastAsia="宋体" w:cs="宋体"/>
              </w:rPr>
            </w:pPr>
            <w:r>
              <w:rPr>
                <w:rFonts w:hint="eastAsia" w:ascii="宋体" w:hAnsi="宋体" w:cs="宋体"/>
                <w:szCs w:val="21"/>
                <w:lang w:val="en-US" w:eastAsia="zh-CN"/>
              </w:rPr>
              <w:t>非联合体响应。</w:t>
            </w:r>
          </w:p>
        </w:tc>
      </w:tr>
      <w:tr w14:paraId="1128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vAlign w:val="center"/>
          </w:tcPr>
          <w:p w14:paraId="71401EB8">
            <w:pPr>
              <w:keepNext w:val="0"/>
              <w:keepLines w:val="0"/>
              <w:pageBreakBefore w:val="0"/>
              <w:kinsoku/>
              <w:wordWrap/>
              <w:overflowPunct/>
              <w:topLinePunct w:val="0"/>
              <w:bidi w:val="0"/>
              <w:spacing w:line="400" w:lineRule="exact"/>
              <w:ind w:left="0" w:leftChars="0"/>
              <w:jc w:val="center"/>
              <w:textAlignment w:val="auto"/>
              <w:rPr>
                <w:rFonts w:hint="eastAsia" w:ascii="宋体" w:hAnsi="宋体" w:eastAsia="宋体" w:cs="宋体"/>
                <w:szCs w:val="21"/>
              </w:rPr>
            </w:pPr>
            <w:r>
              <w:rPr>
                <w:rFonts w:hint="eastAsia" w:ascii="宋体" w:hAnsi="宋体" w:eastAsia="宋体" w:cs="宋体"/>
                <w:b/>
                <w:szCs w:val="21"/>
              </w:rPr>
              <w:t>符合性审查结论</w:t>
            </w:r>
          </w:p>
        </w:tc>
      </w:tr>
    </w:tbl>
    <w:p w14:paraId="6A5E306D">
      <w:pPr>
        <w:keepNext w:val="0"/>
        <w:keepLines w:val="0"/>
        <w:pageBreakBefore w:val="0"/>
        <w:kinsoku/>
        <w:wordWrap/>
        <w:overflowPunct/>
        <w:topLinePunct w:val="0"/>
        <w:bidi w:val="0"/>
        <w:spacing w:line="400" w:lineRule="exact"/>
        <w:ind w:left="0" w:leftChars="0"/>
        <w:textAlignment w:val="auto"/>
        <w:rPr>
          <w:rFonts w:hint="eastAsia" w:ascii="宋体" w:hAnsi="宋体" w:eastAsia="宋体" w:cs="宋体"/>
          <w:b/>
        </w:rPr>
      </w:pPr>
      <w:r>
        <w:rPr>
          <w:rFonts w:hint="eastAsia" w:ascii="宋体" w:hAnsi="宋体" w:eastAsia="宋体" w:cs="宋体"/>
          <w:b/>
        </w:rPr>
        <w:t>注：1</w:t>
      </w:r>
      <w:r>
        <w:rPr>
          <w:rFonts w:hint="eastAsia" w:ascii="宋体" w:hAnsi="宋体" w:eastAsia="宋体" w:cs="宋体"/>
          <w:b/>
          <w:lang w:val="en-US" w:eastAsia="zh-CN"/>
        </w:rPr>
        <w:t>.</w:t>
      </w:r>
      <w:r>
        <w:rPr>
          <w:rFonts w:hint="eastAsia" w:ascii="宋体" w:hAnsi="宋体" w:eastAsia="宋体" w:cs="宋体"/>
          <w:b/>
        </w:rPr>
        <w:t>上述资料未按磋商文件要求附入磋商响应文件中的，</w:t>
      </w:r>
      <w:r>
        <w:rPr>
          <w:rFonts w:hint="eastAsia" w:ascii="宋体" w:hAnsi="宋体" w:eastAsia="宋体" w:cs="宋体"/>
          <w:b/>
          <w:szCs w:val="21"/>
        </w:rPr>
        <w:t>符合性审查</w:t>
      </w:r>
      <w:r>
        <w:rPr>
          <w:rFonts w:hint="eastAsia" w:ascii="宋体" w:hAnsi="宋体" w:eastAsia="宋体" w:cs="宋体"/>
          <w:b/>
        </w:rPr>
        <w:t>不合格。</w:t>
      </w:r>
    </w:p>
    <w:p w14:paraId="39966EE8">
      <w:pPr>
        <w:keepNext w:val="0"/>
        <w:keepLines w:val="0"/>
        <w:pageBreakBefore w:val="0"/>
        <w:numPr>
          <w:ilvl w:val="0"/>
          <w:numId w:val="0"/>
        </w:numPr>
        <w:kinsoku/>
        <w:wordWrap/>
        <w:overflowPunct/>
        <w:topLinePunct w:val="0"/>
        <w:bidi w:val="0"/>
        <w:spacing w:line="400" w:lineRule="exact"/>
        <w:ind w:leftChars="200"/>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上述审查项目中，任意一项不符合的，</w:t>
      </w:r>
      <w:r>
        <w:rPr>
          <w:rFonts w:hint="eastAsia" w:ascii="宋体" w:hAnsi="宋体" w:eastAsia="宋体" w:cs="宋体"/>
          <w:b/>
          <w:szCs w:val="21"/>
        </w:rPr>
        <w:t>符合性审查</w:t>
      </w:r>
      <w:r>
        <w:rPr>
          <w:rFonts w:hint="eastAsia" w:ascii="宋体" w:hAnsi="宋体" w:eastAsia="宋体" w:cs="宋体"/>
          <w:b/>
        </w:rPr>
        <w:t>不合格。</w:t>
      </w:r>
    </w:p>
    <w:p w14:paraId="022442AF">
      <w:pPr>
        <w:keepNext w:val="0"/>
        <w:keepLines w:val="0"/>
        <w:pageBreakBefore w:val="0"/>
        <w:numPr>
          <w:ilvl w:val="0"/>
          <w:numId w:val="0"/>
        </w:numPr>
        <w:kinsoku/>
        <w:wordWrap/>
        <w:overflowPunct/>
        <w:topLinePunct w:val="0"/>
        <w:bidi w:val="0"/>
        <w:spacing w:line="400" w:lineRule="exact"/>
        <w:ind w:leftChars="200"/>
        <w:textAlignment w:val="auto"/>
        <w:rPr>
          <w:rFonts w:hint="eastAsia" w:ascii="宋体" w:hAnsi="宋体" w:eastAsia="宋体" w:cs="宋体"/>
          <w:b/>
        </w:rPr>
      </w:pPr>
      <w:r>
        <w:rPr>
          <w:rFonts w:hint="eastAsia" w:ascii="宋体" w:hAnsi="宋体" w:eastAsia="宋体" w:cs="宋体"/>
          <w:b/>
          <w:lang w:val="en-US" w:eastAsia="zh-CN"/>
        </w:rPr>
        <w:t>3.</w:t>
      </w:r>
      <w:r>
        <w:rPr>
          <w:rFonts w:hint="eastAsia" w:ascii="宋体" w:hAnsi="宋体" w:eastAsia="宋体" w:cs="宋体"/>
          <w:b/>
        </w:rPr>
        <w:t>上述审查项目中，第3项至第4项，无需在政采云中设置关联点。</w:t>
      </w:r>
    </w:p>
    <w:p w14:paraId="122E75F8">
      <w:pPr>
        <w:rPr>
          <w:rFonts w:hint="eastAsia" w:ascii="宋体" w:hAnsi="宋体" w:eastAsia="宋体" w:cs="宋体"/>
          <w:b/>
        </w:rPr>
      </w:pPr>
      <w:r>
        <w:rPr>
          <w:rFonts w:hint="eastAsia" w:ascii="宋体" w:hAnsi="宋体" w:eastAsia="宋体" w:cs="宋体"/>
          <w:b/>
        </w:rPr>
        <w:br w:type="page"/>
      </w:r>
    </w:p>
    <w:p w14:paraId="7F5643DC">
      <w:pPr>
        <w:keepNext w:val="0"/>
        <w:keepLines w:val="0"/>
        <w:pageBreakBefore w:val="0"/>
        <w:numPr>
          <w:ilvl w:val="0"/>
          <w:numId w:val="0"/>
        </w:numPr>
        <w:kinsoku/>
        <w:wordWrap/>
        <w:overflowPunct/>
        <w:topLinePunct w:val="0"/>
        <w:autoSpaceDE/>
        <w:autoSpaceDN/>
        <w:bidi w:val="0"/>
        <w:spacing w:line="400" w:lineRule="exact"/>
        <w:ind w:left="0" w:leftChars="0" w:right="0" w:firstLine="0" w:firstLineChars="0"/>
        <w:textAlignment w:val="auto"/>
        <w:rPr>
          <w:rFonts w:hint="eastAsia" w:ascii="宋体" w:hAnsi="宋体" w:eastAsia="宋体" w:cs="宋体"/>
          <w:b/>
          <w:szCs w:val="21"/>
        </w:rPr>
      </w:pPr>
      <w:r>
        <w:rPr>
          <w:rFonts w:hint="eastAsia" w:ascii="宋体" w:hAnsi="宋体" w:eastAsia="宋体" w:cs="宋体"/>
          <w:szCs w:val="21"/>
        </w:rPr>
        <w:t>附表3：</w:t>
      </w:r>
    </w:p>
    <w:p w14:paraId="24FB50FE">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商务技术评分表</w:t>
      </w:r>
    </w:p>
    <w:p w14:paraId="19611D3F">
      <w:pPr>
        <w:keepNext w:val="0"/>
        <w:keepLines w:val="0"/>
        <w:pageBreakBefore w:val="0"/>
        <w:kinsoku/>
        <w:wordWrap/>
        <w:overflowPunct/>
        <w:topLinePunct w:val="0"/>
        <w:autoSpaceDE/>
        <w:autoSpaceDN/>
        <w:bidi w:val="0"/>
        <w:spacing w:line="400" w:lineRule="exact"/>
        <w:ind w:right="0"/>
        <w:jc w:val="left"/>
        <w:textAlignment w:val="auto"/>
        <w:rPr>
          <w:rFonts w:hint="default" w:ascii="宋体" w:hAnsi="宋体" w:eastAsia="宋体" w:cs="宋体"/>
          <w:b/>
          <w:szCs w:val="21"/>
          <w:lang w:val="en-US" w:eastAsia="zh-CN"/>
        </w:rPr>
      </w:pPr>
      <w:r>
        <w:rPr>
          <w:rFonts w:hint="eastAsia" w:ascii="宋体" w:hAnsi="宋体" w:eastAsia="宋体" w:cs="宋体"/>
          <w:b/>
          <w:szCs w:val="21"/>
          <w:lang w:eastAsia="zh-CN"/>
        </w:rPr>
        <w:t>项目编号</w:t>
      </w:r>
      <w:r>
        <w:rPr>
          <w:rFonts w:hint="eastAsia" w:ascii="宋体" w:hAnsi="宋体" w:eastAsia="宋体" w:cs="宋体"/>
          <w:b/>
          <w:szCs w:val="21"/>
        </w:rPr>
        <w:t>：NBITC-202530001GC-BL</w:t>
      </w:r>
      <w:r>
        <w:rPr>
          <w:rFonts w:hint="eastAsia" w:ascii="宋体" w:hAnsi="宋体" w:cs="宋体"/>
          <w:b/>
          <w:szCs w:val="21"/>
          <w:lang w:val="en-US" w:eastAsia="zh-CN"/>
        </w:rPr>
        <w:t>007</w:t>
      </w:r>
    </w:p>
    <w:bookmarkEnd w:id="31"/>
    <w:tbl>
      <w:tblPr>
        <w:tblStyle w:val="5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082"/>
        <w:gridCol w:w="925"/>
      </w:tblGrid>
      <w:tr w14:paraId="4EDC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6" w:type="pct"/>
            <w:gridSpan w:val="2"/>
            <w:vAlign w:val="center"/>
          </w:tcPr>
          <w:p w14:paraId="6ABD47B4">
            <w:pPr>
              <w:keepNext w:val="0"/>
              <w:keepLines w:val="0"/>
              <w:pageBreakBefore w:val="0"/>
              <w:kinsoku/>
              <w:wordWrap/>
              <w:overflowPunct/>
              <w:topLinePunct w:val="0"/>
              <w:autoSpaceDE/>
              <w:autoSpaceDN/>
              <w:bidi w:val="0"/>
              <w:adjustRightInd w:val="0"/>
              <w:snapToGrid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供应商评分明细</w:t>
            </w:r>
          </w:p>
        </w:tc>
        <w:tc>
          <w:tcPr>
            <w:tcW w:w="503" w:type="pct"/>
            <w:vAlign w:val="center"/>
          </w:tcPr>
          <w:p w14:paraId="1E9C3C49">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分值</w:t>
            </w:r>
          </w:p>
        </w:tc>
      </w:tr>
      <w:tr w14:paraId="117F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restart"/>
            <w:vAlign w:val="center"/>
          </w:tcPr>
          <w:p w14:paraId="0A81EF9A">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1.对项目的理解程度</w:t>
            </w:r>
          </w:p>
        </w:tc>
        <w:tc>
          <w:tcPr>
            <w:tcW w:w="3860" w:type="pct"/>
            <w:vAlign w:val="center"/>
          </w:tcPr>
          <w:p w14:paraId="1B7539EA">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磋商小组</w:t>
            </w:r>
            <w:r>
              <w:rPr>
                <w:rFonts w:hint="eastAsia" w:ascii="宋体" w:hAnsi="宋体" w:eastAsia="宋体" w:cs="宋体"/>
                <w:szCs w:val="21"/>
              </w:rPr>
              <w:t>根据供应商对大榭片区“十四五”期间国民经济与社会发展取得的主要成就和存在的主要问题的系统分析实施方案进行综合评议（8分）：</w:t>
            </w:r>
          </w:p>
          <w:p w14:paraId="7644333F">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①对大榭片区“十四五”期间国民经济与社会发展取得的主要成就和存在的主要问题分析透彻、结构清晰、方法科学、与项目需求完全一致的得8分；</w:t>
            </w:r>
          </w:p>
          <w:p w14:paraId="729829E1">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②对大榭片区“十四五”期间国民经济与社会发展取得的主要成就和存在的主要问题分析基本到位、结构合理、方法基本科学、与项目需求基本一致的得6分；</w:t>
            </w:r>
          </w:p>
          <w:p w14:paraId="02A89DED">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③对大榭片区“十四五”期间国民经济与社会发展取得的主要成就和存在的主要问题分析不够透彻、结构不够合理、方法不够科学、与项目需求缺乏对应性或缺项1-2项的得4分；</w:t>
            </w:r>
          </w:p>
          <w:p w14:paraId="3FA81C24">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④对大榭片区“十四五”期间国民经济与社会发展取得的主要成就和存在的主要问题分析不足、结构不合理、缺乏科学性、不符合项目需求或缺项2项以上的得2分。</w:t>
            </w:r>
          </w:p>
          <w:p w14:paraId="6B42317F">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75A0493A">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8</w:t>
            </w:r>
          </w:p>
        </w:tc>
      </w:tr>
      <w:tr w14:paraId="75B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4472036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25ABDA2E">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磋商小组</w:t>
            </w:r>
            <w:r>
              <w:rPr>
                <w:rFonts w:hint="eastAsia" w:ascii="宋体" w:hAnsi="宋体" w:eastAsia="宋体" w:cs="宋体"/>
                <w:szCs w:val="21"/>
              </w:rPr>
              <w:t>根据供应商对大榭片区“十五五”面临的外部形势与机遇挑战的分析，大榭片区“十五五”时期需着力破解的重大问题的厘清思路，提出解决路径和具体举措等实施方案进行综合评议（8分）：</w:t>
            </w:r>
          </w:p>
          <w:p w14:paraId="356D1409">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①对大榭片区“十五五”面临的外部形势与机遇挑战的分析全面、大榭片区“十五五”时期需着力破解的重大问题的厘清思路阐述详细，提出解决路径和具体举措方案全面、透彻的得8分；</w:t>
            </w:r>
          </w:p>
          <w:p w14:paraId="287953EF">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②对大榭片区“十五五”面临的外部形势与机遇挑战的分析基本全面、大榭片区“十五五”时期需着力破解的重大问题的厘清思路阐述较详细，提出解决路径和具体举措方案较全面、较透彻的得6分；</w:t>
            </w:r>
          </w:p>
          <w:p w14:paraId="5F8C57A6">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③对大榭片区“十五五”面临的外部形势与机遇挑战的分析不够全面，大榭片区“十五五”时期需着力破解的重大问题的厘清思路阐述不够详细，提出解决路径和具体举措方案片面、不够透彻的得4分；</w:t>
            </w:r>
          </w:p>
          <w:p w14:paraId="3F640E2E">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④对大榭片区“十五五”面临的外部形势与机遇挑战的分析浮潜，大榭片区“十五五”时期需着力破解的重大问题的厘清思路阐述欠缺，提出解决路径和具体举措方案粗略、模糊的得2分。</w:t>
            </w:r>
          </w:p>
          <w:p w14:paraId="12AB049A">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rPr>
            </w:pPr>
            <w:r>
              <w:rPr>
                <w:rFonts w:hint="eastAsia" w:ascii="宋体" w:hAnsi="宋体" w:eastAsia="宋体" w:cs="宋体"/>
                <w:szCs w:val="21"/>
              </w:rPr>
              <w:t>未提供本项的不得分。</w:t>
            </w:r>
          </w:p>
        </w:tc>
        <w:tc>
          <w:tcPr>
            <w:tcW w:w="503" w:type="pct"/>
            <w:vAlign w:val="center"/>
          </w:tcPr>
          <w:p w14:paraId="3FEAB290">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r>
      <w:tr w14:paraId="7689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063B3EAB">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7ACA954F">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磋商小组</w:t>
            </w:r>
            <w:r>
              <w:rPr>
                <w:rFonts w:hint="eastAsia" w:ascii="宋体" w:hAnsi="宋体" w:eastAsia="宋体" w:cs="宋体"/>
                <w:szCs w:val="21"/>
              </w:rPr>
              <w:t>根据供应商对大榭片区发展基础与发展环境的分析案进行综合评议（8分）：</w:t>
            </w:r>
          </w:p>
          <w:p w14:paraId="480B28B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①方案框架结构清晰、方法科学、与项目需求完全一致的得8分；</w:t>
            </w:r>
          </w:p>
          <w:p w14:paraId="69D29EAE">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②方案框架结构合理、方法基本科学、与项目需求基本一致的得6分；</w:t>
            </w:r>
          </w:p>
          <w:p w14:paraId="1D217A7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③方案框架结构不够合理、方法不够科学、与项目需求缺乏对应性的得4分；</w:t>
            </w:r>
          </w:p>
          <w:p w14:paraId="3274B48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④方案框架结构不合理、缺乏科学性、不符合项目需求的得2分。</w:t>
            </w:r>
          </w:p>
          <w:p w14:paraId="29167661">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1883970F">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8</w:t>
            </w:r>
          </w:p>
        </w:tc>
      </w:tr>
      <w:tr w14:paraId="0FDA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549AF8A4">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4BF361EF">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eastAsia="zh-CN"/>
              </w:rPr>
              <w:t>磋商小组</w:t>
            </w:r>
            <w:r>
              <w:rPr>
                <w:rFonts w:hint="eastAsia" w:ascii="宋体" w:hAnsi="宋体" w:eastAsia="宋体" w:cs="宋体"/>
                <w:szCs w:val="21"/>
              </w:rPr>
              <w:t>根据供应商对“十五五”期间的提升发展的定位和目标指标提出方案进行综合评议（8分）：</w:t>
            </w:r>
          </w:p>
          <w:p w14:paraId="72A8E812">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①方案框架结构清晰、方法科学、与项目需求完全一致的得8分；</w:t>
            </w:r>
          </w:p>
          <w:p w14:paraId="43F6B0B7">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②方案框架结构合理、方法基本科学、与项目需求基本一致的得6分；</w:t>
            </w:r>
          </w:p>
          <w:p w14:paraId="717599F9">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③方案框架结构不够合理、方法不够科学、与项目需求缺乏对应性的得4分；</w:t>
            </w:r>
          </w:p>
          <w:p w14:paraId="7B25CE8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④方案框架结构不合理、缺乏科学性、不符合项目需求的得2分。</w:t>
            </w:r>
          </w:p>
          <w:p w14:paraId="67315A61">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6B56EC63">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r>
      <w:tr w14:paraId="6288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048131C6">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45D2F8A3">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eastAsia="zh-CN"/>
              </w:rPr>
              <w:t>磋商小组</w:t>
            </w:r>
            <w:r>
              <w:rPr>
                <w:rFonts w:hint="eastAsia" w:ascii="宋体" w:hAnsi="宋体" w:eastAsia="宋体" w:cs="宋体"/>
                <w:szCs w:val="21"/>
              </w:rPr>
              <w:t>根据供应商对战略定位和发展目标、空间格局优化、产业提升发展、改革创新深化、生态环境保护、基础设施建设等重点领域的掌握及分析实施方案进行综合评议（8分）：</w:t>
            </w:r>
          </w:p>
          <w:p w14:paraId="579AB3B8">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①方案框架结构清晰、方法科学、与项目需求完全一致的得8分；</w:t>
            </w:r>
          </w:p>
          <w:p w14:paraId="73F0166B">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②方案框架结构合理、方法基本科学、与项目需求基本一致的得6分；</w:t>
            </w:r>
          </w:p>
          <w:p w14:paraId="063BAB18">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③方案框架结构不够合理、方法不够科学、与项目需求缺乏对应性的得4分；</w:t>
            </w:r>
          </w:p>
          <w:p w14:paraId="3A2AE9B4">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④方案框架结构不合理、缺乏科学性、不符合项目需求的得2分。</w:t>
            </w:r>
          </w:p>
          <w:p w14:paraId="1B3827F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5092CD96">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8</w:t>
            </w:r>
          </w:p>
        </w:tc>
      </w:tr>
      <w:tr w14:paraId="088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6F5F8DE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21C78D7F">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cs="宋体"/>
                <w:szCs w:val="21"/>
                <w:lang w:eastAsia="zh-CN"/>
              </w:rPr>
              <w:t>磋商小组</w:t>
            </w:r>
            <w:r>
              <w:rPr>
                <w:rFonts w:hint="eastAsia" w:ascii="宋体" w:hAnsi="宋体" w:eastAsia="宋体" w:cs="宋体"/>
                <w:szCs w:val="21"/>
              </w:rPr>
              <w:t>根据供应商对确定“十五五”发展重点、战略任务、重大推进措施，形成《大榭片区“十五五”发展规划》的实施方案进行综合评议（8分）：</w:t>
            </w:r>
          </w:p>
          <w:p w14:paraId="712FE08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①方案框架结构清晰、方法科学、与项目需求完全一致的得8分；</w:t>
            </w:r>
          </w:p>
          <w:p w14:paraId="353EC85A">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②方案框架结构合理、方法基本科学、与项目需求基本一致的得6分；</w:t>
            </w:r>
          </w:p>
          <w:p w14:paraId="6057D23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③方案框架结构不够合理、方法不够科学、与项目需求缺乏对应性的得4分；</w:t>
            </w:r>
          </w:p>
          <w:p w14:paraId="2CB29287">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④方案框架结构不合理、缺乏科学性、不符合项目需求的得2分。</w:t>
            </w:r>
          </w:p>
          <w:p w14:paraId="712FA75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2240FE79">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8</w:t>
            </w:r>
          </w:p>
        </w:tc>
      </w:tr>
      <w:tr w14:paraId="1EDF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Align w:val="center"/>
          </w:tcPr>
          <w:p w14:paraId="32410C59">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2.组织和实施计划</w:t>
            </w:r>
          </w:p>
        </w:tc>
        <w:tc>
          <w:tcPr>
            <w:tcW w:w="3860" w:type="pct"/>
            <w:vAlign w:val="center"/>
          </w:tcPr>
          <w:p w14:paraId="09FA209B">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cs="宋体"/>
                <w:szCs w:val="21"/>
                <w:lang w:eastAsia="zh-CN"/>
              </w:rPr>
              <w:t>磋商小组</w:t>
            </w:r>
            <w:r>
              <w:rPr>
                <w:rFonts w:hint="eastAsia" w:ascii="宋体" w:hAnsi="宋体" w:eastAsia="宋体" w:cs="宋体"/>
                <w:szCs w:val="21"/>
              </w:rPr>
              <w:t>根据供应商对项目的实施进度计划进行综合评议（8分）：</w:t>
            </w:r>
          </w:p>
          <w:p w14:paraId="2BDEF6E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①工作程序思路清晰、计划安排方案详实，时间节点明确，具有充分可靠计划的得8分；</w:t>
            </w:r>
          </w:p>
          <w:p w14:paraId="7BAE27AB">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②工作程序思路较清晰、计划安排方案较详实，时间节点较明确，具有较充分可靠计划的得6分；</w:t>
            </w:r>
          </w:p>
          <w:p w14:paraId="48767379">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③工作程序思路不够清晰、计划安排方案不够详实，工期计划不够充足的得4分；</w:t>
            </w:r>
          </w:p>
          <w:p w14:paraId="31E7FB4E">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④工作程序思路混乱、计划安排方案简单，工期计划不足的得2分。</w:t>
            </w:r>
          </w:p>
          <w:p w14:paraId="7205C11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6D7F160C">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8</w:t>
            </w:r>
          </w:p>
        </w:tc>
      </w:tr>
      <w:tr w14:paraId="2939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Align w:val="center"/>
          </w:tcPr>
          <w:p w14:paraId="18264AF9">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3.重点、难点分析</w:t>
            </w:r>
          </w:p>
        </w:tc>
        <w:tc>
          <w:tcPr>
            <w:tcW w:w="3860" w:type="pct"/>
            <w:vAlign w:val="center"/>
          </w:tcPr>
          <w:p w14:paraId="1FCAFBEE">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cs="宋体"/>
                <w:szCs w:val="21"/>
                <w:lang w:eastAsia="zh-CN"/>
              </w:rPr>
              <w:t>磋商小组</w:t>
            </w:r>
            <w:r>
              <w:rPr>
                <w:rFonts w:hint="eastAsia" w:ascii="宋体" w:hAnsi="宋体" w:eastAsia="宋体" w:cs="宋体"/>
                <w:szCs w:val="21"/>
              </w:rPr>
              <w:t>根据供应商提供的项目重难点分析及对应解决方案进行综合评议（8分）：</w:t>
            </w:r>
          </w:p>
          <w:p w14:paraId="7E9D604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①各部分研究方案重点、难点分析透彻、对应解决方案完善的得8分；</w:t>
            </w:r>
          </w:p>
          <w:p w14:paraId="59796DC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②各部分研究方案重点、难点分析基本透彻、略有不足、方案较完善的得6分；</w:t>
            </w:r>
          </w:p>
          <w:p w14:paraId="7CDD9C0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③针对上述重难点分析情况存在1-2项缺项，或分析不够透彻，方案不够完善的得4分；</w:t>
            </w:r>
          </w:p>
          <w:p w14:paraId="2AFDEB5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④针对上述重难点分析情况存在3项以上缺项，或分析浮潜，方案欠缺的得2分。</w:t>
            </w:r>
          </w:p>
          <w:p w14:paraId="294D1AA8">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5D63F38C">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8</w:t>
            </w:r>
          </w:p>
        </w:tc>
      </w:tr>
      <w:tr w14:paraId="23F7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Align w:val="center"/>
          </w:tcPr>
          <w:p w14:paraId="26F31CD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4.服务承诺</w:t>
            </w:r>
          </w:p>
        </w:tc>
        <w:tc>
          <w:tcPr>
            <w:tcW w:w="3860" w:type="pct"/>
            <w:vAlign w:val="center"/>
          </w:tcPr>
          <w:p w14:paraId="282FDEA2">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cs="宋体"/>
                <w:szCs w:val="21"/>
                <w:lang w:eastAsia="zh-CN"/>
              </w:rPr>
              <w:t>磋商小组</w:t>
            </w:r>
            <w:r>
              <w:rPr>
                <w:rFonts w:hint="eastAsia" w:ascii="宋体" w:hAnsi="宋体" w:eastAsia="宋体" w:cs="宋体"/>
                <w:szCs w:val="21"/>
              </w:rPr>
              <w:t>根据供应商提供的项目信息收集、保密措施（包括但不仅限于</w:t>
            </w:r>
            <w:r>
              <w:rPr>
                <w:rFonts w:hint="eastAsia" w:ascii="宋体" w:hAnsi="宋体" w:eastAsia="宋体" w:cs="宋体"/>
              </w:rPr>
              <w:t>工作底稿数据、电子数据等</w:t>
            </w:r>
            <w:r>
              <w:rPr>
                <w:rFonts w:hint="eastAsia" w:ascii="宋体" w:hAnsi="宋体" w:eastAsia="宋体" w:cs="宋体"/>
                <w:szCs w:val="21"/>
              </w:rPr>
              <w:t>）进行综合评议（6分）：</w:t>
            </w:r>
          </w:p>
          <w:p w14:paraId="662F3B31">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①项目信息收集方案详细、保密制度及措施方案严格完整、周密全面，对涉密数据的管理有明确的保障措施的的得6分；</w:t>
            </w:r>
          </w:p>
          <w:p w14:paraId="7C8FA8E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②项目信息收集方案较详细、保密制度及措施方案较完整、周密程度较清晰，基本符合研究建设需求的得4分；</w:t>
            </w:r>
          </w:p>
          <w:p w14:paraId="4F3E4C0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③项目信息收集方案不够详细、密制度及措施方案不够完整、周密程度不够清晰，偏离研究建设需求的得2分；</w:t>
            </w:r>
          </w:p>
          <w:p w14:paraId="2EC9EA52">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④项目信息收集方案简单、保密制度及措施方案内容片面、有泄密风险，可能会影响项目履约的得1分。</w:t>
            </w:r>
          </w:p>
          <w:p w14:paraId="219BFE8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7B5287C4">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6</w:t>
            </w:r>
          </w:p>
        </w:tc>
      </w:tr>
      <w:tr w14:paraId="0920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restart"/>
            <w:vAlign w:val="center"/>
          </w:tcPr>
          <w:p w14:paraId="3FE89C23">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5.项目团队</w:t>
            </w:r>
          </w:p>
        </w:tc>
        <w:tc>
          <w:tcPr>
            <w:tcW w:w="3860" w:type="pct"/>
            <w:vAlign w:val="center"/>
          </w:tcPr>
          <w:p w14:paraId="61569DFE">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b/>
                <w:bCs/>
                <w:szCs w:val="21"/>
              </w:rPr>
            </w:pPr>
            <w:r>
              <w:rPr>
                <w:rFonts w:hint="eastAsia" w:ascii="宋体" w:hAnsi="宋体" w:eastAsia="宋体" w:cs="宋体"/>
                <w:szCs w:val="21"/>
                <w:lang w:val="en-US" w:eastAsia="zh-CN"/>
              </w:rPr>
              <w:t>10</w:t>
            </w:r>
            <w:r>
              <w:rPr>
                <w:rFonts w:hint="eastAsia" w:ascii="宋体" w:hAnsi="宋体" w:eastAsia="宋体" w:cs="宋体"/>
                <w:szCs w:val="21"/>
              </w:rPr>
              <w:t>.供应商拟派项目负责人资历及经验（2分）：</w:t>
            </w:r>
          </w:p>
          <w:p w14:paraId="329EEE28">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①项目负责人具有（石化、化工）等项目相关专业副高级及以上职称的得1分；</w:t>
            </w:r>
          </w:p>
          <w:p w14:paraId="0AA46B9C">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②项目负责人具有（石化、化工）等项目相关专业咨询工程师证书的得1分。</w:t>
            </w:r>
          </w:p>
          <w:p w14:paraId="2983B193">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lang w:eastAsia="zh-CN"/>
              </w:rPr>
            </w:pPr>
            <w:r>
              <w:rPr>
                <w:rFonts w:hint="eastAsia" w:ascii="宋体" w:hAnsi="宋体" w:eastAsia="宋体" w:cs="宋体"/>
                <w:b/>
                <w:bCs/>
                <w:szCs w:val="21"/>
              </w:rPr>
              <w:t>注：</w:t>
            </w:r>
            <w:r>
              <w:rPr>
                <w:rFonts w:hint="eastAsia" w:ascii="宋体" w:hAnsi="宋体" w:cs="宋体"/>
                <w:b/>
                <w:bCs/>
                <w:szCs w:val="21"/>
                <w:lang w:eastAsia="zh-CN"/>
              </w:rPr>
              <w:t>响应</w:t>
            </w:r>
            <w:r>
              <w:rPr>
                <w:rFonts w:hint="eastAsia" w:ascii="宋体" w:hAnsi="宋体" w:eastAsia="宋体" w:cs="宋体"/>
                <w:b/>
                <w:bCs/>
                <w:szCs w:val="21"/>
              </w:rPr>
              <w:t>文件中提供证书复印件、距提交</w:t>
            </w:r>
            <w:r>
              <w:rPr>
                <w:rFonts w:hint="eastAsia" w:ascii="宋体" w:hAnsi="宋体" w:cs="宋体"/>
                <w:b/>
                <w:bCs/>
                <w:szCs w:val="21"/>
                <w:lang w:eastAsia="zh-CN"/>
              </w:rPr>
              <w:t>响应</w:t>
            </w:r>
            <w:r>
              <w:rPr>
                <w:rFonts w:hint="eastAsia" w:ascii="宋体" w:hAnsi="宋体" w:eastAsia="宋体" w:cs="宋体"/>
                <w:b/>
                <w:bCs/>
                <w:szCs w:val="21"/>
              </w:rPr>
              <w:t>文件截止时间前连续6个月的社保部门出具的供应商单位为其缴纳的社保证明复印件并加盖供应商公章</w:t>
            </w:r>
            <w:r>
              <w:rPr>
                <w:rFonts w:hint="eastAsia" w:ascii="宋体" w:hAnsi="宋体" w:eastAsia="宋体" w:cs="宋体"/>
                <w:b/>
                <w:bCs/>
                <w:szCs w:val="21"/>
                <w:lang w:eastAsia="zh-CN"/>
              </w:rPr>
              <w:t>，否则不得分。</w:t>
            </w:r>
          </w:p>
        </w:tc>
        <w:tc>
          <w:tcPr>
            <w:tcW w:w="503" w:type="pct"/>
            <w:vAlign w:val="center"/>
          </w:tcPr>
          <w:p w14:paraId="16207483">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 xml:space="preserve">2  </w:t>
            </w:r>
          </w:p>
        </w:tc>
      </w:tr>
      <w:tr w14:paraId="7567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586BC764">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3124CB8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.供应商拟派团队人员资质证书（5分）：</w:t>
            </w:r>
          </w:p>
          <w:p w14:paraId="3DB9A7C7">
            <w:pPr>
              <w:keepNext w:val="0"/>
              <w:keepLines w:val="0"/>
              <w:pageBreakBefore w:val="0"/>
              <w:widowControl/>
              <w:numPr>
                <w:ilvl w:val="255"/>
                <w:numId w:val="0"/>
              </w:numPr>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①团队成员（不含项目负责人），具有副高级及以上职称或博士学位的，每人得1分，最高得3分。</w:t>
            </w:r>
          </w:p>
          <w:p w14:paraId="7019CBFA">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②团队成员（不含项目负责人），具有高级经济师专业技术资格的，每提供一个得1分，最多得2分。</w:t>
            </w:r>
          </w:p>
          <w:p w14:paraId="29A009BE">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b/>
                <w:bCs/>
                <w:szCs w:val="21"/>
              </w:rPr>
              <w:t>注：</w:t>
            </w:r>
            <w:r>
              <w:rPr>
                <w:rFonts w:hint="eastAsia" w:ascii="宋体" w:hAnsi="宋体" w:cs="宋体"/>
                <w:b/>
                <w:bCs/>
                <w:szCs w:val="21"/>
                <w:lang w:eastAsia="zh-CN"/>
              </w:rPr>
              <w:t>响应</w:t>
            </w:r>
            <w:r>
              <w:rPr>
                <w:rFonts w:hint="eastAsia" w:ascii="宋体" w:hAnsi="宋体" w:eastAsia="宋体" w:cs="宋体"/>
                <w:b/>
                <w:bCs/>
                <w:szCs w:val="21"/>
              </w:rPr>
              <w:t>文件中提供证书复印件、距提交</w:t>
            </w:r>
            <w:r>
              <w:rPr>
                <w:rFonts w:hint="eastAsia" w:ascii="宋体" w:hAnsi="宋体" w:cs="宋体"/>
                <w:b/>
                <w:bCs/>
                <w:szCs w:val="21"/>
                <w:lang w:eastAsia="zh-CN"/>
              </w:rPr>
              <w:t>响应</w:t>
            </w:r>
            <w:r>
              <w:rPr>
                <w:rFonts w:hint="eastAsia" w:ascii="宋体" w:hAnsi="宋体" w:eastAsia="宋体" w:cs="宋体"/>
                <w:b/>
                <w:bCs/>
                <w:szCs w:val="21"/>
              </w:rPr>
              <w:t>文件截止时间前连续6个月的社保部门出具的供应商单位为其缴纳的社保证明复印件并加盖供应商公章，否则不得分。</w:t>
            </w:r>
          </w:p>
        </w:tc>
        <w:tc>
          <w:tcPr>
            <w:tcW w:w="503" w:type="pct"/>
            <w:vAlign w:val="center"/>
          </w:tcPr>
          <w:p w14:paraId="65EF4443">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 xml:space="preserve">  5</w:t>
            </w:r>
          </w:p>
        </w:tc>
      </w:tr>
      <w:tr w14:paraId="088A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6480D26E">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77688FE5">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.供应商拟派本项目人员配备情况（6分）：</w:t>
            </w:r>
          </w:p>
          <w:p w14:paraId="0791E404">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①拟派本项目人员达5人及以上，平均从业经验达3年及以上的得6分；</w:t>
            </w:r>
          </w:p>
          <w:p w14:paraId="6464C9A5">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②拟派本项目人员达3人及以上，平均从业经验达2年及以上的得4分；</w:t>
            </w:r>
          </w:p>
          <w:p w14:paraId="07B3B3E4">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③拟派本项目人员不足3人或平均从业经验不足2年的得2分。</w:t>
            </w:r>
          </w:p>
          <w:p w14:paraId="359ABE10">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cs="宋体"/>
                <w:b/>
                <w:bCs/>
                <w:szCs w:val="21"/>
                <w:lang w:eastAsia="zh-CN"/>
              </w:rPr>
              <w:t>响应</w:t>
            </w:r>
            <w:r>
              <w:rPr>
                <w:rFonts w:hint="eastAsia" w:ascii="宋体" w:hAnsi="宋体" w:eastAsia="宋体" w:cs="宋体"/>
                <w:b/>
                <w:bCs/>
                <w:szCs w:val="21"/>
              </w:rPr>
              <w:t>文件中提供拟派人员</w:t>
            </w:r>
            <w:r>
              <w:rPr>
                <w:rFonts w:hint="eastAsia" w:ascii="宋体" w:hAnsi="宋体" w:eastAsia="宋体" w:cs="宋体"/>
                <w:b/>
                <w:bCs/>
                <w:szCs w:val="21"/>
                <w:highlight w:val="none"/>
              </w:rPr>
              <w:t>从业经验的相关证明材料</w:t>
            </w:r>
            <w:r>
              <w:rPr>
                <w:rFonts w:hint="eastAsia" w:ascii="宋体" w:hAnsi="宋体" w:eastAsia="宋体" w:cs="宋体"/>
                <w:b/>
                <w:bCs/>
                <w:szCs w:val="21"/>
              </w:rPr>
              <w:t>复印件并加盖供应商公章，否则不得分。</w:t>
            </w:r>
          </w:p>
        </w:tc>
        <w:tc>
          <w:tcPr>
            <w:tcW w:w="503" w:type="pct"/>
            <w:vAlign w:val="center"/>
          </w:tcPr>
          <w:p w14:paraId="7E0D1C8A">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6</w:t>
            </w:r>
          </w:p>
        </w:tc>
      </w:tr>
      <w:tr w14:paraId="74E8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restart"/>
            <w:vAlign w:val="center"/>
          </w:tcPr>
          <w:p w14:paraId="6CF93827">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6.履约能力</w:t>
            </w:r>
          </w:p>
        </w:tc>
        <w:tc>
          <w:tcPr>
            <w:tcW w:w="3860" w:type="pct"/>
            <w:vAlign w:val="center"/>
          </w:tcPr>
          <w:p w14:paraId="58D6032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.供应商自2021年1月1日至今</w:t>
            </w:r>
            <w:r>
              <w:rPr>
                <w:rFonts w:hint="eastAsia" w:ascii="宋体" w:hAnsi="宋体" w:eastAsia="宋体" w:cs="宋体"/>
                <w:spacing w:val="6"/>
                <w:szCs w:val="21"/>
              </w:rPr>
              <w:t>（以合同签订时间为准），完成过同类</w:t>
            </w:r>
            <w:r>
              <w:rPr>
                <w:rFonts w:hint="eastAsia" w:ascii="宋体" w:hAnsi="宋体" w:eastAsia="宋体" w:cs="宋体"/>
                <w:szCs w:val="21"/>
              </w:rPr>
              <w:t>相关项目规划或咨询或评估或研究，每提供1个合同得0.5分，满分1分。</w:t>
            </w:r>
          </w:p>
          <w:p w14:paraId="20B8038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b/>
                <w:bCs/>
                <w:szCs w:val="21"/>
              </w:rPr>
              <w:t>注：</w:t>
            </w:r>
            <w:r>
              <w:rPr>
                <w:rFonts w:hint="eastAsia" w:ascii="宋体" w:hAnsi="宋体" w:cs="宋体"/>
                <w:b/>
                <w:bCs/>
                <w:szCs w:val="21"/>
                <w:lang w:eastAsia="zh-CN"/>
              </w:rPr>
              <w:t>响应</w:t>
            </w:r>
            <w:r>
              <w:rPr>
                <w:rFonts w:hint="eastAsia" w:ascii="宋体" w:hAnsi="宋体" w:eastAsia="宋体" w:cs="宋体"/>
                <w:b/>
                <w:bCs/>
                <w:szCs w:val="21"/>
              </w:rPr>
              <w:t>文件中提供合同复印件并加盖供应商公章，否则不得分。</w:t>
            </w:r>
          </w:p>
        </w:tc>
        <w:tc>
          <w:tcPr>
            <w:tcW w:w="503" w:type="pct"/>
            <w:vAlign w:val="center"/>
          </w:tcPr>
          <w:p w14:paraId="1F1E34F5">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1</w:t>
            </w:r>
          </w:p>
        </w:tc>
      </w:tr>
      <w:tr w14:paraId="57DB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Merge w:val="continue"/>
            <w:vAlign w:val="center"/>
          </w:tcPr>
          <w:p w14:paraId="4662FFAC">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p>
        </w:tc>
        <w:tc>
          <w:tcPr>
            <w:tcW w:w="3860" w:type="pct"/>
            <w:vAlign w:val="center"/>
          </w:tcPr>
          <w:p w14:paraId="0C5279EF">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.供应商具有工程咨询单位资信证书综合甲级的得2分。</w:t>
            </w:r>
          </w:p>
          <w:p w14:paraId="20647E26">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b/>
                <w:bCs/>
                <w:szCs w:val="21"/>
              </w:rPr>
              <w:t>注：</w:t>
            </w:r>
            <w:r>
              <w:rPr>
                <w:rFonts w:hint="eastAsia" w:ascii="宋体" w:hAnsi="宋体" w:cs="宋体"/>
                <w:b/>
                <w:bCs/>
                <w:szCs w:val="21"/>
                <w:lang w:eastAsia="zh-CN"/>
              </w:rPr>
              <w:t>响应</w:t>
            </w:r>
            <w:r>
              <w:rPr>
                <w:rFonts w:hint="eastAsia" w:ascii="宋体" w:hAnsi="宋体" w:eastAsia="宋体" w:cs="宋体"/>
                <w:b/>
                <w:bCs/>
                <w:szCs w:val="21"/>
              </w:rPr>
              <w:t>文件中提供证书复印件并加盖供应商公章，否则不得分。</w:t>
            </w:r>
          </w:p>
        </w:tc>
        <w:tc>
          <w:tcPr>
            <w:tcW w:w="503" w:type="pct"/>
            <w:vAlign w:val="center"/>
          </w:tcPr>
          <w:p w14:paraId="46F33AA2">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2</w:t>
            </w:r>
          </w:p>
        </w:tc>
      </w:tr>
      <w:tr w14:paraId="7E04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pct"/>
            <w:vAlign w:val="center"/>
          </w:tcPr>
          <w:p w14:paraId="34E8F9C3">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7.建议可行性</w:t>
            </w:r>
          </w:p>
        </w:tc>
        <w:tc>
          <w:tcPr>
            <w:tcW w:w="3860" w:type="pct"/>
            <w:vAlign w:val="center"/>
          </w:tcPr>
          <w:p w14:paraId="1AC7A85B">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cs="宋体"/>
                <w:szCs w:val="21"/>
                <w:lang w:eastAsia="zh-CN"/>
              </w:rPr>
              <w:t>磋商小组</w:t>
            </w:r>
            <w:r>
              <w:rPr>
                <w:rFonts w:hint="eastAsia" w:ascii="宋体" w:hAnsi="宋体" w:eastAsia="宋体" w:cs="宋体"/>
                <w:szCs w:val="21"/>
              </w:rPr>
              <w:t>根据供应商提供的针对本项目的政策建议（包括但不仅限于完善政策法规支撑‌、提升基础设施水平‌、推进体制机制创新‌、强化市场开发力度‌、坚持创新驱动发展‌等）进行综合评议（4分）：</w:t>
            </w:r>
          </w:p>
          <w:p w14:paraId="1576E245">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①合理化建议内容丰富、可行性强的得4分；</w:t>
            </w:r>
          </w:p>
          <w:p w14:paraId="34C4860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②合理化建议内容较丰富、可行性较强的得3分；</w:t>
            </w:r>
          </w:p>
          <w:p w14:paraId="4B6AA3D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③合理化建议内容不足、可行性不强的得1.5分。</w:t>
            </w:r>
          </w:p>
          <w:p w14:paraId="61936951">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未提供本项的不得分。</w:t>
            </w:r>
          </w:p>
        </w:tc>
        <w:tc>
          <w:tcPr>
            <w:tcW w:w="503" w:type="pct"/>
            <w:vAlign w:val="center"/>
          </w:tcPr>
          <w:p w14:paraId="4D62ED41">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color w:val="000000"/>
                <w:szCs w:val="21"/>
              </w:rPr>
              <w:t>4</w:t>
            </w:r>
          </w:p>
        </w:tc>
      </w:tr>
      <w:tr w14:paraId="44F7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14:paraId="5EDCEF9C">
            <w:pPr>
              <w:keepNext w:val="0"/>
              <w:keepLines w:val="0"/>
              <w:pageBreakBefore w:val="0"/>
              <w:kinsoku/>
              <w:wordWrap/>
              <w:overflowPunct/>
              <w:topLinePunct w:val="0"/>
              <w:autoSpaceDE/>
              <w:autoSpaceDN/>
              <w:bidi w:val="0"/>
              <w:adjustRightInd w:val="0"/>
              <w:snapToGrid w:val="0"/>
              <w:spacing w:line="400" w:lineRule="exact"/>
              <w:ind w:right="0"/>
              <w:jc w:val="center"/>
              <w:textAlignment w:val="auto"/>
              <w:rPr>
                <w:rFonts w:hint="eastAsia" w:ascii="宋体" w:hAnsi="宋体" w:eastAsia="宋体" w:cs="宋体"/>
                <w:szCs w:val="21"/>
              </w:rPr>
            </w:pPr>
            <w:r>
              <w:rPr>
                <w:rFonts w:hint="eastAsia" w:ascii="宋体" w:hAnsi="宋体" w:eastAsia="宋体" w:cs="宋体"/>
                <w:bCs/>
                <w:color w:val="000000"/>
                <w:szCs w:val="21"/>
              </w:rPr>
              <w:t>合  计（90分）</w:t>
            </w:r>
          </w:p>
        </w:tc>
      </w:tr>
    </w:tbl>
    <w:p w14:paraId="3CA3A432">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bCs/>
          <w:szCs w:val="21"/>
        </w:rPr>
        <w:t>1</w:t>
      </w:r>
      <w:r>
        <w:rPr>
          <w:rFonts w:hint="eastAsia" w:ascii="宋体" w:hAnsi="宋体" w:eastAsia="宋体" w:cs="宋体"/>
          <w:bCs/>
          <w:szCs w:val="21"/>
          <w:lang w:val="en-US" w:eastAsia="zh-CN"/>
        </w:rPr>
        <w:t>.</w:t>
      </w:r>
      <w:r>
        <w:rPr>
          <w:rFonts w:hint="eastAsia" w:ascii="宋体" w:hAnsi="宋体" w:eastAsia="宋体" w:cs="宋体"/>
          <w:szCs w:val="21"/>
        </w:rPr>
        <w:t>各磋商小组成员自行按以上参考分值评分，评分小数点后保留二位数。</w:t>
      </w:r>
    </w:p>
    <w:p w14:paraId="7E8A358E">
      <w:pPr>
        <w:keepNext w:val="0"/>
        <w:keepLines w:val="0"/>
        <w:pageBreakBefore w:val="0"/>
        <w:kinsoku/>
        <w:wordWrap/>
        <w:overflowPunct/>
        <w:topLinePunct w:val="0"/>
        <w:autoSpaceDE/>
        <w:autoSpaceDN/>
        <w:bidi w:val="0"/>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磋商响应文件中未按上述要求提供相关资料的，不得分。</w:t>
      </w:r>
    </w:p>
    <w:p w14:paraId="68CAFE71">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p>
    <w:p w14:paraId="3660272B">
      <w:pPr>
        <w:keepNext w:val="0"/>
        <w:keepLines w:val="0"/>
        <w:pageBreakBefore w:val="0"/>
        <w:kinsoku/>
        <w:wordWrap/>
        <w:overflowPunct/>
        <w:topLinePunct w:val="0"/>
        <w:autoSpaceDE/>
        <w:autoSpaceDN/>
        <w:bidi w:val="0"/>
        <w:spacing w:line="400" w:lineRule="exact"/>
        <w:ind w:right="0"/>
        <w:jc w:val="right"/>
        <w:textAlignment w:val="auto"/>
        <w:rPr>
          <w:rFonts w:hint="eastAsia" w:ascii="宋体" w:hAnsi="宋体" w:eastAsia="宋体" w:cs="宋体"/>
          <w:b/>
          <w:bCs/>
          <w:szCs w:val="21"/>
        </w:rPr>
      </w:pPr>
      <w:r>
        <w:rPr>
          <w:rFonts w:hint="eastAsia" w:ascii="宋体" w:hAnsi="宋体" w:eastAsia="宋体" w:cs="宋体"/>
          <w:szCs w:val="21"/>
        </w:rPr>
        <w:t>磋商小组成员签名：年 月 日</w:t>
      </w:r>
    </w:p>
    <w:p w14:paraId="0DEA7F6E">
      <w:pPr>
        <w:keepNext w:val="0"/>
        <w:keepLines w:val="0"/>
        <w:pageBreakBefore w:val="0"/>
        <w:widowControl/>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附表4</w:t>
      </w:r>
    </w:p>
    <w:p w14:paraId="53084FA0">
      <w:pPr>
        <w:keepNext w:val="0"/>
        <w:keepLines w:val="0"/>
        <w:pageBreakBefore w:val="0"/>
        <w:widowControl/>
        <w:kinsoku/>
        <w:wordWrap/>
        <w:overflowPunct/>
        <w:topLinePunct w:val="0"/>
        <w:autoSpaceDE/>
        <w:autoSpaceDN/>
        <w:bidi w:val="0"/>
        <w:snapToGrid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报价初步审查表</w:t>
      </w:r>
    </w:p>
    <w:tbl>
      <w:tblPr>
        <w:tblStyle w:val="49"/>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705"/>
        <w:gridCol w:w="2764"/>
      </w:tblGrid>
      <w:tr w14:paraId="35822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tcBorders>
          </w:tcPr>
          <w:p w14:paraId="7138B63D">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3111" w:type="pct"/>
            <w:tcBorders>
              <w:top w:val="single" w:color="auto" w:sz="4" w:space="0"/>
            </w:tcBorders>
            <w:vAlign w:val="center"/>
          </w:tcPr>
          <w:p w14:paraId="301E6019">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要求说明</w:t>
            </w:r>
          </w:p>
        </w:tc>
        <w:tc>
          <w:tcPr>
            <w:tcW w:w="1506" w:type="pct"/>
            <w:tcBorders>
              <w:top w:val="single" w:color="auto" w:sz="4" w:space="0"/>
              <w:right w:val="single" w:color="auto" w:sz="4" w:space="0"/>
            </w:tcBorders>
            <w:vAlign w:val="center"/>
          </w:tcPr>
          <w:p w14:paraId="54103C49">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审查要求</w:t>
            </w:r>
          </w:p>
        </w:tc>
      </w:tr>
      <w:tr w14:paraId="6919E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left w:val="single" w:color="auto" w:sz="4" w:space="0"/>
            </w:tcBorders>
            <w:vAlign w:val="center"/>
          </w:tcPr>
          <w:p w14:paraId="0355D616">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1</w:t>
            </w:r>
          </w:p>
        </w:tc>
        <w:tc>
          <w:tcPr>
            <w:tcW w:w="3111" w:type="pct"/>
          </w:tcPr>
          <w:p w14:paraId="6B58B1F2">
            <w:pPr>
              <w:keepNext w:val="0"/>
              <w:keepLines w:val="0"/>
              <w:pageBreakBefore w:val="0"/>
              <w:kinsoku/>
              <w:wordWrap/>
              <w:overflowPunct/>
              <w:topLinePunct w:val="0"/>
              <w:autoSpaceDE/>
              <w:autoSpaceDN/>
              <w:bidi w:val="0"/>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本项目设有最高限价：标项一人民币35万元，超过最高限价的报价</w:t>
            </w:r>
            <w:r>
              <w:rPr>
                <w:rFonts w:hint="eastAsia" w:ascii="宋体" w:hAnsi="宋体" w:eastAsia="宋体" w:cs="宋体"/>
              </w:rPr>
              <w:t>按无效</w:t>
            </w:r>
            <w:r>
              <w:rPr>
                <w:rFonts w:hint="eastAsia" w:ascii="宋体" w:hAnsi="宋体" w:cs="宋体"/>
                <w:lang w:eastAsia="zh-CN"/>
              </w:rPr>
              <w:t>响应</w:t>
            </w:r>
            <w:r>
              <w:rPr>
                <w:rFonts w:hint="eastAsia" w:ascii="宋体" w:hAnsi="宋体" w:eastAsia="宋体" w:cs="宋体"/>
              </w:rPr>
              <w:t>处理</w:t>
            </w:r>
            <w:r>
              <w:rPr>
                <w:rFonts w:hint="eastAsia" w:ascii="宋体" w:hAnsi="宋体" w:eastAsia="宋体" w:cs="宋体"/>
                <w:szCs w:val="21"/>
              </w:rPr>
              <w:t>。</w:t>
            </w:r>
          </w:p>
        </w:tc>
        <w:tc>
          <w:tcPr>
            <w:tcW w:w="1506" w:type="pct"/>
            <w:tcBorders>
              <w:right w:val="single" w:color="auto" w:sz="4" w:space="0"/>
            </w:tcBorders>
            <w:vAlign w:val="center"/>
          </w:tcPr>
          <w:p w14:paraId="4C8F02FD">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提供“报价一览表”。</w:t>
            </w:r>
          </w:p>
        </w:tc>
      </w:tr>
      <w:tr w14:paraId="60A00C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left w:val="single" w:color="auto" w:sz="4" w:space="0"/>
            </w:tcBorders>
            <w:vAlign w:val="center"/>
          </w:tcPr>
          <w:p w14:paraId="03B1B5BE">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2</w:t>
            </w:r>
          </w:p>
        </w:tc>
        <w:tc>
          <w:tcPr>
            <w:tcW w:w="3111" w:type="pct"/>
            <w:vAlign w:val="center"/>
          </w:tcPr>
          <w:p w14:paraId="02E58FA2">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符合第二章“磋商须知”第九、1条的要求。</w:t>
            </w:r>
          </w:p>
        </w:tc>
        <w:tc>
          <w:tcPr>
            <w:tcW w:w="1506" w:type="pct"/>
            <w:tcBorders>
              <w:right w:val="single" w:color="auto" w:sz="4" w:space="0"/>
            </w:tcBorders>
            <w:vAlign w:val="center"/>
          </w:tcPr>
          <w:p w14:paraId="753E41C5">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磋商响应文件的签署盖章。</w:t>
            </w:r>
          </w:p>
        </w:tc>
      </w:tr>
      <w:tr w14:paraId="7DCC7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left w:val="single" w:color="auto" w:sz="4" w:space="0"/>
            </w:tcBorders>
            <w:vAlign w:val="center"/>
          </w:tcPr>
          <w:p w14:paraId="3B9DBB54">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3</w:t>
            </w:r>
          </w:p>
        </w:tc>
        <w:tc>
          <w:tcPr>
            <w:tcW w:w="3111" w:type="pct"/>
            <w:vAlign w:val="center"/>
          </w:tcPr>
          <w:p w14:paraId="55674F7D">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小组认为供应商的报价明显低于其他通过第一阶段评审供应商的报价，有可能影响产品质量或者不能诚信履约的，应当要求其在评审现场合理的时间内提供书面说明，必要时提交相关证明材料；供应商不能证明其报价合理性的，</w:t>
            </w:r>
            <w:r>
              <w:rPr>
                <w:rFonts w:hint="eastAsia" w:ascii="宋体" w:hAnsi="宋体" w:cs="宋体"/>
                <w:szCs w:val="21"/>
                <w:lang w:eastAsia="zh-CN"/>
              </w:rPr>
              <w:t>磋商</w:t>
            </w:r>
            <w:r>
              <w:rPr>
                <w:rFonts w:hint="eastAsia" w:ascii="宋体" w:hAnsi="宋体" w:eastAsia="宋体" w:cs="宋体"/>
                <w:szCs w:val="21"/>
              </w:rPr>
              <w:t>小组应当将其作为无效报价处理。</w:t>
            </w:r>
          </w:p>
        </w:tc>
        <w:tc>
          <w:tcPr>
            <w:tcW w:w="1506" w:type="pct"/>
            <w:tcBorders>
              <w:right w:val="single" w:color="auto" w:sz="4" w:space="0"/>
            </w:tcBorders>
            <w:vAlign w:val="center"/>
          </w:tcPr>
          <w:p w14:paraId="5046C243">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符合所述要求。</w:t>
            </w:r>
          </w:p>
        </w:tc>
      </w:tr>
      <w:tr w14:paraId="4AC8F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left w:val="single" w:color="auto" w:sz="4" w:space="0"/>
            </w:tcBorders>
            <w:vAlign w:val="center"/>
          </w:tcPr>
          <w:p w14:paraId="57201A3D">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4</w:t>
            </w:r>
          </w:p>
        </w:tc>
        <w:tc>
          <w:tcPr>
            <w:tcW w:w="3111" w:type="pct"/>
            <w:vAlign w:val="center"/>
          </w:tcPr>
          <w:p w14:paraId="010F8743">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 w:val="21"/>
                <w:szCs w:val="21"/>
              </w:rPr>
              <w:t>符合法律、法规和竞争性磋商文件中规定的其他实质性要求（实质性要求竞争性磋商文件中“</w:t>
            </w:r>
            <w:r>
              <w:rPr>
                <w:rFonts w:hint="eastAsia" w:ascii="宋体" w:hAnsi="宋体" w:eastAsia="宋体" w:cs="宋体"/>
                <w:b/>
                <w:sz w:val="21"/>
                <w:szCs w:val="21"/>
                <w:lang w:eastAsia="zh-CN"/>
              </w:rPr>
              <w:t>★</w:t>
            </w:r>
            <w:r>
              <w:rPr>
                <w:rFonts w:hint="eastAsia" w:ascii="宋体" w:hAnsi="宋体" w:eastAsia="宋体" w:cs="宋体"/>
                <w:sz w:val="21"/>
                <w:szCs w:val="21"/>
              </w:rPr>
              <w:t>”标记）。</w:t>
            </w:r>
          </w:p>
        </w:tc>
        <w:tc>
          <w:tcPr>
            <w:tcW w:w="1506" w:type="pct"/>
            <w:tcBorders>
              <w:right w:val="single" w:color="auto" w:sz="4" w:space="0"/>
            </w:tcBorders>
            <w:vAlign w:val="center"/>
          </w:tcPr>
          <w:p w14:paraId="3B9D11E5">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符合所述要求。</w:t>
            </w:r>
          </w:p>
        </w:tc>
      </w:tr>
      <w:tr w14:paraId="6114F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left w:val="single" w:color="auto" w:sz="4" w:space="0"/>
              <w:bottom w:val="single" w:color="auto" w:sz="4" w:space="0"/>
              <w:right w:val="single" w:color="auto" w:sz="4" w:space="0"/>
            </w:tcBorders>
            <w:vAlign w:val="center"/>
          </w:tcPr>
          <w:p w14:paraId="528B3535">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b/>
                <w:szCs w:val="21"/>
              </w:rPr>
              <w:t>报价审查结论</w:t>
            </w:r>
          </w:p>
        </w:tc>
      </w:tr>
    </w:tbl>
    <w:p w14:paraId="6BAA0430">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b/>
        </w:rPr>
        <w:t>注：1</w:t>
      </w:r>
      <w:r>
        <w:rPr>
          <w:rFonts w:hint="eastAsia" w:ascii="宋体" w:hAnsi="宋体" w:eastAsia="宋体" w:cs="宋体"/>
          <w:b/>
          <w:lang w:val="en-US" w:eastAsia="zh-CN"/>
        </w:rPr>
        <w:t>.</w:t>
      </w:r>
      <w:r>
        <w:rPr>
          <w:rFonts w:hint="eastAsia" w:ascii="宋体" w:hAnsi="宋体" w:eastAsia="宋体" w:cs="宋体"/>
          <w:b/>
        </w:rPr>
        <w:t>上述审查项目中，任意一项不符合的，报价审查不合格。</w:t>
      </w:r>
    </w:p>
    <w:p w14:paraId="1D89F9F8">
      <w:pPr>
        <w:keepNext w:val="0"/>
        <w:keepLines w:val="0"/>
        <w:pageBreakBefore w:val="0"/>
        <w:kinsoku/>
        <w:wordWrap/>
        <w:overflowPunct/>
        <w:topLinePunct w:val="0"/>
        <w:autoSpaceDE/>
        <w:autoSpaceDN/>
        <w:bidi w:val="0"/>
        <w:spacing w:line="400" w:lineRule="exact"/>
        <w:ind w:right="0" w:firstLine="422" w:firstLineChars="200"/>
        <w:textAlignment w:val="auto"/>
        <w:rPr>
          <w:rFonts w:hint="eastAsia"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w:t>
      </w:r>
      <w:r>
        <w:rPr>
          <w:rFonts w:hint="eastAsia" w:ascii="宋体" w:hAnsi="宋体" w:eastAsia="宋体" w:cs="宋体"/>
          <w:b/>
        </w:rPr>
        <w:t>上述审查项目中的第2项至第4项，无需在政采云中设置关联点。</w:t>
      </w:r>
    </w:p>
    <w:p w14:paraId="69709EA6">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p>
    <w:p w14:paraId="1B7DF9B5">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附表5</w:t>
      </w:r>
    </w:p>
    <w:p w14:paraId="3AF92D13">
      <w:pPr>
        <w:keepNext w:val="0"/>
        <w:keepLines w:val="0"/>
        <w:pageBreakBefore w:val="0"/>
        <w:widowControl/>
        <w:kinsoku/>
        <w:wordWrap/>
        <w:overflowPunct/>
        <w:topLinePunct w:val="0"/>
        <w:autoSpaceDE/>
        <w:autoSpaceDN/>
        <w:bidi w:val="0"/>
        <w:snapToGrid w:val="0"/>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价格评分表</w:t>
      </w:r>
    </w:p>
    <w:p w14:paraId="566904F4">
      <w:pPr>
        <w:keepNext w:val="0"/>
        <w:keepLines w:val="0"/>
        <w:pageBreakBefore w:val="0"/>
        <w:kinsoku/>
        <w:wordWrap/>
        <w:overflowPunct/>
        <w:topLinePunct w:val="0"/>
        <w:autoSpaceDE/>
        <w:autoSpaceDN/>
        <w:bidi w:val="0"/>
        <w:spacing w:line="400" w:lineRule="exact"/>
        <w:ind w:right="0"/>
        <w:textAlignment w:val="auto"/>
        <w:rPr>
          <w:rFonts w:hint="default" w:ascii="宋体" w:hAnsi="宋体" w:eastAsia="宋体" w:cs="宋体"/>
          <w:b/>
          <w:szCs w:val="21"/>
          <w:lang w:val="en-US" w:eastAsia="zh-CN"/>
        </w:rPr>
      </w:pPr>
      <w:r>
        <w:rPr>
          <w:rFonts w:hint="eastAsia" w:ascii="宋体" w:hAnsi="宋体" w:eastAsia="宋体" w:cs="宋体"/>
          <w:b/>
          <w:szCs w:val="21"/>
        </w:rPr>
        <w:t>项目编号：NBITC-202530001GC-BL</w:t>
      </w:r>
      <w:r>
        <w:rPr>
          <w:rFonts w:hint="eastAsia" w:ascii="宋体" w:hAnsi="宋体" w:cs="宋体"/>
          <w:b/>
          <w:szCs w:val="21"/>
          <w:lang w:val="en-US" w:eastAsia="zh-CN"/>
        </w:rPr>
        <w:t>007</w:t>
      </w:r>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7256"/>
        <w:gridCol w:w="1275"/>
      </w:tblGrid>
      <w:tr w14:paraId="7DA5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04" w:type="pct"/>
            <w:gridSpan w:val="2"/>
            <w:tcBorders>
              <w:tl2br w:val="nil"/>
              <w:tr2bl w:val="nil"/>
            </w:tcBorders>
          </w:tcPr>
          <w:p w14:paraId="297B8C02">
            <w:pPr>
              <w:keepNext w:val="0"/>
              <w:keepLines w:val="0"/>
              <w:pageBreakBefore w:val="0"/>
              <w:kinsoku/>
              <w:wordWrap/>
              <w:overflowPunct/>
              <w:topLinePunct w:val="0"/>
              <w:autoSpaceDE/>
              <w:autoSpaceDN/>
              <w:bidi w:val="0"/>
              <w:spacing w:line="400" w:lineRule="exact"/>
              <w:ind w:right="0" w:firstLine="4410" w:firstLineChars="2100"/>
              <w:jc w:val="right"/>
              <w:textAlignment w:val="auto"/>
              <w:rPr>
                <w:rFonts w:hint="eastAsia" w:ascii="宋体" w:hAnsi="宋体" w:eastAsia="宋体" w:cs="宋体"/>
                <w:szCs w:val="21"/>
              </w:rPr>
            </w:pPr>
            <w:r>
              <w:rPr>
                <w:rFonts w:hint="eastAsia" w:ascii="宋体" w:hAnsi="宋体" w:eastAsia="宋体" w:cs="宋体"/>
                <w:szCs w:val="21"/>
              </w:rPr>
              <w:t>供应商</w:t>
            </w:r>
          </w:p>
          <w:p w14:paraId="26316747">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lang w:val="ru-RU" w:eastAsia="zh-CN"/>
              </w:rPr>
            </w:pPr>
            <w:r>
              <w:rPr>
                <w:rFonts w:hint="eastAsia" w:ascii="宋体" w:hAnsi="宋体" w:eastAsia="宋体" w:cs="宋体"/>
                <w:szCs w:val="21"/>
                <w:lang w:eastAsia="zh-CN"/>
              </w:rPr>
              <w:t>评审内容</w:t>
            </w:r>
          </w:p>
        </w:tc>
        <w:tc>
          <w:tcPr>
            <w:tcW w:w="695" w:type="pct"/>
            <w:tcBorders>
              <w:tl2br w:val="nil"/>
              <w:tr2bl w:val="nil"/>
            </w:tcBorders>
            <w:vAlign w:val="center"/>
          </w:tcPr>
          <w:p w14:paraId="464E8D3B">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分值</w:t>
            </w:r>
          </w:p>
        </w:tc>
      </w:tr>
      <w:tr w14:paraId="6B9E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0" w:type="pct"/>
            <w:tcBorders>
              <w:tl2br w:val="nil"/>
              <w:tr2bl w:val="nil"/>
            </w:tcBorders>
            <w:vAlign w:val="center"/>
          </w:tcPr>
          <w:p w14:paraId="39F5DB67">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价</w:t>
            </w:r>
          </w:p>
          <w:p w14:paraId="0747AA83">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格</w:t>
            </w:r>
          </w:p>
          <w:p w14:paraId="4F927DAC">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分</w:t>
            </w:r>
          </w:p>
          <w:p w14:paraId="2CDD98F1">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10分</w:t>
            </w:r>
          </w:p>
        </w:tc>
        <w:tc>
          <w:tcPr>
            <w:tcW w:w="3953" w:type="pct"/>
            <w:tcBorders>
              <w:tl2br w:val="nil"/>
              <w:tr2bl w:val="nil"/>
            </w:tcBorders>
            <w:vAlign w:val="center"/>
          </w:tcPr>
          <w:p w14:paraId="7DF34D3D">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评标基准价=满足招标文件要求且最低的参与评审的价格</w:t>
            </w:r>
          </w:p>
          <w:p w14:paraId="712A9F91">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参与评审的价格=响应报价-小微企业价格扣除优惠值（10%）</w:t>
            </w:r>
          </w:p>
          <w:p w14:paraId="2562EE6F">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基准价得分为满分。</w:t>
            </w:r>
          </w:p>
          <w:p w14:paraId="0DC10A67">
            <w:pPr>
              <w:keepNext w:val="0"/>
              <w:keepLines w:val="0"/>
              <w:pageBreakBefore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响应报价得分=(评标基准价/参与评审的价格)×价格权重×100</w:t>
            </w:r>
          </w:p>
          <w:p w14:paraId="5FC46716">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以磋商最终报价进行价格分的计算，响应报价得分以四舍五入保留小数点后一位。</w:t>
            </w:r>
          </w:p>
        </w:tc>
        <w:tc>
          <w:tcPr>
            <w:tcW w:w="695" w:type="pct"/>
            <w:tcBorders>
              <w:tl2br w:val="nil"/>
              <w:tr2bl w:val="nil"/>
            </w:tcBorders>
            <w:vAlign w:val="center"/>
          </w:tcPr>
          <w:p w14:paraId="60829799">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0-10</w:t>
            </w:r>
          </w:p>
        </w:tc>
      </w:tr>
      <w:tr w14:paraId="5BA9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04" w:type="pct"/>
            <w:gridSpan w:val="2"/>
            <w:tcBorders>
              <w:tl2br w:val="nil"/>
              <w:tr2bl w:val="nil"/>
            </w:tcBorders>
            <w:vAlign w:val="center"/>
          </w:tcPr>
          <w:p w14:paraId="50DF792B">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b/>
                <w:szCs w:val="21"/>
              </w:rPr>
              <w:t>报价得分（10分）</w:t>
            </w:r>
          </w:p>
        </w:tc>
        <w:tc>
          <w:tcPr>
            <w:tcW w:w="695" w:type="pct"/>
            <w:tcBorders>
              <w:tl2br w:val="nil"/>
              <w:tr2bl w:val="nil"/>
            </w:tcBorders>
            <w:vAlign w:val="center"/>
          </w:tcPr>
          <w:p w14:paraId="67D246EB">
            <w:pPr>
              <w:keepNext w:val="0"/>
              <w:keepLines w:val="0"/>
              <w:pageBreakBefore w:val="0"/>
              <w:kinsoku/>
              <w:wordWrap/>
              <w:overflowPunct/>
              <w:topLinePunct w:val="0"/>
              <w:autoSpaceDE/>
              <w:autoSpaceDN/>
              <w:bidi w:val="0"/>
              <w:spacing w:line="400" w:lineRule="exact"/>
              <w:ind w:right="0"/>
              <w:jc w:val="center"/>
              <w:textAlignment w:val="auto"/>
              <w:rPr>
                <w:rFonts w:hint="eastAsia" w:ascii="宋体" w:hAnsi="宋体" w:eastAsia="宋体" w:cs="宋体"/>
                <w:szCs w:val="21"/>
              </w:rPr>
            </w:pPr>
            <w:r>
              <w:rPr>
                <w:rFonts w:hint="eastAsia" w:ascii="宋体" w:hAnsi="宋体" w:eastAsia="宋体" w:cs="宋体"/>
                <w:szCs w:val="21"/>
              </w:rPr>
              <w:t xml:space="preserve"> </w:t>
            </w:r>
          </w:p>
        </w:tc>
      </w:tr>
    </w:tbl>
    <w:p w14:paraId="6F97A47E">
      <w:pPr>
        <w:spacing w:line="360" w:lineRule="exact"/>
        <w:rPr>
          <w:rFonts w:hint="eastAsia" w:ascii="宋体" w:hAnsi="宋体" w:eastAsia="宋体" w:cs="宋体"/>
          <w:b/>
          <w:bCs/>
          <w:szCs w:val="21"/>
        </w:rPr>
      </w:pPr>
    </w:p>
    <w:p w14:paraId="22DDA7C6">
      <w:pPr>
        <w:spacing w:line="400" w:lineRule="exact"/>
        <w:ind w:left="360" w:firstLine="120" w:firstLineChars="50"/>
        <w:jc w:val="center"/>
        <w:rPr>
          <w:rFonts w:hint="eastAsia" w:ascii="宋体" w:hAnsi="宋体" w:eastAsia="宋体" w:cs="宋体"/>
          <w:b/>
          <w:sz w:val="24"/>
          <w:szCs w:val="24"/>
        </w:rPr>
        <w:sectPr>
          <w:headerReference r:id="rId10" w:type="default"/>
          <w:type w:val="nextColumn"/>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bookmarkStart w:id="43" w:name="_Toc462179380"/>
    </w:p>
    <w:p w14:paraId="49002E38">
      <w:pPr>
        <w:spacing w:line="500" w:lineRule="exact"/>
        <w:jc w:val="center"/>
        <w:outlineLvl w:val="0"/>
        <w:rPr>
          <w:rFonts w:hint="eastAsia" w:ascii="宋体" w:hAnsi="宋体" w:eastAsia="宋体" w:cs="宋体"/>
          <w:b/>
          <w:sz w:val="28"/>
          <w:szCs w:val="28"/>
        </w:rPr>
      </w:pPr>
      <w:bookmarkStart w:id="44" w:name="_Toc16179"/>
      <w:r>
        <w:rPr>
          <w:rFonts w:hint="eastAsia" w:ascii="宋体" w:hAnsi="宋体" w:eastAsia="宋体" w:cs="宋体"/>
          <w:b/>
          <w:sz w:val="30"/>
          <w:szCs w:val="30"/>
        </w:rPr>
        <w:t>第四章合同样本</w:t>
      </w:r>
      <w:bookmarkEnd w:id="43"/>
      <w:bookmarkEnd w:id="44"/>
    </w:p>
    <w:p w14:paraId="560CD469">
      <w:pPr>
        <w:spacing w:line="560" w:lineRule="exact"/>
        <w:jc w:val="center"/>
        <w:rPr>
          <w:rFonts w:hint="eastAsia" w:ascii="宋体" w:hAnsi="宋体" w:eastAsia="宋体" w:cs="宋体"/>
          <w:sz w:val="52"/>
          <w:szCs w:val="52"/>
        </w:rPr>
      </w:pPr>
    </w:p>
    <w:p w14:paraId="68B872A4">
      <w:pPr>
        <w:spacing w:line="360" w:lineRule="auto"/>
        <w:jc w:val="center"/>
        <w:rPr>
          <w:rFonts w:hint="eastAsia" w:ascii="宋体" w:hAnsi="宋体" w:eastAsia="宋体" w:cs="宋体"/>
          <w:szCs w:val="21"/>
        </w:rPr>
      </w:pPr>
      <w:r>
        <w:rPr>
          <w:rFonts w:hint="eastAsia" w:ascii="宋体" w:hAnsi="宋体" w:eastAsia="宋体" w:cs="宋体"/>
          <w:szCs w:val="21"/>
        </w:rPr>
        <w:t>（本合同为合同格式，双方协商后确定）</w:t>
      </w:r>
    </w:p>
    <w:p w14:paraId="3A92F889">
      <w:pPr>
        <w:autoSpaceDE w:val="0"/>
        <w:autoSpaceDN w:val="0"/>
        <w:adjustRightInd w:val="0"/>
        <w:jc w:val="center"/>
        <w:rPr>
          <w:rFonts w:hint="eastAsia" w:ascii="宋体" w:hAnsi="宋体" w:eastAsia="宋体" w:cs="宋体"/>
          <w:bCs/>
          <w:sz w:val="28"/>
          <w:szCs w:val="28"/>
          <w:lang w:val="zh-CN"/>
        </w:rPr>
      </w:pPr>
      <w:r>
        <w:rPr>
          <w:rFonts w:hint="eastAsia" w:ascii="宋体" w:hAnsi="宋体" w:eastAsia="宋体" w:cs="宋体"/>
          <w:szCs w:val="21"/>
        </w:rPr>
        <w:t xml:space="preserve"> </w:t>
      </w:r>
      <w:r>
        <w:rPr>
          <w:rFonts w:hint="eastAsia" w:ascii="宋体" w:hAnsi="宋体" w:eastAsia="宋体" w:cs="宋体"/>
          <w:b/>
          <w:szCs w:val="21"/>
        </w:rPr>
        <w:br w:type="page"/>
      </w:r>
    </w:p>
    <w:p w14:paraId="238D7F2E">
      <w:pPr>
        <w:autoSpaceDE w:val="0"/>
        <w:autoSpaceDN w:val="0"/>
        <w:adjustRightInd w:val="0"/>
        <w:jc w:val="center"/>
        <w:rPr>
          <w:rFonts w:hint="eastAsia" w:ascii="宋体" w:hAnsi="宋体" w:eastAsia="宋体" w:cs="宋体"/>
          <w:bCs/>
          <w:sz w:val="28"/>
          <w:szCs w:val="28"/>
          <w:lang w:val="zh-CN"/>
        </w:rPr>
      </w:pPr>
    </w:p>
    <w:p w14:paraId="25BA8745">
      <w:pPr>
        <w:autoSpaceDE w:val="0"/>
        <w:autoSpaceDN w:val="0"/>
        <w:adjustRightInd w:val="0"/>
        <w:jc w:val="center"/>
        <w:rPr>
          <w:rFonts w:hint="eastAsia" w:ascii="宋体" w:hAnsi="宋体" w:eastAsia="宋体" w:cs="宋体"/>
          <w:bCs/>
          <w:sz w:val="28"/>
          <w:szCs w:val="28"/>
          <w:lang w:val="zh-CN"/>
        </w:rPr>
      </w:pPr>
    </w:p>
    <w:p w14:paraId="737EE20D">
      <w:pPr>
        <w:autoSpaceDE w:val="0"/>
        <w:autoSpaceDN w:val="0"/>
        <w:adjustRightInd w:val="0"/>
        <w:jc w:val="center"/>
        <w:rPr>
          <w:rFonts w:hint="eastAsia" w:ascii="宋体" w:hAnsi="宋体" w:eastAsia="宋体" w:cs="宋体"/>
          <w:bCs/>
          <w:sz w:val="28"/>
          <w:szCs w:val="28"/>
          <w:lang w:val="zh-CN"/>
        </w:rPr>
      </w:pPr>
      <w:r>
        <w:rPr>
          <w:rFonts w:hint="eastAsia" w:ascii="宋体" w:hAnsi="宋体" w:eastAsia="宋体" w:cs="宋体"/>
          <w:bCs/>
          <w:sz w:val="52"/>
          <w:szCs w:val="52"/>
          <w:lang w:val="zh-CN"/>
        </w:rPr>
        <w:t>项目咨询服务合同</w:t>
      </w:r>
    </w:p>
    <w:p w14:paraId="26245D3E">
      <w:pPr>
        <w:autoSpaceDE w:val="0"/>
        <w:autoSpaceDN w:val="0"/>
        <w:adjustRightInd w:val="0"/>
        <w:jc w:val="center"/>
        <w:rPr>
          <w:rFonts w:hint="eastAsia" w:ascii="宋体" w:hAnsi="宋体" w:eastAsia="宋体" w:cs="宋体"/>
          <w:sz w:val="28"/>
          <w:szCs w:val="28"/>
          <w:lang w:val="zh-CN"/>
        </w:rPr>
      </w:pPr>
    </w:p>
    <w:p w14:paraId="0990F5F7">
      <w:pPr>
        <w:autoSpaceDE w:val="0"/>
        <w:autoSpaceDN w:val="0"/>
        <w:adjustRightInd w:val="0"/>
        <w:jc w:val="center"/>
        <w:rPr>
          <w:rFonts w:hint="eastAsia" w:ascii="宋体" w:hAnsi="宋体" w:eastAsia="宋体" w:cs="宋体"/>
          <w:sz w:val="28"/>
          <w:szCs w:val="28"/>
          <w:lang w:val="zh-CN"/>
        </w:rPr>
      </w:pPr>
    </w:p>
    <w:p w14:paraId="00010BF3">
      <w:pPr>
        <w:autoSpaceDE w:val="0"/>
        <w:autoSpaceDN w:val="0"/>
        <w:adjustRightInd w:val="0"/>
        <w:jc w:val="center"/>
        <w:rPr>
          <w:rFonts w:hint="eastAsia" w:ascii="宋体" w:hAnsi="宋体" w:eastAsia="宋体" w:cs="宋体"/>
          <w:sz w:val="28"/>
          <w:szCs w:val="28"/>
          <w:lang w:val="zh-CN"/>
        </w:rPr>
      </w:pPr>
    </w:p>
    <w:p w14:paraId="1E4952C7">
      <w:pPr>
        <w:autoSpaceDE w:val="0"/>
        <w:autoSpaceDN w:val="0"/>
        <w:adjustRightInd w:val="0"/>
        <w:rPr>
          <w:rFonts w:hint="eastAsia" w:ascii="宋体" w:hAnsi="宋体" w:eastAsia="宋体" w:cs="宋体"/>
          <w:b/>
          <w:sz w:val="28"/>
          <w:szCs w:val="28"/>
        </w:rPr>
      </w:pPr>
    </w:p>
    <w:p w14:paraId="05A38152">
      <w:pPr>
        <w:autoSpaceDE w:val="0"/>
        <w:autoSpaceDN w:val="0"/>
        <w:adjustRightInd w:val="0"/>
        <w:spacing w:line="360" w:lineRule="auto"/>
        <w:rPr>
          <w:rFonts w:hint="eastAsia" w:ascii="宋体" w:hAnsi="宋体" w:eastAsia="宋体" w:cs="宋体"/>
          <w:b/>
          <w:sz w:val="28"/>
          <w:szCs w:val="28"/>
          <w:lang w:val="zh-CN"/>
        </w:rPr>
      </w:pPr>
      <w:r>
        <w:rPr>
          <w:rFonts w:hint="eastAsia" w:ascii="宋体" w:hAnsi="宋体" w:eastAsia="宋体" w:cs="宋体"/>
          <w:b/>
          <w:sz w:val="28"/>
          <w:szCs w:val="28"/>
          <w:lang w:val="zh-CN"/>
        </w:rPr>
        <w:t>项</w:t>
      </w:r>
      <w:r>
        <w:rPr>
          <w:rFonts w:hint="eastAsia" w:ascii="宋体" w:hAnsi="宋体" w:eastAsia="宋体" w:cs="宋体"/>
          <w:b/>
          <w:sz w:val="28"/>
          <w:szCs w:val="28"/>
        </w:rPr>
        <w:t xml:space="preserve">  </w:t>
      </w:r>
      <w:r>
        <w:rPr>
          <w:rFonts w:hint="eastAsia" w:ascii="宋体" w:hAnsi="宋体" w:eastAsia="宋体" w:cs="宋体"/>
          <w:b/>
          <w:sz w:val="28"/>
          <w:szCs w:val="28"/>
          <w:lang w:val="zh-CN"/>
        </w:rPr>
        <w:t xml:space="preserve">目  名  称： </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lang w:val="zh-CN"/>
        </w:rPr>
        <w:t xml:space="preserve">                             </w:t>
      </w:r>
    </w:p>
    <w:p w14:paraId="40619087">
      <w:pPr>
        <w:autoSpaceDE w:val="0"/>
        <w:autoSpaceDN w:val="0"/>
        <w:adjustRightInd w:val="0"/>
        <w:spacing w:line="360" w:lineRule="auto"/>
        <w:rPr>
          <w:rFonts w:hint="eastAsia" w:ascii="宋体" w:hAnsi="宋体" w:eastAsia="宋体" w:cs="宋体"/>
          <w:b/>
          <w:sz w:val="28"/>
          <w:szCs w:val="28"/>
          <w:u w:val="single"/>
          <w:lang w:val="zh-CN"/>
        </w:rPr>
      </w:pPr>
      <w:r>
        <w:rPr>
          <w:rFonts w:hint="eastAsia" w:ascii="宋体" w:hAnsi="宋体" w:eastAsia="宋体" w:cs="宋体"/>
          <w:b/>
          <w:sz w:val="28"/>
          <w:szCs w:val="28"/>
          <w:lang w:val="zh-CN"/>
        </w:rPr>
        <w:t>委托单位（甲方）：</w:t>
      </w:r>
      <w:r>
        <w:rPr>
          <w:rFonts w:hint="eastAsia" w:ascii="宋体" w:hAnsi="宋体" w:eastAsia="宋体" w:cs="宋体"/>
          <w:b/>
          <w:sz w:val="28"/>
          <w:szCs w:val="28"/>
          <w:u w:val="single"/>
          <w:lang w:val="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zh-CN"/>
        </w:rPr>
        <w:t xml:space="preserve"> </w:t>
      </w:r>
    </w:p>
    <w:p w14:paraId="1708B8D5">
      <w:pPr>
        <w:autoSpaceDE w:val="0"/>
        <w:autoSpaceDN w:val="0"/>
        <w:adjustRightInd w:val="0"/>
        <w:spacing w:line="360" w:lineRule="auto"/>
        <w:rPr>
          <w:rFonts w:hint="eastAsia" w:ascii="宋体" w:hAnsi="宋体" w:eastAsia="宋体" w:cs="宋体"/>
          <w:b/>
          <w:sz w:val="28"/>
          <w:szCs w:val="28"/>
          <w:u w:val="single"/>
          <w:lang w:val="zh-CN"/>
        </w:rPr>
      </w:pPr>
      <w:r>
        <w:rPr>
          <w:rFonts w:hint="eastAsia" w:ascii="宋体" w:hAnsi="宋体" w:eastAsia="宋体" w:cs="宋体"/>
          <w:b/>
          <w:sz w:val="28"/>
          <w:szCs w:val="28"/>
          <w:lang w:val="zh-CN"/>
        </w:rPr>
        <w:t>受托单位（乙方）：</w:t>
      </w:r>
      <w:r>
        <w:rPr>
          <w:rFonts w:hint="eastAsia" w:ascii="宋体" w:hAnsi="宋体" w:eastAsia="宋体" w:cs="宋体"/>
          <w:b/>
          <w:sz w:val="28"/>
          <w:szCs w:val="28"/>
          <w:u w:val="single"/>
          <w:lang w:val="zh-CN"/>
        </w:rPr>
        <w:t xml:space="preserve">                            </w:t>
      </w:r>
    </w:p>
    <w:p w14:paraId="21075FED">
      <w:pPr>
        <w:autoSpaceDE w:val="0"/>
        <w:autoSpaceDN w:val="0"/>
        <w:adjustRightInd w:val="0"/>
        <w:rPr>
          <w:rFonts w:hint="eastAsia" w:ascii="宋体" w:hAnsi="宋体" w:eastAsia="宋体" w:cs="宋体"/>
          <w:sz w:val="28"/>
          <w:szCs w:val="28"/>
          <w:lang w:val="zh-CN"/>
        </w:rPr>
      </w:pPr>
    </w:p>
    <w:p w14:paraId="0AD853BA">
      <w:pPr>
        <w:autoSpaceDE w:val="0"/>
        <w:autoSpaceDN w:val="0"/>
        <w:adjustRightInd w:val="0"/>
        <w:rPr>
          <w:rFonts w:hint="eastAsia" w:ascii="宋体" w:hAnsi="宋体" w:eastAsia="宋体" w:cs="宋体"/>
          <w:sz w:val="28"/>
          <w:szCs w:val="28"/>
          <w:lang w:val="zh-CN"/>
        </w:rPr>
      </w:pPr>
    </w:p>
    <w:p w14:paraId="58BE65BA">
      <w:pPr>
        <w:autoSpaceDE w:val="0"/>
        <w:autoSpaceDN w:val="0"/>
        <w:adjustRightInd w:val="0"/>
        <w:rPr>
          <w:rFonts w:hint="eastAsia" w:ascii="宋体" w:hAnsi="宋体" w:eastAsia="宋体" w:cs="宋体"/>
          <w:sz w:val="28"/>
          <w:szCs w:val="28"/>
          <w:lang w:val="zh-CN"/>
        </w:rPr>
      </w:pPr>
    </w:p>
    <w:p w14:paraId="731F5E9D">
      <w:pPr>
        <w:autoSpaceDE w:val="0"/>
        <w:autoSpaceDN w:val="0"/>
        <w:adjustRightInd w:val="0"/>
        <w:rPr>
          <w:rFonts w:hint="eastAsia" w:ascii="宋体" w:hAnsi="宋体" w:eastAsia="宋体" w:cs="宋体"/>
          <w:sz w:val="28"/>
          <w:szCs w:val="28"/>
          <w:lang w:val="zh-CN"/>
        </w:rPr>
      </w:pPr>
    </w:p>
    <w:p w14:paraId="2895F52B">
      <w:pPr>
        <w:autoSpaceDE w:val="0"/>
        <w:autoSpaceDN w:val="0"/>
        <w:adjustRightInd w:val="0"/>
        <w:ind w:firstLine="1540" w:firstLineChars="550"/>
        <w:rPr>
          <w:rFonts w:hint="eastAsia" w:ascii="宋体" w:hAnsi="宋体" w:eastAsia="宋体" w:cs="宋体"/>
          <w:sz w:val="28"/>
          <w:szCs w:val="28"/>
          <w:lang w:val="zh-CN"/>
        </w:rPr>
      </w:pPr>
      <w:r>
        <w:rPr>
          <w:rFonts w:hint="eastAsia" w:ascii="宋体" w:hAnsi="宋体" w:eastAsia="宋体" w:cs="宋体"/>
          <w:sz w:val="28"/>
          <w:szCs w:val="28"/>
        </w:rPr>
        <w:t xml:space="preserve">             </w:t>
      </w:r>
    </w:p>
    <w:p w14:paraId="3E4F647A">
      <w:pPr>
        <w:autoSpaceDE w:val="0"/>
        <w:autoSpaceDN w:val="0"/>
        <w:adjustRightInd w:val="0"/>
        <w:spacing w:line="500" w:lineRule="exact"/>
        <w:rPr>
          <w:rFonts w:hint="eastAsia" w:ascii="宋体" w:hAnsi="宋体" w:eastAsia="宋体" w:cs="宋体"/>
          <w:b/>
          <w:sz w:val="28"/>
          <w:szCs w:val="28"/>
          <w:lang w:val="zh-CN"/>
        </w:rPr>
      </w:pPr>
      <w:r>
        <w:rPr>
          <w:rFonts w:hint="eastAsia" w:ascii="宋体" w:hAnsi="宋体" w:eastAsia="宋体" w:cs="宋体"/>
          <w:b/>
          <w:sz w:val="28"/>
          <w:szCs w:val="28"/>
          <w:lang w:val="zh-CN"/>
        </w:rPr>
        <w:br w:type="page"/>
      </w:r>
    </w:p>
    <w:p w14:paraId="39428794">
      <w:pPr>
        <w:autoSpaceDE w:val="0"/>
        <w:autoSpaceDN w:val="0"/>
        <w:adjustRightInd w:val="0"/>
        <w:spacing w:line="500" w:lineRule="exact"/>
        <w:rPr>
          <w:rFonts w:hint="eastAsia" w:ascii="宋体" w:hAnsi="宋体" w:eastAsia="宋体" w:cs="宋体"/>
          <w:b/>
          <w:sz w:val="28"/>
          <w:szCs w:val="28"/>
          <w:lang w:val="zh-CN"/>
        </w:rPr>
      </w:pPr>
    </w:p>
    <w:p w14:paraId="6AC26397">
      <w:pPr>
        <w:autoSpaceDE w:val="0"/>
        <w:autoSpaceDN w:val="0"/>
        <w:adjustRightInd w:val="0"/>
        <w:spacing w:line="500" w:lineRule="exact"/>
        <w:rPr>
          <w:rFonts w:hint="eastAsia" w:ascii="宋体" w:hAnsi="宋体" w:eastAsia="宋体" w:cs="宋体"/>
          <w:b/>
          <w:sz w:val="24"/>
          <w:szCs w:val="24"/>
          <w:u w:val="single"/>
          <w:lang w:val="zh-CN"/>
        </w:rPr>
      </w:pPr>
      <w:r>
        <w:rPr>
          <w:rFonts w:hint="eastAsia" w:ascii="宋体" w:hAnsi="宋体" w:eastAsia="宋体" w:cs="宋体"/>
          <w:b/>
          <w:sz w:val="24"/>
          <w:szCs w:val="24"/>
          <w:lang w:val="zh-CN"/>
        </w:rPr>
        <w:t>甲方（委托方）：</w:t>
      </w:r>
      <w:r>
        <w:rPr>
          <w:rFonts w:hint="eastAsia" w:ascii="宋体" w:hAnsi="宋体" w:eastAsia="宋体" w:cs="宋体"/>
          <w:b/>
          <w:sz w:val="24"/>
          <w:szCs w:val="24"/>
          <w:u w:val="single"/>
          <w:lang w:val="zh-CN"/>
        </w:rPr>
        <w:t xml:space="preserve">                        </w:t>
      </w:r>
    </w:p>
    <w:p w14:paraId="1C5E1E86">
      <w:pPr>
        <w:autoSpaceDE w:val="0"/>
        <w:autoSpaceDN w:val="0"/>
        <w:adjustRightInd w:val="0"/>
        <w:spacing w:line="500" w:lineRule="exact"/>
        <w:rPr>
          <w:rFonts w:hint="eastAsia" w:ascii="宋体" w:hAnsi="宋体" w:eastAsia="宋体" w:cs="宋体"/>
          <w:bCs/>
          <w:sz w:val="24"/>
          <w:szCs w:val="24"/>
          <w:u w:val="single"/>
          <w:lang w:val="zh-CN"/>
        </w:rPr>
      </w:pPr>
      <w:r>
        <w:rPr>
          <w:rFonts w:hint="eastAsia" w:ascii="宋体" w:hAnsi="宋体" w:eastAsia="宋体" w:cs="宋体"/>
          <w:b/>
          <w:sz w:val="24"/>
          <w:szCs w:val="24"/>
          <w:lang w:val="zh-CN"/>
        </w:rPr>
        <w:t>联系人：</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lang w:val="zh-CN"/>
        </w:rPr>
        <w:t>，联系方式：</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zh-CN"/>
        </w:rPr>
        <w:t xml:space="preserve">                  </w:t>
      </w:r>
    </w:p>
    <w:p w14:paraId="6D7FF50A">
      <w:pPr>
        <w:autoSpaceDE w:val="0"/>
        <w:autoSpaceDN w:val="0"/>
        <w:adjustRightInd w:val="0"/>
        <w:spacing w:line="500" w:lineRule="exact"/>
        <w:rPr>
          <w:rFonts w:hint="eastAsia" w:ascii="宋体" w:hAnsi="宋体" w:eastAsia="宋体" w:cs="宋体"/>
          <w:b/>
          <w:sz w:val="24"/>
          <w:szCs w:val="24"/>
          <w:u w:val="single"/>
          <w:lang w:val="zh-CN"/>
        </w:rPr>
      </w:pPr>
      <w:r>
        <w:rPr>
          <w:rFonts w:hint="eastAsia" w:ascii="宋体" w:hAnsi="宋体" w:eastAsia="宋体" w:cs="宋体"/>
          <w:b/>
          <w:sz w:val="24"/>
          <w:szCs w:val="24"/>
          <w:lang w:val="zh-CN"/>
        </w:rPr>
        <w:t>乙方（受托方）：</w:t>
      </w:r>
      <w:r>
        <w:rPr>
          <w:rFonts w:hint="eastAsia" w:ascii="宋体" w:hAnsi="宋体" w:eastAsia="宋体" w:cs="宋体"/>
          <w:b/>
          <w:sz w:val="24"/>
          <w:szCs w:val="24"/>
          <w:u w:val="single"/>
          <w:lang w:val="zh-CN"/>
        </w:rPr>
        <w:t xml:space="preserve">                      </w:t>
      </w:r>
    </w:p>
    <w:p w14:paraId="77541FB6">
      <w:pPr>
        <w:autoSpaceDE w:val="0"/>
        <w:autoSpaceDN w:val="0"/>
        <w:adjustRightInd w:val="0"/>
        <w:spacing w:line="500" w:lineRule="exact"/>
        <w:rPr>
          <w:rFonts w:hint="eastAsia" w:ascii="宋体" w:hAnsi="宋体" w:eastAsia="宋体" w:cs="宋体"/>
          <w:b/>
          <w:sz w:val="24"/>
          <w:szCs w:val="24"/>
        </w:rPr>
      </w:pPr>
      <w:r>
        <w:rPr>
          <w:rFonts w:hint="eastAsia" w:ascii="宋体" w:hAnsi="宋体" w:eastAsia="宋体" w:cs="宋体"/>
          <w:b/>
          <w:sz w:val="24"/>
          <w:szCs w:val="24"/>
          <w:lang w:val="zh-CN"/>
        </w:rPr>
        <w:t>联系人：</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lang w:val="zh-CN"/>
        </w:rPr>
        <w:t>，联系方式：</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u w:val="single"/>
        </w:rPr>
        <w:t xml:space="preserve">   </w:t>
      </w:r>
    </w:p>
    <w:p w14:paraId="165516F2">
      <w:pPr>
        <w:autoSpaceDE w:val="0"/>
        <w:autoSpaceDN w:val="0"/>
        <w:adjustRightInd w:val="0"/>
        <w:spacing w:line="500" w:lineRule="exact"/>
        <w:ind w:firstLine="602"/>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   </w:t>
      </w:r>
    </w:p>
    <w:p w14:paraId="3CDB5CE4">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经法定程序，确定乙方为《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》合同相对人，现甲乙双方依据《政府采购法》《</w:t>
      </w:r>
      <w:r>
        <w:rPr>
          <w:rFonts w:hint="eastAsia" w:ascii="宋体" w:hAnsi="宋体" w:eastAsia="宋体" w:cs="宋体"/>
          <w:sz w:val="24"/>
          <w:szCs w:val="24"/>
        </w:rPr>
        <w:t>中华人民共和国民法典</w:t>
      </w:r>
      <w:r>
        <w:rPr>
          <w:rFonts w:hint="eastAsia" w:ascii="宋体" w:hAnsi="宋体" w:eastAsia="宋体" w:cs="宋体"/>
          <w:sz w:val="24"/>
          <w:szCs w:val="24"/>
          <w:lang w:val="zh-CN"/>
        </w:rPr>
        <w:t>》等法律及文件规定，达成以下协议，共同遵照执行。</w:t>
      </w:r>
    </w:p>
    <w:p w14:paraId="4822EA27">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第一条  委托内容</w:t>
      </w:r>
    </w:p>
    <w:p w14:paraId="49A985E1">
      <w:pPr>
        <w:autoSpaceDE w:val="0"/>
        <w:autoSpaceDN w:val="0"/>
        <w:adjustRightInd w:val="0"/>
        <w:spacing w:line="50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u w:val="single"/>
        </w:rPr>
        <w:t>研究内容：</w:t>
      </w:r>
      <w:r>
        <w:rPr>
          <w:rFonts w:hint="eastAsia" w:ascii="宋体" w:hAnsi="宋体" w:eastAsia="宋体" w:cs="宋体"/>
          <w:sz w:val="24"/>
          <w:szCs w:val="24"/>
          <w:u w:val="single"/>
          <w:lang w:val="zh-CN"/>
        </w:rPr>
        <w:t xml:space="preserve">                                                       </w:t>
      </w:r>
    </w:p>
    <w:p w14:paraId="3F8CA427">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第二条  乙方义务</w:t>
      </w:r>
    </w:p>
    <w:p w14:paraId="2A9F5214">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（一）人员保障</w:t>
      </w:r>
    </w:p>
    <w:p w14:paraId="1C4B10CF">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非经甲方书面同意，不得变换已确定的项目组成员，项目主持人应当实质性参与研究工作。项目组成员包括：</w:t>
      </w:r>
    </w:p>
    <w:p w14:paraId="7113A4CF">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项目主持人：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w:t>
      </w:r>
    </w:p>
    <w:p w14:paraId="2BA7C927">
      <w:pPr>
        <w:autoSpaceDE w:val="0"/>
        <w:autoSpaceDN w:val="0"/>
        <w:adjustRightInd w:val="0"/>
        <w:spacing w:line="50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lang w:val="zh-CN"/>
        </w:rPr>
        <w:t>主要研究人员：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 xml:space="preserve"> </w:t>
      </w:r>
    </w:p>
    <w:p w14:paraId="2F36D6C9">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（二）工作进度</w:t>
      </w:r>
    </w:p>
    <w:p w14:paraId="3D726DA5">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须于2025年2月，形成《“十五五”大榭片区提升发展的目标路径研究》调研报告；</w:t>
      </w:r>
    </w:p>
    <w:p w14:paraId="30917BCC">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须于2025年11月，编制形成《大榭片区“十五五”发展规划》。</w:t>
      </w:r>
    </w:p>
    <w:p w14:paraId="1F755513">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乙方须按时间节点完成工作，甲方有督促权利；超过约定时间 十五 日，甲方有权解除协议。</w:t>
      </w:r>
    </w:p>
    <w:p w14:paraId="5022D5F6">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（三）沟通配合</w:t>
      </w:r>
    </w:p>
    <w:p w14:paraId="56BE33E6">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乙方在撰写研究报告初稿过程中，应当与甲方及时沟通；乙方提交研究报告初稿后，应当按照甲方要求作必要修改，经甲方认可后提交评审。</w:t>
      </w:r>
    </w:p>
    <w:p w14:paraId="341B05F2">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（四）成果交付</w:t>
      </w:r>
    </w:p>
    <w:p w14:paraId="400858C1">
      <w:pPr>
        <w:autoSpaceDE w:val="0"/>
        <w:autoSpaceDN w:val="0"/>
        <w:adjustRightInd w:val="0"/>
        <w:spacing w:line="50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lang w:val="zh-CN"/>
        </w:rPr>
        <w:t>提交成果内容及格式。文本（含文本、图集、附件等）统一装订为A3/A4格式，10套；上述成果的电子文件1套（全本为pdf格式，文字为doc格式，图纸为jpg\gis格式）。</w:t>
      </w:r>
      <w:r>
        <w:rPr>
          <w:rFonts w:hint="eastAsia" w:ascii="宋体" w:hAnsi="宋体" w:eastAsia="宋体" w:cs="宋体"/>
          <w:b/>
          <w:sz w:val="24"/>
          <w:szCs w:val="24"/>
          <w:lang w:val="zh-CN"/>
        </w:rPr>
        <w:t>（五）保密义务</w:t>
      </w:r>
    </w:p>
    <w:p w14:paraId="7D8399FA">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乙方应当妥善保管甲方所提供的有关资料，未经甲方书面同意不得泄漏、发布或者转让给第三方。本协议的变更、终止不影响乙方应当承担的保密义务。</w:t>
      </w:r>
    </w:p>
    <w:p w14:paraId="04F2B4C8">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第三条  甲方义务</w:t>
      </w:r>
    </w:p>
    <w:p w14:paraId="1F6A14E5">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（一）支付报酬</w:t>
      </w:r>
    </w:p>
    <w:p w14:paraId="0EBA0079">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本项目研究</w:t>
      </w:r>
      <w:r>
        <w:rPr>
          <w:rFonts w:hint="eastAsia" w:ascii="宋体" w:hAnsi="宋体" w:eastAsia="宋体" w:cs="宋体"/>
          <w:sz w:val="24"/>
          <w:szCs w:val="24"/>
        </w:rPr>
        <w:t>协议金额</w:t>
      </w:r>
      <w:r>
        <w:rPr>
          <w:rFonts w:hint="eastAsia" w:ascii="宋体" w:hAnsi="宋体" w:eastAsia="宋体" w:cs="宋体"/>
          <w:sz w:val="24"/>
          <w:szCs w:val="24"/>
          <w:lang w:val="zh-CN"/>
        </w:rPr>
        <w:t>：人民币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（大写）万元（含专家评审费用支出）</w:t>
      </w:r>
      <w:r>
        <w:rPr>
          <w:rFonts w:hint="eastAsia" w:ascii="宋体" w:hAnsi="宋体" w:eastAsia="宋体" w:cs="宋体"/>
          <w:sz w:val="24"/>
          <w:szCs w:val="24"/>
          <w:lang w:val="zh-CN"/>
        </w:rPr>
        <w:t>。</w:t>
      </w:r>
    </w:p>
    <w:p w14:paraId="61DBA9E4">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zh-CN"/>
        </w:rPr>
        <w:t>合同签订并具备实施条件后七个工作日内</w:t>
      </w:r>
      <w:r>
        <w:rPr>
          <w:rFonts w:hint="eastAsia" w:ascii="宋体" w:hAnsi="宋体" w:eastAsia="宋体" w:cs="宋体"/>
          <w:sz w:val="24"/>
          <w:szCs w:val="24"/>
          <w:lang w:val="zh-CN"/>
        </w:rPr>
        <w:t>，甲方支付协议金额的百分之</w:t>
      </w:r>
      <w:r>
        <w:rPr>
          <w:rFonts w:hint="eastAsia" w:ascii="宋体" w:hAnsi="宋体" w:eastAsia="宋体" w:cs="宋体"/>
          <w:sz w:val="24"/>
          <w:szCs w:val="24"/>
          <w:u w:val="single"/>
          <w:lang w:val="zh-CN"/>
        </w:rPr>
        <w:t>五十</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元）给乙方；</w:t>
      </w:r>
    </w:p>
    <w:p w14:paraId="46CFAD71">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乙方提交研究报告</w:t>
      </w:r>
      <w:r>
        <w:rPr>
          <w:rFonts w:hint="eastAsia" w:ascii="宋体" w:hAnsi="宋体" w:eastAsia="宋体" w:cs="宋体"/>
          <w:sz w:val="24"/>
          <w:szCs w:val="24"/>
          <w:u w:val="single"/>
          <w:lang w:val="zh-CN"/>
        </w:rPr>
        <w:t>初稿，并经甲方审核后七个工作日内</w:t>
      </w:r>
      <w:r>
        <w:rPr>
          <w:rFonts w:hint="eastAsia" w:ascii="宋体" w:hAnsi="宋体" w:eastAsia="宋体" w:cs="宋体"/>
          <w:sz w:val="24"/>
          <w:szCs w:val="24"/>
          <w:lang w:val="zh-CN"/>
        </w:rPr>
        <w:t>，甲方支付协议金额的百分之</w:t>
      </w:r>
      <w:r>
        <w:rPr>
          <w:rFonts w:hint="eastAsia" w:ascii="宋体" w:hAnsi="宋体" w:eastAsia="宋体" w:cs="宋体"/>
          <w:sz w:val="24"/>
          <w:szCs w:val="24"/>
          <w:u w:val="single"/>
          <w:lang w:val="zh-CN"/>
        </w:rPr>
        <w:t>四十</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元）给乙方；</w:t>
      </w:r>
    </w:p>
    <w:p w14:paraId="33C8A972">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zh-CN"/>
        </w:rPr>
        <w:t>乙方提交研究报告经专家评审通过，并根据专家评审意见修改完善形成最终稿以及决策建议稿后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日内</w:t>
      </w:r>
      <w:r>
        <w:rPr>
          <w:rFonts w:hint="eastAsia" w:ascii="宋体" w:hAnsi="宋体" w:eastAsia="宋体" w:cs="宋体"/>
          <w:sz w:val="24"/>
          <w:szCs w:val="24"/>
          <w:lang w:val="zh-CN"/>
        </w:rPr>
        <w:t>，甲方支付协议金额的百分之</w:t>
      </w:r>
      <w:r>
        <w:rPr>
          <w:rFonts w:hint="eastAsia" w:ascii="宋体" w:hAnsi="宋体" w:eastAsia="宋体" w:cs="宋体"/>
          <w:sz w:val="24"/>
          <w:szCs w:val="24"/>
          <w:u w:val="single"/>
          <w:lang w:val="zh-CN"/>
        </w:rPr>
        <w:t>十</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元）给乙方。</w:t>
      </w:r>
    </w:p>
    <w:p w14:paraId="68444A57">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经费支付的具体方式按财政管理有关规定办理。</w:t>
      </w:r>
    </w:p>
    <w:p w14:paraId="4F5D317A">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乙方户名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1BFB5239">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开户银行</w:t>
      </w:r>
      <w:r>
        <w:rPr>
          <w:rFonts w:hint="eastAsia" w:ascii="宋体" w:hAnsi="宋体" w:eastAsia="宋体" w:cs="宋体"/>
          <w:b/>
          <w:sz w:val="24"/>
          <w:szCs w:val="24"/>
          <w:u w:val="single"/>
          <w:lang w:val="zh-CN"/>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lang w:val="zh-CN"/>
        </w:rPr>
        <w:t>，</w:t>
      </w:r>
    </w:p>
    <w:p w14:paraId="3D67AA7F">
      <w:pPr>
        <w:autoSpaceDE w:val="0"/>
        <w:autoSpaceDN w:val="0"/>
        <w:adjustRightInd w:val="0"/>
        <w:spacing w:line="500" w:lineRule="exact"/>
        <w:ind w:firstLine="480" w:firstLineChars="200"/>
        <w:rPr>
          <w:rFonts w:hint="eastAsia" w:ascii="宋体" w:hAnsi="宋体" w:eastAsia="宋体" w:cs="宋体"/>
          <w:b/>
          <w:sz w:val="24"/>
          <w:szCs w:val="24"/>
          <w:u w:val="single"/>
          <w:lang w:val="zh-CN"/>
        </w:rPr>
      </w:pPr>
      <w:r>
        <w:rPr>
          <w:rFonts w:hint="eastAsia" w:ascii="宋体" w:hAnsi="宋体" w:eastAsia="宋体" w:cs="宋体"/>
          <w:sz w:val="24"/>
          <w:szCs w:val="24"/>
        </w:rPr>
        <w:t>账</w:t>
      </w:r>
      <w:r>
        <w:rPr>
          <w:rFonts w:hint="eastAsia" w:ascii="宋体" w:hAnsi="宋体" w:eastAsia="宋体" w:cs="宋体"/>
          <w:sz w:val="24"/>
          <w:szCs w:val="24"/>
          <w:lang w:val="zh-CN"/>
        </w:rPr>
        <w:t xml:space="preserve">    号</w:t>
      </w:r>
      <w:r>
        <w:rPr>
          <w:rFonts w:hint="eastAsia" w:ascii="宋体" w:hAnsi="宋体" w:eastAsia="宋体" w:cs="宋体"/>
          <w:b/>
          <w:sz w:val="24"/>
          <w:szCs w:val="24"/>
          <w:u w:val="single"/>
          <w:lang w:val="zh-CN"/>
        </w:rPr>
        <w:t xml:space="preserve">                               </w:t>
      </w:r>
      <w:r>
        <w:rPr>
          <w:rFonts w:hint="eastAsia" w:ascii="宋体" w:hAnsi="宋体" w:eastAsia="宋体" w:cs="宋体"/>
          <w:bCs/>
          <w:sz w:val="24"/>
          <w:szCs w:val="24"/>
          <w:lang w:val="zh-CN"/>
        </w:rPr>
        <w:t>，</w:t>
      </w:r>
    </w:p>
    <w:p w14:paraId="3477BD57">
      <w:pPr>
        <w:autoSpaceDE w:val="0"/>
        <w:autoSpaceDN w:val="0"/>
        <w:adjustRightInd w:val="0"/>
        <w:spacing w:line="50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单位地址</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273256FC">
      <w:pPr>
        <w:autoSpaceDE w:val="0"/>
        <w:autoSpaceDN w:val="0"/>
        <w:adjustRightInd w:val="0"/>
        <w:spacing w:line="5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（二）协助义务</w:t>
      </w:r>
    </w:p>
    <w:p w14:paraId="0651E40C">
      <w:pPr>
        <w:autoSpaceDE w:val="0"/>
        <w:autoSpaceDN w:val="0"/>
        <w:adjustRightInd w:val="0"/>
        <w:spacing w:line="50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lang w:val="zh-CN"/>
        </w:rPr>
        <w:t>根据项目研究的需要，甲方应当提供相关资料，协调有关调研事宜。</w:t>
      </w:r>
    </w:p>
    <w:p w14:paraId="50DD5B3D">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第四条  报告评审</w:t>
      </w:r>
    </w:p>
    <w:p w14:paraId="44AF4FF0">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乙方提交的研究报告初稿按照甲方意见修改完善形成评审稿后，由甲方组织</w:t>
      </w:r>
      <w:r>
        <w:rPr>
          <w:rFonts w:hint="eastAsia" w:ascii="宋体" w:hAnsi="宋体" w:eastAsia="宋体" w:cs="宋体"/>
          <w:sz w:val="24"/>
          <w:szCs w:val="24"/>
          <w:u w:val="single"/>
        </w:rPr>
        <w:t>专家</w:t>
      </w:r>
      <w:r>
        <w:rPr>
          <w:rFonts w:hint="eastAsia" w:ascii="宋体" w:hAnsi="宋体" w:eastAsia="宋体" w:cs="宋体"/>
          <w:sz w:val="24"/>
          <w:szCs w:val="24"/>
          <w:lang w:val="zh-CN"/>
        </w:rPr>
        <w:t>评审。乙方应当按照评审意见对研究报告进行修改完善，形成最终稿和决策建议稿。</w:t>
      </w:r>
    </w:p>
    <w:p w14:paraId="14B3A282">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第五条  知识产权</w:t>
      </w:r>
    </w:p>
    <w:p w14:paraId="28660E30">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w:t>
      </w:r>
      <w:bookmarkStart w:id="45" w:name="_Hlk17123103"/>
      <w:r>
        <w:rPr>
          <w:rFonts w:hint="eastAsia" w:ascii="宋体" w:hAnsi="宋体" w:eastAsia="宋体" w:cs="宋体"/>
          <w:sz w:val="24"/>
          <w:szCs w:val="24"/>
          <w:lang w:val="zh-CN"/>
        </w:rPr>
        <w:t>项目研究成果的著作权等一切知识产权归甲方所有，乙方经甲方书面授权同意后，可以将成果公开发表或者内部呈报，但应当注明“宁波经济技术开发区大榭经济发展中心</w:t>
      </w:r>
      <w:r>
        <w:rPr>
          <w:rFonts w:hint="eastAsia" w:ascii="宋体" w:hAnsi="宋体" w:eastAsia="宋体" w:cs="宋体"/>
          <w:sz w:val="24"/>
          <w:szCs w:val="24"/>
          <w:u w:val="single"/>
        </w:rPr>
        <w:t>××</w:t>
      </w:r>
      <w:r>
        <w:rPr>
          <w:rFonts w:hint="eastAsia" w:ascii="宋体" w:hAnsi="宋体" w:eastAsia="宋体" w:cs="宋体"/>
          <w:sz w:val="24"/>
          <w:szCs w:val="24"/>
          <w:lang w:val="zh-CN"/>
        </w:rPr>
        <w:t>年度研究成果”，出版时应当在封面和扉页显著位置标明相同字样。乙方在研究过程中不得侵犯他人知识产权，由此产生的法律责任由乙方承担。</w:t>
      </w:r>
    </w:p>
    <w:bookmarkEnd w:id="45"/>
    <w:p w14:paraId="4EB06347">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第六条  违约责任</w:t>
      </w:r>
    </w:p>
    <w:p w14:paraId="5828A730">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甲方要求终止或者解除协议的，由双方协商确定甲方应当支付的金额。乙方未开始研究工作的，甲方支付乙方的金额不超过协议金额的百分之</w:t>
      </w:r>
      <w:r>
        <w:rPr>
          <w:rFonts w:hint="eastAsia" w:ascii="宋体" w:hAnsi="宋体" w:eastAsia="宋体" w:cs="宋体"/>
          <w:sz w:val="24"/>
          <w:szCs w:val="24"/>
          <w:u w:val="single"/>
          <w:lang w:val="zh-CN"/>
        </w:rPr>
        <w:t>十</w:t>
      </w:r>
      <w:r>
        <w:rPr>
          <w:rFonts w:hint="eastAsia" w:ascii="宋体" w:hAnsi="宋体" w:eastAsia="宋体" w:cs="宋体"/>
          <w:sz w:val="24"/>
          <w:szCs w:val="24"/>
          <w:lang w:val="zh-CN"/>
        </w:rPr>
        <w:t>；乙方提交的研究报告未通过甲方组织的专家评审，甲方有权终止或者解除协议，甲方支付乙方的金额不超过协议金额的百分之</w:t>
      </w:r>
      <w:r>
        <w:rPr>
          <w:rFonts w:hint="eastAsia" w:ascii="宋体" w:hAnsi="宋体" w:eastAsia="宋体" w:cs="宋体"/>
          <w:sz w:val="24"/>
          <w:szCs w:val="24"/>
          <w:u w:val="single"/>
          <w:lang w:val="zh-CN"/>
        </w:rPr>
        <w:t>三十</w:t>
      </w:r>
      <w:r>
        <w:rPr>
          <w:rFonts w:hint="eastAsia" w:ascii="宋体" w:hAnsi="宋体" w:eastAsia="宋体" w:cs="宋体"/>
          <w:sz w:val="24"/>
          <w:szCs w:val="24"/>
          <w:lang w:val="zh-CN"/>
        </w:rPr>
        <w:t>。乙方应当退还多收的协议金额。</w:t>
      </w:r>
    </w:p>
    <w:p w14:paraId="6A221DF7">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甲方未按照协议约定时间支付协议金额的，每延期</w:t>
      </w:r>
      <w:r>
        <w:rPr>
          <w:rFonts w:hint="eastAsia" w:ascii="宋体" w:hAnsi="宋体" w:eastAsia="宋体" w:cs="宋体"/>
          <w:sz w:val="24"/>
          <w:szCs w:val="24"/>
          <w:u w:val="single"/>
          <w:lang w:val="zh-CN"/>
        </w:rPr>
        <w:t>五个工作日</w:t>
      </w:r>
      <w:r>
        <w:rPr>
          <w:rFonts w:hint="eastAsia" w:ascii="宋体" w:hAnsi="宋体" w:eastAsia="宋体" w:cs="宋体"/>
          <w:sz w:val="24"/>
          <w:szCs w:val="24"/>
          <w:lang w:val="zh-CN"/>
        </w:rPr>
        <w:t>，支付协议金额的百分之</w:t>
      </w:r>
      <w:r>
        <w:rPr>
          <w:rFonts w:hint="eastAsia" w:ascii="宋体" w:hAnsi="宋体" w:eastAsia="宋体" w:cs="宋体"/>
          <w:sz w:val="24"/>
          <w:szCs w:val="24"/>
          <w:u w:val="single"/>
          <w:lang w:val="zh-CN"/>
        </w:rPr>
        <w:t>一</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元作为违约金；逾期超过</w:t>
      </w:r>
      <w:r>
        <w:rPr>
          <w:rFonts w:hint="eastAsia" w:ascii="宋体" w:hAnsi="宋体" w:eastAsia="宋体" w:cs="宋体"/>
          <w:sz w:val="24"/>
          <w:szCs w:val="24"/>
          <w:u w:val="single"/>
          <w:lang w:val="zh-CN"/>
        </w:rPr>
        <w:t>十五个工作</w:t>
      </w:r>
      <w:r>
        <w:rPr>
          <w:rFonts w:hint="eastAsia" w:ascii="宋体" w:hAnsi="宋体" w:eastAsia="宋体" w:cs="宋体"/>
          <w:sz w:val="24"/>
          <w:szCs w:val="24"/>
          <w:lang w:val="zh-CN"/>
        </w:rPr>
        <w:t>日，乙方有权暂停下阶段工作，并书面通知甲方，项目结题时间按照拖延时间顺延。</w:t>
      </w:r>
    </w:p>
    <w:p w14:paraId="0CB06C62">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乙方未按照协议约定时间完成工作任务的，每延期</w:t>
      </w:r>
      <w:r>
        <w:rPr>
          <w:rFonts w:hint="eastAsia" w:ascii="宋体" w:hAnsi="宋体" w:eastAsia="宋体" w:cs="宋体"/>
          <w:sz w:val="24"/>
          <w:szCs w:val="24"/>
          <w:u w:val="single"/>
          <w:lang w:val="zh-CN"/>
        </w:rPr>
        <w:t>五个工作日</w:t>
      </w:r>
      <w:r>
        <w:rPr>
          <w:rFonts w:hint="eastAsia" w:ascii="宋体" w:hAnsi="宋体" w:eastAsia="宋体" w:cs="宋体"/>
          <w:sz w:val="24"/>
          <w:szCs w:val="24"/>
          <w:lang w:val="zh-CN"/>
        </w:rPr>
        <w:t>，支付协议金额的百分之</w:t>
      </w:r>
      <w:r>
        <w:rPr>
          <w:rFonts w:hint="eastAsia" w:ascii="宋体" w:hAnsi="宋体" w:eastAsia="宋体" w:cs="宋体"/>
          <w:sz w:val="24"/>
          <w:szCs w:val="24"/>
          <w:u w:val="single"/>
          <w:lang w:val="zh-CN"/>
        </w:rPr>
        <w:t>一</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元作为违约金。  </w:t>
      </w:r>
    </w:p>
    <w:p w14:paraId="40407468">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乙方存在学术不端行为，并由此造成损失的，或未经甲方书面同意，擅自转让或者部分转让本协议约定委托内容等情形的，甲方有权终止或者解除协议，乙方应当返还甲方已经支付的协议金额，并按协议金额的百分之</w:t>
      </w:r>
      <w:r>
        <w:rPr>
          <w:rFonts w:hint="eastAsia" w:ascii="宋体" w:hAnsi="宋体" w:eastAsia="宋体" w:cs="宋体"/>
          <w:sz w:val="24"/>
          <w:szCs w:val="24"/>
          <w:u w:val="single"/>
          <w:lang w:val="zh-CN"/>
        </w:rPr>
        <w:t>二十</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万元向甲方支付违约金。</w:t>
      </w:r>
    </w:p>
    <w:p w14:paraId="2B3B8FC2">
      <w:pPr>
        <w:autoSpaceDE w:val="0"/>
        <w:autoSpaceDN w:val="0"/>
        <w:adjustRightInd w:val="0"/>
        <w:spacing w:line="50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乙方因自身原因要求终止或者解除协议的，应当返还甲方已经支付的协议金额，并按协议金额的百分之</w:t>
      </w:r>
      <w:r>
        <w:rPr>
          <w:rFonts w:hint="eastAsia" w:ascii="宋体" w:hAnsi="宋体" w:eastAsia="宋体" w:cs="宋体"/>
          <w:sz w:val="24"/>
          <w:szCs w:val="24"/>
          <w:u w:val="single"/>
          <w:lang w:val="zh-CN"/>
        </w:rPr>
        <w:t>二十</w:t>
      </w:r>
      <w:r>
        <w:rPr>
          <w:rFonts w:hint="eastAsia" w:ascii="宋体" w:hAnsi="宋体" w:eastAsia="宋体" w:cs="宋体"/>
          <w:sz w:val="24"/>
          <w:szCs w:val="24"/>
          <w:lang w:val="zh-CN"/>
        </w:rPr>
        <w:t>，即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万元向甲方支付违约金。</w:t>
      </w:r>
    </w:p>
    <w:p w14:paraId="042AAA86">
      <w:pPr>
        <w:autoSpaceDE w:val="0"/>
        <w:autoSpaceDN w:val="0"/>
        <w:adjustRightInd w:val="0"/>
        <w:spacing w:line="500" w:lineRule="exact"/>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第七条 </w:t>
      </w:r>
      <w:r>
        <w:rPr>
          <w:rFonts w:hint="eastAsia" w:ascii="宋体" w:hAnsi="宋体" w:eastAsia="宋体" w:cs="宋体"/>
          <w:b/>
          <w:sz w:val="24"/>
          <w:szCs w:val="24"/>
        </w:rPr>
        <w:t xml:space="preserve"> </w:t>
      </w:r>
      <w:r>
        <w:rPr>
          <w:rFonts w:hint="eastAsia" w:ascii="宋体" w:hAnsi="宋体" w:eastAsia="宋体" w:cs="宋体"/>
          <w:b/>
          <w:sz w:val="24"/>
          <w:szCs w:val="24"/>
          <w:lang w:val="zh-CN"/>
        </w:rPr>
        <w:t>纠纷解决</w:t>
      </w:r>
    </w:p>
    <w:p w14:paraId="355CDB80">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因不可抗力影响协议正常履行的，甲乙双方应当协商顺延工作进度时限。</w:t>
      </w:r>
    </w:p>
    <w:p w14:paraId="77CCD5AE">
      <w:pPr>
        <w:autoSpaceDE w:val="0"/>
        <w:autoSpaceDN w:val="0"/>
        <w:adjustRightInd w:val="0"/>
        <w:spacing w:line="500" w:lineRule="exact"/>
        <w:ind w:firstLine="480" w:firstLineChars="200"/>
        <w:rPr>
          <w:rFonts w:hint="eastAsia" w:ascii="宋体" w:hAnsi="宋体" w:eastAsia="宋体" w:cs="宋体"/>
          <w:sz w:val="24"/>
          <w:szCs w:val="24"/>
          <w:highlight w:val="yellow"/>
          <w:lang w:val="zh-CN"/>
        </w:rPr>
      </w:pPr>
      <w:r>
        <w:rPr>
          <w:rFonts w:hint="eastAsia" w:ascii="宋体" w:hAnsi="宋体" w:eastAsia="宋体" w:cs="宋体"/>
          <w:sz w:val="24"/>
          <w:szCs w:val="24"/>
          <w:lang w:val="zh-CN"/>
        </w:rPr>
        <w:t>本协议未尽事宜由双方另行协商确定；执行本协议发生争议的，由双方协商解决；协商不成的，任何一方均有权向</w:t>
      </w:r>
      <w:r>
        <w:rPr>
          <w:rFonts w:hint="eastAsia" w:ascii="宋体" w:hAnsi="宋体" w:eastAsia="宋体" w:cs="宋体"/>
          <w:sz w:val="24"/>
          <w:szCs w:val="24"/>
          <w:u w:val="single"/>
          <w:lang w:val="zh-CN"/>
        </w:rPr>
        <w:t>甲方所在地人民法院提起诉讼</w:t>
      </w:r>
      <w:r>
        <w:rPr>
          <w:rFonts w:hint="eastAsia" w:ascii="宋体" w:hAnsi="宋体" w:eastAsia="宋体" w:cs="宋体"/>
          <w:sz w:val="24"/>
          <w:szCs w:val="24"/>
          <w:lang w:val="zh-CN"/>
        </w:rPr>
        <w:t>。</w:t>
      </w:r>
    </w:p>
    <w:p w14:paraId="16D86041">
      <w:pPr>
        <w:autoSpaceDE w:val="0"/>
        <w:autoSpaceDN w:val="0"/>
        <w:adjustRightInd w:val="0"/>
        <w:spacing w:line="500" w:lineRule="exact"/>
        <w:rPr>
          <w:rFonts w:hint="eastAsia" w:ascii="宋体" w:hAnsi="宋体" w:eastAsia="宋体" w:cs="宋体"/>
          <w:b/>
          <w:bCs/>
          <w:sz w:val="24"/>
          <w:szCs w:val="24"/>
        </w:rPr>
      </w:pPr>
      <w:r>
        <w:rPr>
          <w:rFonts w:hint="eastAsia" w:ascii="宋体" w:hAnsi="宋体" w:eastAsia="宋体" w:cs="宋体"/>
          <w:b/>
          <w:bCs/>
          <w:sz w:val="24"/>
          <w:szCs w:val="24"/>
          <w:lang w:val="zh-CN"/>
        </w:rPr>
        <w:t>第八条</w:t>
      </w:r>
      <w:r>
        <w:rPr>
          <w:rFonts w:hint="eastAsia" w:ascii="宋体" w:hAnsi="宋体" w:eastAsia="宋体" w:cs="宋体"/>
          <w:b/>
          <w:bCs/>
          <w:sz w:val="24"/>
          <w:szCs w:val="24"/>
        </w:rPr>
        <w:t xml:space="preserve">  其他事宜</w:t>
      </w:r>
    </w:p>
    <w:p w14:paraId="7A79B99C">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zh-CN"/>
        </w:rPr>
        <w:t>关于甲方向乙方拨付经费的时间，如发生市财政资金划拨甲方账户的到</w:t>
      </w:r>
      <w:r>
        <w:rPr>
          <w:rFonts w:hint="eastAsia" w:ascii="宋体" w:hAnsi="宋体" w:eastAsia="宋体" w:cs="宋体"/>
          <w:sz w:val="24"/>
          <w:szCs w:val="24"/>
          <w:u w:val="single"/>
        </w:rPr>
        <w:t>账</w:t>
      </w:r>
      <w:r>
        <w:rPr>
          <w:rFonts w:hint="eastAsia" w:ascii="宋体" w:hAnsi="宋体" w:eastAsia="宋体" w:cs="宋体"/>
          <w:sz w:val="24"/>
          <w:szCs w:val="24"/>
          <w:u w:val="single"/>
          <w:lang w:val="zh-CN"/>
        </w:rPr>
        <w:t>时间推迟，以财政资金实际到</w:t>
      </w:r>
      <w:r>
        <w:rPr>
          <w:rFonts w:hint="eastAsia" w:ascii="宋体" w:hAnsi="宋体" w:eastAsia="宋体" w:cs="宋体"/>
          <w:sz w:val="24"/>
          <w:szCs w:val="24"/>
          <w:u w:val="single"/>
        </w:rPr>
        <w:t>账</w:t>
      </w:r>
      <w:r>
        <w:rPr>
          <w:rFonts w:hint="eastAsia" w:ascii="宋体" w:hAnsi="宋体" w:eastAsia="宋体" w:cs="宋体"/>
          <w:sz w:val="24"/>
          <w:szCs w:val="24"/>
          <w:u w:val="single"/>
          <w:lang w:val="zh-CN"/>
        </w:rPr>
        <w:t>时间为准。</w:t>
      </w:r>
    </w:p>
    <w:p w14:paraId="7D75DABA">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本协议经甲乙双方签字盖章后生效。</w:t>
      </w:r>
    </w:p>
    <w:p w14:paraId="23AD7AC6">
      <w:pPr>
        <w:autoSpaceDE w:val="0"/>
        <w:autoSpaceDN w:val="0"/>
        <w:adjustRightIn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本协议一式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肆</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份，甲乙双方各执</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份，具有同等法律效力。</w:t>
      </w:r>
    </w:p>
    <w:p w14:paraId="102D3455">
      <w:pPr>
        <w:autoSpaceDE w:val="0"/>
        <w:autoSpaceDN w:val="0"/>
        <w:adjustRightInd w:val="0"/>
        <w:spacing w:line="500" w:lineRule="exact"/>
        <w:ind w:firstLine="601"/>
        <w:rPr>
          <w:rFonts w:hint="eastAsia" w:ascii="宋体" w:hAnsi="宋体" w:eastAsia="宋体" w:cs="宋体"/>
          <w:sz w:val="24"/>
          <w:szCs w:val="24"/>
          <w:lang w:val="zh-CN"/>
        </w:rPr>
      </w:pPr>
    </w:p>
    <w:p w14:paraId="66ADCAB7">
      <w:pPr>
        <w:autoSpaceDE w:val="0"/>
        <w:autoSpaceDN w:val="0"/>
        <w:adjustRightInd w:val="0"/>
        <w:spacing w:line="500" w:lineRule="exact"/>
        <w:rPr>
          <w:rFonts w:hint="eastAsia" w:ascii="宋体" w:hAnsi="宋体" w:eastAsia="宋体" w:cs="宋体"/>
          <w:sz w:val="24"/>
          <w:szCs w:val="24"/>
          <w:lang w:val="zh-CN"/>
        </w:rPr>
      </w:pPr>
      <w:r>
        <w:rPr>
          <w:rFonts w:hint="eastAsia" w:ascii="宋体" w:hAnsi="宋体" w:eastAsia="宋体" w:cs="宋体"/>
          <w:sz w:val="24"/>
          <w:szCs w:val="24"/>
          <w:lang w:val="zh-CN"/>
        </w:rPr>
        <w:t>甲方（盖章）：                  乙方（盖章）：</w:t>
      </w:r>
    </w:p>
    <w:p w14:paraId="168C8E8B">
      <w:pPr>
        <w:autoSpaceDE w:val="0"/>
        <w:autoSpaceDN w:val="0"/>
        <w:adjustRightInd w:val="0"/>
        <w:spacing w:line="500" w:lineRule="exact"/>
        <w:rPr>
          <w:rFonts w:hint="eastAsia" w:ascii="宋体" w:hAnsi="宋体" w:eastAsia="宋体" w:cs="宋体"/>
          <w:sz w:val="24"/>
          <w:szCs w:val="24"/>
          <w:lang w:val="zh-CN"/>
        </w:rPr>
      </w:pPr>
    </w:p>
    <w:p w14:paraId="113B8767">
      <w:pPr>
        <w:autoSpaceDE w:val="0"/>
        <w:autoSpaceDN w:val="0"/>
        <w:adjustRightInd w:val="0"/>
        <w:spacing w:line="500" w:lineRule="exact"/>
        <w:rPr>
          <w:rFonts w:hint="eastAsia" w:ascii="宋体" w:hAnsi="宋体" w:eastAsia="宋体" w:cs="宋体"/>
          <w:sz w:val="24"/>
          <w:szCs w:val="24"/>
          <w:lang w:val="zh-CN"/>
        </w:rPr>
      </w:pPr>
      <w:r>
        <w:rPr>
          <w:rFonts w:hint="eastAsia" w:ascii="宋体" w:hAnsi="宋体" w:eastAsia="宋体" w:cs="宋体"/>
          <w:sz w:val="24"/>
          <w:szCs w:val="24"/>
          <w:lang w:val="zh-CN"/>
        </w:rPr>
        <w:t>代理人（签字）：                代理人（签字）：</w:t>
      </w:r>
    </w:p>
    <w:p w14:paraId="49B86424">
      <w:pPr>
        <w:autoSpaceDE w:val="0"/>
        <w:autoSpaceDN w:val="0"/>
        <w:adjustRightInd w:val="0"/>
        <w:spacing w:line="500" w:lineRule="exact"/>
        <w:rPr>
          <w:rFonts w:hint="eastAsia" w:ascii="宋体" w:hAnsi="宋体" w:eastAsia="宋体" w:cs="宋体"/>
          <w:sz w:val="24"/>
          <w:szCs w:val="24"/>
          <w:lang w:val="zh-CN"/>
        </w:rPr>
      </w:pPr>
    </w:p>
    <w:p w14:paraId="3135CCE9">
      <w:pPr>
        <w:autoSpaceDE w:val="0"/>
        <w:autoSpaceDN w:val="0"/>
        <w:adjustRightInd w:val="0"/>
        <w:spacing w:line="500" w:lineRule="exact"/>
        <w:rPr>
          <w:rFonts w:hint="eastAsia" w:ascii="宋体" w:hAnsi="宋体" w:eastAsia="宋体" w:cs="宋体"/>
          <w:b/>
          <w:szCs w:val="21"/>
        </w:rPr>
      </w:pPr>
      <w:r>
        <w:rPr>
          <w:rFonts w:hint="eastAsia" w:ascii="宋体" w:hAnsi="宋体" w:eastAsia="宋体" w:cs="宋体"/>
          <w:sz w:val="24"/>
          <w:szCs w:val="24"/>
          <w:lang w:val="zh-CN"/>
        </w:rPr>
        <w:t xml:space="preserve">日期：     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     年    月    日</w:t>
      </w:r>
      <w:r>
        <w:rPr>
          <w:rFonts w:hint="eastAsia" w:ascii="宋体" w:hAnsi="宋体" w:eastAsia="宋体" w:cs="宋体"/>
          <w:b/>
          <w:szCs w:val="21"/>
        </w:rPr>
        <w:br w:type="page"/>
      </w:r>
    </w:p>
    <w:p w14:paraId="7838AFC4">
      <w:pPr>
        <w:keepNext w:val="0"/>
        <w:keepLines w:val="0"/>
        <w:pageBreakBefore w:val="0"/>
        <w:kinsoku/>
        <w:wordWrap/>
        <w:overflowPunct/>
        <w:topLinePunct w:val="0"/>
        <w:bidi w:val="0"/>
        <w:spacing w:line="400" w:lineRule="exact"/>
        <w:ind w:left="0" w:right="0"/>
        <w:jc w:val="center"/>
        <w:textAlignment w:val="auto"/>
        <w:outlineLvl w:val="0"/>
        <w:rPr>
          <w:rFonts w:hint="eastAsia" w:ascii="宋体" w:hAnsi="宋体" w:eastAsia="宋体" w:cs="宋体"/>
          <w:b/>
          <w:sz w:val="30"/>
          <w:szCs w:val="30"/>
        </w:rPr>
      </w:pPr>
      <w:bookmarkStart w:id="46" w:name="_Toc4607"/>
      <w:r>
        <w:rPr>
          <w:rFonts w:hint="eastAsia" w:ascii="宋体" w:hAnsi="宋体" w:eastAsia="宋体" w:cs="宋体"/>
          <w:b/>
          <w:sz w:val="30"/>
          <w:szCs w:val="30"/>
        </w:rPr>
        <w:t>第五章采购需求</w:t>
      </w:r>
      <w:bookmarkEnd w:id="46"/>
    </w:p>
    <w:p w14:paraId="668883E8">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bookmarkStart w:id="47" w:name="_Toc216662965"/>
      <w:r>
        <w:rPr>
          <w:rFonts w:hint="eastAsia" w:ascii="宋体" w:hAnsi="宋体" w:eastAsia="宋体" w:cs="宋体"/>
          <w:szCs w:val="21"/>
        </w:rPr>
        <w:t>一、研究背景</w:t>
      </w:r>
    </w:p>
    <w:p w14:paraId="7AEB9438">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宁波大榭开发区于1993年3月经国务院批复设立，实行国家级经济技术开发区政策，根据《宁波市人民政府关于印发宁波市开发区（园区）整合提升总体方案的通知》（甬政发〔2021〕25号），大榭开发区整合并入宁波经济技术开发区。经过三十余年的开发建设，大榭片区已成为以绿色石化和化工新材料为主导，发展质量领先、创新动能集聚的高能级开发开放平台。</w:t>
      </w:r>
    </w:p>
    <w:p w14:paraId="5FC2436B">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即将到来的“十五五”时期，是我国基本实现社会主义现代化承前启后的重要阶段，是2030年前实现碳达峰的冲刺阶段，也是由石化大国迈向石化强国的关键阶段。作为长三角乃至全国重要的石化园区，“十五五”期间是大榭片区加快高端化、绿色化、智能化发展的重要时期，高质量、高水平编制“十五五”规划，既是大榭片区提升发展能级的必然要求，也是片区统筹融合发展的重要举措。</w:t>
      </w:r>
    </w:p>
    <w:p w14:paraId="4C9BF675">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二、研究内容</w:t>
      </w:r>
    </w:p>
    <w:p w14:paraId="6F72BDD8">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根据要求，开展大榭片区提升发展的目标路径研究，编制形成大榭片区“十五五”发展规划。主要包括：</w:t>
      </w:r>
    </w:p>
    <w:p w14:paraId="5EFBCF90">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全面系统分析大榭片区“十四五”期间国民经济与社会发展取得的主要成就和存在的主要问题，认真分析“十五五”面临的外部形势与机遇挑战，科学厘清大榭片区“十五五”时期需着力破解的重大问题，并提出解决路径和具体举措，形成《“十五五”大榭片区提升发展的目标路径研究》。</w:t>
      </w:r>
    </w:p>
    <w:p w14:paraId="6AB98609">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在认真分析大榭片区发展基础与发展环境的基础上，基于新形势、新机遇、新要求，明确“十五五”期间的提升发展的定位和目标指标；结合战略定位和发展目标，围绕空间格局优化、产业提升发展、改革创新深化、生态环境保护、基础设施建设等重点领域，确定“十五五”发展重点、战略任务、重大推进措施，形成《大榭片区“十五五”发展规划》文本。</w:t>
      </w:r>
    </w:p>
    <w:p w14:paraId="16B052AB">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三、研究成果</w:t>
      </w:r>
    </w:p>
    <w:p w14:paraId="3F12FB7F">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研究成果：2025年2月，形成《“十五五”大榭片区提升发展的目标路径研究》调研报告；2025年11月，编制形成《大榭片区“十五五”发展规划》。</w:t>
      </w:r>
    </w:p>
    <w:p w14:paraId="11D47F69">
      <w:pPr>
        <w:keepNext w:val="0"/>
        <w:keepLines w:val="0"/>
        <w:pageBreakBefore w:val="0"/>
        <w:kinsoku/>
        <w:wordWrap/>
        <w:overflowPunct/>
        <w:topLinePunct w:val="0"/>
        <w:bidi w:val="0"/>
        <w:adjustRightInd w:val="0"/>
        <w:spacing w:line="400" w:lineRule="exact"/>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提交成果内容及格式。文本（含文本、图集、附件等）统一装订为A3/A4格式，10套；上述成果的电子文件1套（全本为pdf格式，文字为doc格式，图纸为jpg\gis格式）。</w:t>
      </w:r>
    </w:p>
    <w:p w14:paraId="30183139">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rPr>
      </w:pPr>
    </w:p>
    <w:p w14:paraId="7F69F78D">
      <w:pPr>
        <w:keepNext w:val="0"/>
        <w:keepLines w:val="0"/>
        <w:pageBreakBefore w:val="0"/>
        <w:kinsoku/>
        <w:wordWrap/>
        <w:overflowPunct/>
        <w:topLinePunct w:val="0"/>
        <w:bidi w:val="0"/>
        <w:spacing w:line="400" w:lineRule="exact"/>
        <w:ind w:left="0" w:right="0" w:firstLine="420" w:firstLineChars="200"/>
        <w:textAlignment w:val="auto"/>
        <w:rPr>
          <w:rFonts w:hint="eastAsia" w:ascii="宋体" w:hAnsi="宋体" w:eastAsia="宋体" w:cs="宋体"/>
        </w:rPr>
      </w:pPr>
    </w:p>
    <w:p w14:paraId="19295AF8">
      <w:pPr>
        <w:keepNext w:val="0"/>
        <w:keepLines w:val="0"/>
        <w:pageBreakBefore w:val="0"/>
        <w:widowControl/>
        <w:kinsoku/>
        <w:wordWrap/>
        <w:overflowPunct/>
        <w:topLinePunct w:val="0"/>
        <w:bidi w:val="0"/>
        <w:spacing w:line="400" w:lineRule="exact"/>
        <w:ind w:left="0" w:right="0"/>
        <w:jc w:val="left"/>
        <w:textAlignment w:val="auto"/>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br w:type="page"/>
      </w:r>
    </w:p>
    <w:p w14:paraId="4E0B9C2B">
      <w:pPr>
        <w:keepNext w:val="0"/>
        <w:keepLines w:val="0"/>
        <w:pageBreakBefore w:val="0"/>
        <w:kinsoku/>
        <w:wordWrap/>
        <w:overflowPunct/>
        <w:topLinePunct w:val="0"/>
        <w:bidi w:val="0"/>
        <w:spacing w:line="400" w:lineRule="exact"/>
        <w:ind w:left="0" w:right="0"/>
        <w:jc w:val="center"/>
        <w:textAlignment w:val="auto"/>
        <w:outlineLvl w:val="0"/>
        <w:rPr>
          <w:rFonts w:hint="eastAsia" w:ascii="宋体" w:hAnsi="宋体" w:eastAsia="宋体" w:cs="宋体"/>
          <w:b/>
          <w:sz w:val="30"/>
          <w:szCs w:val="30"/>
        </w:rPr>
      </w:pPr>
      <w:bookmarkStart w:id="48" w:name="_Toc8962"/>
      <w:r>
        <w:rPr>
          <w:rFonts w:hint="eastAsia" w:ascii="宋体" w:hAnsi="宋体" w:eastAsia="宋体" w:cs="宋体"/>
          <w:b/>
          <w:sz w:val="30"/>
          <w:szCs w:val="30"/>
        </w:rPr>
        <w:t>第六章商务条款</w:t>
      </w:r>
      <w:bookmarkEnd w:id="48"/>
    </w:p>
    <w:tbl>
      <w:tblPr>
        <w:tblStyle w:val="49"/>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1454"/>
        <w:gridCol w:w="5601"/>
        <w:gridCol w:w="1317"/>
      </w:tblGrid>
      <w:tr w14:paraId="173FA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34" w:type="pct"/>
            <w:tcBorders>
              <w:top w:val="single" w:color="auto" w:sz="4" w:space="0"/>
              <w:left w:val="single" w:color="auto" w:sz="4" w:space="0"/>
              <w:bottom w:val="single" w:color="auto" w:sz="4" w:space="0"/>
              <w:right w:val="single" w:color="auto" w:sz="4" w:space="0"/>
            </w:tcBorders>
            <w:vAlign w:val="center"/>
          </w:tcPr>
          <w:p w14:paraId="1C91A029">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序号</w:t>
            </w:r>
          </w:p>
        </w:tc>
        <w:tc>
          <w:tcPr>
            <w:tcW w:w="793" w:type="pct"/>
            <w:tcBorders>
              <w:top w:val="single" w:color="auto" w:sz="4" w:space="0"/>
              <w:left w:val="single" w:color="auto" w:sz="4" w:space="0"/>
              <w:bottom w:val="single" w:color="auto" w:sz="4" w:space="0"/>
              <w:right w:val="single" w:color="auto" w:sz="4" w:space="0"/>
            </w:tcBorders>
            <w:vAlign w:val="center"/>
          </w:tcPr>
          <w:p w14:paraId="342CF655">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b/>
                <w:szCs w:val="21"/>
              </w:rPr>
            </w:pPr>
            <w:r>
              <w:rPr>
                <w:rFonts w:hint="eastAsia" w:ascii="宋体" w:hAnsi="宋体" w:eastAsia="宋体" w:cs="宋体"/>
                <w:b/>
                <w:szCs w:val="21"/>
              </w:rPr>
              <w:t>项目</w:t>
            </w:r>
          </w:p>
        </w:tc>
        <w:tc>
          <w:tcPr>
            <w:tcW w:w="3054" w:type="pct"/>
            <w:tcBorders>
              <w:top w:val="single" w:color="auto" w:sz="4" w:space="0"/>
              <w:left w:val="single" w:color="auto" w:sz="4" w:space="0"/>
              <w:bottom w:val="single" w:color="auto" w:sz="4" w:space="0"/>
              <w:right w:val="single" w:color="auto" w:sz="4" w:space="0"/>
            </w:tcBorders>
            <w:vAlign w:val="center"/>
          </w:tcPr>
          <w:p w14:paraId="549A37B4">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b/>
                <w:szCs w:val="21"/>
              </w:rPr>
            </w:pPr>
            <w:r>
              <w:rPr>
                <w:rFonts w:hint="eastAsia" w:ascii="宋体" w:hAnsi="宋体" w:eastAsia="宋体" w:cs="宋体"/>
                <w:b/>
                <w:szCs w:val="21"/>
              </w:rPr>
              <w:t>磋商商务要求</w:t>
            </w:r>
          </w:p>
        </w:tc>
        <w:tc>
          <w:tcPr>
            <w:tcW w:w="718" w:type="pct"/>
            <w:tcBorders>
              <w:top w:val="single" w:color="auto" w:sz="4" w:space="0"/>
              <w:left w:val="single" w:color="auto" w:sz="4" w:space="0"/>
              <w:bottom w:val="single" w:color="auto" w:sz="4" w:space="0"/>
              <w:right w:val="single" w:color="auto" w:sz="4" w:space="0"/>
            </w:tcBorders>
            <w:vAlign w:val="center"/>
          </w:tcPr>
          <w:p w14:paraId="2CCD782E">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磋商响应</w:t>
            </w:r>
          </w:p>
        </w:tc>
      </w:tr>
      <w:tr w14:paraId="5AEC3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4" w:type="pct"/>
            <w:tcBorders>
              <w:top w:val="single" w:color="auto" w:sz="4" w:space="0"/>
              <w:left w:val="single" w:color="auto" w:sz="4" w:space="0"/>
              <w:bottom w:val="single" w:color="auto" w:sz="4" w:space="0"/>
              <w:right w:val="single" w:color="auto" w:sz="4" w:space="0"/>
            </w:tcBorders>
            <w:vAlign w:val="center"/>
          </w:tcPr>
          <w:p w14:paraId="2A4CB44D">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793" w:type="pct"/>
            <w:tcBorders>
              <w:top w:val="single" w:color="auto" w:sz="4" w:space="0"/>
              <w:left w:val="single" w:color="auto" w:sz="4" w:space="0"/>
              <w:bottom w:val="single" w:color="auto" w:sz="4" w:space="0"/>
              <w:right w:val="single" w:color="auto" w:sz="4" w:space="0"/>
            </w:tcBorders>
            <w:vAlign w:val="center"/>
          </w:tcPr>
          <w:p w14:paraId="079D47BC">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磋商报价</w:t>
            </w:r>
          </w:p>
        </w:tc>
        <w:tc>
          <w:tcPr>
            <w:tcW w:w="3054" w:type="pct"/>
            <w:tcBorders>
              <w:top w:val="single" w:color="auto" w:sz="4" w:space="0"/>
              <w:left w:val="single" w:color="auto" w:sz="4" w:space="0"/>
              <w:bottom w:val="single" w:color="auto" w:sz="4" w:space="0"/>
              <w:right w:val="single" w:color="auto" w:sz="4" w:space="0"/>
            </w:tcBorders>
            <w:vAlign w:val="center"/>
          </w:tcPr>
          <w:p w14:paraId="642B4CE3">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rPr>
            </w:pPr>
            <w:r>
              <w:rPr>
                <w:rFonts w:hint="eastAsia" w:ascii="宋体" w:hAnsi="宋体" w:eastAsia="宋体" w:cs="宋体"/>
              </w:rPr>
              <w:t>报价及费用：</w:t>
            </w:r>
          </w:p>
          <w:p w14:paraId="206C49E8">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rPr>
            </w:pPr>
            <w:r>
              <w:rPr>
                <w:rFonts w:hint="eastAsia" w:ascii="宋体" w:hAnsi="宋体" w:eastAsia="宋体" w:cs="宋体"/>
              </w:rPr>
              <w:t>1.报价：</w:t>
            </w:r>
            <w:r>
              <w:rPr>
                <w:rFonts w:hint="eastAsia" w:ascii="宋体" w:hAnsi="宋体" w:eastAsia="宋体" w:cs="宋体"/>
                <w:szCs w:val="21"/>
              </w:rPr>
              <w:t>以人民币为结算货币。</w:t>
            </w:r>
            <w:r>
              <w:rPr>
                <w:rFonts w:hint="eastAsia" w:ascii="宋体" w:hAnsi="宋体" w:eastAsia="宋体" w:cs="宋体"/>
              </w:rPr>
              <w:t>报价为完成第五章采购需求所需的所有费用，包括但不仅限于规划费、人工费、交通费、调研费、材料费、税金及利润等。</w:t>
            </w:r>
          </w:p>
          <w:p w14:paraId="7B3EC74C">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szCs w:val="21"/>
                <w:lang w:eastAsia="zh-CN"/>
              </w:rPr>
            </w:pPr>
            <w:r>
              <w:rPr>
                <w:rFonts w:hint="eastAsia" w:ascii="宋体" w:hAnsi="宋体" w:eastAsia="宋体" w:cs="宋体"/>
              </w:rPr>
              <w:t>2.不论采购结果如何，供应商均应自行承担所有与磋商采购有关的全部费用</w:t>
            </w:r>
            <w:r>
              <w:rPr>
                <w:rFonts w:hint="eastAsia" w:ascii="宋体" w:hAnsi="宋体" w:eastAsia="宋体" w:cs="宋体"/>
                <w:lang w:eastAsia="zh-CN"/>
              </w:rPr>
              <w:t>。</w:t>
            </w:r>
          </w:p>
        </w:tc>
        <w:tc>
          <w:tcPr>
            <w:tcW w:w="718" w:type="pct"/>
            <w:tcBorders>
              <w:top w:val="single" w:color="auto" w:sz="4" w:space="0"/>
              <w:left w:val="single" w:color="auto" w:sz="4" w:space="0"/>
              <w:bottom w:val="single" w:color="auto" w:sz="4" w:space="0"/>
              <w:right w:val="single" w:color="auto" w:sz="4" w:space="0"/>
            </w:tcBorders>
            <w:vAlign w:val="center"/>
          </w:tcPr>
          <w:p w14:paraId="5CABFF43">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rPr>
            </w:pPr>
          </w:p>
        </w:tc>
      </w:tr>
      <w:tr w14:paraId="1B60B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4" w:type="pct"/>
            <w:tcBorders>
              <w:top w:val="single" w:color="auto" w:sz="4" w:space="0"/>
              <w:left w:val="single" w:color="auto" w:sz="4" w:space="0"/>
              <w:bottom w:val="single" w:color="auto" w:sz="4" w:space="0"/>
              <w:right w:val="single" w:color="auto" w:sz="4" w:space="0"/>
            </w:tcBorders>
            <w:vAlign w:val="center"/>
          </w:tcPr>
          <w:p w14:paraId="15CD104D">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93" w:type="pct"/>
            <w:tcBorders>
              <w:top w:val="single" w:color="auto" w:sz="4" w:space="0"/>
              <w:left w:val="single" w:color="auto" w:sz="4" w:space="0"/>
              <w:bottom w:val="single" w:color="auto" w:sz="4" w:space="0"/>
              <w:right w:val="single" w:color="auto" w:sz="4" w:space="0"/>
            </w:tcBorders>
            <w:vAlign w:val="center"/>
          </w:tcPr>
          <w:p w14:paraId="18552B98">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工期要求</w:t>
            </w:r>
          </w:p>
        </w:tc>
        <w:tc>
          <w:tcPr>
            <w:tcW w:w="3054" w:type="pct"/>
            <w:tcBorders>
              <w:top w:val="single" w:color="auto" w:sz="4" w:space="0"/>
              <w:left w:val="single" w:color="auto" w:sz="4" w:space="0"/>
              <w:bottom w:val="single" w:color="auto" w:sz="4" w:space="0"/>
              <w:right w:val="single" w:color="auto" w:sz="4" w:space="0"/>
            </w:tcBorders>
            <w:vAlign w:val="center"/>
          </w:tcPr>
          <w:p w14:paraId="08892F92">
            <w:pPr>
              <w:keepNext w:val="0"/>
              <w:keepLines w:val="0"/>
              <w:pageBreakBefore w:val="0"/>
              <w:kinsoku/>
              <w:wordWrap/>
              <w:overflowPunct/>
              <w:topLinePunct w:val="0"/>
              <w:bidi w:val="0"/>
              <w:adjustRightInd w:val="0"/>
              <w:spacing w:line="400" w:lineRule="exact"/>
              <w:ind w:left="0" w:right="0"/>
              <w:textAlignment w:val="auto"/>
              <w:rPr>
                <w:rFonts w:hint="eastAsia" w:ascii="宋体" w:hAnsi="宋体" w:eastAsia="宋体" w:cs="宋体"/>
                <w:szCs w:val="21"/>
              </w:rPr>
            </w:pPr>
            <w:r>
              <w:rPr>
                <w:rFonts w:hint="eastAsia" w:ascii="宋体" w:hAnsi="宋体" w:eastAsia="宋体" w:cs="宋体"/>
                <w:szCs w:val="21"/>
              </w:rPr>
              <w:t>研究成果：2025年2月，形成《“十五五”大榭片区提升发展的目标路径研究》调研报告；2025年11月，编制形成《大榭片区“十五五”发展规划》。</w:t>
            </w:r>
          </w:p>
        </w:tc>
        <w:tc>
          <w:tcPr>
            <w:tcW w:w="718" w:type="pct"/>
            <w:tcBorders>
              <w:top w:val="single" w:color="auto" w:sz="4" w:space="0"/>
              <w:left w:val="single" w:color="auto" w:sz="4" w:space="0"/>
              <w:bottom w:val="single" w:color="auto" w:sz="4" w:space="0"/>
              <w:right w:val="single" w:color="auto" w:sz="4" w:space="0"/>
            </w:tcBorders>
            <w:vAlign w:val="center"/>
          </w:tcPr>
          <w:p w14:paraId="2CF9A3AC">
            <w:pPr>
              <w:keepNext w:val="0"/>
              <w:keepLines w:val="0"/>
              <w:pageBreakBefore w:val="0"/>
              <w:kinsoku/>
              <w:wordWrap/>
              <w:overflowPunct/>
              <w:topLinePunct w:val="0"/>
              <w:bidi w:val="0"/>
              <w:adjustRightInd w:val="0"/>
              <w:spacing w:line="400" w:lineRule="exact"/>
              <w:ind w:left="0" w:right="0"/>
              <w:textAlignment w:val="auto"/>
              <w:rPr>
                <w:rFonts w:hint="eastAsia" w:ascii="宋体" w:hAnsi="宋体" w:eastAsia="宋体" w:cs="宋体"/>
                <w:szCs w:val="21"/>
              </w:rPr>
            </w:pPr>
          </w:p>
        </w:tc>
      </w:tr>
      <w:tr w14:paraId="60F1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4" w:type="pct"/>
            <w:tcBorders>
              <w:top w:val="single" w:color="auto" w:sz="4" w:space="0"/>
              <w:left w:val="single" w:color="auto" w:sz="4" w:space="0"/>
              <w:bottom w:val="single" w:color="auto" w:sz="4" w:space="0"/>
              <w:right w:val="single" w:color="auto" w:sz="4" w:space="0"/>
            </w:tcBorders>
            <w:vAlign w:val="center"/>
          </w:tcPr>
          <w:p w14:paraId="606B7CF0">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93" w:type="pct"/>
            <w:tcBorders>
              <w:top w:val="single" w:color="auto" w:sz="4" w:space="0"/>
              <w:left w:val="single" w:color="auto" w:sz="4" w:space="0"/>
              <w:bottom w:val="single" w:color="auto" w:sz="4" w:space="0"/>
              <w:right w:val="single" w:color="auto" w:sz="4" w:space="0"/>
            </w:tcBorders>
            <w:vAlign w:val="center"/>
          </w:tcPr>
          <w:p w14:paraId="220A14AC">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履约保证金</w:t>
            </w:r>
          </w:p>
        </w:tc>
        <w:tc>
          <w:tcPr>
            <w:tcW w:w="3054" w:type="pct"/>
            <w:tcBorders>
              <w:top w:val="single" w:color="auto" w:sz="4" w:space="0"/>
              <w:left w:val="single" w:color="auto" w:sz="4" w:space="0"/>
              <w:bottom w:val="single" w:color="auto" w:sz="4" w:space="0"/>
              <w:right w:val="single" w:color="auto" w:sz="4" w:space="0"/>
            </w:tcBorders>
            <w:vAlign w:val="center"/>
          </w:tcPr>
          <w:p w14:paraId="7AF50CE6">
            <w:pPr>
              <w:pStyle w:val="162"/>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kern w:val="2"/>
              </w:rPr>
            </w:pPr>
            <w:r>
              <w:rPr>
                <w:rFonts w:hint="eastAsia" w:ascii="宋体" w:hAnsi="宋体" w:eastAsia="宋体" w:cs="宋体"/>
                <w:kern w:val="2"/>
              </w:rPr>
              <w:t>无</w:t>
            </w:r>
          </w:p>
        </w:tc>
        <w:tc>
          <w:tcPr>
            <w:tcW w:w="718" w:type="pct"/>
            <w:tcBorders>
              <w:top w:val="single" w:color="auto" w:sz="4" w:space="0"/>
              <w:left w:val="single" w:color="auto" w:sz="4" w:space="0"/>
              <w:bottom w:val="single" w:color="auto" w:sz="4" w:space="0"/>
              <w:right w:val="single" w:color="auto" w:sz="4" w:space="0"/>
            </w:tcBorders>
            <w:vAlign w:val="center"/>
          </w:tcPr>
          <w:p w14:paraId="4BD4D83D">
            <w:pPr>
              <w:pStyle w:val="162"/>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kern w:val="2"/>
              </w:rPr>
            </w:pPr>
          </w:p>
        </w:tc>
      </w:tr>
      <w:tr w14:paraId="5DDF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4" w:type="pct"/>
            <w:tcBorders>
              <w:top w:val="single" w:color="auto" w:sz="4" w:space="0"/>
              <w:left w:val="single" w:color="auto" w:sz="4" w:space="0"/>
              <w:bottom w:val="single" w:color="auto" w:sz="4" w:space="0"/>
              <w:right w:val="single" w:color="auto" w:sz="4" w:space="0"/>
            </w:tcBorders>
            <w:vAlign w:val="center"/>
          </w:tcPr>
          <w:p w14:paraId="7A7424D3">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793" w:type="pct"/>
            <w:tcBorders>
              <w:top w:val="single" w:color="auto" w:sz="4" w:space="0"/>
              <w:left w:val="single" w:color="auto" w:sz="4" w:space="0"/>
              <w:bottom w:val="single" w:color="auto" w:sz="4" w:space="0"/>
              <w:right w:val="single" w:color="auto" w:sz="4" w:space="0"/>
            </w:tcBorders>
            <w:vAlign w:val="center"/>
          </w:tcPr>
          <w:p w14:paraId="74B47C9B">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付款条件</w:t>
            </w:r>
          </w:p>
        </w:tc>
        <w:tc>
          <w:tcPr>
            <w:tcW w:w="3054" w:type="pct"/>
            <w:tcBorders>
              <w:top w:val="single" w:color="auto" w:sz="4" w:space="0"/>
              <w:left w:val="single" w:color="auto" w:sz="4" w:space="0"/>
              <w:bottom w:val="single" w:color="auto" w:sz="4" w:space="0"/>
              <w:right w:val="single" w:color="auto" w:sz="4" w:space="0"/>
            </w:tcBorders>
            <w:vAlign w:val="center"/>
          </w:tcPr>
          <w:p w14:paraId="6B7658FE">
            <w:pPr>
              <w:keepNext w:val="0"/>
              <w:keepLines w:val="0"/>
              <w:pageBreakBefore w:val="0"/>
              <w:tabs>
                <w:tab w:val="left" w:pos="0"/>
                <w:tab w:val="left" w:pos="1134"/>
              </w:tabs>
              <w:kinsoku/>
              <w:wordWrap/>
              <w:overflowPunct/>
              <w:topLinePunct w:val="0"/>
              <w:bidi w:val="0"/>
              <w:adjustRightInd w:val="0"/>
              <w:spacing w:line="400" w:lineRule="exact"/>
              <w:ind w:left="0" w:right="0"/>
              <w:textAlignment w:val="auto"/>
              <w:rPr>
                <w:rFonts w:hint="eastAsia" w:ascii="宋体" w:hAnsi="宋体" w:eastAsia="宋体" w:cs="宋体"/>
                <w:szCs w:val="21"/>
              </w:rPr>
            </w:pPr>
            <w:r>
              <w:rPr>
                <w:rFonts w:hint="eastAsia" w:ascii="宋体" w:hAnsi="宋体" w:eastAsia="宋体" w:cs="宋体"/>
                <w:szCs w:val="21"/>
              </w:rPr>
              <w:t>1.合同生效且具备实施条件后7个工作日内，采购人向供应商支付合同金额的50%作为预付款。</w:t>
            </w:r>
          </w:p>
          <w:p w14:paraId="58AE7581">
            <w:pPr>
              <w:keepNext w:val="0"/>
              <w:keepLines w:val="0"/>
              <w:pageBreakBefore w:val="0"/>
              <w:tabs>
                <w:tab w:val="left" w:pos="0"/>
                <w:tab w:val="left" w:pos="1134"/>
              </w:tabs>
              <w:kinsoku/>
              <w:wordWrap/>
              <w:overflowPunct/>
              <w:topLinePunct w:val="0"/>
              <w:bidi w:val="0"/>
              <w:adjustRightInd w:val="0"/>
              <w:spacing w:line="400" w:lineRule="exact"/>
              <w:ind w:left="0" w:right="0"/>
              <w:textAlignment w:val="auto"/>
              <w:rPr>
                <w:rFonts w:hint="eastAsia" w:ascii="宋体" w:hAnsi="宋体" w:eastAsia="宋体" w:cs="宋体"/>
                <w:szCs w:val="21"/>
              </w:rPr>
            </w:pPr>
            <w:r>
              <w:rPr>
                <w:rFonts w:hint="eastAsia" w:ascii="宋体" w:hAnsi="宋体" w:eastAsia="宋体" w:cs="宋体"/>
                <w:szCs w:val="21"/>
              </w:rPr>
              <w:t>2.提交研究报告初稿，并经采购人审核后7个工作日内，支付合同金额的40%，；</w:t>
            </w:r>
          </w:p>
          <w:p w14:paraId="04480808">
            <w:pPr>
              <w:keepNext w:val="0"/>
              <w:keepLines w:val="0"/>
              <w:pageBreakBefore w:val="0"/>
              <w:tabs>
                <w:tab w:val="left" w:pos="0"/>
                <w:tab w:val="left" w:pos="1134"/>
              </w:tabs>
              <w:kinsoku/>
              <w:wordWrap/>
              <w:overflowPunct/>
              <w:topLinePunct w:val="0"/>
              <w:autoSpaceDE w:val="0"/>
              <w:autoSpaceDN w:val="0"/>
              <w:bidi w:val="0"/>
              <w:adjustRightInd w:val="0"/>
              <w:spacing w:line="400" w:lineRule="exact"/>
              <w:ind w:left="0" w:right="0"/>
              <w:textAlignment w:val="auto"/>
              <w:rPr>
                <w:rFonts w:hint="eastAsia" w:ascii="宋体" w:hAnsi="宋体" w:eastAsia="宋体" w:cs="宋体"/>
                <w:szCs w:val="21"/>
              </w:rPr>
            </w:pPr>
            <w:r>
              <w:rPr>
                <w:rFonts w:hint="eastAsia" w:ascii="宋体" w:hAnsi="宋体" w:eastAsia="宋体" w:cs="宋体"/>
                <w:szCs w:val="21"/>
              </w:rPr>
              <w:t>3.报告经专家评审通过，并根据专家评审意见修改完善形成最终稿以及决策建议稿后7个工作日内，支付合同金额的10%</w:t>
            </w:r>
          </w:p>
        </w:tc>
        <w:tc>
          <w:tcPr>
            <w:tcW w:w="718" w:type="pct"/>
            <w:tcBorders>
              <w:top w:val="single" w:color="auto" w:sz="4" w:space="0"/>
              <w:left w:val="single" w:color="auto" w:sz="4" w:space="0"/>
              <w:bottom w:val="single" w:color="auto" w:sz="4" w:space="0"/>
              <w:right w:val="single" w:color="auto" w:sz="4" w:space="0"/>
            </w:tcBorders>
            <w:vAlign w:val="center"/>
          </w:tcPr>
          <w:p w14:paraId="67DADEA4">
            <w:pPr>
              <w:keepNext w:val="0"/>
              <w:keepLines w:val="0"/>
              <w:pageBreakBefore w:val="0"/>
              <w:tabs>
                <w:tab w:val="left" w:pos="0"/>
                <w:tab w:val="left" w:pos="1134"/>
              </w:tabs>
              <w:kinsoku/>
              <w:wordWrap/>
              <w:overflowPunct/>
              <w:topLinePunct w:val="0"/>
              <w:autoSpaceDE w:val="0"/>
              <w:autoSpaceDN w:val="0"/>
              <w:bidi w:val="0"/>
              <w:adjustRightInd w:val="0"/>
              <w:spacing w:line="400" w:lineRule="exact"/>
              <w:ind w:left="0" w:right="0"/>
              <w:textAlignment w:val="auto"/>
              <w:rPr>
                <w:rFonts w:hint="eastAsia" w:ascii="宋体" w:hAnsi="宋体" w:eastAsia="宋体" w:cs="宋体"/>
                <w:szCs w:val="21"/>
              </w:rPr>
            </w:pPr>
          </w:p>
        </w:tc>
      </w:tr>
      <w:tr w14:paraId="0389B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34" w:type="pct"/>
            <w:tcBorders>
              <w:top w:val="single" w:color="auto" w:sz="4" w:space="0"/>
              <w:left w:val="single" w:color="auto" w:sz="4" w:space="0"/>
              <w:bottom w:val="single" w:color="auto" w:sz="4" w:space="0"/>
              <w:right w:val="single" w:color="auto" w:sz="4" w:space="0"/>
            </w:tcBorders>
            <w:vAlign w:val="center"/>
          </w:tcPr>
          <w:p w14:paraId="0EDAF114">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93" w:type="pct"/>
            <w:tcBorders>
              <w:top w:val="single" w:color="auto" w:sz="4" w:space="0"/>
              <w:left w:val="single" w:color="auto" w:sz="4" w:space="0"/>
              <w:bottom w:val="single" w:color="auto" w:sz="4" w:space="0"/>
              <w:right w:val="single" w:color="auto" w:sz="4" w:space="0"/>
            </w:tcBorders>
            <w:vAlign w:val="center"/>
          </w:tcPr>
          <w:p w14:paraId="5CD92F4B">
            <w:pPr>
              <w:keepNext w:val="0"/>
              <w:keepLines w:val="0"/>
              <w:pageBreakBefore w:val="0"/>
              <w:kinsoku/>
              <w:wordWrap/>
              <w:overflowPunct/>
              <w:topLinePunct w:val="0"/>
              <w:bidi w:val="0"/>
              <w:snapToGrid w:val="0"/>
              <w:spacing w:line="400" w:lineRule="exact"/>
              <w:ind w:left="0" w:right="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合同签订</w:t>
            </w:r>
          </w:p>
        </w:tc>
        <w:tc>
          <w:tcPr>
            <w:tcW w:w="3054" w:type="pct"/>
            <w:tcBorders>
              <w:top w:val="single" w:color="auto" w:sz="4" w:space="0"/>
              <w:left w:val="single" w:color="auto" w:sz="4" w:space="0"/>
              <w:bottom w:val="single" w:color="auto" w:sz="4" w:space="0"/>
              <w:right w:val="single" w:color="auto" w:sz="4" w:space="0"/>
            </w:tcBorders>
            <w:vAlign w:val="center"/>
          </w:tcPr>
          <w:p w14:paraId="0149B5B8">
            <w:pPr>
              <w:keepNext w:val="0"/>
              <w:keepLines w:val="0"/>
              <w:pageBreakBefore w:val="0"/>
              <w:tabs>
                <w:tab w:val="left" w:pos="0"/>
                <w:tab w:val="left" w:pos="1134"/>
              </w:tabs>
              <w:kinsoku/>
              <w:wordWrap/>
              <w:overflowPunct/>
              <w:topLinePunct w:val="0"/>
              <w:bidi w:val="0"/>
              <w:adjustRightInd w:val="0"/>
              <w:spacing w:line="400" w:lineRule="exact"/>
              <w:ind w:left="0" w:right="0"/>
              <w:textAlignment w:val="auto"/>
              <w:rPr>
                <w:rFonts w:hint="eastAsia" w:ascii="宋体" w:hAnsi="宋体" w:eastAsia="宋体" w:cs="宋体"/>
                <w:szCs w:val="21"/>
                <w:lang w:eastAsia="zh-CN"/>
              </w:rPr>
            </w:pPr>
            <w:r>
              <w:rPr>
                <w:rFonts w:hint="eastAsia" w:ascii="宋体" w:hAnsi="宋体" w:eastAsia="宋体" w:cs="宋体"/>
                <w:szCs w:val="21"/>
              </w:rPr>
              <w:t>确定成交通知书发出后30日内</w:t>
            </w:r>
            <w:r>
              <w:rPr>
                <w:rFonts w:hint="eastAsia" w:ascii="宋体" w:hAnsi="宋体" w:eastAsia="宋体" w:cs="宋体"/>
                <w:szCs w:val="21"/>
                <w:lang w:eastAsia="zh-CN"/>
              </w:rPr>
              <w:t>。</w:t>
            </w:r>
          </w:p>
        </w:tc>
        <w:tc>
          <w:tcPr>
            <w:tcW w:w="718" w:type="pct"/>
            <w:tcBorders>
              <w:top w:val="single" w:color="auto" w:sz="4" w:space="0"/>
              <w:left w:val="single" w:color="auto" w:sz="4" w:space="0"/>
              <w:bottom w:val="single" w:color="auto" w:sz="4" w:space="0"/>
              <w:right w:val="single" w:color="auto" w:sz="4" w:space="0"/>
            </w:tcBorders>
            <w:vAlign w:val="center"/>
          </w:tcPr>
          <w:p w14:paraId="49200A91">
            <w:pPr>
              <w:keepNext w:val="0"/>
              <w:keepLines w:val="0"/>
              <w:pageBreakBefore w:val="0"/>
              <w:tabs>
                <w:tab w:val="left" w:pos="0"/>
                <w:tab w:val="left" w:pos="1134"/>
              </w:tabs>
              <w:kinsoku/>
              <w:wordWrap/>
              <w:overflowPunct/>
              <w:topLinePunct w:val="0"/>
              <w:bidi w:val="0"/>
              <w:adjustRightInd w:val="0"/>
              <w:spacing w:line="400" w:lineRule="exact"/>
              <w:ind w:left="0" w:right="0"/>
              <w:textAlignment w:val="auto"/>
              <w:rPr>
                <w:rFonts w:hint="eastAsia" w:ascii="宋体" w:hAnsi="宋体" w:eastAsia="宋体" w:cs="宋体"/>
                <w:szCs w:val="21"/>
              </w:rPr>
            </w:pPr>
          </w:p>
        </w:tc>
      </w:tr>
      <w:bookmarkEnd w:id="47"/>
    </w:tbl>
    <w:p w14:paraId="441CB124">
      <w:pPr>
        <w:widowControl/>
        <w:jc w:val="left"/>
        <w:rPr>
          <w:rFonts w:hint="eastAsia" w:ascii="宋体" w:hAnsi="宋体" w:eastAsia="宋体" w:cs="宋体"/>
          <w:b/>
          <w:sz w:val="30"/>
          <w:szCs w:val="30"/>
        </w:rPr>
      </w:pPr>
      <w:bookmarkStart w:id="49" w:name="_Toc21541025"/>
      <w:bookmarkStart w:id="50" w:name="_Hlk35437268"/>
      <w:bookmarkStart w:id="51" w:name="_Toc462179384"/>
      <w:bookmarkStart w:id="52" w:name="_Toc462213337"/>
      <w:bookmarkStart w:id="53" w:name="_Toc404941777"/>
      <w:bookmarkStart w:id="54" w:name="_Toc462213263"/>
      <w:r>
        <w:rPr>
          <w:rFonts w:hint="eastAsia" w:ascii="宋体" w:hAnsi="宋体" w:eastAsia="宋体" w:cs="宋体"/>
          <w:b/>
          <w:sz w:val="30"/>
          <w:szCs w:val="30"/>
        </w:rPr>
        <w:br w:type="page"/>
      </w:r>
    </w:p>
    <w:p w14:paraId="6C840EE5">
      <w:pPr>
        <w:spacing w:before="240" w:beforeLines="100" w:after="120" w:afterLines="50" w:line="500" w:lineRule="exact"/>
        <w:jc w:val="center"/>
        <w:outlineLvl w:val="0"/>
        <w:rPr>
          <w:rFonts w:hint="eastAsia" w:ascii="宋体" w:hAnsi="宋体" w:eastAsia="宋体" w:cs="宋体"/>
          <w:b/>
          <w:sz w:val="32"/>
        </w:rPr>
      </w:pPr>
      <w:bookmarkStart w:id="55" w:name="_Toc6896"/>
      <w:r>
        <w:rPr>
          <w:rFonts w:hint="eastAsia" w:ascii="宋体" w:hAnsi="宋体" w:eastAsia="宋体" w:cs="宋体"/>
          <w:b/>
          <w:sz w:val="30"/>
          <w:szCs w:val="30"/>
        </w:rPr>
        <w:t>第七章附件</w:t>
      </w:r>
      <w:bookmarkEnd w:id="49"/>
      <w:bookmarkEnd w:id="55"/>
    </w:p>
    <w:p w14:paraId="5FEF0FEB">
      <w:pPr>
        <w:autoSpaceDE w:val="0"/>
        <w:autoSpaceDN w:val="0"/>
        <w:adjustRightInd w:val="0"/>
        <w:spacing w:before="960" w:beforeLines="400" w:line="420" w:lineRule="exact"/>
        <w:jc w:val="center"/>
        <w:rPr>
          <w:rStyle w:val="110"/>
          <w:rFonts w:hint="eastAsia" w:ascii="宋体" w:hAnsi="宋体" w:eastAsia="宋体" w:cs="宋体"/>
          <w:sz w:val="32"/>
          <w:szCs w:val="32"/>
        </w:rPr>
      </w:pPr>
      <w:r>
        <w:rPr>
          <w:rStyle w:val="110"/>
          <w:rFonts w:hint="eastAsia" w:ascii="宋体" w:hAnsi="宋体" w:eastAsia="宋体" w:cs="宋体"/>
          <w:sz w:val="32"/>
          <w:szCs w:val="32"/>
        </w:rPr>
        <w:t>A.资格文件</w:t>
      </w:r>
    </w:p>
    <w:p w14:paraId="1474BCF6">
      <w:pPr>
        <w:spacing w:line="360" w:lineRule="auto"/>
        <w:ind w:firstLine="1120" w:firstLineChars="400"/>
        <w:rPr>
          <w:rFonts w:hint="eastAsia" w:ascii="宋体" w:hAnsi="宋体" w:eastAsia="宋体" w:cs="宋体"/>
          <w:sz w:val="28"/>
        </w:rPr>
      </w:pPr>
    </w:p>
    <w:p w14:paraId="6AE928DC">
      <w:pPr>
        <w:spacing w:line="360" w:lineRule="auto"/>
        <w:rPr>
          <w:rFonts w:hint="eastAsia" w:ascii="宋体" w:hAnsi="宋体" w:eastAsia="宋体" w:cs="宋体"/>
          <w:b/>
          <w:sz w:val="32"/>
          <w:szCs w:val="32"/>
        </w:rPr>
      </w:pPr>
      <w:r>
        <w:rPr>
          <w:rFonts w:hint="eastAsia" w:ascii="宋体" w:hAnsi="宋体" w:eastAsia="宋体" w:cs="宋体"/>
          <w:sz w:val="28"/>
        </w:rPr>
        <w:br w:type="page"/>
      </w:r>
      <w:r>
        <w:rPr>
          <w:rFonts w:hint="eastAsia" w:ascii="宋体" w:hAnsi="宋体" w:eastAsia="宋体" w:cs="宋体"/>
          <w:b/>
          <w:sz w:val="32"/>
          <w:szCs w:val="32"/>
        </w:rPr>
        <w:t>封面</w:t>
      </w:r>
    </w:p>
    <w:p w14:paraId="0A8E76AE">
      <w:pPr>
        <w:spacing w:line="360" w:lineRule="auto"/>
        <w:rPr>
          <w:rFonts w:hint="eastAsia" w:ascii="宋体" w:hAnsi="宋体" w:eastAsia="宋体" w:cs="宋体"/>
          <w:b/>
          <w:sz w:val="32"/>
          <w:szCs w:val="32"/>
        </w:rPr>
      </w:pPr>
    </w:p>
    <w:p w14:paraId="47C9AD21">
      <w:pPr>
        <w:spacing w:line="360" w:lineRule="auto"/>
        <w:rPr>
          <w:rFonts w:hint="eastAsia" w:ascii="宋体" w:hAnsi="宋体" w:eastAsia="宋体" w:cs="宋体"/>
          <w:sz w:val="28"/>
          <w:szCs w:val="28"/>
        </w:rPr>
      </w:pPr>
    </w:p>
    <w:p w14:paraId="7896A071">
      <w:pPr>
        <w:spacing w:after="120" w:line="1000" w:lineRule="exact"/>
        <w:ind w:left="-6" w:leftChars="-67" w:right="-111" w:rightChars="-53" w:hanging="135" w:hangingChars="28"/>
        <w:jc w:val="center"/>
        <w:rPr>
          <w:rFonts w:hint="eastAsia" w:ascii="宋体" w:hAnsi="宋体" w:eastAsia="宋体" w:cs="宋体"/>
          <w:b/>
          <w:sz w:val="48"/>
          <w:szCs w:val="52"/>
        </w:rPr>
      </w:pPr>
      <w:r>
        <w:rPr>
          <w:rFonts w:hint="eastAsia" w:ascii="宋体" w:hAnsi="宋体" w:eastAsia="宋体" w:cs="宋体"/>
          <w:b/>
          <w:sz w:val="48"/>
          <w:szCs w:val="52"/>
        </w:rPr>
        <w:t>大榭片区“十五五”发展规划项目</w:t>
      </w:r>
    </w:p>
    <w:p w14:paraId="15AE83D2">
      <w:pPr>
        <w:spacing w:line="360" w:lineRule="auto"/>
        <w:jc w:val="center"/>
        <w:rPr>
          <w:rFonts w:hint="eastAsia" w:ascii="宋体" w:hAnsi="宋体" w:eastAsia="宋体" w:cs="宋体"/>
          <w:sz w:val="36"/>
          <w:szCs w:val="36"/>
        </w:rPr>
      </w:pPr>
    </w:p>
    <w:p w14:paraId="33C8EBDA">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u w:val="single"/>
        </w:rPr>
        <w:t>NBITC-202530001GC-BL</w:t>
      </w:r>
      <w:r>
        <w:rPr>
          <w:rFonts w:hint="eastAsia" w:ascii="宋体" w:hAnsi="宋体" w:cs="宋体"/>
          <w:sz w:val="36"/>
          <w:szCs w:val="36"/>
          <w:u w:val="single"/>
          <w:lang w:val="en-US" w:eastAsia="zh-CN"/>
        </w:rPr>
        <w:t>007</w:t>
      </w:r>
    </w:p>
    <w:p w14:paraId="2D488A47">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标项：</w:t>
      </w:r>
      <w:r>
        <w:rPr>
          <w:rFonts w:hint="eastAsia" w:ascii="宋体" w:hAnsi="宋体" w:eastAsia="宋体" w:cs="宋体"/>
          <w:sz w:val="36"/>
          <w:szCs w:val="36"/>
          <w:u w:val="single"/>
        </w:rPr>
        <w:t>（如有多个标项）</w:t>
      </w:r>
    </w:p>
    <w:p w14:paraId="58836C27">
      <w:pPr>
        <w:rPr>
          <w:rFonts w:hint="eastAsia" w:ascii="宋体" w:hAnsi="宋体" w:eastAsia="宋体" w:cs="宋体"/>
          <w:sz w:val="28"/>
          <w:szCs w:val="28"/>
        </w:rPr>
      </w:pPr>
    </w:p>
    <w:p w14:paraId="0D6F3F34">
      <w:pPr>
        <w:spacing w:line="360" w:lineRule="auto"/>
        <w:jc w:val="center"/>
        <w:rPr>
          <w:rFonts w:hint="eastAsia" w:ascii="宋体" w:hAnsi="宋体" w:eastAsia="宋体" w:cs="宋体"/>
          <w:sz w:val="36"/>
          <w:szCs w:val="36"/>
        </w:rPr>
      </w:pPr>
      <w:r>
        <w:rPr>
          <w:rFonts w:hint="eastAsia" w:ascii="宋体" w:hAnsi="宋体" w:eastAsia="宋体" w:cs="宋体"/>
          <w:sz w:val="36"/>
          <w:szCs w:val="36"/>
        </w:rPr>
        <w:t>（资格文件）</w:t>
      </w:r>
    </w:p>
    <w:p w14:paraId="1E9D8ED8">
      <w:pPr>
        <w:jc w:val="center"/>
        <w:rPr>
          <w:rFonts w:hint="eastAsia" w:ascii="宋体" w:hAnsi="宋体" w:eastAsia="宋体" w:cs="宋体"/>
          <w:sz w:val="28"/>
          <w:szCs w:val="28"/>
        </w:rPr>
      </w:pPr>
    </w:p>
    <w:p w14:paraId="62D7497C">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磋商响应文件</w:t>
      </w:r>
    </w:p>
    <w:p w14:paraId="35CF5582">
      <w:pPr>
        <w:spacing w:line="360" w:lineRule="auto"/>
        <w:jc w:val="center"/>
        <w:rPr>
          <w:rFonts w:hint="eastAsia" w:ascii="宋体" w:hAnsi="宋体" w:eastAsia="宋体" w:cs="宋体"/>
          <w:sz w:val="36"/>
          <w:szCs w:val="36"/>
        </w:rPr>
      </w:pPr>
    </w:p>
    <w:p w14:paraId="03CAFBDE">
      <w:pPr>
        <w:spacing w:line="360" w:lineRule="auto"/>
        <w:jc w:val="center"/>
        <w:rPr>
          <w:rFonts w:hint="eastAsia" w:ascii="宋体" w:hAnsi="宋体" w:eastAsia="宋体" w:cs="宋体"/>
          <w:sz w:val="36"/>
          <w:szCs w:val="36"/>
        </w:rPr>
      </w:pPr>
    </w:p>
    <w:p w14:paraId="77ECFCE5">
      <w:pPr>
        <w:spacing w:line="360" w:lineRule="auto"/>
        <w:jc w:val="center"/>
        <w:rPr>
          <w:rFonts w:hint="eastAsia" w:ascii="宋体" w:hAnsi="宋体" w:eastAsia="宋体" w:cs="宋体"/>
          <w:sz w:val="36"/>
          <w:szCs w:val="36"/>
        </w:rPr>
      </w:pPr>
    </w:p>
    <w:p w14:paraId="4AEE9337">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（加盖单位公章）</w:t>
      </w:r>
    </w:p>
    <w:p w14:paraId="5D23A8FF">
      <w:pPr>
        <w:pStyle w:val="28"/>
        <w:ind w:left="101" w:leftChars="48" w:firstLine="1920" w:firstLineChars="800"/>
        <w:jc w:val="left"/>
        <w:rPr>
          <w:rFonts w:hint="eastAsia" w:ascii="宋体" w:hAnsi="宋体" w:eastAsia="宋体" w:cs="宋体"/>
          <w:kern w:val="2"/>
          <w:szCs w:val="28"/>
          <w:u w:val="single"/>
        </w:rPr>
      </w:pPr>
    </w:p>
    <w:p w14:paraId="52DACCD2">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月</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日</w:t>
      </w:r>
    </w:p>
    <w:p w14:paraId="0A25E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Cs w:val="21"/>
        </w:rPr>
      </w:pPr>
      <w:r>
        <w:rPr>
          <w:rStyle w:val="110"/>
          <w:rFonts w:hint="eastAsia" w:ascii="宋体" w:hAnsi="宋体" w:eastAsia="宋体" w:cs="宋体"/>
          <w:szCs w:val="21"/>
        </w:rPr>
        <w:br w:type="page"/>
      </w:r>
      <w:r>
        <w:rPr>
          <w:rFonts w:hint="eastAsia" w:ascii="宋体" w:hAnsi="宋体" w:eastAsia="宋体" w:cs="宋体"/>
          <w:b/>
          <w:szCs w:val="21"/>
        </w:rPr>
        <w:t>A1</w:t>
      </w:r>
      <w:r>
        <w:rPr>
          <w:rFonts w:hint="eastAsia" w:ascii="宋体" w:hAnsi="宋体" w:eastAsia="宋体" w:cs="宋体"/>
          <w:b/>
          <w:szCs w:val="21"/>
          <w:lang w:val="en-US" w:eastAsia="zh-CN"/>
        </w:rPr>
        <w:t>.</w:t>
      </w:r>
      <w:r>
        <w:rPr>
          <w:rFonts w:hint="eastAsia" w:ascii="宋体" w:hAnsi="宋体" w:eastAsia="宋体" w:cs="宋体"/>
          <w:b/>
          <w:szCs w:val="21"/>
        </w:rPr>
        <w:t>关于资格的承诺函</w:t>
      </w:r>
    </w:p>
    <w:p w14:paraId="074782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rPr>
      </w:pPr>
      <w:r>
        <w:rPr>
          <w:rFonts w:hint="eastAsia" w:ascii="宋体" w:hAnsi="宋体" w:eastAsia="宋体" w:cs="宋体"/>
        </w:rPr>
        <w:t>致：采购人</w:t>
      </w:r>
    </w:p>
    <w:p w14:paraId="2D1E9D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bCs/>
        </w:rPr>
        <w:t>我单位承诺：</w:t>
      </w:r>
    </w:p>
    <w:p w14:paraId="3BEDF6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我单位满足《中华人民共和国政府采购法》第二十二条供应商参加政府采购活动应当具备的下列条件：</w:t>
      </w:r>
    </w:p>
    <w:p w14:paraId="48F7BD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（一）具有独立承担民事责任的能力；</w:t>
      </w:r>
    </w:p>
    <w:p w14:paraId="5AC36D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（二）具有良好的商业信誉和健全的财务会计制度；</w:t>
      </w:r>
    </w:p>
    <w:p w14:paraId="468986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（三）具有履行合同所必需的设备和专业技术能力；</w:t>
      </w:r>
    </w:p>
    <w:p w14:paraId="16556D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（四）有依法缴纳税收和社会保障资金的良好记录；</w:t>
      </w:r>
    </w:p>
    <w:p w14:paraId="216957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（五）参加政府采购活动前三年内，在经营活动中没有重大违法记录；</w:t>
      </w:r>
    </w:p>
    <w:p w14:paraId="0BD1E4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（六）法律、行政法规规定的其他条件。</w:t>
      </w:r>
    </w:p>
    <w:p w14:paraId="1C81F4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p>
    <w:p w14:paraId="142DB0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特此承诺。</w:t>
      </w:r>
    </w:p>
    <w:p w14:paraId="51B89838">
      <w:pPr>
        <w:pStyle w:val="21"/>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p>
    <w:p w14:paraId="719AD6C4">
      <w:pPr>
        <w:pStyle w:val="21"/>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供应商全称（盖章）：</w:t>
      </w:r>
    </w:p>
    <w:p w14:paraId="2C29F862">
      <w:pPr>
        <w:pStyle w:val="21"/>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1"/>
          <w:szCs w:val="21"/>
        </w:rPr>
      </w:pPr>
      <w:r>
        <w:rPr>
          <w:rFonts w:hint="eastAsia" w:ascii="宋体" w:hAnsi="宋体" w:eastAsia="宋体" w:cs="宋体"/>
          <w:sz w:val="21"/>
          <w:szCs w:val="21"/>
        </w:rPr>
        <w:t>法定代表人（单位负责人）或委托代理人签字：</w:t>
      </w:r>
    </w:p>
    <w:p w14:paraId="00F6EDD0">
      <w:pPr>
        <w:pStyle w:val="21"/>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30C04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CA47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Cs w:val="21"/>
          <w:lang w:val="en-US" w:eastAsia="zh-CN"/>
        </w:rPr>
      </w:pPr>
      <w:r>
        <w:rPr>
          <w:rStyle w:val="110"/>
          <w:rFonts w:hint="eastAsia" w:ascii="宋体" w:hAnsi="宋体" w:eastAsia="宋体" w:cs="宋体"/>
          <w:szCs w:val="21"/>
        </w:rPr>
        <w:br w:type="page"/>
      </w:r>
      <w:r>
        <w:rPr>
          <w:rFonts w:hint="eastAsia" w:ascii="宋体" w:hAnsi="宋体" w:eastAsia="宋体" w:cs="宋体"/>
          <w:b/>
          <w:szCs w:val="21"/>
        </w:rPr>
        <w:t>A2.营业执照副本（或事业法人登记证副本或其他登记证明材料）复印件加盖供应商公章（供应商如果有名称变更的，应提供由行政主管部门出具的变更证明文件复印件加盖供应商公章）</w:t>
      </w:r>
      <w:r>
        <w:rPr>
          <w:rFonts w:hint="eastAsia" w:ascii="宋体" w:hAnsi="宋体" w:eastAsia="宋体" w:cs="宋体"/>
          <w:b/>
          <w:szCs w:val="21"/>
          <w:lang w:eastAsia="zh-CN"/>
        </w:rPr>
        <w:t>。</w:t>
      </w:r>
    </w:p>
    <w:p w14:paraId="121F8F8A">
      <w:pPr>
        <w:rPr>
          <w:rFonts w:hint="eastAsia" w:ascii="宋体" w:hAnsi="宋体" w:eastAsia="宋体" w:cs="宋体"/>
          <w:b/>
          <w:sz w:val="32"/>
          <w:szCs w:val="32"/>
        </w:rPr>
      </w:pPr>
      <w:r>
        <w:rPr>
          <w:rFonts w:hint="eastAsia" w:ascii="宋体" w:hAnsi="宋体" w:eastAsia="宋体" w:cs="宋体"/>
          <w:b/>
          <w:sz w:val="32"/>
          <w:szCs w:val="32"/>
        </w:rPr>
        <w:br w:type="page"/>
      </w:r>
    </w:p>
    <w:p w14:paraId="6085E958">
      <w:pPr>
        <w:spacing w:line="360" w:lineRule="auto"/>
        <w:rPr>
          <w:rFonts w:hint="eastAsia" w:ascii="宋体" w:hAnsi="宋体" w:eastAsia="宋体" w:cs="宋体"/>
          <w:b/>
          <w:sz w:val="32"/>
          <w:szCs w:val="32"/>
        </w:rPr>
      </w:pPr>
      <w:r>
        <w:rPr>
          <w:rFonts w:hint="eastAsia" w:ascii="宋体" w:hAnsi="宋体" w:eastAsia="宋体" w:cs="宋体"/>
          <w:b/>
          <w:sz w:val="32"/>
          <w:szCs w:val="32"/>
        </w:rPr>
        <w:t>封面</w:t>
      </w:r>
    </w:p>
    <w:p w14:paraId="07039DE3">
      <w:pPr>
        <w:spacing w:line="360" w:lineRule="auto"/>
        <w:rPr>
          <w:rFonts w:hint="eastAsia" w:ascii="宋体" w:hAnsi="宋体" w:eastAsia="宋体" w:cs="宋体"/>
          <w:b/>
          <w:sz w:val="32"/>
          <w:szCs w:val="32"/>
        </w:rPr>
      </w:pPr>
    </w:p>
    <w:p w14:paraId="7485AC2A">
      <w:pPr>
        <w:spacing w:line="360" w:lineRule="auto"/>
        <w:rPr>
          <w:rFonts w:hint="eastAsia" w:ascii="宋体" w:hAnsi="宋体" w:eastAsia="宋体" w:cs="宋体"/>
          <w:sz w:val="28"/>
          <w:szCs w:val="28"/>
        </w:rPr>
      </w:pPr>
    </w:p>
    <w:p w14:paraId="0FB4D339">
      <w:pPr>
        <w:spacing w:after="120" w:line="1000" w:lineRule="exact"/>
        <w:ind w:left="-6" w:leftChars="-67" w:right="-111" w:rightChars="-53" w:hanging="135" w:hangingChars="28"/>
        <w:jc w:val="center"/>
        <w:rPr>
          <w:rFonts w:hint="eastAsia" w:ascii="宋体" w:hAnsi="宋体" w:eastAsia="宋体" w:cs="宋体"/>
          <w:b/>
          <w:sz w:val="48"/>
          <w:szCs w:val="52"/>
        </w:rPr>
      </w:pPr>
      <w:r>
        <w:rPr>
          <w:rFonts w:hint="eastAsia" w:ascii="宋体" w:hAnsi="宋体" w:eastAsia="宋体" w:cs="宋体"/>
          <w:b/>
          <w:sz w:val="48"/>
          <w:szCs w:val="52"/>
        </w:rPr>
        <w:t>大榭片区“十五五”发展规划项目</w:t>
      </w:r>
    </w:p>
    <w:p w14:paraId="4795B821">
      <w:pPr>
        <w:spacing w:line="360" w:lineRule="auto"/>
        <w:jc w:val="center"/>
        <w:rPr>
          <w:rFonts w:hint="eastAsia" w:ascii="宋体" w:hAnsi="宋体" w:eastAsia="宋体" w:cs="宋体"/>
          <w:sz w:val="36"/>
          <w:szCs w:val="36"/>
        </w:rPr>
      </w:pPr>
    </w:p>
    <w:p w14:paraId="1E4DA692">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u w:val="single"/>
        </w:rPr>
        <w:t>NBITC-202530001GC-BL</w:t>
      </w:r>
      <w:r>
        <w:rPr>
          <w:rFonts w:hint="eastAsia" w:ascii="宋体" w:hAnsi="宋体" w:cs="宋体"/>
          <w:sz w:val="36"/>
          <w:szCs w:val="36"/>
          <w:u w:val="single"/>
          <w:lang w:val="en-US" w:eastAsia="zh-CN"/>
        </w:rPr>
        <w:t>007</w:t>
      </w:r>
    </w:p>
    <w:p w14:paraId="6F16D134">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标项：</w:t>
      </w:r>
      <w:r>
        <w:rPr>
          <w:rFonts w:hint="eastAsia" w:ascii="宋体" w:hAnsi="宋体" w:eastAsia="宋体" w:cs="宋体"/>
          <w:sz w:val="36"/>
          <w:szCs w:val="36"/>
          <w:u w:val="single"/>
        </w:rPr>
        <w:t>（如有多个标项）</w:t>
      </w:r>
    </w:p>
    <w:p w14:paraId="3E152FA1">
      <w:pPr>
        <w:rPr>
          <w:rFonts w:hint="eastAsia" w:ascii="宋体" w:hAnsi="宋体" w:eastAsia="宋体" w:cs="宋体"/>
          <w:sz w:val="28"/>
          <w:szCs w:val="28"/>
        </w:rPr>
      </w:pPr>
    </w:p>
    <w:p w14:paraId="36F3E93B">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（商务和技术文件）</w:t>
      </w:r>
    </w:p>
    <w:p w14:paraId="7587D5E9">
      <w:pPr>
        <w:jc w:val="center"/>
        <w:rPr>
          <w:rFonts w:hint="eastAsia" w:ascii="宋体" w:hAnsi="宋体" w:eastAsia="宋体" w:cs="宋体"/>
          <w:sz w:val="28"/>
          <w:szCs w:val="28"/>
        </w:rPr>
      </w:pPr>
    </w:p>
    <w:p w14:paraId="5DD12A51">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磋商响应文件</w:t>
      </w:r>
    </w:p>
    <w:p w14:paraId="365222E6">
      <w:pPr>
        <w:spacing w:line="360" w:lineRule="auto"/>
        <w:jc w:val="center"/>
        <w:rPr>
          <w:rFonts w:hint="eastAsia" w:ascii="宋体" w:hAnsi="宋体" w:eastAsia="宋体" w:cs="宋体"/>
          <w:sz w:val="36"/>
          <w:szCs w:val="36"/>
        </w:rPr>
      </w:pPr>
    </w:p>
    <w:p w14:paraId="637430A7">
      <w:pPr>
        <w:spacing w:line="360" w:lineRule="auto"/>
        <w:jc w:val="center"/>
        <w:rPr>
          <w:rFonts w:hint="eastAsia" w:ascii="宋体" w:hAnsi="宋体" w:eastAsia="宋体" w:cs="宋体"/>
          <w:sz w:val="36"/>
          <w:szCs w:val="36"/>
        </w:rPr>
      </w:pPr>
    </w:p>
    <w:p w14:paraId="5E9B36E6">
      <w:pPr>
        <w:spacing w:line="360" w:lineRule="auto"/>
        <w:jc w:val="center"/>
        <w:rPr>
          <w:rFonts w:hint="eastAsia" w:ascii="宋体" w:hAnsi="宋体" w:eastAsia="宋体" w:cs="宋体"/>
          <w:sz w:val="36"/>
          <w:szCs w:val="36"/>
        </w:rPr>
      </w:pPr>
    </w:p>
    <w:p w14:paraId="58FE6CF5">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（加盖单位公章）</w:t>
      </w:r>
    </w:p>
    <w:p w14:paraId="2AE6642E">
      <w:pPr>
        <w:pStyle w:val="28"/>
        <w:ind w:left="101" w:leftChars="48" w:firstLine="1920" w:firstLineChars="800"/>
        <w:jc w:val="left"/>
        <w:rPr>
          <w:rFonts w:hint="eastAsia" w:ascii="宋体" w:hAnsi="宋体" w:eastAsia="宋体" w:cs="宋体"/>
          <w:kern w:val="2"/>
          <w:szCs w:val="28"/>
          <w:u w:val="single"/>
        </w:rPr>
      </w:pPr>
    </w:p>
    <w:p w14:paraId="57A3DE76">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月</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日</w:t>
      </w:r>
    </w:p>
    <w:p w14:paraId="002876BE">
      <w:pPr>
        <w:pStyle w:val="44"/>
        <w:keepNext w:val="0"/>
        <w:keepLines w:val="0"/>
        <w:pageBreakBefore w:val="0"/>
        <w:kinsoku/>
        <w:wordWrap/>
        <w:overflowPunct/>
        <w:topLinePunct w:val="0"/>
        <w:autoSpaceDE/>
        <w:autoSpaceDN/>
        <w:bidi w:val="0"/>
        <w:adjustRightInd/>
        <w:spacing w:before="0" w:beforeAutospacing="0" w:after="0" w:afterAutospacing="0" w:line="400" w:lineRule="exact"/>
        <w:ind w:right="0"/>
        <w:jc w:val="center"/>
        <w:textAlignment w:val="auto"/>
        <w:rPr>
          <w:rFonts w:hint="eastAsia" w:ascii="宋体" w:hAnsi="宋体" w:eastAsia="宋体" w:cs="宋体"/>
          <w:b/>
          <w:sz w:val="21"/>
          <w:szCs w:val="21"/>
        </w:rPr>
      </w:pPr>
      <w:r>
        <w:rPr>
          <w:rStyle w:val="110"/>
          <w:rFonts w:hint="eastAsia" w:ascii="宋体" w:hAnsi="宋体" w:eastAsia="宋体" w:cs="宋体"/>
          <w:sz w:val="21"/>
          <w:szCs w:val="21"/>
        </w:rPr>
        <w:br w:type="page"/>
      </w:r>
      <w:r>
        <w:rPr>
          <w:rFonts w:hint="eastAsia" w:ascii="宋体" w:hAnsi="宋体" w:eastAsia="宋体" w:cs="宋体"/>
          <w:b/>
          <w:sz w:val="21"/>
          <w:szCs w:val="21"/>
        </w:rPr>
        <w:t>B1.磋商函</w:t>
      </w:r>
    </w:p>
    <w:p w14:paraId="6742B352">
      <w:pPr>
        <w:keepNext w:val="0"/>
        <w:keepLines w:val="0"/>
        <w:pageBreakBefore w:val="0"/>
        <w:kinsoku/>
        <w:wordWrap/>
        <w:overflowPunct/>
        <w:topLinePunct w:val="0"/>
        <w:autoSpaceDE/>
        <w:autoSpaceDN/>
        <w:bidi w:val="0"/>
        <w:adjustRightInd/>
        <w:spacing w:line="400" w:lineRule="exact"/>
        <w:ind w:right="0"/>
        <w:textAlignment w:val="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宁波市国际招标有限公司</w:t>
      </w:r>
    </w:p>
    <w:p w14:paraId="13E7E5A3">
      <w:pPr>
        <w:keepNext w:val="0"/>
        <w:keepLines w:val="0"/>
        <w:pageBreakBefore w:val="0"/>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u w:val="single"/>
        </w:rPr>
        <w:t>（供应商全称）　</w:t>
      </w:r>
      <w:r>
        <w:rPr>
          <w:rFonts w:hint="eastAsia" w:ascii="宋体" w:hAnsi="宋体" w:eastAsia="宋体" w:cs="宋体"/>
          <w:szCs w:val="21"/>
        </w:rPr>
        <w:t>授权</w:t>
      </w:r>
      <w:r>
        <w:rPr>
          <w:rFonts w:hint="eastAsia" w:ascii="宋体" w:hAnsi="宋体" w:eastAsia="宋体" w:cs="宋体"/>
          <w:szCs w:val="21"/>
          <w:u w:val="single"/>
        </w:rPr>
        <w:t>（全名、职务）</w:t>
      </w:r>
      <w:r>
        <w:rPr>
          <w:rFonts w:hint="eastAsia" w:ascii="宋体" w:hAnsi="宋体" w:eastAsia="宋体" w:cs="宋体"/>
          <w:szCs w:val="21"/>
        </w:rPr>
        <w:t>为本公司合法代理人，参加贵方组织的</w:t>
      </w:r>
      <w:r>
        <w:rPr>
          <w:rFonts w:hint="eastAsia" w:ascii="宋体" w:hAnsi="宋体" w:eastAsia="宋体" w:cs="宋体"/>
          <w:szCs w:val="21"/>
          <w:u w:val="single"/>
        </w:rPr>
        <w:t>大榭片区“十五五”发展规划项目</w:t>
      </w:r>
      <w:r>
        <w:rPr>
          <w:rFonts w:hint="eastAsia" w:ascii="宋体" w:hAnsi="宋体" w:eastAsia="宋体" w:cs="宋体"/>
          <w:szCs w:val="21"/>
        </w:rPr>
        <w:t>（项目编号：</w:t>
      </w:r>
      <w:r>
        <w:rPr>
          <w:rFonts w:hint="eastAsia" w:ascii="宋体" w:hAnsi="宋体" w:eastAsia="宋体" w:cs="宋体"/>
          <w:szCs w:val="21"/>
          <w:u w:val="single"/>
        </w:rPr>
        <w:t>NBITC-202530001GC-BL</w:t>
      </w:r>
      <w:r>
        <w:rPr>
          <w:rFonts w:hint="eastAsia" w:ascii="宋体" w:hAnsi="宋体" w:cs="宋体"/>
          <w:szCs w:val="21"/>
          <w:u w:val="single"/>
          <w:lang w:val="en-US" w:eastAsia="zh-CN"/>
        </w:rPr>
        <w:t>007</w:t>
      </w:r>
      <w:r>
        <w:rPr>
          <w:rFonts w:hint="eastAsia" w:ascii="宋体" w:hAnsi="宋体" w:eastAsia="宋体" w:cs="宋体"/>
          <w:szCs w:val="21"/>
        </w:rPr>
        <w:t>）竞争性磋商活动，代表本公司处理本次项目中的一切事宜，在此：</w:t>
      </w:r>
    </w:p>
    <w:p w14:paraId="2C54EB05">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提供竞争性磋商文件中“磋商须知”规定的全部磋商响应文件。</w:t>
      </w:r>
    </w:p>
    <w:p w14:paraId="261BAF62">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据此函，签字代表宣布并承诺如下：</w:t>
      </w:r>
    </w:p>
    <w:p w14:paraId="5E1C9ABE">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（1）磋商报价为报价一览表载明的磋商报价。</w:t>
      </w:r>
    </w:p>
    <w:p w14:paraId="7924B279">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本报价已经包含了本次项目应纳的税金及竞争性磋商文件规定的报价方式应包含的其它费用。本报价在磋商有效期内固定不变，并在合同有效期内不受利率波动的影响。</w:t>
      </w:r>
    </w:p>
    <w:p w14:paraId="41BAD42D">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（2）本磋商响应文件自磋商响应文件递交截止之日起</w:t>
      </w:r>
      <w:r>
        <w:rPr>
          <w:rFonts w:hint="eastAsia" w:ascii="宋体" w:hAnsi="宋体" w:eastAsia="宋体" w:cs="宋体"/>
          <w:szCs w:val="21"/>
          <w:u w:val="single"/>
        </w:rPr>
        <w:t>90</w:t>
      </w:r>
      <w:r>
        <w:rPr>
          <w:rFonts w:hint="eastAsia" w:ascii="宋体" w:hAnsi="宋体" w:eastAsia="宋体" w:cs="宋体"/>
          <w:szCs w:val="21"/>
        </w:rPr>
        <w:t>天内有效。</w:t>
      </w:r>
    </w:p>
    <w:p w14:paraId="4B5AF9DE">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（3）我们已详细审查全部竞争性磋商文件及有关的澄清/修改文件(若有)，我们完全理解并同意放弃对这方面提出任何异议的权利。</w:t>
      </w:r>
    </w:p>
    <w:p w14:paraId="0F622401">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（4）保证遵守竞争性磋商文件有关条款规定。</w:t>
      </w:r>
    </w:p>
    <w:p w14:paraId="5E06DE65">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（5）保证在确定成交后忠实地执行与采购人所签署的合同，并承担合同规定的责任义务。</w:t>
      </w:r>
    </w:p>
    <w:p w14:paraId="789F92D7">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（6）完全同意竞争性磋商文件中有关代理服务费的条款，保证在确定成交后按照竞争性磋商文件规定的金额、时间和方式，向贵方一次性交纳代理服务费。</w:t>
      </w:r>
    </w:p>
    <w:p w14:paraId="22B17D1C">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7）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0F37B695">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与本项目磋商有关的一切往来通讯请寄：</w:t>
      </w:r>
    </w:p>
    <w:p w14:paraId="125322F4">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地址：</w:t>
      </w:r>
    </w:p>
    <w:p w14:paraId="6C7FC169">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邮编：</w:t>
      </w:r>
    </w:p>
    <w:p w14:paraId="2EEC3C73">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电话：</w:t>
      </w:r>
    </w:p>
    <w:p w14:paraId="648FD46F">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传真：</w:t>
      </w:r>
    </w:p>
    <w:p w14:paraId="78E2FB0B">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p>
    <w:p w14:paraId="59231051">
      <w:pPr>
        <w:keepNext w:val="0"/>
        <w:keepLines w:val="0"/>
        <w:pageBreakBefore w:val="0"/>
        <w:kinsoku/>
        <w:wordWrap/>
        <w:overflowPunct/>
        <w:topLinePunct w:val="0"/>
        <w:autoSpaceDE/>
        <w:autoSpaceDN/>
        <w:bidi w:val="0"/>
        <w:adjustRightInd/>
        <w:spacing w:line="400" w:lineRule="exact"/>
        <w:ind w:right="0"/>
        <w:jc w:val="left"/>
        <w:textAlignment w:val="auto"/>
        <w:rPr>
          <w:rFonts w:hint="eastAsia" w:ascii="宋体" w:hAnsi="宋体" w:eastAsia="宋体" w:cs="宋体"/>
          <w:szCs w:val="21"/>
        </w:rPr>
      </w:pPr>
      <w:r>
        <w:rPr>
          <w:rFonts w:hint="eastAsia" w:ascii="宋体" w:hAnsi="宋体" w:eastAsia="宋体" w:cs="宋体"/>
          <w:szCs w:val="21"/>
        </w:rPr>
        <w:t>供应商（盖章）：</w:t>
      </w:r>
    </w:p>
    <w:p w14:paraId="21CCE167">
      <w:pPr>
        <w:keepNext w:val="0"/>
        <w:keepLines w:val="0"/>
        <w:pageBreakBefore w:val="0"/>
        <w:kinsoku/>
        <w:wordWrap/>
        <w:overflowPunct/>
        <w:topLinePunct w:val="0"/>
        <w:autoSpaceDE/>
        <w:autoSpaceDN/>
        <w:bidi w:val="0"/>
        <w:adjustRightInd/>
        <w:snapToGrid w:val="0"/>
        <w:spacing w:line="400" w:lineRule="exact"/>
        <w:ind w:right="0"/>
        <w:textAlignment w:val="auto"/>
        <w:rPr>
          <w:rFonts w:hint="eastAsia" w:ascii="宋体" w:hAnsi="宋体" w:eastAsia="宋体" w:cs="宋体"/>
          <w:szCs w:val="21"/>
        </w:rPr>
      </w:pPr>
      <w:r>
        <w:rPr>
          <w:rFonts w:hint="eastAsia" w:ascii="宋体" w:hAnsi="宋体" w:eastAsia="宋体" w:cs="宋体"/>
          <w:szCs w:val="21"/>
        </w:rPr>
        <w:t>日期：</w:t>
      </w:r>
    </w:p>
    <w:p w14:paraId="4A5BCC70">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宋体" w:hAnsi="宋体" w:eastAsia="宋体" w:cs="宋体"/>
          <w:b/>
          <w:szCs w:val="21"/>
        </w:rPr>
      </w:pPr>
      <w:r>
        <w:rPr>
          <w:rStyle w:val="110"/>
          <w:rFonts w:hint="eastAsia" w:ascii="宋体" w:hAnsi="宋体" w:eastAsia="宋体" w:cs="宋体"/>
          <w:sz w:val="21"/>
          <w:szCs w:val="21"/>
        </w:rPr>
        <w:br w:type="page"/>
      </w:r>
      <w:r>
        <w:rPr>
          <w:rFonts w:hint="eastAsia" w:ascii="宋体" w:hAnsi="宋体" w:eastAsia="宋体" w:cs="宋体"/>
          <w:b/>
          <w:szCs w:val="21"/>
        </w:rPr>
        <w:t>B2.法定代表人身份证明</w:t>
      </w:r>
    </w:p>
    <w:p w14:paraId="51BEA24F">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供应商名称：</w:t>
      </w:r>
    </w:p>
    <w:p w14:paraId="539819C1">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单位性质：</w:t>
      </w:r>
    </w:p>
    <w:p w14:paraId="412CC604">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地址：</w:t>
      </w:r>
    </w:p>
    <w:p w14:paraId="4DCB737D">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成立时间：年月日</w:t>
      </w:r>
    </w:p>
    <w:p w14:paraId="03A4F936">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经营期限：</w:t>
      </w:r>
    </w:p>
    <w:p w14:paraId="4E1AC21F">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姓名：性别：年龄：职务：</w:t>
      </w:r>
    </w:p>
    <w:p w14:paraId="5D24B920">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身份证号码：</w:t>
      </w:r>
    </w:p>
    <w:p w14:paraId="4B773060">
      <w:pPr>
        <w:keepNext w:val="0"/>
        <w:keepLines w:val="0"/>
        <w:pageBreakBefore w:val="0"/>
        <w:widowControl w:val="0"/>
        <w:kinsoku/>
        <w:wordWrap/>
        <w:overflowPunct/>
        <w:topLinePunct w:val="0"/>
        <w:autoSpaceDE/>
        <w:autoSpaceDN/>
        <w:bidi w:val="0"/>
        <w:adjustRightInd/>
        <w:snapToGrid/>
        <w:spacing w:line="400" w:lineRule="exact"/>
        <w:ind w:left="0" w:leftChars="0" w:right="0" w:firstLine="560"/>
        <w:textAlignment w:val="auto"/>
        <w:rPr>
          <w:rFonts w:hint="eastAsia" w:ascii="宋体" w:hAnsi="宋体" w:eastAsia="宋体" w:cs="宋体"/>
          <w:szCs w:val="21"/>
        </w:rPr>
      </w:pPr>
    </w:p>
    <w:p w14:paraId="1598E135">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系（供应商名称）的法定代表人。</w:t>
      </w:r>
    </w:p>
    <w:p w14:paraId="73E20B44">
      <w:pPr>
        <w:keepNext w:val="0"/>
        <w:keepLines w:val="0"/>
        <w:pageBreakBefore w:val="0"/>
        <w:widowControl w:val="0"/>
        <w:kinsoku/>
        <w:wordWrap/>
        <w:overflowPunct/>
        <w:topLinePunct w:val="0"/>
        <w:autoSpaceDE/>
        <w:autoSpaceDN/>
        <w:bidi w:val="0"/>
        <w:adjustRightInd/>
        <w:snapToGrid/>
        <w:spacing w:line="400" w:lineRule="exact"/>
        <w:ind w:left="0" w:leftChars="0" w:right="0" w:firstLine="560"/>
        <w:textAlignment w:val="auto"/>
        <w:rPr>
          <w:rFonts w:hint="eastAsia" w:ascii="宋体" w:hAnsi="宋体" w:eastAsia="宋体" w:cs="宋体"/>
          <w:szCs w:val="21"/>
        </w:rPr>
      </w:pPr>
    </w:p>
    <w:p w14:paraId="5CCD1C34">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特此证明。</w:t>
      </w:r>
    </w:p>
    <w:p w14:paraId="71E8E87E">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p>
    <w:p w14:paraId="02477FF8">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供应商（盖章）：</w:t>
      </w:r>
    </w:p>
    <w:p w14:paraId="494249C3">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日期：年月日</w:t>
      </w:r>
    </w:p>
    <w:p w14:paraId="16F04C9D">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p>
    <w:p w14:paraId="2F4E80B1">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后附：（如不在同页，须加盖供应商公章）</w:t>
      </w:r>
    </w:p>
    <w:p w14:paraId="45434D23">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法定代表人身份证复印件。</w:t>
      </w:r>
    </w:p>
    <w:p w14:paraId="093FB066">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p>
    <w:p w14:paraId="7E09B177">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Style w:val="110"/>
          <w:rFonts w:hint="eastAsia" w:ascii="宋体" w:hAnsi="宋体" w:eastAsia="宋体" w:cs="宋体"/>
          <w:sz w:val="21"/>
          <w:szCs w:val="21"/>
        </w:rPr>
      </w:pPr>
    </w:p>
    <w:p w14:paraId="52CFF900">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Style w:val="110"/>
          <w:rFonts w:hint="eastAsia" w:ascii="宋体" w:hAnsi="宋体" w:eastAsia="宋体" w:cs="宋体"/>
          <w:sz w:val="21"/>
          <w:szCs w:val="21"/>
        </w:rPr>
      </w:pPr>
    </w:p>
    <w:p w14:paraId="425115FE">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ascii="宋体" w:hAnsi="宋体" w:eastAsia="宋体" w:cs="宋体"/>
          <w:b/>
          <w:szCs w:val="21"/>
        </w:rPr>
      </w:pPr>
      <w:r>
        <w:rPr>
          <w:rStyle w:val="110"/>
          <w:rFonts w:hint="eastAsia" w:ascii="宋体" w:hAnsi="宋体" w:eastAsia="宋体" w:cs="宋体"/>
          <w:sz w:val="21"/>
          <w:szCs w:val="21"/>
        </w:rPr>
        <w:br w:type="page"/>
      </w:r>
      <w:r>
        <w:rPr>
          <w:rFonts w:hint="eastAsia" w:ascii="宋体" w:hAnsi="宋体" w:eastAsia="宋体" w:cs="宋体"/>
          <w:b/>
          <w:szCs w:val="21"/>
        </w:rPr>
        <w:t>B3.法定代表人授权书</w:t>
      </w:r>
    </w:p>
    <w:p w14:paraId="7F8C3AFA">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致：宁波经济技术开发区大榭经济发展中心</w:t>
      </w:r>
    </w:p>
    <w:p w14:paraId="01AFC54E">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（授权代表姓名）</w:t>
      </w:r>
      <w:r>
        <w:rPr>
          <w:rFonts w:hint="eastAsia" w:ascii="宋体" w:hAnsi="宋体" w:eastAsia="宋体" w:cs="宋体"/>
          <w:szCs w:val="21"/>
        </w:rPr>
        <w:t>为授权代表，参加大榭片区“十五五”发展规划项目（项目编号：</w:t>
      </w:r>
      <w:r>
        <w:rPr>
          <w:rFonts w:hint="eastAsia" w:ascii="宋体" w:hAnsi="宋体" w:eastAsia="宋体" w:cs="宋体"/>
          <w:szCs w:val="21"/>
          <w:u w:val="single"/>
        </w:rPr>
        <w:t>NBITC-202530001GC-BL</w:t>
      </w:r>
      <w:r>
        <w:rPr>
          <w:rFonts w:hint="eastAsia" w:ascii="宋体" w:hAnsi="宋体" w:cs="宋体"/>
          <w:szCs w:val="21"/>
          <w:u w:val="single"/>
          <w:lang w:val="en-US" w:eastAsia="zh-CN"/>
        </w:rPr>
        <w:t>007</w:t>
      </w:r>
      <w:r>
        <w:rPr>
          <w:rFonts w:hint="eastAsia" w:ascii="宋体" w:hAnsi="宋体" w:eastAsia="宋体" w:cs="宋体"/>
          <w:szCs w:val="21"/>
        </w:rPr>
        <w:t>）磋商活动，其在磋商活动中的一切行为本单位均予承认。</w:t>
      </w:r>
    </w:p>
    <w:p w14:paraId="169E3C92">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宋体" w:hAnsi="宋体" w:eastAsia="宋体" w:cs="宋体"/>
          <w:szCs w:val="21"/>
        </w:rPr>
      </w:pPr>
    </w:p>
    <w:p w14:paraId="28EB9D5D">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宋体" w:hAnsi="宋体" w:eastAsia="宋体" w:cs="宋体"/>
          <w:szCs w:val="21"/>
        </w:rPr>
      </w:pPr>
      <w:r>
        <w:rPr>
          <w:rFonts w:hint="eastAsia" w:ascii="宋体" w:hAnsi="宋体" w:eastAsia="宋体" w:cs="宋体"/>
          <w:szCs w:val="21"/>
        </w:rPr>
        <w:t>供应商（盖章）：</w:t>
      </w:r>
    </w:p>
    <w:p w14:paraId="227E579F">
      <w:pPr>
        <w:keepNext w:val="0"/>
        <w:keepLines w:val="0"/>
        <w:pageBreakBefore w:val="0"/>
        <w:widowControl w:val="0"/>
        <w:kinsoku/>
        <w:wordWrap/>
        <w:overflowPunct/>
        <w:topLinePunct w:val="0"/>
        <w:autoSpaceDE/>
        <w:autoSpaceDN/>
        <w:bidi w:val="0"/>
        <w:adjustRightInd/>
        <w:snapToGrid/>
        <w:spacing w:line="400" w:lineRule="exact"/>
        <w:ind w:left="0" w:leftChars="0" w:right="0"/>
        <w:jc w:val="left"/>
        <w:textAlignment w:val="auto"/>
        <w:rPr>
          <w:rFonts w:hint="eastAsia" w:ascii="宋体" w:hAnsi="宋体" w:eastAsia="宋体" w:cs="宋体"/>
          <w:szCs w:val="21"/>
        </w:rPr>
      </w:pPr>
      <w:r>
        <w:rPr>
          <w:rFonts w:hint="eastAsia" w:ascii="宋体" w:hAnsi="宋体" w:eastAsia="宋体" w:cs="宋体"/>
          <w:szCs w:val="21"/>
        </w:rPr>
        <w:t>法定代表人（签字或盖章）：</w:t>
      </w:r>
    </w:p>
    <w:p w14:paraId="72F8E04C">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u w:val="single"/>
        </w:rPr>
      </w:pPr>
      <w:r>
        <w:rPr>
          <w:rFonts w:hint="eastAsia" w:ascii="宋体" w:hAnsi="宋体" w:eastAsia="宋体" w:cs="宋体"/>
          <w:szCs w:val="21"/>
        </w:rPr>
        <w:t>日期：</w:t>
      </w:r>
    </w:p>
    <w:p w14:paraId="3F4FC60E">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p>
    <w:p w14:paraId="4CBB02C0">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szCs w:val="21"/>
        </w:rPr>
      </w:pPr>
      <w:r>
        <w:rPr>
          <w:rFonts w:hint="eastAsia" w:ascii="宋体" w:hAnsi="宋体" w:eastAsia="宋体" w:cs="宋体"/>
          <w:szCs w:val="21"/>
        </w:rPr>
        <w:t>附：</w:t>
      </w:r>
    </w:p>
    <w:p w14:paraId="5722FFE1">
      <w:pPr>
        <w:keepNext w:val="0"/>
        <w:keepLines w:val="0"/>
        <w:pageBreakBefore w:val="0"/>
        <w:widowControl w:val="0"/>
        <w:kinsoku/>
        <w:wordWrap/>
        <w:overflowPunct/>
        <w:topLinePunct w:val="0"/>
        <w:autoSpaceDE/>
        <w:autoSpaceDN/>
        <w:bidi w:val="0"/>
        <w:adjustRightInd/>
        <w:snapToGrid/>
        <w:spacing w:line="400" w:lineRule="exact"/>
        <w:ind w:left="0" w:leftChars="0" w:right="0" w:firstLine="555"/>
        <w:textAlignment w:val="auto"/>
        <w:rPr>
          <w:rFonts w:hint="eastAsia" w:ascii="宋体" w:hAnsi="宋体" w:eastAsia="宋体" w:cs="宋体"/>
          <w:szCs w:val="21"/>
          <w:u w:val="single"/>
        </w:rPr>
      </w:pPr>
      <w:r>
        <w:rPr>
          <w:rFonts w:hint="eastAsia" w:ascii="宋体" w:hAnsi="宋体" w:eastAsia="宋体" w:cs="宋体"/>
          <w:szCs w:val="21"/>
        </w:rPr>
        <w:t>授权代表姓名：</w:t>
      </w:r>
    </w:p>
    <w:p w14:paraId="0EA5E979">
      <w:pPr>
        <w:keepNext w:val="0"/>
        <w:keepLines w:val="0"/>
        <w:pageBreakBefore w:val="0"/>
        <w:widowControl w:val="0"/>
        <w:kinsoku/>
        <w:wordWrap/>
        <w:overflowPunct/>
        <w:topLinePunct w:val="0"/>
        <w:autoSpaceDE/>
        <w:autoSpaceDN/>
        <w:bidi w:val="0"/>
        <w:adjustRightInd/>
        <w:snapToGrid/>
        <w:spacing w:line="400" w:lineRule="exact"/>
        <w:ind w:left="0" w:leftChars="0" w:right="0" w:firstLine="555"/>
        <w:textAlignment w:val="auto"/>
        <w:rPr>
          <w:rFonts w:hint="eastAsia" w:ascii="宋体" w:hAnsi="宋体" w:eastAsia="宋体" w:cs="宋体"/>
          <w:szCs w:val="21"/>
        </w:rPr>
      </w:pPr>
      <w:r>
        <w:rPr>
          <w:rFonts w:hint="eastAsia" w:ascii="宋体" w:hAnsi="宋体" w:eastAsia="宋体" w:cs="宋体"/>
          <w:szCs w:val="21"/>
        </w:rPr>
        <w:t>授权代表身份证号码：</w:t>
      </w:r>
    </w:p>
    <w:p w14:paraId="4EC8C294">
      <w:pPr>
        <w:keepNext w:val="0"/>
        <w:keepLines w:val="0"/>
        <w:pageBreakBefore w:val="0"/>
        <w:widowControl w:val="0"/>
        <w:kinsoku/>
        <w:wordWrap/>
        <w:overflowPunct/>
        <w:topLinePunct w:val="0"/>
        <w:autoSpaceDE/>
        <w:autoSpaceDN/>
        <w:bidi w:val="0"/>
        <w:adjustRightInd/>
        <w:snapToGrid/>
        <w:spacing w:line="400" w:lineRule="exact"/>
        <w:ind w:left="0" w:leftChars="0" w:right="0" w:firstLine="555"/>
        <w:textAlignment w:val="auto"/>
        <w:rPr>
          <w:rFonts w:hint="eastAsia" w:ascii="宋体" w:hAnsi="宋体" w:eastAsia="宋体" w:cs="宋体"/>
          <w:szCs w:val="21"/>
          <w:u w:val="single"/>
        </w:rPr>
      </w:pPr>
      <w:r>
        <w:rPr>
          <w:rFonts w:hint="eastAsia" w:ascii="宋体" w:hAnsi="宋体" w:eastAsia="宋体" w:cs="宋体"/>
          <w:szCs w:val="21"/>
        </w:rPr>
        <w:t>职务：</w:t>
      </w:r>
    </w:p>
    <w:p w14:paraId="6032083B">
      <w:pPr>
        <w:keepNext w:val="0"/>
        <w:keepLines w:val="0"/>
        <w:pageBreakBefore w:val="0"/>
        <w:widowControl w:val="0"/>
        <w:kinsoku/>
        <w:wordWrap/>
        <w:overflowPunct/>
        <w:topLinePunct w:val="0"/>
        <w:autoSpaceDE/>
        <w:autoSpaceDN/>
        <w:bidi w:val="0"/>
        <w:adjustRightInd/>
        <w:snapToGrid/>
        <w:spacing w:line="400" w:lineRule="exact"/>
        <w:ind w:left="0" w:leftChars="0" w:right="0" w:firstLine="555"/>
        <w:textAlignment w:val="auto"/>
        <w:rPr>
          <w:rFonts w:hint="eastAsia" w:ascii="宋体" w:hAnsi="宋体" w:eastAsia="宋体" w:cs="宋体"/>
          <w:szCs w:val="21"/>
          <w:u w:val="single"/>
        </w:rPr>
      </w:pPr>
      <w:r>
        <w:rPr>
          <w:rFonts w:hint="eastAsia" w:ascii="宋体" w:hAnsi="宋体" w:eastAsia="宋体" w:cs="宋体"/>
          <w:szCs w:val="21"/>
        </w:rPr>
        <w:t>详细通讯地址：</w:t>
      </w:r>
    </w:p>
    <w:p w14:paraId="5B51EB2E">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传真：</w:t>
      </w:r>
    </w:p>
    <w:p w14:paraId="4631960D">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电话：</w:t>
      </w:r>
    </w:p>
    <w:p w14:paraId="41290765">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u w:val="single"/>
        </w:rPr>
      </w:pPr>
      <w:r>
        <w:rPr>
          <w:rFonts w:hint="eastAsia" w:ascii="宋体" w:hAnsi="宋体" w:eastAsia="宋体" w:cs="宋体"/>
          <w:szCs w:val="21"/>
        </w:rPr>
        <w:t>邮编：</w:t>
      </w:r>
    </w:p>
    <w:p w14:paraId="4609DD1C">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u w:val="single"/>
        </w:rPr>
      </w:pPr>
    </w:p>
    <w:p w14:paraId="41609B3A">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后附：（如不在同页，须加盖供应商公章）</w:t>
      </w:r>
    </w:p>
    <w:p w14:paraId="1994983A">
      <w:pPr>
        <w:keepNext w:val="0"/>
        <w:keepLines w:val="0"/>
        <w:pageBreakBefore w:val="0"/>
        <w:widowControl w:val="0"/>
        <w:kinsoku/>
        <w:wordWrap/>
        <w:overflowPunct/>
        <w:topLinePunct w:val="0"/>
        <w:autoSpaceDE/>
        <w:autoSpaceDN/>
        <w:bidi w:val="0"/>
        <w:adjustRightInd/>
        <w:snapToGrid/>
        <w:spacing w:line="400" w:lineRule="exact"/>
        <w:ind w:left="0" w:leftChars="0" w:right="0" w:firstLine="525" w:firstLineChars="25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授权代表身份证复印件；</w:t>
      </w:r>
      <w:bookmarkEnd w:id="50"/>
    </w:p>
    <w:p w14:paraId="17037642">
      <w:pPr>
        <w:rPr>
          <w:rFonts w:hint="eastAsia" w:ascii="宋体" w:hAnsi="宋体" w:eastAsia="宋体" w:cs="宋体"/>
          <w:b/>
          <w:szCs w:val="21"/>
        </w:rPr>
      </w:pPr>
      <w:bookmarkStart w:id="56" w:name="_Hlk35437321"/>
      <w:r>
        <w:rPr>
          <w:rFonts w:hint="eastAsia" w:ascii="宋体" w:hAnsi="宋体" w:eastAsia="宋体" w:cs="宋体"/>
          <w:b/>
          <w:szCs w:val="21"/>
        </w:rPr>
        <w:br w:type="page"/>
      </w:r>
    </w:p>
    <w:p w14:paraId="41E90030">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szCs w:val="21"/>
        </w:rPr>
      </w:pPr>
      <w:r>
        <w:rPr>
          <w:rFonts w:hint="eastAsia" w:ascii="宋体" w:hAnsi="宋体" w:eastAsia="宋体" w:cs="宋体"/>
          <w:b/>
          <w:szCs w:val="21"/>
        </w:rPr>
        <w:t>B4.商务条款响应表</w:t>
      </w:r>
    </w:p>
    <w:p w14:paraId="6820B10B">
      <w:pPr>
        <w:keepNext w:val="0"/>
        <w:keepLines w:val="0"/>
        <w:pageBreakBefore w:val="0"/>
        <w:kinsoku/>
        <w:wordWrap/>
        <w:overflowPunct/>
        <w:topLinePunct w:val="0"/>
        <w:bidi w:val="0"/>
        <w:snapToGrid w:val="0"/>
        <w:spacing w:line="400" w:lineRule="exact"/>
        <w:ind w:left="0"/>
        <w:textAlignment w:val="auto"/>
        <w:rPr>
          <w:rFonts w:hint="default" w:ascii="宋体" w:hAnsi="宋体" w:eastAsia="宋体" w:cs="宋体"/>
          <w:szCs w:val="21"/>
          <w:u w:val="single"/>
          <w:lang w:val="en-US" w:eastAsia="zh-CN"/>
        </w:rPr>
      </w:pPr>
      <w:r>
        <w:rPr>
          <w:rFonts w:hint="eastAsia" w:ascii="宋体" w:hAnsi="宋体" w:eastAsia="宋体" w:cs="宋体"/>
          <w:szCs w:val="21"/>
        </w:rPr>
        <w:t>项目编号：</w:t>
      </w:r>
      <w:r>
        <w:rPr>
          <w:rFonts w:hint="eastAsia" w:ascii="宋体" w:hAnsi="宋体" w:eastAsia="宋体" w:cs="宋体"/>
          <w:szCs w:val="21"/>
          <w:u w:val="single"/>
        </w:rPr>
        <w:t>NBITC-202530001GC-BL</w:t>
      </w:r>
      <w:r>
        <w:rPr>
          <w:rFonts w:hint="eastAsia" w:ascii="宋体" w:hAnsi="宋体" w:cs="宋体"/>
          <w:szCs w:val="21"/>
          <w:u w:val="single"/>
          <w:lang w:val="en-US" w:eastAsia="zh-CN"/>
        </w:rPr>
        <w:t>007</w:t>
      </w:r>
    </w:p>
    <w:p w14:paraId="177AD343">
      <w:pPr>
        <w:keepNext w:val="0"/>
        <w:keepLines w:val="0"/>
        <w:pageBreakBefore w:val="0"/>
        <w:kinsoku/>
        <w:wordWrap/>
        <w:overflowPunct/>
        <w:topLinePunct w:val="0"/>
        <w:bidi w:val="0"/>
        <w:snapToGrid w:val="0"/>
        <w:spacing w:line="400" w:lineRule="exact"/>
        <w:ind w:left="0"/>
        <w:textAlignment w:val="auto"/>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大榭片区“十五五”发展规划项目</w:t>
      </w:r>
    </w:p>
    <w:tbl>
      <w:tblPr>
        <w:tblStyle w:val="4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44"/>
        <w:gridCol w:w="4472"/>
        <w:gridCol w:w="1238"/>
        <w:gridCol w:w="1238"/>
      </w:tblGrid>
      <w:tr w14:paraId="3F2E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73199654">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3225" w:type="pct"/>
            <w:gridSpan w:val="2"/>
            <w:tcBorders>
              <w:tl2br w:val="nil"/>
              <w:tr2bl w:val="nil"/>
            </w:tcBorders>
            <w:vAlign w:val="center"/>
          </w:tcPr>
          <w:p w14:paraId="2D5CD497">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磋商要求</w:t>
            </w:r>
          </w:p>
        </w:tc>
        <w:tc>
          <w:tcPr>
            <w:tcW w:w="675" w:type="pct"/>
            <w:tcBorders>
              <w:tl2br w:val="nil"/>
              <w:tr2bl w:val="nil"/>
            </w:tcBorders>
            <w:vAlign w:val="center"/>
          </w:tcPr>
          <w:p w14:paraId="4D374D78">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磋商响应</w:t>
            </w:r>
          </w:p>
        </w:tc>
        <w:tc>
          <w:tcPr>
            <w:tcW w:w="675" w:type="pct"/>
            <w:tcBorders>
              <w:tl2br w:val="nil"/>
              <w:tr2bl w:val="nil"/>
            </w:tcBorders>
            <w:vAlign w:val="center"/>
          </w:tcPr>
          <w:p w14:paraId="7EC0D68C">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偏离说明</w:t>
            </w:r>
          </w:p>
        </w:tc>
      </w:tr>
      <w:tr w14:paraId="7900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06095D83">
            <w:pPr>
              <w:keepNext w:val="0"/>
              <w:keepLines w:val="0"/>
              <w:pageBreakBefore w:val="0"/>
              <w:kinsoku/>
              <w:wordWrap/>
              <w:overflowPunct/>
              <w:topLinePunct w:val="0"/>
              <w:autoSpaceDE w:val="0"/>
              <w:autoSpaceDN w:val="0"/>
              <w:bidi w:val="0"/>
              <w:adjustRightInd w:val="0"/>
              <w:spacing w:line="400" w:lineRule="exact"/>
              <w:ind w:left="0"/>
              <w:jc w:val="center"/>
              <w:textAlignment w:val="auto"/>
              <w:rPr>
                <w:rFonts w:hint="eastAsia" w:ascii="宋体" w:hAnsi="宋体" w:eastAsia="宋体" w:cs="宋体"/>
                <w:bCs/>
                <w:szCs w:val="21"/>
              </w:rPr>
            </w:pPr>
            <w:r>
              <w:rPr>
                <w:rFonts w:hint="eastAsia" w:ascii="宋体" w:hAnsi="宋体" w:eastAsia="宋体" w:cs="宋体"/>
                <w:bCs/>
                <w:szCs w:val="21"/>
              </w:rPr>
              <w:t>1</w:t>
            </w:r>
          </w:p>
        </w:tc>
        <w:tc>
          <w:tcPr>
            <w:tcW w:w="787" w:type="pct"/>
            <w:tcBorders>
              <w:tl2br w:val="nil"/>
              <w:tr2bl w:val="nil"/>
            </w:tcBorders>
            <w:vAlign w:val="center"/>
          </w:tcPr>
          <w:p w14:paraId="02F9EE9C">
            <w:pPr>
              <w:keepNext w:val="0"/>
              <w:keepLines w:val="0"/>
              <w:pageBreakBefore w:val="0"/>
              <w:kinsoku/>
              <w:wordWrap/>
              <w:overflowPunct/>
              <w:topLinePunct w:val="0"/>
              <w:bidi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磋商报价</w:t>
            </w:r>
          </w:p>
        </w:tc>
        <w:tc>
          <w:tcPr>
            <w:tcW w:w="2437" w:type="pct"/>
            <w:tcBorders>
              <w:tl2br w:val="nil"/>
              <w:tr2bl w:val="nil"/>
            </w:tcBorders>
            <w:vAlign w:val="center"/>
          </w:tcPr>
          <w:p w14:paraId="3C80E448">
            <w:pPr>
              <w:keepNext w:val="0"/>
              <w:keepLines w:val="0"/>
              <w:pageBreakBefore w:val="0"/>
              <w:kinsoku/>
              <w:wordWrap/>
              <w:overflowPunct/>
              <w:topLinePunct w:val="0"/>
              <w:bidi w:val="0"/>
              <w:spacing w:line="400" w:lineRule="exact"/>
              <w:ind w:left="0"/>
              <w:textAlignment w:val="auto"/>
              <w:rPr>
                <w:rFonts w:hint="eastAsia" w:ascii="宋体" w:hAnsi="宋体" w:eastAsia="宋体" w:cs="宋体"/>
              </w:rPr>
            </w:pPr>
            <w:r>
              <w:rPr>
                <w:rFonts w:hint="eastAsia" w:ascii="宋体" w:hAnsi="宋体" w:eastAsia="宋体" w:cs="宋体"/>
              </w:rPr>
              <w:t>报价及费用：</w:t>
            </w:r>
          </w:p>
          <w:p w14:paraId="7BBDA224">
            <w:pPr>
              <w:keepNext w:val="0"/>
              <w:keepLines w:val="0"/>
              <w:pageBreakBefore w:val="0"/>
              <w:kinsoku/>
              <w:wordWrap/>
              <w:overflowPunct/>
              <w:topLinePunct w:val="0"/>
              <w:bidi w:val="0"/>
              <w:spacing w:line="400" w:lineRule="exact"/>
              <w:ind w:left="0"/>
              <w:textAlignment w:val="auto"/>
              <w:rPr>
                <w:rFonts w:hint="eastAsia" w:ascii="宋体" w:hAnsi="宋体" w:eastAsia="宋体" w:cs="宋体"/>
              </w:rPr>
            </w:pPr>
            <w:r>
              <w:rPr>
                <w:rFonts w:hint="eastAsia" w:ascii="宋体" w:hAnsi="宋体" w:eastAsia="宋体" w:cs="宋体"/>
              </w:rPr>
              <w:t>1.报价：</w:t>
            </w:r>
            <w:r>
              <w:rPr>
                <w:rFonts w:hint="eastAsia" w:ascii="宋体" w:hAnsi="宋体" w:eastAsia="宋体" w:cs="宋体"/>
                <w:szCs w:val="21"/>
              </w:rPr>
              <w:t>以人民币为结算货币。</w:t>
            </w:r>
            <w:r>
              <w:rPr>
                <w:rFonts w:hint="eastAsia" w:ascii="宋体" w:hAnsi="宋体" w:eastAsia="宋体" w:cs="宋体"/>
              </w:rPr>
              <w:t>报价为完成第五章采购需求所需的所有费用，包括但不仅限于规划费、人工费、交通费、调研费、材料费、税金及利润等。</w:t>
            </w:r>
          </w:p>
          <w:p w14:paraId="057B5AA8">
            <w:pPr>
              <w:keepNext w:val="0"/>
              <w:keepLines w:val="0"/>
              <w:pageBreakBefore w:val="0"/>
              <w:tabs>
                <w:tab w:val="left" w:pos="0"/>
                <w:tab w:val="left" w:pos="1134"/>
              </w:tabs>
              <w:kinsoku/>
              <w:wordWrap/>
              <w:overflowPunct/>
              <w:topLinePunct w:val="0"/>
              <w:bidi w:val="0"/>
              <w:adjustRightInd w:val="0"/>
              <w:spacing w:line="400" w:lineRule="exact"/>
              <w:ind w:left="0"/>
              <w:textAlignment w:val="auto"/>
              <w:rPr>
                <w:rFonts w:hint="eastAsia" w:ascii="宋体" w:hAnsi="宋体" w:eastAsia="宋体" w:cs="宋体"/>
                <w:szCs w:val="21"/>
                <w:lang w:eastAsia="zh-CN"/>
              </w:rPr>
            </w:pPr>
            <w:r>
              <w:rPr>
                <w:rFonts w:hint="eastAsia" w:ascii="宋体" w:hAnsi="宋体" w:eastAsia="宋体" w:cs="宋体"/>
              </w:rPr>
              <w:t>2.不论采购结果如何，供应商均应自行承担所有与磋商采购有关的全部费用</w:t>
            </w:r>
            <w:r>
              <w:rPr>
                <w:rFonts w:hint="eastAsia" w:ascii="宋体" w:hAnsi="宋体" w:eastAsia="宋体" w:cs="宋体"/>
                <w:lang w:eastAsia="zh-CN"/>
              </w:rPr>
              <w:t>。</w:t>
            </w:r>
          </w:p>
        </w:tc>
        <w:tc>
          <w:tcPr>
            <w:tcW w:w="675" w:type="pct"/>
            <w:tcBorders>
              <w:tl2br w:val="nil"/>
              <w:tr2bl w:val="nil"/>
            </w:tcBorders>
            <w:vAlign w:val="center"/>
          </w:tcPr>
          <w:p w14:paraId="0C907F86">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c>
          <w:tcPr>
            <w:tcW w:w="675" w:type="pct"/>
            <w:tcBorders>
              <w:tl2br w:val="nil"/>
              <w:tr2bl w:val="nil"/>
            </w:tcBorders>
            <w:vAlign w:val="center"/>
          </w:tcPr>
          <w:p w14:paraId="18719857">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r>
      <w:tr w14:paraId="62C6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247C2C32">
            <w:pPr>
              <w:keepNext w:val="0"/>
              <w:keepLines w:val="0"/>
              <w:pageBreakBefore w:val="0"/>
              <w:kinsoku/>
              <w:wordWrap/>
              <w:overflowPunct/>
              <w:topLinePunct w:val="0"/>
              <w:autoSpaceDE w:val="0"/>
              <w:autoSpaceDN w:val="0"/>
              <w:bidi w:val="0"/>
              <w:adjustRightIn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2</w:t>
            </w:r>
          </w:p>
        </w:tc>
        <w:tc>
          <w:tcPr>
            <w:tcW w:w="787" w:type="pct"/>
            <w:tcBorders>
              <w:tl2br w:val="nil"/>
              <w:tr2bl w:val="nil"/>
            </w:tcBorders>
            <w:vAlign w:val="center"/>
          </w:tcPr>
          <w:p w14:paraId="0631B4F3">
            <w:pPr>
              <w:keepNext w:val="0"/>
              <w:keepLines w:val="0"/>
              <w:pageBreakBefore w:val="0"/>
              <w:kinsoku/>
              <w:wordWrap/>
              <w:overflowPunct/>
              <w:topLinePunct w:val="0"/>
              <w:bidi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工期要求</w:t>
            </w:r>
          </w:p>
        </w:tc>
        <w:tc>
          <w:tcPr>
            <w:tcW w:w="2437" w:type="pct"/>
            <w:tcBorders>
              <w:tl2br w:val="nil"/>
              <w:tr2bl w:val="nil"/>
            </w:tcBorders>
            <w:vAlign w:val="center"/>
          </w:tcPr>
          <w:p w14:paraId="6F8168A9">
            <w:pPr>
              <w:keepNext w:val="0"/>
              <w:keepLines w:val="0"/>
              <w:pageBreakBefore w:val="0"/>
              <w:kinsoku/>
              <w:wordWrap/>
              <w:overflowPunct/>
              <w:topLinePunct w:val="0"/>
              <w:bidi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研究成果：2025年2月，形成《“十五五”大榭片区提升发展的目标路径研究》调研报告；2025年11月，编制形成《大榭片区“十五五”发展规划》。</w:t>
            </w:r>
          </w:p>
        </w:tc>
        <w:tc>
          <w:tcPr>
            <w:tcW w:w="675" w:type="pct"/>
            <w:tcBorders>
              <w:tl2br w:val="nil"/>
              <w:tr2bl w:val="nil"/>
            </w:tcBorders>
            <w:vAlign w:val="center"/>
          </w:tcPr>
          <w:p w14:paraId="565FF396">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c>
          <w:tcPr>
            <w:tcW w:w="675" w:type="pct"/>
            <w:tcBorders>
              <w:tl2br w:val="nil"/>
              <w:tr2bl w:val="nil"/>
            </w:tcBorders>
            <w:vAlign w:val="center"/>
          </w:tcPr>
          <w:p w14:paraId="6DE424A0">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r>
      <w:tr w14:paraId="385C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052BE4E2">
            <w:pPr>
              <w:keepNext w:val="0"/>
              <w:keepLines w:val="0"/>
              <w:pageBreakBefore w:val="0"/>
              <w:kinsoku/>
              <w:wordWrap/>
              <w:overflowPunct/>
              <w:topLinePunct w:val="0"/>
              <w:autoSpaceDE w:val="0"/>
              <w:autoSpaceDN w:val="0"/>
              <w:bidi w:val="0"/>
              <w:adjustRightIn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3</w:t>
            </w:r>
          </w:p>
        </w:tc>
        <w:tc>
          <w:tcPr>
            <w:tcW w:w="787" w:type="pct"/>
            <w:tcBorders>
              <w:tl2br w:val="nil"/>
              <w:tr2bl w:val="nil"/>
            </w:tcBorders>
            <w:vAlign w:val="center"/>
          </w:tcPr>
          <w:p w14:paraId="226D6582">
            <w:pPr>
              <w:keepNext w:val="0"/>
              <w:keepLines w:val="0"/>
              <w:pageBreakBefore w:val="0"/>
              <w:kinsoku/>
              <w:wordWrap/>
              <w:overflowPunct/>
              <w:topLinePunct w:val="0"/>
              <w:bidi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rPr>
              <w:t>履约保证金</w:t>
            </w:r>
          </w:p>
        </w:tc>
        <w:tc>
          <w:tcPr>
            <w:tcW w:w="2437" w:type="pct"/>
            <w:tcBorders>
              <w:tl2br w:val="nil"/>
              <w:tr2bl w:val="nil"/>
            </w:tcBorders>
            <w:vAlign w:val="center"/>
          </w:tcPr>
          <w:p w14:paraId="4C11B26F">
            <w:pPr>
              <w:keepNext w:val="0"/>
              <w:keepLines w:val="0"/>
              <w:pageBreakBefore w:val="0"/>
              <w:kinsoku/>
              <w:wordWrap/>
              <w:overflowPunct/>
              <w:topLinePunct w:val="0"/>
              <w:bidi w:val="0"/>
              <w:spacing w:line="400" w:lineRule="exact"/>
              <w:ind w:left="0"/>
              <w:textAlignment w:val="auto"/>
              <w:rPr>
                <w:rFonts w:hint="eastAsia" w:ascii="宋体" w:hAnsi="宋体" w:eastAsia="宋体" w:cs="宋体"/>
                <w:szCs w:val="21"/>
              </w:rPr>
            </w:pPr>
            <w:r>
              <w:rPr>
                <w:rFonts w:hint="eastAsia" w:ascii="宋体" w:hAnsi="宋体" w:eastAsia="宋体" w:cs="宋体"/>
              </w:rPr>
              <w:t>无</w:t>
            </w:r>
          </w:p>
        </w:tc>
        <w:tc>
          <w:tcPr>
            <w:tcW w:w="675" w:type="pct"/>
            <w:tcBorders>
              <w:tl2br w:val="nil"/>
              <w:tr2bl w:val="nil"/>
            </w:tcBorders>
            <w:vAlign w:val="center"/>
          </w:tcPr>
          <w:p w14:paraId="74DC8B33">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c>
          <w:tcPr>
            <w:tcW w:w="675" w:type="pct"/>
            <w:tcBorders>
              <w:tl2br w:val="nil"/>
              <w:tr2bl w:val="nil"/>
            </w:tcBorders>
            <w:vAlign w:val="center"/>
          </w:tcPr>
          <w:p w14:paraId="61BF5F2F">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r>
      <w:tr w14:paraId="2977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1C76E51E">
            <w:pPr>
              <w:keepNext w:val="0"/>
              <w:keepLines w:val="0"/>
              <w:pageBreakBefore w:val="0"/>
              <w:kinsoku/>
              <w:wordWrap/>
              <w:overflowPunct/>
              <w:topLinePunct w:val="0"/>
              <w:autoSpaceDE w:val="0"/>
              <w:autoSpaceDN w:val="0"/>
              <w:bidi w:val="0"/>
              <w:adjustRightIn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4</w:t>
            </w:r>
          </w:p>
        </w:tc>
        <w:tc>
          <w:tcPr>
            <w:tcW w:w="787" w:type="pct"/>
            <w:tcBorders>
              <w:tl2br w:val="nil"/>
              <w:tr2bl w:val="nil"/>
            </w:tcBorders>
            <w:vAlign w:val="center"/>
          </w:tcPr>
          <w:p w14:paraId="0D0DFB8E">
            <w:pPr>
              <w:keepNext w:val="0"/>
              <w:keepLines w:val="0"/>
              <w:pageBreakBefore w:val="0"/>
              <w:kinsoku/>
              <w:wordWrap/>
              <w:overflowPunct/>
              <w:topLinePunct w:val="0"/>
              <w:bidi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付款条件</w:t>
            </w:r>
          </w:p>
        </w:tc>
        <w:tc>
          <w:tcPr>
            <w:tcW w:w="2437" w:type="pct"/>
            <w:tcBorders>
              <w:tl2br w:val="nil"/>
              <w:tr2bl w:val="nil"/>
            </w:tcBorders>
            <w:vAlign w:val="center"/>
          </w:tcPr>
          <w:p w14:paraId="228444D1">
            <w:pPr>
              <w:keepNext w:val="0"/>
              <w:keepLines w:val="0"/>
              <w:pageBreakBefore w:val="0"/>
              <w:tabs>
                <w:tab w:val="left" w:pos="0"/>
                <w:tab w:val="left" w:pos="1134"/>
              </w:tabs>
              <w:kinsoku/>
              <w:wordWrap/>
              <w:overflowPunct/>
              <w:topLinePunct w:val="0"/>
              <w:bidi w:val="0"/>
              <w:adjustRightInd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1.合同生效且具备实施条件后7个工作日内，采购人向供应商支付合同金额的50%作为预付款。</w:t>
            </w:r>
          </w:p>
          <w:p w14:paraId="6110067B">
            <w:pPr>
              <w:keepNext w:val="0"/>
              <w:keepLines w:val="0"/>
              <w:pageBreakBefore w:val="0"/>
              <w:tabs>
                <w:tab w:val="left" w:pos="0"/>
                <w:tab w:val="left" w:pos="1134"/>
              </w:tabs>
              <w:kinsoku/>
              <w:wordWrap/>
              <w:overflowPunct/>
              <w:topLinePunct w:val="0"/>
              <w:bidi w:val="0"/>
              <w:adjustRightInd w:val="0"/>
              <w:spacing w:line="400" w:lineRule="exact"/>
              <w:ind w:left="0"/>
              <w:textAlignment w:val="auto"/>
              <w:rPr>
                <w:rFonts w:hint="eastAsia" w:ascii="宋体" w:hAnsi="宋体" w:eastAsia="宋体" w:cs="宋体"/>
                <w:szCs w:val="21"/>
                <w:lang w:eastAsia="zh-CN"/>
              </w:rPr>
            </w:pPr>
            <w:r>
              <w:rPr>
                <w:rFonts w:hint="eastAsia" w:ascii="宋体" w:hAnsi="宋体" w:eastAsia="宋体" w:cs="宋体"/>
                <w:szCs w:val="21"/>
              </w:rPr>
              <w:t>2.提交研究报告初稿，并经采购人审核后7个工作日内，支付合同金额的40%</w:t>
            </w:r>
            <w:r>
              <w:rPr>
                <w:rFonts w:hint="eastAsia" w:ascii="宋体" w:hAnsi="宋体" w:eastAsia="宋体" w:cs="宋体"/>
                <w:szCs w:val="21"/>
                <w:lang w:eastAsia="zh-CN"/>
              </w:rPr>
              <w:t>。</w:t>
            </w:r>
          </w:p>
          <w:p w14:paraId="7199518C">
            <w:pPr>
              <w:keepNext w:val="0"/>
              <w:keepLines w:val="0"/>
              <w:pageBreakBefore w:val="0"/>
              <w:kinsoku/>
              <w:wordWrap/>
              <w:overflowPunct/>
              <w:topLinePunct w:val="0"/>
              <w:bidi w:val="0"/>
              <w:spacing w:line="400" w:lineRule="exact"/>
              <w:ind w:left="0"/>
              <w:textAlignment w:val="auto"/>
              <w:rPr>
                <w:rFonts w:hint="eastAsia" w:ascii="宋体" w:hAnsi="宋体" w:eastAsia="宋体" w:cs="宋体"/>
                <w:szCs w:val="21"/>
                <w:lang w:eastAsia="zh-CN"/>
              </w:rPr>
            </w:pPr>
            <w:r>
              <w:rPr>
                <w:rFonts w:hint="eastAsia" w:ascii="宋体" w:hAnsi="宋体" w:eastAsia="宋体" w:cs="宋体"/>
                <w:szCs w:val="21"/>
              </w:rPr>
              <w:t>3.报告经专家评审通过，并根据专家评审意见修改完善形成最终稿以及决策建议稿后7个工作日内，支付合同金额的10%</w:t>
            </w:r>
            <w:r>
              <w:rPr>
                <w:rFonts w:hint="eastAsia" w:ascii="宋体" w:hAnsi="宋体" w:eastAsia="宋体" w:cs="宋体"/>
                <w:szCs w:val="21"/>
                <w:lang w:eastAsia="zh-CN"/>
              </w:rPr>
              <w:t>。</w:t>
            </w:r>
          </w:p>
        </w:tc>
        <w:tc>
          <w:tcPr>
            <w:tcW w:w="675" w:type="pct"/>
            <w:tcBorders>
              <w:tl2br w:val="nil"/>
              <w:tr2bl w:val="nil"/>
            </w:tcBorders>
            <w:vAlign w:val="center"/>
          </w:tcPr>
          <w:p w14:paraId="6B4A3D55">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c>
          <w:tcPr>
            <w:tcW w:w="675" w:type="pct"/>
            <w:tcBorders>
              <w:tl2br w:val="nil"/>
              <w:tr2bl w:val="nil"/>
            </w:tcBorders>
            <w:vAlign w:val="center"/>
          </w:tcPr>
          <w:p w14:paraId="5C1F8574">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r>
      <w:tr w14:paraId="47C7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pct"/>
            <w:tcBorders>
              <w:tl2br w:val="nil"/>
              <w:tr2bl w:val="nil"/>
            </w:tcBorders>
            <w:vAlign w:val="center"/>
          </w:tcPr>
          <w:p w14:paraId="29A7163B">
            <w:pPr>
              <w:keepNext w:val="0"/>
              <w:keepLines w:val="0"/>
              <w:pageBreakBefore w:val="0"/>
              <w:kinsoku/>
              <w:wordWrap/>
              <w:overflowPunct/>
              <w:topLinePunct w:val="0"/>
              <w:autoSpaceDE w:val="0"/>
              <w:autoSpaceDN w:val="0"/>
              <w:bidi w:val="0"/>
              <w:adjustRightIn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5</w:t>
            </w:r>
          </w:p>
        </w:tc>
        <w:tc>
          <w:tcPr>
            <w:tcW w:w="787" w:type="pct"/>
            <w:tcBorders>
              <w:tl2br w:val="nil"/>
              <w:tr2bl w:val="nil"/>
            </w:tcBorders>
            <w:vAlign w:val="center"/>
          </w:tcPr>
          <w:p w14:paraId="79CE2E0F">
            <w:pPr>
              <w:keepNext w:val="0"/>
              <w:keepLines w:val="0"/>
              <w:pageBreakBefore w:val="0"/>
              <w:kinsoku/>
              <w:wordWrap/>
              <w:overflowPunct/>
              <w:topLinePunct w:val="0"/>
              <w:bidi w:val="0"/>
              <w:snapToGrid w:val="0"/>
              <w:spacing w:line="400" w:lineRule="exact"/>
              <w:ind w:left="0"/>
              <w:jc w:val="center"/>
              <w:textAlignment w:val="auto"/>
              <w:rPr>
                <w:rFonts w:hint="eastAsia" w:ascii="宋体" w:hAnsi="宋体" w:eastAsia="宋体" w:cs="宋体"/>
                <w:szCs w:val="21"/>
              </w:rPr>
            </w:pPr>
            <w:r>
              <w:rPr>
                <w:rFonts w:hint="eastAsia" w:ascii="宋体" w:hAnsi="宋体" w:eastAsia="宋体" w:cs="宋体"/>
                <w:szCs w:val="21"/>
              </w:rPr>
              <w:t>合同签订</w:t>
            </w:r>
          </w:p>
        </w:tc>
        <w:tc>
          <w:tcPr>
            <w:tcW w:w="2437" w:type="pct"/>
            <w:tcBorders>
              <w:tl2br w:val="nil"/>
              <w:tr2bl w:val="nil"/>
            </w:tcBorders>
            <w:vAlign w:val="center"/>
          </w:tcPr>
          <w:p w14:paraId="1C104D0B">
            <w:pPr>
              <w:keepNext w:val="0"/>
              <w:keepLines w:val="0"/>
              <w:pageBreakBefore w:val="0"/>
              <w:kinsoku/>
              <w:wordWrap/>
              <w:overflowPunct/>
              <w:topLinePunct w:val="0"/>
              <w:bidi w:val="0"/>
              <w:spacing w:line="400" w:lineRule="exact"/>
              <w:ind w:left="0"/>
              <w:textAlignment w:val="auto"/>
              <w:rPr>
                <w:rFonts w:hint="eastAsia" w:ascii="宋体" w:hAnsi="宋体" w:eastAsia="宋体" w:cs="宋体"/>
                <w:szCs w:val="21"/>
                <w:lang w:eastAsia="zh-CN"/>
              </w:rPr>
            </w:pPr>
            <w:r>
              <w:rPr>
                <w:rFonts w:hint="eastAsia" w:ascii="宋体" w:hAnsi="宋体" w:eastAsia="宋体" w:cs="宋体"/>
                <w:szCs w:val="21"/>
              </w:rPr>
              <w:t>确定成交通知书发出后30日内</w:t>
            </w:r>
            <w:r>
              <w:rPr>
                <w:rFonts w:hint="eastAsia" w:ascii="宋体" w:hAnsi="宋体" w:eastAsia="宋体" w:cs="宋体"/>
                <w:szCs w:val="21"/>
                <w:lang w:eastAsia="zh-CN"/>
              </w:rPr>
              <w:t>。</w:t>
            </w:r>
          </w:p>
        </w:tc>
        <w:tc>
          <w:tcPr>
            <w:tcW w:w="675" w:type="pct"/>
            <w:tcBorders>
              <w:tl2br w:val="nil"/>
              <w:tr2bl w:val="nil"/>
            </w:tcBorders>
            <w:vAlign w:val="center"/>
          </w:tcPr>
          <w:p w14:paraId="4DBF736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c>
          <w:tcPr>
            <w:tcW w:w="675" w:type="pct"/>
            <w:tcBorders>
              <w:tl2br w:val="nil"/>
              <w:tr2bl w:val="nil"/>
            </w:tcBorders>
            <w:vAlign w:val="center"/>
          </w:tcPr>
          <w:p w14:paraId="2C314C13">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zCs w:val="21"/>
              </w:rPr>
            </w:pPr>
          </w:p>
        </w:tc>
      </w:tr>
    </w:tbl>
    <w:p w14:paraId="72BD6430">
      <w:pPr>
        <w:keepNext w:val="0"/>
        <w:keepLines w:val="0"/>
        <w:pageBreakBefore w:val="0"/>
        <w:kinsoku/>
        <w:wordWrap/>
        <w:overflowPunct/>
        <w:topLinePunct w:val="0"/>
        <w:bidi w:val="0"/>
        <w:adjustRightInd w:val="0"/>
        <w:snapToGrid w:val="0"/>
        <w:spacing w:line="400" w:lineRule="exact"/>
        <w:ind w:left="0" w:hanging="210" w:hangingChars="100"/>
        <w:textAlignment w:val="auto"/>
        <w:rPr>
          <w:rFonts w:hint="eastAsia" w:ascii="宋体" w:hAnsi="宋体" w:eastAsia="宋体" w:cs="宋体"/>
          <w:szCs w:val="21"/>
        </w:rPr>
      </w:pPr>
      <w:r>
        <w:rPr>
          <w:rFonts w:hint="eastAsia" w:ascii="宋体" w:hAnsi="宋体" w:eastAsia="宋体" w:cs="宋体"/>
          <w:szCs w:val="21"/>
        </w:rPr>
        <w:t>注：须与商务条款逐项比较填写。</w:t>
      </w:r>
    </w:p>
    <w:p w14:paraId="46B8CC27">
      <w:pPr>
        <w:keepNext w:val="0"/>
        <w:keepLines w:val="0"/>
        <w:pageBreakBefore w:val="0"/>
        <w:kinsoku/>
        <w:wordWrap/>
        <w:overflowPunct/>
        <w:topLinePunct w:val="0"/>
        <w:bidi w:val="0"/>
        <w:adjustRightInd w:val="0"/>
        <w:snapToGrid w:val="0"/>
        <w:spacing w:line="400" w:lineRule="exact"/>
        <w:ind w:left="0"/>
        <w:textAlignment w:val="auto"/>
        <w:rPr>
          <w:rFonts w:hint="eastAsia" w:ascii="宋体" w:hAnsi="宋体" w:eastAsia="宋体" w:cs="宋体"/>
          <w:szCs w:val="21"/>
        </w:rPr>
      </w:pPr>
    </w:p>
    <w:p w14:paraId="41D54239">
      <w:pPr>
        <w:keepNext w:val="0"/>
        <w:keepLines w:val="0"/>
        <w:pageBreakBefore w:val="0"/>
        <w:kinsoku/>
        <w:wordWrap/>
        <w:overflowPunct/>
        <w:topLinePunct w:val="0"/>
        <w:bidi w:val="0"/>
        <w:spacing w:line="400" w:lineRule="exact"/>
        <w:ind w:left="0"/>
        <w:jc w:val="left"/>
        <w:textAlignment w:val="auto"/>
        <w:rPr>
          <w:rFonts w:hint="eastAsia" w:ascii="宋体" w:hAnsi="宋体" w:eastAsia="宋体" w:cs="宋体"/>
          <w:szCs w:val="21"/>
        </w:rPr>
      </w:pPr>
      <w:r>
        <w:rPr>
          <w:rFonts w:hint="eastAsia" w:ascii="宋体" w:hAnsi="宋体" w:eastAsia="宋体" w:cs="宋体"/>
          <w:szCs w:val="21"/>
        </w:rPr>
        <w:t>供应商（盖章）：</w:t>
      </w:r>
    </w:p>
    <w:p w14:paraId="3D3D0A45">
      <w:pPr>
        <w:keepNext w:val="0"/>
        <w:keepLines w:val="0"/>
        <w:pageBreakBefore w:val="0"/>
        <w:kinsoku/>
        <w:wordWrap/>
        <w:overflowPunct/>
        <w:topLinePunct w:val="0"/>
        <w:bidi w:val="0"/>
        <w:snapToGrid w:val="0"/>
        <w:spacing w:line="400" w:lineRule="exact"/>
        <w:ind w:left="0"/>
        <w:textAlignment w:val="auto"/>
        <w:rPr>
          <w:rFonts w:hint="eastAsia" w:ascii="宋体" w:hAnsi="宋体" w:eastAsia="宋体" w:cs="宋体"/>
          <w:szCs w:val="21"/>
          <w:u w:val="single"/>
        </w:rPr>
      </w:pPr>
      <w:r>
        <w:rPr>
          <w:rFonts w:hint="eastAsia" w:ascii="宋体" w:hAnsi="宋体" w:eastAsia="宋体" w:cs="宋体"/>
          <w:szCs w:val="21"/>
        </w:rPr>
        <w:t>日期：</w:t>
      </w:r>
    </w:p>
    <w:p w14:paraId="0E3BE992">
      <w:pPr>
        <w:keepNext w:val="0"/>
        <w:keepLines w:val="0"/>
        <w:pageBreakBefore w:val="0"/>
        <w:widowControl/>
        <w:kinsoku/>
        <w:wordWrap/>
        <w:overflowPunct/>
        <w:topLinePunct w:val="0"/>
        <w:bidi w:val="0"/>
        <w:spacing w:line="400" w:lineRule="exact"/>
        <w:ind w:left="0"/>
        <w:jc w:val="left"/>
        <w:textAlignment w:val="auto"/>
        <w:rPr>
          <w:rFonts w:hint="eastAsia" w:ascii="宋体" w:hAnsi="宋体" w:eastAsia="宋体" w:cs="宋体"/>
          <w:b/>
          <w:bCs/>
          <w:szCs w:val="21"/>
        </w:rPr>
      </w:pPr>
      <w:r>
        <w:rPr>
          <w:rFonts w:hint="eastAsia" w:ascii="宋体" w:hAnsi="宋体" w:eastAsia="宋体" w:cs="宋体"/>
          <w:b/>
          <w:bCs/>
          <w:szCs w:val="21"/>
        </w:rPr>
        <w:br w:type="page"/>
      </w:r>
    </w:p>
    <w:p w14:paraId="02CD6DEC">
      <w:pPr>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b/>
          <w:spacing w:val="20"/>
          <w:szCs w:val="21"/>
        </w:rPr>
      </w:pPr>
      <w:r>
        <w:rPr>
          <w:rFonts w:hint="eastAsia" w:ascii="宋体" w:hAnsi="宋体" w:eastAsia="宋体" w:cs="宋体"/>
          <w:b/>
          <w:spacing w:val="20"/>
          <w:szCs w:val="21"/>
        </w:rPr>
        <w:t>B5.</w:t>
      </w:r>
      <w:bookmarkStart w:id="57" w:name="_Toc10852"/>
      <w:r>
        <w:rPr>
          <w:rFonts w:hint="eastAsia" w:ascii="宋体" w:hAnsi="宋体" w:eastAsia="宋体" w:cs="宋体"/>
          <w:b/>
          <w:szCs w:val="21"/>
        </w:rPr>
        <w:t>技术响应表</w:t>
      </w:r>
      <w:bookmarkEnd w:id="57"/>
    </w:p>
    <w:p w14:paraId="4C06B51F">
      <w:pPr>
        <w:keepNext w:val="0"/>
        <w:keepLines w:val="0"/>
        <w:pageBreakBefore w:val="0"/>
        <w:kinsoku/>
        <w:wordWrap/>
        <w:overflowPunct/>
        <w:topLinePunct w:val="0"/>
        <w:bidi w:val="0"/>
        <w:snapToGrid w:val="0"/>
        <w:spacing w:line="400" w:lineRule="exact"/>
        <w:ind w:left="0"/>
        <w:textAlignment w:val="auto"/>
        <w:rPr>
          <w:rFonts w:hint="default" w:ascii="宋体" w:hAnsi="宋体" w:eastAsia="宋体" w:cs="宋体"/>
          <w:szCs w:val="21"/>
          <w:u w:val="single"/>
          <w:lang w:val="en-US" w:eastAsia="zh-CN"/>
        </w:rPr>
      </w:pPr>
      <w:r>
        <w:rPr>
          <w:rFonts w:hint="eastAsia" w:ascii="宋体" w:hAnsi="宋体" w:eastAsia="宋体" w:cs="宋体"/>
          <w:szCs w:val="21"/>
        </w:rPr>
        <w:t>项目编号：</w:t>
      </w:r>
      <w:r>
        <w:rPr>
          <w:rFonts w:hint="eastAsia" w:ascii="宋体" w:hAnsi="宋体" w:eastAsia="宋体" w:cs="宋体"/>
          <w:szCs w:val="21"/>
          <w:u w:val="single"/>
        </w:rPr>
        <w:t>NBITC-202530001GC-BL</w:t>
      </w:r>
      <w:r>
        <w:rPr>
          <w:rFonts w:hint="eastAsia" w:ascii="宋体" w:hAnsi="宋体" w:cs="宋体"/>
          <w:szCs w:val="21"/>
          <w:u w:val="single"/>
          <w:lang w:val="en-US" w:eastAsia="zh-CN"/>
        </w:rPr>
        <w:t>007</w:t>
      </w:r>
    </w:p>
    <w:p w14:paraId="213F4A8D">
      <w:pPr>
        <w:keepNext w:val="0"/>
        <w:keepLines w:val="0"/>
        <w:pageBreakBefore w:val="0"/>
        <w:kinsoku/>
        <w:wordWrap/>
        <w:overflowPunct/>
        <w:topLinePunct w:val="0"/>
        <w:bidi w:val="0"/>
        <w:snapToGrid w:val="0"/>
        <w:spacing w:line="400" w:lineRule="exact"/>
        <w:ind w:left="0"/>
        <w:textAlignment w:val="auto"/>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大榭片区“十五五”发展规划项目</w:t>
      </w:r>
    </w:p>
    <w:tbl>
      <w:tblPr>
        <w:tblStyle w:val="49"/>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507"/>
        <w:gridCol w:w="3030"/>
        <w:gridCol w:w="1436"/>
      </w:tblGrid>
      <w:tr w14:paraId="0AC6F9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top w:val="single" w:color="auto" w:sz="4" w:space="0"/>
              <w:left w:val="single" w:color="auto" w:sz="4" w:space="0"/>
            </w:tcBorders>
            <w:vAlign w:val="center"/>
          </w:tcPr>
          <w:p w14:paraId="6C1D5446">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序号</w:t>
            </w:r>
          </w:p>
        </w:tc>
        <w:tc>
          <w:tcPr>
            <w:tcW w:w="1911" w:type="pct"/>
            <w:tcBorders>
              <w:top w:val="single" w:color="auto" w:sz="4" w:space="0"/>
            </w:tcBorders>
            <w:vAlign w:val="center"/>
          </w:tcPr>
          <w:p w14:paraId="7BF13D2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采购要求</w:t>
            </w:r>
          </w:p>
        </w:tc>
        <w:tc>
          <w:tcPr>
            <w:tcW w:w="1651" w:type="pct"/>
            <w:tcBorders>
              <w:top w:val="single" w:color="auto" w:sz="4" w:space="0"/>
            </w:tcBorders>
            <w:vAlign w:val="center"/>
          </w:tcPr>
          <w:p w14:paraId="6D1C914C">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磋商响应</w:t>
            </w:r>
          </w:p>
        </w:tc>
        <w:tc>
          <w:tcPr>
            <w:tcW w:w="782" w:type="pct"/>
            <w:tcBorders>
              <w:top w:val="single" w:color="auto" w:sz="4" w:space="0"/>
              <w:right w:val="single" w:color="auto" w:sz="4" w:space="0"/>
            </w:tcBorders>
            <w:vAlign w:val="center"/>
          </w:tcPr>
          <w:p w14:paraId="7A4E6CB9">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偏离说明</w:t>
            </w:r>
          </w:p>
        </w:tc>
      </w:tr>
      <w:tr w14:paraId="65186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tcBorders>
            <w:vAlign w:val="center"/>
          </w:tcPr>
          <w:p w14:paraId="5974D5F0">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vAlign w:val="center"/>
          </w:tcPr>
          <w:p w14:paraId="79F959E7">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r>
              <w:rPr>
                <w:rFonts w:hint="eastAsia" w:ascii="宋体" w:hAnsi="宋体" w:eastAsia="宋体" w:cs="宋体"/>
                <w:kern w:val="2"/>
              </w:rPr>
              <w:t xml:space="preserve"> </w:t>
            </w:r>
          </w:p>
        </w:tc>
        <w:tc>
          <w:tcPr>
            <w:tcW w:w="1651" w:type="pct"/>
            <w:vAlign w:val="center"/>
          </w:tcPr>
          <w:p w14:paraId="4BEEB23B">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right w:val="single" w:color="auto" w:sz="4" w:space="0"/>
            </w:tcBorders>
            <w:vAlign w:val="center"/>
          </w:tcPr>
          <w:p w14:paraId="44B36F0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r w14:paraId="512F1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tcBorders>
            <w:vAlign w:val="center"/>
          </w:tcPr>
          <w:p w14:paraId="37F63C4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vAlign w:val="center"/>
          </w:tcPr>
          <w:p w14:paraId="19104BFA">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r>
              <w:rPr>
                <w:rFonts w:hint="eastAsia" w:ascii="宋体" w:hAnsi="宋体" w:eastAsia="宋体" w:cs="宋体"/>
                <w:kern w:val="2"/>
              </w:rPr>
              <w:t xml:space="preserve"> </w:t>
            </w:r>
          </w:p>
        </w:tc>
        <w:tc>
          <w:tcPr>
            <w:tcW w:w="1651" w:type="pct"/>
            <w:vAlign w:val="center"/>
          </w:tcPr>
          <w:p w14:paraId="2F4696FD">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right w:val="single" w:color="auto" w:sz="4" w:space="0"/>
            </w:tcBorders>
            <w:vAlign w:val="center"/>
          </w:tcPr>
          <w:p w14:paraId="30CD0180">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r w14:paraId="4A760E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tcBorders>
            <w:vAlign w:val="center"/>
          </w:tcPr>
          <w:p w14:paraId="3B851AE5">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vAlign w:val="center"/>
          </w:tcPr>
          <w:p w14:paraId="1D8E0543">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r>
              <w:rPr>
                <w:rFonts w:hint="eastAsia" w:ascii="宋体" w:hAnsi="宋体" w:eastAsia="宋体" w:cs="宋体"/>
                <w:kern w:val="2"/>
              </w:rPr>
              <w:t xml:space="preserve"> </w:t>
            </w:r>
          </w:p>
        </w:tc>
        <w:tc>
          <w:tcPr>
            <w:tcW w:w="1651" w:type="pct"/>
            <w:vAlign w:val="center"/>
          </w:tcPr>
          <w:p w14:paraId="294DEF35">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right w:val="single" w:color="auto" w:sz="4" w:space="0"/>
            </w:tcBorders>
            <w:vAlign w:val="center"/>
          </w:tcPr>
          <w:p w14:paraId="2041C986">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r w14:paraId="4AA98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tcBorders>
            <w:vAlign w:val="center"/>
          </w:tcPr>
          <w:p w14:paraId="1BD7F595">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vAlign w:val="center"/>
          </w:tcPr>
          <w:p w14:paraId="207A1BB3">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r>
              <w:rPr>
                <w:rFonts w:hint="eastAsia" w:ascii="宋体" w:hAnsi="宋体" w:eastAsia="宋体" w:cs="宋体"/>
                <w:kern w:val="2"/>
              </w:rPr>
              <w:t xml:space="preserve"> </w:t>
            </w:r>
          </w:p>
        </w:tc>
        <w:tc>
          <w:tcPr>
            <w:tcW w:w="1651" w:type="pct"/>
            <w:vAlign w:val="center"/>
          </w:tcPr>
          <w:p w14:paraId="35AA2A0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right w:val="single" w:color="auto" w:sz="4" w:space="0"/>
            </w:tcBorders>
            <w:vAlign w:val="center"/>
          </w:tcPr>
          <w:p w14:paraId="4FA805F7">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r w14:paraId="5097F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tcBorders>
            <w:vAlign w:val="center"/>
          </w:tcPr>
          <w:p w14:paraId="5E7615F8">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vAlign w:val="center"/>
          </w:tcPr>
          <w:p w14:paraId="06C50E94">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p>
        </w:tc>
        <w:tc>
          <w:tcPr>
            <w:tcW w:w="1651" w:type="pct"/>
            <w:vAlign w:val="center"/>
          </w:tcPr>
          <w:p w14:paraId="6568F39A">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right w:val="single" w:color="auto" w:sz="4" w:space="0"/>
            </w:tcBorders>
            <w:vAlign w:val="center"/>
          </w:tcPr>
          <w:p w14:paraId="2D50236E">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r w14:paraId="3A4B7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tcBorders>
              <w:left w:val="single" w:color="auto" w:sz="4" w:space="0"/>
              <w:bottom w:val="single" w:color="auto" w:sz="4" w:space="0"/>
            </w:tcBorders>
            <w:vAlign w:val="center"/>
          </w:tcPr>
          <w:p w14:paraId="5C124DD0">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r>
              <w:rPr>
                <w:rFonts w:hint="eastAsia" w:ascii="宋体" w:hAnsi="宋体" w:eastAsia="宋体" w:cs="宋体"/>
                <w:spacing w:val="20"/>
                <w:szCs w:val="21"/>
              </w:rPr>
              <w:t xml:space="preserve"> </w:t>
            </w:r>
          </w:p>
        </w:tc>
        <w:tc>
          <w:tcPr>
            <w:tcW w:w="1911" w:type="pct"/>
            <w:tcBorders>
              <w:bottom w:val="single" w:color="auto" w:sz="4" w:space="0"/>
            </w:tcBorders>
            <w:vAlign w:val="center"/>
          </w:tcPr>
          <w:p w14:paraId="684BB7EA">
            <w:pPr>
              <w:pStyle w:val="162"/>
              <w:keepNext w:val="0"/>
              <w:keepLines w:val="0"/>
              <w:pageBreakBefore w:val="0"/>
              <w:kinsoku/>
              <w:wordWrap/>
              <w:overflowPunct/>
              <w:topLinePunct w:val="0"/>
              <w:bidi w:val="0"/>
              <w:spacing w:line="400" w:lineRule="exact"/>
              <w:ind w:left="0"/>
              <w:textAlignment w:val="auto"/>
              <w:rPr>
                <w:rFonts w:hint="eastAsia" w:ascii="宋体" w:hAnsi="宋体" w:eastAsia="宋体" w:cs="宋体"/>
                <w:kern w:val="2"/>
              </w:rPr>
            </w:pPr>
          </w:p>
        </w:tc>
        <w:tc>
          <w:tcPr>
            <w:tcW w:w="1651" w:type="pct"/>
            <w:tcBorders>
              <w:bottom w:val="single" w:color="auto" w:sz="4" w:space="0"/>
            </w:tcBorders>
            <w:vAlign w:val="center"/>
          </w:tcPr>
          <w:p w14:paraId="2FFAFE8D">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c>
          <w:tcPr>
            <w:tcW w:w="782" w:type="pct"/>
            <w:tcBorders>
              <w:bottom w:val="single" w:color="auto" w:sz="4" w:space="0"/>
              <w:right w:val="single" w:color="auto" w:sz="4" w:space="0"/>
            </w:tcBorders>
            <w:vAlign w:val="center"/>
          </w:tcPr>
          <w:p w14:paraId="09CA7AC6">
            <w:pPr>
              <w:keepNext w:val="0"/>
              <w:keepLines w:val="0"/>
              <w:pageBreakBefore w:val="0"/>
              <w:kinsoku/>
              <w:wordWrap/>
              <w:overflowPunct/>
              <w:topLinePunct w:val="0"/>
              <w:bidi w:val="0"/>
              <w:adjustRightInd w:val="0"/>
              <w:snapToGrid w:val="0"/>
              <w:spacing w:line="400" w:lineRule="exact"/>
              <w:ind w:left="0"/>
              <w:jc w:val="center"/>
              <w:textAlignment w:val="auto"/>
              <w:rPr>
                <w:rFonts w:hint="eastAsia" w:ascii="宋体" w:hAnsi="宋体" w:eastAsia="宋体" w:cs="宋体"/>
                <w:spacing w:val="20"/>
                <w:szCs w:val="21"/>
              </w:rPr>
            </w:pPr>
          </w:p>
        </w:tc>
      </w:tr>
    </w:tbl>
    <w:p w14:paraId="00223768">
      <w:pPr>
        <w:keepNext w:val="0"/>
        <w:keepLines w:val="0"/>
        <w:pageBreakBefore w:val="0"/>
        <w:kinsoku/>
        <w:wordWrap/>
        <w:overflowPunct/>
        <w:topLinePunct w:val="0"/>
        <w:bidi w:val="0"/>
        <w:adjustRightInd w:val="0"/>
        <w:snapToGrid w:val="0"/>
        <w:spacing w:line="400" w:lineRule="exact"/>
        <w:ind w:left="0" w:hanging="210" w:hangingChars="100"/>
        <w:textAlignment w:val="auto"/>
        <w:rPr>
          <w:rFonts w:hint="eastAsia" w:ascii="宋体" w:hAnsi="宋体" w:eastAsia="宋体" w:cs="宋体"/>
          <w:szCs w:val="21"/>
        </w:rPr>
      </w:pPr>
      <w:r>
        <w:rPr>
          <w:rFonts w:hint="eastAsia" w:ascii="宋体" w:hAnsi="宋体" w:eastAsia="宋体" w:cs="宋体"/>
          <w:szCs w:val="21"/>
        </w:rPr>
        <w:t>注：供应商须对第五章采购需求中的各项要求进行逐一响应。</w:t>
      </w:r>
    </w:p>
    <w:p w14:paraId="2F3B2647">
      <w:pPr>
        <w:keepNext w:val="0"/>
        <w:keepLines w:val="0"/>
        <w:pageBreakBefore w:val="0"/>
        <w:kinsoku/>
        <w:wordWrap/>
        <w:overflowPunct/>
        <w:topLinePunct w:val="0"/>
        <w:bidi w:val="0"/>
        <w:adjustRightInd w:val="0"/>
        <w:snapToGrid w:val="0"/>
        <w:spacing w:line="400" w:lineRule="exact"/>
        <w:ind w:left="0"/>
        <w:textAlignment w:val="auto"/>
        <w:rPr>
          <w:rFonts w:hint="eastAsia" w:ascii="宋体" w:hAnsi="宋体" w:eastAsia="宋体" w:cs="宋体"/>
          <w:spacing w:val="20"/>
          <w:szCs w:val="21"/>
        </w:rPr>
      </w:pPr>
    </w:p>
    <w:p w14:paraId="0B166C3A">
      <w:pPr>
        <w:keepNext w:val="0"/>
        <w:keepLines w:val="0"/>
        <w:pageBreakBefore w:val="0"/>
        <w:kinsoku/>
        <w:wordWrap/>
        <w:overflowPunct/>
        <w:topLinePunct w:val="0"/>
        <w:bidi w:val="0"/>
        <w:spacing w:line="400" w:lineRule="exact"/>
        <w:ind w:left="0"/>
        <w:jc w:val="left"/>
        <w:textAlignment w:val="auto"/>
        <w:rPr>
          <w:rFonts w:hint="eastAsia" w:ascii="宋体" w:hAnsi="宋体" w:eastAsia="宋体" w:cs="宋体"/>
          <w:szCs w:val="21"/>
        </w:rPr>
      </w:pPr>
      <w:r>
        <w:rPr>
          <w:rFonts w:hint="eastAsia" w:ascii="宋体" w:hAnsi="宋体" w:eastAsia="宋体" w:cs="宋体"/>
          <w:szCs w:val="21"/>
        </w:rPr>
        <w:t>供应商（盖章）：</w:t>
      </w:r>
    </w:p>
    <w:p w14:paraId="25C0B15C">
      <w:pPr>
        <w:keepNext w:val="0"/>
        <w:keepLines w:val="0"/>
        <w:pageBreakBefore w:val="0"/>
        <w:kinsoku/>
        <w:wordWrap/>
        <w:overflowPunct/>
        <w:topLinePunct w:val="0"/>
        <w:bidi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日期：</w:t>
      </w:r>
    </w:p>
    <w:p w14:paraId="6E74258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szCs w:val="21"/>
        </w:rPr>
      </w:pPr>
      <w:r>
        <w:rPr>
          <w:rFonts w:hint="eastAsia" w:ascii="宋体" w:hAnsi="宋体" w:eastAsia="宋体" w:cs="宋体"/>
          <w:szCs w:val="21"/>
        </w:rPr>
        <w:br w:type="page"/>
      </w:r>
      <w:r>
        <w:rPr>
          <w:rFonts w:hint="eastAsia" w:ascii="宋体" w:hAnsi="宋体" w:eastAsia="宋体" w:cs="宋体"/>
          <w:b/>
          <w:bCs/>
          <w:szCs w:val="21"/>
        </w:rPr>
        <w:t>B6</w:t>
      </w:r>
      <w:r>
        <w:rPr>
          <w:rFonts w:hint="eastAsia" w:ascii="宋体" w:hAnsi="宋体" w:eastAsia="宋体" w:cs="宋体"/>
          <w:b/>
          <w:bCs/>
          <w:szCs w:val="21"/>
          <w:lang w:val="en-US" w:eastAsia="zh-CN"/>
        </w:rPr>
        <w:t>.</w:t>
      </w:r>
      <w:r>
        <w:rPr>
          <w:rFonts w:hint="eastAsia" w:ascii="宋体" w:hAnsi="宋体" w:eastAsia="宋体" w:cs="宋体"/>
          <w:b/>
          <w:bCs/>
          <w:szCs w:val="21"/>
        </w:rPr>
        <w:t>第三章“评定成交的标准”中“商务技术评分表”要求提供的评分资料；</w:t>
      </w:r>
    </w:p>
    <w:p w14:paraId="2F627BE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Cs w:val="21"/>
        </w:rPr>
      </w:pPr>
      <w:r>
        <w:rPr>
          <w:rFonts w:hint="eastAsia" w:ascii="宋体" w:hAnsi="宋体" w:eastAsia="宋体" w:cs="宋体"/>
          <w:b/>
          <w:bCs/>
          <w:szCs w:val="21"/>
        </w:rPr>
        <w:t>B7</w:t>
      </w:r>
      <w:r>
        <w:rPr>
          <w:rFonts w:hint="eastAsia" w:ascii="宋体" w:hAnsi="宋体" w:eastAsia="宋体" w:cs="宋体"/>
          <w:b/>
          <w:bCs/>
          <w:szCs w:val="21"/>
          <w:lang w:val="en-US" w:eastAsia="zh-CN"/>
        </w:rPr>
        <w:t>.</w:t>
      </w:r>
      <w:r>
        <w:rPr>
          <w:rFonts w:hint="eastAsia" w:ascii="宋体" w:hAnsi="宋体" w:eastAsia="宋体" w:cs="宋体"/>
          <w:b/>
          <w:bCs/>
          <w:szCs w:val="21"/>
        </w:rPr>
        <w:t>供应商认为需要的其他资料（如有需提供）。</w:t>
      </w:r>
    </w:p>
    <w:p w14:paraId="4A2889D8">
      <w:pPr>
        <w:pStyle w:val="26"/>
        <w:topLinePunct/>
        <w:adjustRightInd w:val="0"/>
        <w:snapToGrid w:val="0"/>
        <w:spacing w:line="400" w:lineRule="exact"/>
        <w:jc w:val="center"/>
        <w:rPr>
          <w:rFonts w:hint="eastAsia" w:ascii="宋体" w:hAnsi="宋体" w:eastAsia="宋体" w:cs="宋体"/>
          <w:b/>
          <w:color w:val="auto"/>
          <w:sz w:val="32"/>
          <w:szCs w:val="32"/>
        </w:rPr>
      </w:pPr>
    </w:p>
    <w:p w14:paraId="2C9813A0">
      <w:pPr>
        <w:widowControl/>
        <w:jc w:val="left"/>
        <w:rPr>
          <w:rFonts w:hint="eastAsia" w:ascii="宋体" w:hAnsi="宋体" w:eastAsia="宋体" w:cs="宋体"/>
          <w:b/>
          <w:sz w:val="32"/>
          <w:szCs w:val="32"/>
        </w:rPr>
      </w:pPr>
      <w:r>
        <w:rPr>
          <w:rFonts w:hint="eastAsia" w:ascii="宋体" w:hAnsi="宋体" w:eastAsia="宋体" w:cs="宋体"/>
          <w:b/>
          <w:sz w:val="32"/>
          <w:szCs w:val="32"/>
        </w:rPr>
        <w:br w:type="page"/>
      </w:r>
    </w:p>
    <w:p w14:paraId="61241110">
      <w:pPr>
        <w:spacing w:line="360" w:lineRule="auto"/>
        <w:rPr>
          <w:rFonts w:hint="eastAsia" w:ascii="宋体" w:hAnsi="宋体" w:eastAsia="宋体" w:cs="宋体"/>
          <w:b/>
          <w:sz w:val="32"/>
          <w:szCs w:val="32"/>
        </w:rPr>
      </w:pPr>
      <w:r>
        <w:rPr>
          <w:rFonts w:hint="eastAsia" w:ascii="宋体" w:hAnsi="宋体" w:eastAsia="宋体" w:cs="宋体"/>
          <w:b/>
          <w:sz w:val="32"/>
          <w:szCs w:val="32"/>
        </w:rPr>
        <w:t>封面</w:t>
      </w:r>
    </w:p>
    <w:p w14:paraId="7AF9CA7E">
      <w:pPr>
        <w:spacing w:line="360" w:lineRule="auto"/>
        <w:rPr>
          <w:rFonts w:hint="eastAsia" w:ascii="宋体" w:hAnsi="宋体" w:eastAsia="宋体" w:cs="宋体"/>
          <w:b/>
          <w:sz w:val="32"/>
          <w:szCs w:val="32"/>
        </w:rPr>
      </w:pPr>
    </w:p>
    <w:p w14:paraId="10B25BB5">
      <w:pPr>
        <w:spacing w:line="360" w:lineRule="auto"/>
        <w:rPr>
          <w:rFonts w:hint="eastAsia" w:ascii="宋体" w:hAnsi="宋体" w:eastAsia="宋体" w:cs="宋体"/>
          <w:sz w:val="28"/>
          <w:szCs w:val="28"/>
        </w:rPr>
      </w:pPr>
    </w:p>
    <w:p w14:paraId="0A12BB6C">
      <w:pPr>
        <w:spacing w:after="120" w:line="1000" w:lineRule="exact"/>
        <w:ind w:left="-6" w:leftChars="-67" w:right="-111" w:rightChars="-53" w:hanging="135" w:hangingChars="28"/>
        <w:jc w:val="center"/>
        <w:rPr>
          <w:rFonts w:hint="eastAsia" w:ascii="宋体" w:hAnsi="宋体" w:eastAsia="宋体" w:cs="宋体"/>
          <w:b/>
          <w:sz w:val="48"/>
          <w:szCs w:val="52"/>
        </w:rPr>
      </w:pPr>
      <w:r>
        <w:rPr>
          <w:rFonts w:hint="eastAsia" w:ascii="宋体" w:hAnsi="宋体" w:eastAsia="宋体" w:cs="宋体"/>
          <w:b/>
          <w:sz w:val="48"/>
          <w:szCs w:val="52"/>
        </w:rPr>
        <w:t>大榭片区“十五五”发展规划项目</w:t>
      </w:r>
    </w:p>
    <w:p w14:paraId="1CE6C3F1">
      <w:pPr>
        <w:spacing w:line="360" w:lineRule="auto"/>
        <w:jc w:val="center"/>
        <w:rPr>
          <w:rFonts w:hint="eastAsia" w:ascii="宋体" w:hAnsi="宋体" w:eastAsia="宋体" w:cs="宋体"/>
          <w:sz w:val="36"/>
          <w:szCs w:val="36"/>
        </w:rPr>
      </w:pPr>
    </w:p>
    <w:p w14:paraId="298D48B2">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u w:val="single"/>
        </w:rPr>
        <w:t>NBITC-202530001GC-BL</w:t>
      </w:r>
      <w:r>
        <w:rPr>
          <w:rFonts w:hint="eastAsia" w:ascii="宋体" w:hAnsi="宋体" w:cs="宋体"/>
          <w:sz w:val="36"/>
          <w:szCs w:val="36"/>
          <w:u w:val="single"/>
          <w:lang w:val="en-US" w:eastAsia="zh-CN"/>
        </w:rPr>
        <w:t>007</w:t>
      </w:r>
    </w:p>
    <w:p w14:paraId="60D04DCB">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标项：</w:t>
      </w:r>
      <w:r>
        <w:rPr>
          <w:rFonts w:hint="eastAsia" w:ascii="宋体" w:hAnsi="宋体" w:eastAsia="宋体" w:cs="宋体"/>
          <w:sz w:val="36"/>
          <w:szCs w:val="36"/>
          <w:u w:val="single"/>
        </w:rPr>
        <w:t>（如有多个标项）</w:t>
      </w:r>
    </w:p>
    <w:p w14:paraId="2083BFC6">
      <w:pPr>
        <w:rPr>
          <w:rFonts w:hint="eastAsia" w:ascii="宋体" w:hAnsi="宋体" w:eastAsia="宋体" w:cs="宋体"/>
          <w:sz w:val="28"/>
          <w:szCs w:val="28"/>
        </w:rPr>
      </w:pPr>
    </w:p>
    <w:p w14:paraId="4BAC6C2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（报价文件）</w:t>
      </w:r>
    </w:p>
    <w:p w14:paraId="6043146B">
      <w:pPr>
        <w:jc w:val="center"/>
        <w:rPr>
          <w:rFonts w:hint="eastAsia" w:ascii="宋体" w:hAnsi="宋体" w:eastAsia="宋体" w:cs="宋体"/>
          <w:sz w:val="28"/>
          <w:szCs w:val="28"/>
        </w:rPr>
      </w:pPr>
    </w:p>
    <w:p w14:paraId="1316A7B5">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磋商响应文件</w:t>
      </w:r>
    </w:p>
    <w:p w14:paraId="1712946C">
      <w:pPr>
        <w:spacing w:line="360" w:lineRule="auto"/>
        <w:jc w:val="center"/>
        <w:rPr>
          <w:rFonts w:hint="eastAsia" w:ascii="宋体" w:hAnsi="宋体" w:eastAsia="宋体" w:cs="宋体"/>
          <w:sz w:val="36"/>
          <w:szCs w:val="36"/>
        </w:rPr>
      </w:pPr>
    </w:p>
    <w:p w14:paraId="36F7F72C">
      <w:pPr>
        <w:spacing w:line="360" w:lineRule="auto"/>
        <w:jc w:val="center"/>
        <w:rPr>
          <w:rFonts w:hint="eastAsia" w:ascii="宋体" w:hAnsi="宋体" w:eastAsia="宋体" w:cs="宋体"/>
          <w:sz w:val="36"/>
          <w:szCs w:val="36"/>
        </w:rPr>
      </w:pPr>
    </w:p>
    <w:p w14:paraId="57DCC1C8">
      <w:pPr>
        <w:spacing w:line="360" w:lineRule="auto"/>
        <w:jc w:val="center"/>
        <w:rPr>
          <w:rFonts w:hint="eastAsia" w:ascii="宋体" w:hAnsi="宋体" w:eastAsia="宋体" w:cs="宋体"/>
          <w:sz w:val="36"/>
          <w:szCs w:val="36"/>
        </w:rPr>
      </w:pPr>
    </w:p>
    <w:p w14:paraId="5113FA3B">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（加盖单位公章）</w:t>
      </w:r>
    </w:p>
    <w:p w14:paraId="32A0A203">
      <w:pPr>
        <w:pStyle w:val="28"/>
        <w:ind w:left="101" w:leftChars="48" w:firstLine="1920" w:firstLineChars="800"/>
        <w:jc w:val="left"/>
        <w:rPr>
          <w:rFonts w:hint="eastAsia" w:ascii="宋体" w:hAnsi="宋体" w:eastAsia="宋体" w:cs="宋体"/>
          <w:kern w:val="2"/>
          <w:szCs w:val="28"/>
          <w:u w:val="single"/>
        </w:rPr>
      </w:pPr>
    </w:p>
    <w:p w14:paraId="6DC2A37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月</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日</w:t>
      </w:r>
    </w:p>
    <w:p w14:paraId="20D3480D">
      <w:pPr>
        <w:spacing w:line="400" w:lineRule="exact"/>
        <w:rPr>
          <w:rStyle w:val="110"/>
          <w:rFonts w:hint="eastAsia" w:ascii="宋体" w:hAnsi="宋体" w:eastAsia="宋体" w:cs="宋体"/>
          <w:sz w:val="21"/>
          <w:szCs w:val="21"/>
        </w:rPr>
      </w:pPr>
      <w:r>
        <w:rPr>
          <w:rFonts w:hint="eastAsia" w:ascii="宋体" w:hAnsi="宋体" w:eastAsia="宋体" w:cs="宋体"/>
          <w:b/>
          <w:spacing w:val="20"/>
          <w:szCs w:val="21"/>
        </w:rPr>
        <w:br w:type="page"/>
      </w:r>
    </w:p>
    <w:p w14:paraId="011679E6">
      <w:pPr>
        <w:keepNext w:val="0"/>
        <w:keepLines w:val="0"/>
        <w:pageBreakBefore w:val="0"/>
        <w:kinsoku/>
        <w:overflowPunct/>
        <w:topLinePunct w:val="0"/>
        <w:autoSpaceDE/>
        <w:autoSpaceDN/>
        <w:bidi w:val="0"/>
        <w:adjustRightInd/>
        <w:spacing w:beforeAutospacing="0" w:afterAutospacing="0" w:line="400" w:lineRule="exact"/>
        <w:ind w:right="0" w:rightChars="0"/>
        <w:jc w:val="center"/>
        <w:textAlignment w:val="auto"/>
        <w:rPr>
          <w:rFonts w:hint="eastAsia" w:ascii="宋体" w:hAnsi="宋体" w:eastAsia="宋体" w:cs="宋体"/>
          <w:b/>
          <w:szCs w:val="21"/>
        </w:rPr>
      </w:pPr>
      <w:r>
        <w:rPr>
          <w:rFonts w:hint="eastAsia" w:ascii="宋体" w:hAnsi="宋体" w:eastAsia="宋体" w:cs="宋体"/>
          <w:b/>
          <w:szCs w:val="21"/>
        </w:rPr>
        <w:t>C1.报价一览表</w:t>
      </w:r>
    </w:p>
    <w:p w14:paraId="3D8E5C08">
      <w:pPr>
        <w:keepNext w:val="0"/>
        <w:keepLines w:val="0"/>
        <w:pageBreakBefore w:val="0"/>
        <w:kinsoku/>
        <w:overflowPunct/>
        <w:topLinePunct w:val="0"/>
        <w:autoSpaceDE/>
        <w:autoSpaceDN/>
        <w:bidi w:val="0"/>
        <w:adjustRightInd/>
        <w:snapToGrid w:val="0"/>
        <w:spacing w:beforeAutospacing="0" w:afterAutospacing="0" w:line="400" w:lineRule="exact"/>
        <w:ind w:right="0" w:rightChars="0"/>
        <w:textAlignment w:val="auto"/>
        <w:rPr>
          <w:rFonts w:hint="eastAsia" w:ascii="宋体" w:hAnsi="宋体" w:eastAsia="宋体" w:cs="宋体"/>
          <w:szCs w:val="21"/>
        </w:rPr>
      </w:pPr>
    </w:p>
    <w:p w14:paraId="7D748E5A">
      <w:pPr>
        <w:keepNext w:val="0"/>
        <w:keepLines w:val="0"/>
        <w:pageBreakBefore w:val="0"/>
        <w:kinsoku/>
        <w:overflowPunct/>
        <w:topLinePunct w:val="0"/>
        <w:autoSpaceDE/>
        <w:autoSpaceDN/>
        <w:bidi w:val="0"/>
        <w:adjustRightInd/>
        <w:snapToGrid w:val="0"/>
        <w:spacing w:beforeAutospacing="0" w:afterAutospacing="0" w:line="400" w:lineRule="exact"/>
        <w:ind w:right="0" w:rightChars="0"/>
        <w:textAlignment w:val="auto"/>
        <w:rPr>
          <w:rFonts w:hint="default" w:ascii="宋体" w:hAnsi="宋体" w:eastAsia="宋体" w:cs="宋体"/>
          <w:szCs w:val="21"/>
          <w:u w:val="single"/>
          <w:lang w:val="en-US" w:eastAsia="zh-CN"/>
        </w:rPr>
      </w:pPr>
      <w:r>
        <w:rPr>
          <w:rFonts w:hint="eastAsia" w:ascii="宋体" w:hAnsi="宋体" w:eastAsia="宋体" w:cs="宋体"/>
          <w:szCs w:val="21"/>
        </w:rPr>
        <w:t>项目编号：</w:t>
      </w:r>
      <w:r>
        <w:rPr>
          <w:rFonts w:hint="eastAsia" w:ascii="宋体" w:hAnsi="宋体" w:eastAsia="宋体" w:cs="宋体"/>
          <w:szCs w:val="21"/>
          <w:u w:val="single"/>
        </w:rPr>
        <w:t>NBITC-202530001GC-BL</w:t>
      </w:r>
      <w:r>
        <w:rPr>
          <w:rFonts w:hint="eastAsia" w:ascii="宋体" w:hAnsi="宋体" w:cs="宋体"/>
          <w:szCs w:val="21"/>
          <w:u w:val="single"/>
          <w:lang w:val="en-US" w:eastAsia="zh-CN"/>
        </w:rPr>
        <w:t>007</w:t>
      </w:r>
    </w:p>
    <w:p w14:paraId="2497DD3E">
      <w:pPr>
        <w:keepNext w:val="0"/>
        <w:keepLines w:val="0"/>
        <w:pageBreakBefore w:val="0"/>
        <w:kinsoku/>
        <w:overflowPunct/>
        <w:topLinePunct w:val="0"/>
        <w:autoSpaceDE/>
        <w:autoSpaceDN/>
        <w:bidi w:val="0"/>
        <w:adjustRightInd/>
        <w:snapToGrid w:val="0"/>
        <w:spacing w:beforeAutospacing="0" w:afterAutospacing="0" w:line="400" w:lineRule="exact"/>
        <w:ind w:right="0" w:rightChars="0"/>
        <w:textAlignment w:val="auto"/>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大榭片区“十五五”发展规划项目</w:t>
      </w:r>
    </w:p>
    <w:p w14:paraId="45EFC494">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货币单位：人民币（元）</w:t>
      </w:r>
    </w:p>
    <w:tbl>
      <w:tblPr>
        <w:tblStyle w:val="4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633"/>
        <w:gridCol w:w="3296"/>
      </w:tblGrid>
      <w:tr w14:paraId="5B55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74" w:type="dxa"/>
            <w:vAlign w:val="center"/>
          </w:tcPr>
          <w:p w14:paraId="0A5F297B">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标项</w:t>
            </w:r>
          </w:p>
        </w:tc>
        <w:tc>
          <w:tcPr>
            <w:tcW w:w="4633" w:type="dxa"/>
            <w:vAlign w:val="center"/>
          </w:tcPr>
          <w:p w14:paraId="31D64913">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项目名称</w:t>
            </w:r>
          </w:p>
        </w:tc>
        <w:tc>
          <w:tcPr>
            <w:tcW w:w="3296" w:type="dxa"/>
            <w:vAlign w:val="center"/>
          </w:tcPr>
          <w:p w14:paraId="2DED2268">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0"/>
              <w:jc w:val="center"/>
              <w:textAlignment w:val="auto"/>
              <w:rPr>
                <w:rFonts w:hint="eastAsia" w:ascii="宋体" w:hAnsi="宋体" w:eastAsia="宋体" w:cs="宋体"/>
                <w:b/>
                <w:sz w:val="21"/>
                <w:szCs w:val="21"/>
              </w:rPr>
            </w:pPr>
            <w:r>
              <w:rPr>
                <w:rFonts w:hint="eastAsia" w:ascii="宋体" w:hAnsi="宋体" w:eastAsia="宋体" w:cs="宋体"/>
                <w:b/>
                <w:sz w:val="21"/>
                <w:szCs w:val="21"/>
              </w:rPr>
              <w:t>响应报价</w:t>
            </w:r>
          </w:p>
        </w:tc>
      </w:tr>
      <w:tr w14:paraId="511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4" w:type="dxa"/>
            <w:vAlign w:val="center"/>
          </w:tcPr>
          <w:p w14:paraId="071BBC5C">
            <w:pPr>
              <w:keepNext w:val="0"/>
              <w:keepLines w:val="0"/>
              <w:pageBreakBefore w:val="0"/>
              <w:kinsoku/>
              <w:overflowPunct/>
              <w:topLinePunct w:val="0"/>
              <w:autoSpaceDE/>
              <w:autoSpaceDN/>
              <w:bidi w:val="0"/>
              <w:adjustRightIn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rPr>
              <w:t>1</w:t>
            </w:r>
          </w:p>
        </w:tc>
        <w:tc>
          <w:tcPr>
            <w:tcW w:w="4633" w:type="dxa"/>
            <w:vAlign w:val="center"/>
          </w:tcPr>
          <w:p w14:paraId="71FD22DC">
            <w:pPr>
              <w:keepNext w:val="0"/>
              <w:keepLines w:val="0"/>
              <w:pageBreakBefore w:val="0"/>
              <w:kinsoku/>
              <w:overflowPunct/>
              <w:topLinePunct w:val="0"/>
              <w:autoSpaceDE/>
              <w:autoSpaceDN/>
              <w:bidi w:val="0"/>
              <w:adjustRightInd/>
              <w:spacing w:beforeAutospacing="0" w:afterAutospacing="0" w:line="400" w:lineRule="exact"/>
              <w:ind w:right="0" w:rightChars="0"/>
              <w:jc w:val="center"/>
              <w:textAlignment w:val="auto"/>
              <w:rPr>
                <w:rFonts w:hint="eastAsia" w:ascii="宋体" w:hAnsi="宋体" w:eastAsia="宋体" w:cs="宋体"/>
              </w:rPr>
            </w:pPr>
            <w:r>
              <w:rPr>
                <w:rFonts w:hint="eastAsia" w:ascii="宋体" w:hAnsi="宋体" w:eastAsia="宋体" w:cs="宋体"/>
                <w:szCs w:val="21"/>
              </w:rPr>
              <w:t xml:space="preserve"> </w:t>
            </w:r>
          </w:p>
        </w:tc>
        <w:tc>
          <w:tcPr>
            <w:tcW w:w="3296" w:type="dxa"/>
            <w:vAlign w:val="center"/>
          </w:tcPr>
          <w:p w14:paraId="41631C75">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小写：   元</w:t>
            </w:r>
          </w:p>
          <w:p w14:paraId="2D6FB444">
            <w:pPr>
              <w:pStyle w:val="21"/>
              <w:keepNext w:val="0"/>
              <w:keepLines w:val="0"/>
              <w:pageBreakBefore w:val="0"/>
              <w:kinsoku/>
              <w:overflowPunct/>
              <w:topLinePunct w:val="0"/>
              <w:autoSpaceDE/>
              <w:autoSpaceDN/>
              <w:bidi w:val="0"/>
              <w:adjustRightInd/>
              <w:spacing w:beforeAutospacing="0" w:afterAutospacing="0" w:line="400" w:lineRule="exact"/>
              <w:ind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大写：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bl>
    <w:p w14:paraId="63173014">
      <w:pPr>
        <w:keepNext w:val="0"/>
        <w:keepLines w:val="0"/>
        <w:pageBreakBefore w:val="0"/>
        <w:kinsoku/>
        <w:overflowPunct/>
        <w:topLinePunct w:val="0"/>
        <w:autoSpaceDE/>
        <w:autoSpaceDN/>
        <w:bidi w:val="0"/>
        <w:adjustRightInd/>
        <w:spacing w:beforeAutospacing="0" w:afterAutospacing="0" w:line="400" w:lineRule="exact"/>
        <w:ind w:right="0" w:rightChars="0"/>
        <w:jc w:val="left"/>
        <w:textAlignment w:val="auto"/>
        <w:rPr>
          <w:rFonts w:hint="eastAsia" w:ascii="宋体" w:hAnsi="宋体" w:eastAsia="宋体" w:cs="宋体"/>
          <w:szCs w:val="21"/>
        </w:rPr>
      </w:pPr>
      <w:r>
        <w:rPr>
          <w:rFonts w:hint="eastAsia" w:ascii="宋体" w:hAnsi="宋体" w:eastAsia="宋体" w:cs="宋体"/>
          <w:szCs w:val="21"/>
        </w:rPr>
        <w:t>注：磋商响应文件中报价一览表内容与政采云系统报价一览表中录入的报价内容不一致，以磋商响应文件中报价一览表为准。</w:t>
      </w:r>
    </w:p>
    <w:p w14:paraId="425250B9">
      <w:pPr>
        <w:keepNext w:val="0"/>
        <w:keepLines w:val="0"/>
        <w:pageBreakBefore w:val="0"/>
        <w:kinsoku/>
        <w:overflowPunct/>
        <w:topLinePunct w:val="0"/>
        <w:autoSpaceDE/>
        <w:autoSpaceDN/>
        <w:bidi w:val="0"/>
        <w:adjustRightInd/>
        <w:spacing w:beforeAutospacing="0" w:afterAutospacing="0" w:line="400" w:lineRule="exact"/>
        <w:ind w:right="0" w:rightChars="0"/>
        <w:jc w:val="left"/>
        <w:textAlignment w:val="auto"/>
        <w:rPr>
          <w:rFonts w:hint="eastAsia" w:ascii="宋体" w:hAnsi="宋体" w:eastAsia="宋体" w:cs="宋体"/>
          <w:szCs w:val="21"/>
        </w:rPr>
      </w:pPr>
    </w:p>
    <w:p w14:paraId="0F6D64B4">
      <w:pPr>
        <w:keepNext w:val="0"/>
        <w:keepLines w:val="0"/>
        <w:pageBreakBefore w:val="0"/>
        <w:kinsoku/>
        <w:overflowPunct/>
        <w:topLinePunct w:val="0"/>
        <w:autoSpaceDE/>
        <w:autoSpaceDN/>
        <w:bidi w:val="0"/>
        <w:adjustRightInd/>
        <w:spacing w:beforeAutospacing="0" w:afterAutospacing="0" w:line="400" w:lineRule="exact"/>
        <w:ind w:right="0" w:rightChars="0"/>
        <w:jc w:val="left"/>
        <w:textAlignment w:val="auto"/>
        <w:rPr>
          <w:rFonts w:hint="eastAsia" w:ascii="宋体" w:hAnsi="宋体" w:eastAsia="宋体" w:cs="宋体"/>
          <w:szCs w:val="21"/>
        </w:rPr>
      </w:pPr>
      <w:r>
        <w:rPr>
          <w:rFonts w:hint="eastAsia" w:ascii="宋体" w:hAnsi="宋体" w:eastAsia="宋体" w:cs="宋体"/>
          <w:szCs w:val="21"/>
        </w:rPr>
        <w:t>供应商（盖章）：</w:t>
      </w:r>
    </w:p>
    <w:p w14:paraId="74ABE9A0">
      <w:pPr>
        <w:keepNext w:val="0"/>
        <w:keepLines w:val="0"/>
        <w:pageBreakBefore w:val="0"/>
        <w:kinsoku/>
        <w:overflowPunct/>
        <w:topLinePunct w:val="0"/>
        <w:autoSpaceDE/>
        <w:autoSpaceDN/>
        <w:bidi w:val="0"/>
        <w:adjustRightInd/>
        <w:snapToGrid w:val="0"/>
        <w:spacing w:beforeAutospacing="0" w:afterAutospacing="0" w:line="400" w:lineRule="exact"/>
        <w:ind w:right="0" w:rightChars="0"/>
        <w:textAlignment w:val="auto"/>
        <w:rPr>
          <w:rFonts w:hint="eastAsia" w:ascii="宋体" w:hAnsi="宋体" w:eastAsia="宋体" w:cs="宋体"/>
          <w:szCs w:val="21"/>
        </w:rPr>
      </w:pPr>
      <w:r>
        <w:rPr>
          <w:rFonts w:hint="eastAsia" w:ascii="宋体" w:hAnsi="宋体" w:eastAsia="宋体" w:cs="宋体"/>
          <w:szCs w:val="21"/>
        </w:rPr>
        <w:t>日期：</w:t>
      </w:r>
    </w:p>
    <w:p w14:paraId="579854E5">
      <w:pPr>
        <w:keepNext w:val="0"/>
        <w:keepLines w:val="0"/>
        <w:pageBreakBefore w:val="0"/>
        <w:widowControl/>
        <w:kinsoku/>
        <w:overflowPunct/>
        <w:topLinePunct w:val="0"/>
        <w:autoSpaceDE/>
        <w:autoSpaceDN/>
        <w:bidi w:val="0"/>
        <w:adjustRightInd/>
        <w:spacing w:beforeAutospacing="0" w:afterAutospacing="0" w:line="400" w:lineRule="exact"/>
        <w:ind w:right="0" w:rightChars="0"/>
        <w:jc w:val="left"/>
        <w:textAlignment w:val="auto"/>
        <w:rPr>
          <w:rFonts w:hint="eastAsia" w:ascii="宋体" w:hAnsi="宋体" w:eastAsia="宋体" w:cs="宋体"/>
          <w:szCs w:val="21"/>
        </w:rPr>
      </w:pPr>
      <w:r>
        <w:rPr>
          <w:rFonts w:hint="eastAsia" w:ascii="宋体" w:hAnsi="宋体" w:eastAsia="宋体" w:cs="宋体"/>
          <w:szCs w:val="21"/>
        </w:rPr>
        <w:br w:type="page"/>
      </w:r>
    </w:p>
    <w:p w14:paraId="6D6F2414">
      <w:pPr>
        <w:keepNext w:val="0"/>
        <w:keepLines w:val="0"/>
        <w:pageBreakBefore w:val="0"/>
        <w:kinsoku/>
        <w:overflowPunct/>
        <w:topLinePunct w:val="0"/>
        <w:autoSpaceDE/>
        <w:autoSpaceDN/>
        <w:bidi w:val="0"/>
        <w:adjustRightInd/>
        <w:spacing w:beforeAutospacing="0" w:afterAutospacing="0" w:line="400" w:lineRule="exact"/>
        <w:ind w:right="0" w:rightChars="0"/>
        <w:jc w:val="center"/>
        <w:textAlignment w:val="auto"/>
        <w:rPr>
          <w:rFonts w:hint="eastAsia" w:ascii="宋体" w:hAnsi="宋体" w:eastAsia="宋体" w:cs="宋体"/>
          <w:b/>
          <w:szCs w:val="21"/>
        </w:rPr>
      </w:pPr>
      <w:r>
        <w:rPr>
          <w:rFonts w:hint="eastAsia" w:ascii="宋体" w:hAnsi="宋体" w:eastAsia="宋体" w:cs="宋体"/>
          <w:b/>
          <w:szCs w:val="21"/>
        </w:rPr>
        <w:t>C2.中小企业声明函</w:t>
      </w:r>
    </w:p>
    <w:p w14:paraId="600245AB">
      <w:pPr>
        <w:keepNext w:val="0"/>
        <w:keepLines w:val="0"/>
        <w:pageBreakBefore w:val="0"/>
        <w:widowControl/>
        <w:kinsoku/>
        <w:overflowPunct/>
        <w:topLinePunct w:val="0"/>
        <w:autoSpaceDE/>
        <w:autoSpaceDN/>
        <w:bidi w:val="0"/>
        <w:adjustRightInd/>
        <w:spacing w:beforeAutospacing="0" w:afterAutospacing="0" w:line="400" w:lineRule="exact"/>
        <w:ind w:right="0" w:rightChars="0" w:firstLine="422" w:firstLineChars="200"/>
        <w:jc w:val="left"/>
        <w:textAlignment w:val="auto"/>
        <w:rPr>
          <w:rFonts w:hint="eastAsia" w:ascii="宋体" w:hAnsi="宋体" w:eastAsia="宋体" w:cs="宋体"/>
          <w:kern w:val="0"/>
        </w:rPr>
      </w:pPr>
      <w:r>
        <w:rPr>
          <w:rFonts w:hint="eastAsia" w:ascii="宋体" w:hAnsi="宋体" w:eastAsia="宋体" w:cs="宋体"/>
          <w:b/>
        </w:rPr>
        <w:t xml:space="preserve"> </w:t>
      </w:r>
      <w:r>
        <w:rPr>
          <w:rFonts w:hint="eastAsia" w:ascii="宋体" w:hAnsi="宋体" w:eastAsia="宋体" w:cs="宋体"/>
          <w:kern w:val="0"/>
        </w:rPr>
        <w:t>本公司（联合体）郑重声明，根据《政府采购促进中小企业发展管理办法》（财库﹝2020﹞46号）的规定，本公司（联合体）参加</w:t>
      </w:r>
      <w:r>
        <w:rPr>
          <w:rFonts w:hint="eastAsia" w:ascii="宋体" w:hAnsi="宋体" w:eastAsia="宋体" w:cs="宋体"/>
          <w:szCs w:val="21"/>
        </w:rPr>
        <w:t>宁波经济技术开发区大榭经济发展中心</w:t>
      </w:r>
      <w:r>
        <w:rPr>
          <w:rFonts w:hint="eastAsia" w:ascii="宋体" w:hAnsi="宋体" w:eastAsia="宋体" w:cs="宋体"/>
          <w:kern w:val="0"/>
        </w:rPr>
        <w:t>的</w:t>
      </w:r>
      <w:r>
        <w:rPr>
          <w:rFonts w:hint="eastAsia" w:ascii="宋体" w:hAnsi="宋体" w:eastAsia="宋体" w:cs="宋体"/>
          <w:szCs w:val="21"/>
        </w:rPr>
        <w:t>大榭片区“十五五”发展规划项目</w:t>
      </w:r>
      <w:r>
        <w:rPr>
          <w:rFonts w:hint="eastAsia" w:ascii="宋体" w:hAnsi="宋体" w:eastAsia="宋体" w:cs="宋体"/>
          <w:kern w:val="0"/>
        </w:rPr>
        <w:t>采购活动，服务全部由符合政策要求的中小企业承接。相关企业（含联合体中的中小企业、签订分包意向协议的中小企业）的具体情况如下：</w:t>
      </w:r>
    </w:p>
    <w:p w14:paraId="312A5C5E">
      <w:pPr>
        <w:keepNext w:val="0"/>
        <w:keepLines w:val="0"/>
        <w:pageBreakBefore w:val="0"/>
        <w:numPr>
          <w:ilvl w:val="0"/>
          <w:numId w:val="0"/>
        </w:numPr>
        <w:kinsoku/>
        <w:overflowPunct/>
        <w:topLinePunct w:val="0"/>
        <w:autoSpaceDE/>
        <w:autoSpaceDN/>
        <w:bidi w:val="0"/>
        <w:adjustRightInd/>
        <w:spacing w:beforeAutospacing="0" w:afterAutospacing="0" w:line="400" w:lineRule="exact"/>
        <w:ind w:right="0" w:rightChars="0" w:firstLine="422" w:firstLineChars="200"/>
        <w:textAlignment w:val="auto"/>
        <w:rPr>
          <w:rFonts w:hint="eastAsia" w:ascii="宋体" w:hAnsi="宋体" w:eastAsia="宋体" w:cs="宋体"/>
          <w:i w:val="0"/>
          <w:iCs/>
          <w:kern w:val="0"/>
        </w:rPr>
      </w:pPr>
      <w:r>
        <w:rPr>
          <w:rFonts w:hint="eastAsia" w:ascii="宋体" w:hAnsi="宋体" w:eastAsia="宋体" w:cs="宋体"/>
          <w:b/>
          <w:i w:val="0"/>
          <w:iCs/>
          <w:kern w:val="0"/>
          <w:u w:val="single"/>
        </w:rPr>
        <w:t xml:space="preserve"> 大榭片区“十五五”发展规划服务</w:t>
      </w:r>
      <w:r>
        <w:rPr>
          <w:rFonts w:hint="eastAsia" w:ascii="宋体" w:hAnsi="宋体" w:eastAsia="宋体" w:cs="宋体"/>
          <w:i w:val="0"/>
          <w:iCs/>
          <w:kern w:val="0"/>
        </w:rPr>
        <w:t>，属于</w:t>
      </w:r>
      <w:r>
        <w:rPr>
          <w:rFonts w:hint="eastAsia" w:ascii="宋体" w:hAnsi="宋体" w:eastAsia="宋体" w:cs="宋体"/>
          <w:b/>
          <w:i w:val="0"/>
          <w:iCs/>
          <w:kern w:val="0"/>
          <w:u w:val="single"/>
        </w:rPr>
        <w:t>其他未列明行业</w:t>
      </w:r>
      <w:r>
        <w:rPr>
          <w:rFonts w:hint="eastAsia" w:ascii="宋体" w:hAnsi="宋体" w:eastAsia="宋体" w:cs="宋体"/>
          <w:i w:val="0"/>
          <w:iCs/>
          <w:kern w:val="0"/>
        </w:rPr>
        <w:t>；承建（承接）企业为</w:t>
      </w:r>
      <w:r>
        <w:rPr>
          <w:rFonts w:hint="eastAsia" w:ascii="宋体" w:hAnsi="宋体" w:eastAsia="宋体" w:cs="宋体"/>
          <w:i w:val="0"/>
          <w:iCs/>
          <w:kern w:val="0"/>
          <w:u w:val="single"/>
        </w:rPr>
        <w:t>（企业名称）</w:t>
      </w:r>
      <w:r>
        <w:rPr>
          <w:rFonts w:hint="eastAsia" w:ascii="宋体" w:hAnsi="宋体" w:eastAsia="宋体" w:cs="宋体"/>
          <w:i w:val="0"/>
          <w:iCs/>
          <w:kern w:val="0"/>
        </w:rPr>
        <w:t>，从业人员人，营业收入为万元，资产总额为万元，属于</w:t>
      </w:r>
      <w:r>
        <w:rPr>
          <w:rFonts w:hint="eastAsia" w:ascii="宋体" w:hAnsi="宋体" w:eastAsia="宋体" w:cs="宋体"/>
          <w:i w:val="0"/>
          <w:iCs/>
          <w:kern w:val="0"/>
          <w:u w:val="single"/>
        </w:rPr>
        <w:t>（中型企业、小型企业、微型企业）</w:t>
      </w:r>
      <w:r>
        <w:rPr>
          <w:rFonts w:hint="eastAsia" w:ascii="宋体" w:hAnsi="宋体" w:eastAsia="宋体" w:cs="宋体"/>
          <w:i w:val="0"/>
          <w:iCs/>
          <w:kern w:val="0"/>
        </w:rPr>
        <w:t>；</w:t>
      </w:r>
    </w:p>
    <w:p w14:paraId="7AC131A7">
      <w:pPr>
        <w:keepNext w:val="0"/>
        <w:keepLines w:val="0"/>
        <w:pageBreakBefore w:val="0"/>
        <w:widowControl/>
        <w:kinsoku/>
        <w:overflowPunct/>
        <w:topLinePunct w:val="0"/>
        <w:autoSpaceDE/>
        <w:autoSpaceDN/>
        <w:bidi w:val="0"/>
        <w:adjustRightInd/>
        <w:spacing w:beforeAutospacing="0" w:afterAutospacing="0" w:line="400" w:lineRule="exact"/>
        <w:ind w:right="0" w:rightChars="0" w:firstLine="420" w:firstLineChars="200"/>
        <w:jc w:val="left"/>
        <w:textAlignment w:val="auto"/>
        <w:rPr>
          <w:rFonts w:hint="eastAsia" w:ascii="宋体" w:hAnsi="宋体" w:eastAsia="宋体" w:cs="宋体"/>
          <w:i w:val="0"/>
          <w:iCs/>
          <w:kern w:val="0"/>
        </w:rPr>
      </w:pPr>
      <w:r>
        <w:rPr>
          <w:rFonts w:hint="eastAsia" w:ascii="宋体" w:hAnsi="宋体" w:eastAsia="宋体" w:cs="宋体"/>
          <w:i w:val="0"/>
          <w:iCs/>
          <w:kern w:val="0"/>
        </w:rPr>
        <w:t>以上企业，不属于大企业的分支机构，不存在控股股东为大企业的情形，也不存在与大企业的负责人为同一人的情形。</w:t>
      </w:r>
    </w:p>
    <w:p w14:paraId="1EE49666">
      <w:pPr>
        <w:keepNext w:val="0"/>
        <w:keepLines w:val="0"/>
        <w:pageBreakBefore w:val="0"/>
        <w:widowControl/>
        <w:kinsoku/>
        <w:overflowPunct/>
        <w:topLinePunct w:val="0"/>
        <w:autoSpaceDE/>
        <w:autoSpaceDN/>
        <w:bidi w:val="0"/>
        <w:adjustRightInd/>
        <w:spacing w:beforeAutospacing="0" w:afterAutospacing="0" w:line="400" w:lineRule="exact"/>
        <w:ind w:right="0" w:rightChars="0" w:firstLine="420" w:firstLineChars="200"/>
        <w:jc w:val="left"/>
        <w:textAlignment w:val="auto"/>
        <w:rPr>
          <w:rFonts w:hint="eastAsia" w:ascii="宋体" w:hAnsi="宋体" w:eastAsia="宋体" w:cs="宋体"/>
          <w:i w:val="0"/>
          <w:iCs/>
          <w:kern w:val="0"/>
        </w:rPr>
      </w:pPr>
      <w:r>
        <w:rPr>
          <w:rFonts w:hint="eastAsia" w:ascii="宋体" w:hAnsi="宋体" w:eastAsia="宋体" w:cs="宋体"/>
          <w:i w:val="0"/>
          <w:iCs/>
          <w:kern w:val="0"/>
        </w:rPr>
        <w:t>本企业对上述声明内容的真实性负责。如有虚假，将依法承担相应责任。</w:t>
      </w:r>
    </w:p>
    <w:p w14:paraId="30098F96">
      <w:pPr>
        <w:keepNext w:val="0"/>
        <w:keepLines w:val="0"/>
        <w:pageBreakBefore w:val="0"/>
        <w:widowControl/>
        <w:kinsoku/>
        <w:wordWrap w:val="0"/>
        <w:overflowPunct/>
        <w:topLinePunct w:val="0"/>
        <w:autoSpaceDE/>
        <w:autoSpaceDN/>
        <w:bidi w:val="0"/>
        <w:adjustRightInd/>
        <w:spacing w:beforeAutospacing="0" w:afterAutospacing="0" w:line="400" w:lineRule="exact"/>
        <w:ind w:right="0" w:rightChars="0" w:firstLine="420" w:firstLineChars="200"/>
        <w:textAlignment w:val="auto"/>
        <w:rPr>
          <w:rFonts w:hint="eastAsia" w:ascii="宋体" w:hAnsi="宋体" w:eastAsia="宋体" w:cs="宋体"/>
          <w:kern w:val="0"/>
        </w:rPr>
      </w:pPr>
      <w:r>
        <w:rPr>
          <w:rFonts w:hint="eastAsia" w:ascii="宋体" w:hAnsi="宋体" w:eastAsia="宋体" w:cs="宋体"/>
          <w:i w:val="0"/>
          <w:iCs/>
          <w:kern w:val="0"/>
        </w:rPr>
        <w:t>备注：从业人员、营业收入、资产总额填报上一年度数据，无上一年度数据的新成立企业可不填报。</w:t>
      </w:r>
    </w:p>
    <w:p w14:paraId="13325CC8">
      <w:pPr>
        <w:keepNext w:val="0"/>
        <w:keepLines w:val="0"/>
        <w:pageBreakBefore w:val="0"/>
        <w:widowControl/>
        <w:kinsoku/>
        <w:wordWrap w:val="0"/>
        <w:overflowPunct/>
        <w:topLinePunct w:val="0"/>
        <w:autoSpaceDE/>
        <w:autoSpaceDN/>
        <w:bidi w:val="0"/>
        <w:adjustRightInd/>
        <w:spacing w:beforeAutospacing="0" w:afterAutospacing="0" w:line="400" w:lineRule="exact"/>
        <w:ind w:right="0" w:rightChars="0"/>
        <w:textAlignment w:val="auto"/>
        <w:rPr>
          <w:rFonts w:hint="eastAsia" w:ascii="宋体" w:hAnsi="宋体" w:eastAsia="宋体" w:cs="宋体"/>
          <w:kern w:val="0"/>
        </w:rPr>
      </w:pPr>
    </w:p>
    <w:p w14:paraId="5E511647">
      <w:pPr>
        <w:keepNext w:val="0"/>
        <w:keepLines w:val="0"/>
        <w:pageBreakBefore w:val="0"/>
        <w:kinsoku/>
        <w:overflowPunct/>
        <w:topLinePunct w:val="0"/>
        <w:autoSpaceDE/>
        <w:autoSpaceDN/>
        <w:bidi w:val="0"/>
        <w:adjustRightInd/>
        <w:spacing w:beforeAutospacing="0" w:afterAutospacing="0" w:line="400" w:lineRule="exact"/>
        <w:ind w:right="0" w:rightChars="0"/>
        <w:jc w:val="left"/>
        <w:textAlignment w:val="auto"/>
        <w:rPr>
          <w:rFonts w:hint="eastAsia" w:ascii="宋体" w:hAnsi="宋体" w:eastAsia="宋体" w:cs="宋体"/>
          <w:szCs w:val="21"/>
        </w:rPr>
      </w:pPr>
      <w:r>
        <w:rPr>
          <w:rFonts w:hint="eastAsia" w:ascii="宋体" w:hAnsi="宋体" w:eastAsia="宋体" w:cs="宋体"/>
          <w:szCs w:val="21"/>
        </w:rPr>
        <w:t>供应商（盖章）：</w:t>
      </w:r>
    </w:p>
    <w:p w14:paraId="7A8072EE">
      <w:pPr>
        <w:keepNext w:val="0"/>
        <w:keepLines w:val="0"/>
        <w:pageBreakBefore w:val="0"/>
        <w:kinsoku/>
        <w:overflowPunct/>
        <w:topLinePunct w:val="0"/>
        <w:autoSpaceDE/>
        <w:autoSpaceDN/>
        <w:bidi w:val="0"/>
        <w:adjustRightInd/>
        <w:spacing w:beforeAutospacing="0" w:afterAutospacing="0" w:line="400" w:lineRule="exact"/>
        <w:ind w:right="0" w:rightChars="0"/>
        <w:textAlignment w:val="auto"/>
        <w:rPr>
          <w:rFonts w:hint="eastAsia" w:ascii="宋体" w:hAnsi="宋体" w:eastAsia="宋体" w:cs="宋体"/>
          <w:kern w:val="0"/>
        </w:rPr>
        <w:sectPr>
          <w:headerReference r:id="rId11" w:type="default"/>
          <w:footerReference r:id="rId12" w:type="default"/>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eastAsia="宋体" w:cs="宋体"/>
          <w:szCs w:val="21"/>
        </w:rPr>
        <w:t>日期：</w:t>
      </w:r>
    </w:p>
    <w:p w14:paraId="020F62E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
          <w:szCs w:val="21"/>
        </w:rPr>
      </w:pPr>
      <w:r>
        <w:rPr>
          <w:rFonts w:hint="eastAsia" w:ascii="宋体" w:hAnsi="宋体" w:eastAsia="宋体" w:cs="宋体"/>
          <w:b/>
          <w:szCs w:val="21"/>
        </w:rPr>
        <w:t>C3.残疾人福利性单位声明函（如有需提供）</w:t>
      </w:r>
    </w:p>
    <w:p w14:paraId="08CA9E51">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718BC5">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0022B404">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p>
    <w:p w14:paraId="0F950201">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0" w:firstLine="420" w:firstLineChars="200"/>
        <w:jc w:val="center"/>
        <w:textAlignment w:val="auto"/>
        <w:rPr>
          <w:rFonts w:hint="eastAsia" w:ascii="宋体" w:hAnsi="宋体" w:eastAsia="宋体" w:cs="宋体"/>
          <w:szCs w:val="21"/>
        </w:rPr>
      </w:pPr>
      <w:r>
        <w:rPr>
          <w:rFonts w:hint="eastAsia" w:ascii="宋体" w:hAnsi="宋体" w:eastAsia="宋体" w:cs="宋体"/>
          <w:szCs w:val="21"/>
        </w:rPr>
        <w:t>单位名称（盖章）：</w:t>
      </w:r>
    </w:p>
    <w:p w14:paraId="48D5F28B">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0" w:firstLine="420" w:firstLineChars="200"/>
        <w:jc w:val="center"/>
        <w:textAlignment w:val="auto"/>
        <w:rPr>
          <w:rFonts w:hint="eastAsia" w:ascii="宋体" w:hAnsi="宋体" w:eastAsia="宋体" w:cs="宋体"/>
          <w:szCs w:val="21"/>
        </w:rPr>
      </w:pPr>
      <w:r>
        <w:rPr>
          <w:rFonts w:hint="eastAsia" w:ascii="宋体" w:hAnsi="宋体" w:eastAsia="宋体" w:cs="宋体"/>
          <w:szCs w:val="21"/>
        </w:rPr>
        <w:t>日期：</w:t>
      </w:r>
    </w:p>
    <w:p w14:paraId="770D445A">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textAlignment w:val="auto"/>
        <w:rPr>
          <w:rFonts w:hint="eastAsia" w:ascii="宋体" w:hAnsi="宋体" w:eastAsia="宋体" w:cs="宋体"/>
          <w:b/>
          <w:szCs w:val="21"/>
        </w:rPr>
      </w:pPr>
    </w:p>
    <w:p w14:paraId="48ACAC32">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注：</w:t>
      </w:r>
    </w:p>
    <w:p w14:paraId="38A8B8DB">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享受政府采购支持政策的残疾人福利性单位应当同时满足以下条件：</w:t>
      </w:r>
    </w:p>
    <w:p w14:paraId="19C322E8">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（一）安置的残疾人占本单位在职职工人数的比例不低于25%（含25%），并且安置的残疾人人数不少于10人（含10人）；</w:t>
      </w:r>
    </w:p>
    <w:p w14:paraId="54FC692A">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（二）依法与安置的每位残疾人签订了一年以上（含一年）的劳动合同或服务协议；</w:t>
      </w:r>
    </w:p>
    <w:p w14:paraId="5C61F1FD">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（三）为安置的每位残疾人按月足额缴纳了基本养老保险、基本医疗保险、失业保险、工伤保险和生育保险等社会保险费；</w:t>
      </w:r>
    </w:p>
    <w:p w14:paraId="61AF2C4E">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（四）通过银行等金融机构向安置的每位残疾人，按月支付了不低于单位所在区县适用的经省级人民政府批准的月最低工资标准的工资；</w:t>
      </w:r>
    </w:p>
    <w:p w14:paraId="143EB443">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szCs w:val="21"/>
        </w:rPr>
      </w:pPr>
      <w:r>
        <w:rPr>
          <w:rFonts w:hint="eastAsia" w:ascii="宋体" w:hAnsi="宋体" w:eastAsia="宋体" w:cs="宋体"/>
          <w:szCs w:val="21"/>
        </w:rPr>
        <w:t>（五）提供本单位制造的货物、承担的工程或者服务（以下简称产品），或者提供其他残疾人福利性单位制造的货物（不包括使用非残疾人福利性单位注册商标的货物）。</w:t>
      </w:r>
    </w:p>
    <w:p w14:paraId="478FF485">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b/>
          <w:szCs w:val="21"/>
        </w:rPr>
      </w:pPr>
      <w:r>
        <w:rPr>
          <w:rFonts w:hint="eastAsia" w:ascii="宋体" w:hAnsi="宋体" w:eastAsia="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EFB9E5">
      <w:pPr>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hint="eastAsia" w:ascii="宋体" w:hAnsi="宋体" w:eastAsia="宋体" w:cs="宋体"/>
          <w:b/>
          <w:szCs w:val="21"/>
        </w:rPr>
      </w:pPr>
      <w:r>
        <w:rPr>
          <w:rFonts w:hint="eastAsia" w:ascii="宋体" w:hAnsi="宋体" w:eastAsia="宋体" w:cs="宋体"/>
          <w:szCs w:val="21"/>
        </w:rPr>
        <w:br w:type="page"/>
      </w:r>
    </w:p>
    <w:p w14:paraId="7E4BEAEE">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
          <w:bCs/>
          <w:szCs w:val="21"/>
        </w:rPr>
      </w:pPr>
      <w:bookmarkStart w:id="58" w:name="_Toc443468296"/>
      <w:bookmarkEnd w:id="58"/>
      <w:bookmarkStart w:id="59" w:name="_Hlk35438624"/>
      <w:bookmarkEnd w:id="59"/>
      <w:r>
        <w:rPr>
          <w:rFonts w:hint="eastAsia" w:ascii="宋体" w:hAnsi="宋体" w:cs="宋体"/>
          <w:b/>
          <w:bCs/>
          <w:szCs w:val="21"/>
          <w:lang w:val="en-US" w:eastAsia="zh-CN"/>
        </w:rPr>
        <w:t>C4</w:t>
      </w:r>
      <w:r>
        <w:rPr>
          <w:rFonts w:hint="eastAsia" w:ascii="宋体" w:hAnsi="宋体" w:eastAsia="宋体" w:cs="宋体"/>
          <w:b/>
          <w:bCs/>
          <w:szCs w:val="21"/>
        </w:rPr>
        <w:t>.省级以上监狱管理局、戒毒管理局（含新疆生产建设兵团）出具的属于监狱企业的证明文件</w:t>
      </w:r>
    </w:p>
    <w:p w14:paraId="2A04B8B5">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
          <w:bCs/>
          <w:szCs w:val="21"/>
        </w:rPr>
      </w:pPr>
      <w:r>
        <w:rPr>
          <w:rFonts w:hint="eastAsia" w:ascii="宋体" w:hAnsi="宋体" w:eastAsia="宋体" w:cs="宋体"/>
          <w:b/>
          <w:bCs/>
          <w:szCs w:val="21"/>
        </w:rPr>
        <w:t>（如有请提供）</w:t>
      </w:r>
    </w:p>
    <w:p w14:paraId="63C03394">
      <w:pPr>
        <w:rPr>
          <w:rFonts w:hint="eastAsia" w:ascii="宋体" w:hAnsi="宋体" w:eastAsia="宋体" w:cs="宋体"/>
          <w:b/>
          <w:bCs/>
          <w:szCs w:val="21"/>
        </w:rPr>
      </w:pPr>
      <w:r>
        <w:rPr>
          <w:rFonts w:hint="eastAsia" w:ascii="宋体" w:hAnsi="宋体" w:eastAsia="宋体" w:cs="宋体"/>
          <w:b/>
          <w:bCs/>
          <w:szCs w:val="21"/>
        </w:rPr>
        <w:br w:type="page"/>
      </w:r>
    </w:p>
    <w:p w14:paraId="63E2851D">
      <w:pPr>
        <w:keepNext w:val="0"/>
        <w:keepLines w:val="0"/>
        <w:pageBreakBefore w:val="0"/>
        <w:widowControl w:val="0"/>
        <w:tabs>
          <w:tab w:val="left" w:pos="486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
          <w:bCs/>
          <w:szCs w:val="21"/>
        </w:rPr>
      </w:pPr>
      <w:r>
        <w:rPr>
          <w:rFonts w:hint="eastAsia" w:ascii="宋体" w:hAnsi="宋体" w:eastAsia="宋体" w:cs="宋体"/>
          <w:b/>
          <w:bCs/>
          <w:szCs w:val="21"/>
        </w:rPr>
        <w:t>C</w:t>
      </w:r>
      <w:r>
        <w:rPr>
          <w:rFonts w:hint="eastAsia" w:ascii="宋体" w:hAnsi="宋体" w:cs="宋体"/>
          <w:b/>
          <w:bCs/>
          <w:szCs w:val="21"/>
          <w:lang w:val="en-US" w:eastAsia="zh-CN"/>
        </w:rPr>
        <w:t>5</w:t>
      </w:r>
      <w:r>
        <w:rPr>
          <w:rFonts w:hint="eastAsia" w:ascii="宋体" w:hAnsi="宋体" w:eastAsia="宋体" w:cs="宋体"/>
          <w:b/>
          <w:bCs/>
          <w:szCs w:val="21"/>
        </w:rPr>
        <w:t>.供应商认为需要的其他资料（如有需提供）</w:t>
      </w:r>
    </w:p>
    <w:bookmarkEnd w:id="56"/>
    <w:p w14:paraId="13C3F5AC">
      <w:pPr>
        <w:pStyle w:val="116"/>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政府采购活动现场确认声明书</w:t>
      </w:r>
    </w:p>
    <w:p w14:paraId="64FABADE">
      <w:pPr>
        <w:pStyle w:val="116"/>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致：采购人</w:t>
      </w:r>
    </w:p>
    <w:p w14:paraId="2B725B0D">
      <w:pPr>
        <w:pStyle w:val="116"/>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本人经由</w:t>
      </w:r>
      <w:r>
        <w:rPr>
          <w:rFonts w:hint="eastAsia" w:ascii="宋体" w:hAnsi="宋体" w:eastAsia="宋体" w:cs="宋体"/>
          <w:szCs w:val="21"/>
          <w:u w:val="single"/>
        </w:rPr>
        <w:t>（供应商名称）</w:t>
      </w:r>
      <w:r>
        <w:rPr>
          <w:rFonts w:hint="eastAsia" w:ascii="宋体" w:hAnsi="宋体" w:eastAsia="宋体" w:cs="宋体"/>
          <w:szCs w:val="21"/>
        </w:rPr>
        <w:t>法人代表（负责人）</w:t>
      </w:r>
      <w:r>
        <w:rPr>
          <w:rFonts w:hint="eastAsia" w:ascii="宋体" w:hAnsi="宋体" w:eastAsia="宋体" w:cs="宋体"/>
          <w:szCs w:val="21"/>
          <w:u w:val="single"/>
        </w:rPr>
        <w:t>（姓名）</w:t>
      </w:r>
      <w:r>
        <w:rPr>
          <w:rFonts w:hint="eastAsia" w:ascii="宋体" w:hAnsi="宋体" w:eastAsia="宋体" w:cs="宋体"/>
          <w:szCs w:val="21"/>
        </w:rPr>
        <w:t>合法授权参加</w:t>
      </w:r>
      <w:r>
        <w:rPr>
          <w:rFonts w:hint="eastAsia" w:ascii="宋体" w:hAnsi="宋体" w:eastAsia="宋体" w:cs="宋体"/>
          <w:szCs w:val="21"/>
          <w:u w:val="single"/>
        </w:rPr>
        <w:t>大榭片区“十五五”发展规划项目</w:t>
      </w:r>
      <w:r>
        <w:rPr>
          <w:rFonts w:hint="eastAsia" w:ascii="宋体" w:hAnsi="宋体" w:eastAsia="宋体" w:cs="宋体"/>
          <w:szCs w:val="21"/>
        </w:rPr>
        <w:t>（项目编号：</w:t>
      </w:r>
      <w:r>
        <w:rPr>
          <w:rFonts w:hint="eastAsia" w:ascii="宋体" w:hAnsi="宋体" w:eastAsia="宋体" w:cs="宋体"/>
          <w:szCs w:val="21"/>
          <w:u w:val="single"/>
        </w:rPr>
        <w:t>NBITC-202530001GC-BL</w:t>
      </w:r>
      <w:r>
        <w:rPr>
          <w:rFonts w:hint="eastAsia" w:hAnsi="宋体" w:cs="宋体"/>
          <w:szCs w:val="21"/>
          <w:u w:val="single"/>
          <w:lang w:val="en-US" w:eastAsia="zh-CN"/>
        </w:rPr>
        <w:t>007</w:t>
      </w:r>
      <w:r>
        <w:rPr>
          <w:rFonts w:hint="eastAsia" w:ascii="宋体" w:hAnsi="宋体" w:eastAsia="宋体" w:cs="宋体"/>
          <w:szCs w:val="21"/>
        </w:rPr>
        <w:t>）政府采购活动，经与本单位法人代表（负责人）联系确认，现就有关公平竞争事项郑重声明如下：</w:t>
      </w:r>
    </w:p>
    <w:p w14:paraId="4A8B41D3">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一、本单位与采购人之间□不存在利害关系□存在下列利害关系：</w:t>
      </w:r>
    </w:p>
    <w:p w14:paraId="054474CD">
      <w:pPr>
        <w:pStyle w:val="142"/>
        <w:keepNext w:val="0"/>
        <w:keepLines w:val="0"/>
        <w:pageBreakBefore w:val="0"/>
        <w:widowControl/>
        <w:kinsoku/>
        <w:wordWrap/>
        <w:overflowPunct/>
        <w:topLinePunct w:val="0"/>
        <w:autoSpaceDE/>
        <w:autoSpaceDN/>
        <w:bidi w:val="0"/>
        <w:adjustRightInd/>
        <w:snapToGrid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A.投资关系B.行政隶属关系C.业务指导关系</w:t>
      </w:r>
    </w:p>
    <w:p w14:paraId="6495AFE1">
      <w:pPr>
        <w:pStyle w:val="142"/>
        <w:keepNext w:val="0"/>
        <w:keepLines w:val="0"/>
        <w:pageBreakBefore w:val="0"/>
        <w:widowControl/>
        <w:kinsoku/>
        <w:wordWrap/>
        <w:overflowPunct/>
        <w:topLinePunct w:val="0"/>
        <w:autoSpaceDE/>
        <w:autoSpaceDN/>
        <w:bidi w:val="0"/>
        <w:adjustRightInd/>
        <w:snapToGrid w:val="0"/>
        <w:spacing w:line="400" w:lineRule="exact"/>
        <w:ind w:left="0"/>
        <w:textAlignment w:val="auto"/>
        <w:rPr>
          <w:rFonts w:hint="eastAsia" w:ascii="宋体" w:hAnsi="宋体" w:eastAsia="宋体" w:cs="宋体"/>
          <w:szCs w:val="21"/>
        </w:rPr>
      </w:pPr>
      <w:r>
        <w:rPr>
          <w:rFonts w:hint="eastAsia" w:ascii="宋体" w:hAnsi="宋体" w:eastAsia="宋体" w:cs="宋体"/>
          <w:szCs w:val="21"/>
        </w:rPr>
        <w:t>D.其他可能影响采购公正的利害关系</w:t>
      </w:r>
      <w:r>
        <w:rPr>
          <w:rFonts w:hint="eastAsia" w:ascii="宋体" w:hAnsi="宋体" w:eastAsia="宋体" w:cs="宋体"/>
          <w:szCs w:val="21"/>
          <w:u w:val="single"/>
        </w:rPr>
        <w:t>（如有，请如实说明）</w:t>
      </w:r>
      <w:r>
        <w:rPr>
          <w:rFonts w:hint="eastAsia" w:ascii="宋体" w:hAnsi="宋体" w:eastAsia="宋体" w:cs="宋体"/>
          <w:szCs w:val="21"/>
        </w:rPr>
        <w:t>。</w:t>
      </w:r>
    </w:p>
    <w:p w14:paraId="281F7ED5">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二、现已清楚知道参加本项目采购活动的其他所有供应商名称，本单位□与其他所有供应商之间均不存在利害关系□与</w:t>
      </w:r>
      <w:r>
        <w:rPr>
          <w:rFonts w:hint="eastAsia" w:ascii="宋体" w:hAnsi="宋体" w:eastAsia="宋体" w:cs="宋体"/>
          <w:szCs w:val="21"/>
          <w:u w:val="single"/>
        </w:rPr>
        <w:t>（供应商名称）</w:t>
      </w:r>
      <w:r>
        <w:rPr>
          <w:rFonts w:hint="eastAsia" w:ascii="宋体" w:hAnsi="宋体" w:eastAsia="宋体" w:cs="宋体"/>
          <w:szCs w:val="21"/>
        </w:rPr>
        <w:t>之间存在下列利害关系：</w:t>
      </w:r>
    </w:p>
    <w:p w14:paraId="4A57EC3D">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A.法定代表人或负责人或实际控制人是同一人</w:t>
      </w:r>
    </w:p>
    <w:p w14:paraId="66A3461B">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B.法定代表人或负责人或实际控制人是夫妻关系</w:t>
      </w:r>
    </w:p>
    <w:p w14:paraId="22568E63">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C.法定代表人或负责人或实际控制人是直系血亲关系</w:t>
      </w:r>
    </w:p>
    <w:p w14:paraId="3F26950E">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D.法定代表人或负责人或实际控制人存在三代以内旁系血亲关系</w:t>
      </w:r>
    </w:p>
    <w:p w14:paraId="610E8471">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E.法定代表人或负责人或实际控制人存在近姻亲关系</w:t>
      </w:r>
    </w:p>
    <w:p w14:paraId="1137455A">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F.法定代表人或负责人或实际控制人存在股份控制或实际控制关系</w:t>
      </w:r>
    </w:p>
    <w:p w14:paraId="5CC997CE">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G.存在共同直接或间接投资设立子公司、联营企业和合营企业情况</w:t>
      </w:r>
    </w:p>
    <w:p w14:paraId="3333DDB6">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H.存在分级代理或代销关系、同一生产制造商关系、管理关系、重要业务（占主营业务收入50%以上）或重要财务往来关系（如融资）等其他实质性控制关系</w:t>
      </w:r>
    </w:p>
    <w:p w14:paraId="594EE435">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I.其他利害关系情况。</w:t>
      </w:r>
    </w:p>
    <w:p w14:paraId="5F0D61D9">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三、现已清楚知道并严格遵守政府采购法律法规和现场纪律。</w:t>
      </w:r>
    </w:p>
    <w:p w14:paraId="30156FD2">
      <w:pPr>
        <w:pStyle w:val="142"/>
        <w:keepNext w:val="0"/>
        <w:keepLines w:val="0"/>
        <w:pageBreakBefore w:val="0"/>
        <w:widowControl/>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四、我发现供应商之间存在或可能存在上述第二条第项利害关系。</w:t>
      </w:r>
    </w:p>
    <w:p w14:paraId="2800B912">
      <w:pPr>
        <w:pStyle w:val="116"/>
        <w:keepNext w:val="0"/>
        <w:keepLines w:val="0"/>
        <w:pageBreakBefore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szCs w:val="21"/>
        </w:rPr>
      </w:pPr>
    </w:p>
    <w:p w14:paraId="0F346EEC">
      <w:pPr>
        <w:pStyle w:val="116"/>
        <w:keepNext w:val="0"/>
        <w:keepLines w:val="0"/>
        <w:pageBreakBefore w:val="0"/>
        <w:kinsoku/>
        <w:wordWrap/>
        <w:overflowPunct/>
        <w:topLinePunct w:val="0"/>
        <w:autoSpaceDE/>
        <w:autoSpaceDN/>
        <w:bidi w:val="0"/>
        <w:adjustRightInd/>
        <w:snapToGrid w:val="0"/>
        <w:spacing w:line="400" w:lineRule="exact"/>
        <w:ind w:left="0" w:firstLine="4935" w:firstLineChars="2350"/>
        <w:textAlignment w:val="auto"/>
        <w:rPr>
          <w:rFonts w:hint="eastAsia" w:ascii="宋体" w:hAnsi="宋体" w:eastAsia="宋体" w:cs="宋体"/>
          <w:szCs w:val="21"/>
        </w:rPr>
      </w:pPr>
      <w:r>
        <w:rPr>
          <w:rFonts w:hint="eastAsia" w:ascii="宋体" w:hAnsi="宋体" w:eastAsia="宋体" w:cs="宋体"/>
          <w:szCs w:val="21"/>
        </w:rPr>
        <w:t>（供应商代表签名）</w:t>
      </w:r>
    </w:p>
    <w:p w14:paraId="41E2D1AC">
      <w:pPr>
        <w:keepNext w:val="0"/>
        <w:keepLines w:val="0"/>
        <w:pageBreakBefore w:val="0"/>
        <w:kinsoku/>
        <w:wordWrap/>
        <w:overflowPunct/>
        <w:topLinePunct w:val="0"/>
        <w:autoSpaceDE/>
        <w:autoSpaceDN/>
        <w:bidi w:val="0"/>
        <w:adjustRightInd/>
        <w:spacing w:line="400" w:lineRule="exact"/>
        <w:ind w:left="0" w:firstLine="5306" w:firstLineChars="2527"/>
        <w:textAlignment w:val="auto"/>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65B4EA80">
      <w:pPr>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eastAsia="宋体" w:cs="宋体"/>
          <w:szCs w:val="21"/>
        </w:rPr>
      </w:pPr>
    </w:p>
    <w:p w14:paraId="093F778A">
      <w:pPr>
        <w:keepNext w:val="0"/>
        <w:keepLines w:val="0"/>
        <w:pageBreakBefore w:val="0"/>
        <w:kinsoku/>
        <w:wordWrap/>
        <w:overflowPunct/>
        <w:topLinePunct w:val="0"/>
        <w:autoSpaceDE/>
        <w:autoSpaceDN/>
        <w:bidi w:val="0"/>
        <w:adjustRightInd/>
        <w:spacing w:line="400" w:lineRule="exact"/>
        <w:ind w:left="0"/>
        <w:textAlignment w:val="auto"/>
        <w:rPr>
          <w:rFonts w:hint="eastAsia" w:ascii="宋体" w:hAnsi="宋体" w:eastAsia="宋体" w:cs="宋体"/>
          <w:b/>
          <w:sz w:val="28"/>
          <w:szCs w:val="28"/>
        </w:rPr>
      </w:pPr>
      <w:r>
        <w:rPr>
          <w:rFonts w:hint="eastAsia" w:ascii="宋体" w:hAnsi="宋体" w:eastAsia="宋体" w:cs="宋体"/>
          <w:b/>
          <w:sz w:val="28"/>
          <w:szCs w:val="28"/>
        </w:rPr>
        <w:t>注：1</w:t>
      </w:r>
      <w:r>
        <w:rPr>
          <w:rFonts w:hint="eastAsia" w:ascii="宋体" w:hAnsi="宋体" w:eastAsia="宋体" w:cs="宋体"/>
          <w:b/>
          <w:sz w:val="28"/>
          <w:szCs w:val="28"/>
          <w:lang w:val="en-US" w:eastAsia="zh-CN"/>
        </w:rPr>
        <w:t>.</w:t>
      </w:r>
      <w:r>
        <w:rPr>
          <w:rFonts w:hint="eastAsia" w:ascii="宋体" w:hAnsi="宋体" w:eastAsia="宋体" w:cs="宋体"/>
          <w:b/>
          <w:sz w:val="28"/>
          <w:szCs w:val="28"/>
        </w:rPr>
        <w:t>本表非磋商响应文件的组成内容，不须在磋商响应文件中提供。</w:t>
      </w:r>
    </w:p>
    <w:p w14:paraId="5D8BB64E">
      <w:pPr>
        <w:keepNext w:val="0"/>
        <w:keepLines w:val="0"/>
        <w:pageBreakBefore w:val="0"/>
        <w:kinsoku/>
        <w:wordWrap/>
        <w:overflowPunct/>
        <w:topLinePunct w:val="0"/>
        <w:autoSpaceDE/>
        <w:autoSpaceDN/>
        <w:bidi w:val="0"/>
        <w:adjustRightInd/>
        <w:spacing w:line="400" w:lineRule="exact"/>
        <w:ind w:left="0" w:firstLine="548" w:firstLineChars="195"/>
        <w:textAlignment w:val="auto"/>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en-US" w:eastAsia="zh-CN"/>
        </w:rPr>
        <w:t>.</w:t>
      </w:r>
      <w:r>
        <w:rPr>
          <w:rFonts w:hint="eastAsia" w:ascii="宋体" w:hAnsi="宋体" w:eastAsia="宋体" w:cs="宋体"/>
          <w:b/>
          <w:sz w:val="28"/>
          <w:szCs w:val="28"/>
        </w:rPr>
        <w:t>本表在磋商现场由代理机构提供给各供应商，由各供应商签署。</w:t>
      </w:r>
    </w:p>
    <w:p w14:paraId="6B7FBBCA">
      <w:pPr>
        <w:tabs>
          <w:tab w:val="left" w:pos="4860"/>
        </w:tabs>
        <w:spacing w:line="588" w:lineRule="exact"/>
        <w:ind w:right="1560" w:firstLine="420" w:firstLineChars="200"/>
        <w:jc w:val="center"/>
        <w:rPr>
          <w:rFonts w:hint="eastAsia" w:ascii="宋体" w:hAnsi="宋体" w:eastAsia="宋体" w:cs="宋体"/>
          <w:szCs w:val="21"/>
        </w:rPr>
      </w:pPr>
    </w:p>
    <w:p w14:paraId="48CF40DE">
      <w:pPr>
        <w:spacing w:line="440" w:lineRule="exact"/>
        <w:ind w:firstLine="420" w:firstLineChars="200"/>
        <w:rPr>
          <w:rFonts w:hint="eastAsia" w:ascii="宋体" w:hAnsi="宋体" w:eastAsia="宋体" w:cs="宋体"/>
          <w:szCs w:val="21"/>
        </w:rPr>
        <w:sectPr>
          <w:headerReference r:id="rId13" w:type="default"/>
          <w:footerReference r:id="rId14" w:type="default"/>
          <w:pgSz w:w="11907" w:h="16840"/>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5" w:charSpace="0"/>
        </w:sectPr>
      </w:pPr>
    </w:p>
    <w:bookmarkEnd w:id="51"/>
    <w:bookmarkEnd w:id="52"/>
    <w:bookmarkEnd w:id="53"/>
    <w:bookmarkEnd w:id="54"/>
    <w:tbl>
      <w:tblPr>
        <w:tblStyle w:val="49"/>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E37538E">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79A5C6C9">
            <w:pPr>
              <w:widowControl/>
              <w:jc w:val="center"/>
              <w:rPr>
                <w:rFonts w:hint="eastAsia" w:ascii="宋体" w:hAnsi="宋体" w:eastAsia="宋体" w:cs="宋体"/>
                <w:b/>
                <w:bCs/>
                <w:kern w:val="0"/>
                <w:sz w:val="32"/>
                <w:szCs w:val="32"/>
              </w:rPr>
            </w:pPr>
            <w:r>
              <w:rPr>
                <w:rFonts w:hint="eastAsia" w:ascii="宋体" w:hAnsi="宋体" w:eastAsia="宋体" w:cs="宋体"/>
                <w:b/>
                <w:bCs/>
                <w:kern w:val="0"/>
                <w:sz w:val="24"/>
              </w:rPr>
              <w:t>中小微行业划型标准规定（根据工信部联企业〔2011〕300号制定）</w:t>
            </w:r>
          </w:p>
        </w:tc>
      </w:tr>
      <w:tr w14:paraId="62755D0D">
        <w:tblPrEx>
          <w:tblCellMar>
            <w:top w:w="0" w:type="dxa"/>
            <w:left w:w="108" w:type="dxa"/>
            <w:bottom w:w="0" w:type="dxa"/>
            <w:right w:w="108" w:type="dxa"/>
          </w:tblCellMar>
        </w:tblPrEx>
        <w:trPr>
          <w:gridAfter w:val="1"/>
          <w:wAfter w:w="3" w:type="dxa"/>
          <w:trHeight w:val="283"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3D4216F5">
            <w:pPr>
              <w:widowControl/>
              <w:jc w:val="center"/>
              <w:rPr>
                <w:rFonts w:hint="eastAsia" w:ascii="宋体" w:hAnsi="宋体" w:eastAsia="宋体" w:cs="宋体"/>
                <w:b/>
                <w:bCs/>
                <w:kern w:val="0"/>
                <w:sz w:val="24"/>
              </w:rPr>
            </w:pPr>
            <w:r>
              <w:rPr>
                <w:rFonts w:hint="eastAsia" w:ascii="宋体" w:hAnsi="宋体" w:eastAsia="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1D945542">
            <w:pPr>
              <w:widowControl/>
              <w:jc w:val="center"/>
              <w:rPr>
                <w:rFonts w:hint="eastAsia" w:ascii="宋体" w:hAnsi="宋体" w:eastAsia="宋体" w:cs="宋体"/>
                <w:b/>
                <w:bCs/>
                <w:kern w:val="0"/>
                <w:sz w:val="24"/>
              </w:rPr>
            </w:pPr>
            <w:r>
              <w:rPr>
                <w:rFonts w:hint="eastAsia" w:ascii="宋体" w:hAnsi="宋体" w:eastAsia="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5F85C517">
            <w:pPr>
              <w:widowControl/>
              <w:jc w:val="center"/>
              <w:rPr>
                <w:rFonts w:hint="eastAsia" w:ascii="宋体" w:hAnsi="宋体" w:eastAsia="宋体" w:cs="宋体"/>
                <w:b/>
                <w:bCs/>
                <w:kern w:val="0"/>
                <w:sz w:val="24"/>
              </w:rPr>
            </w:pPr>
            <w:r>
              <w:rPr>
                <w:rFonts w:hint="eastAsia" w:ascii="宋体" w:hAnsi="宋体" w:eastAsia="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2D459582">
            <w:pPr>
              <w:widowControl/>
              <w:jc w:val="center"/>
              <w:rPr>
                <w:rFonts w:hint="eastAsia" w:ascii="宋体" w:hAnsi="宋体" w:eastAsia="宋体" w:cs="宋体"/>
                <w:b/>
                <w:bCs/>
                <w:kern w:val="0"/>
                <w:sz w:val="24"/>
              </w:rPr>
            </w:pPr>
            <w:r>
              <w:rPr>
                <w:rFonts w:hint="eastAsia" w:ascii="宋体" w:hAnsi="宋体" w:eastAsia="宋体" w:cs="宋体"/>
                <w:b/>
                <w:bCs/>
                <w:kern w:val="0"/>
                <w:sz w:val="24"/>
              </w:rPr>
              <w:t>微型企业</w:t>
            </w:r>
          </w:p>
        </w:tc>
      </w:tr>
      <w:tr w14:paraId="6A720080">
        <w:tblPrEx>
          <w:tblCellMar>
            <w:top w:w="0" w:type="dxa"/>
            <w:left w:w="108" w:type="dxa"/>
            <w:bottom w:w="0" w:type="dxa"/>
            <w:right w:w="108" w:type="dxa"/>
          </w:tblCellMar>
        </w:tblPrEx>
        <w:trPr>
          <w:gridAfter w:val="1"/>
          <w:wAfter w:w="6" w:type="dxa"/>
          <w:trHeight w:val="283"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7E56D852">
            <w:pPr>
              <w:widowControl/>
              <w:jc w:val="left"/>
              <w:rPr>
                <w:rFonts w:hint="eastAsia" w:ascii="宋体" w:hAnsi="宋体" w:eastAsia="宋体" w:cs="宋体"/>
                <w:b/>
                <w:bCs/>
                <w:kern w:val="0"/>
                <w:sz w:val="24"/>
              </w:rPr>
            </w:pPr>
          </w:p>
        </w:tc>
        <w:tc>
          <w:tcPr>
            <w:tcW w:w="1512" w:type="dxa"/>
            <w:tcBorders>
              <w:top w:val="nil"/>
              <w:left w:val="nil"/>
              <w:bottom w:val="single" w:color="auto" w:sz="4" w:space="0"/>
              <w:right w:val="single" w:color="auto" w:sz="4" w:space="0"/>
            </w:tcBorders>
            <w:vAlign w:val="bottom"/>
          </w:tcPr>
          <w:p w14:paraId="7E8E569B">
            <w:pPr>
              <w:widowControl/>
              <w:jc w:val="center"/>
              <w:rPr>
                <w:rFonts w:hint="eastAsia" w:ascii="宋体" w:hAnsi="宋体" w:eastAsia="宋体" w:cs="宋体"/>
                <w:kern w:val="0"/>
                <w:sz w:val="20"/>
              </w:rPr>
            </w:pPr>
            <w:r>
              <w:rPr>
                <w:rFonts w:hint="eastAsia" w:ascii="宋体" w:hAnsi="宋体" w:eastAsia="宋体" w:cs="宋体"/>
                <w:kern w:val="0"/>
                <w:sz w:val="20"/>
              </w:rPr>
              <w:t>从业人员X（人）</w:t>
            </w:r>
          </w:p>
        </w:tc>
        <w:tc>
          <w:tcPr>
            <w:tcW w:w="1779" w:type="dxa"/>
            <w:tcBorders>
              <w:top w:val="nil"/>
              <w:left w:val="nil"/>
              <w:bottom w:val="single" w:color="auto" w:sz="4" w:space="0"/>
              <w:right w:val="single" w:color="auto" w:sz="4" w:space="0"/>
            </w:tcBorders>
            <w:vAlign w:val="bottom"/>
          </w:tcPr>
          <w:p w14:paraId="577E432D">
            <w:pPr>
              <w:widowControl/>
              <w:jc w:val="center"/>
              <w:rPr>
                <w:rFonts w:hint="eastAsia" w:ascii="宋体" w:hAnsi="宋体" w:eastAsia="宋体" w:cs="宋体"/>
                <w:kern w:val="0"/>
                <w:sz w:val="20"/>
              </w:rPr>
            </w:pPr>
            <w:r>
              <w:rPr>
                <w:rFonts w:hint="eastAsia" w:ascii="宋体" w:hAnsi="宋体" w:eastAsia="宋体" w:cs="宋体"/>
                <w:kern w:val="0"/>
                <w:sz w:val="20"/>
              </w:rPr>
              <w:t>营业收入Y</w:t>
            </w:r>
          </w:p>
          <w:p w14:paraId="1A9644BB">
            <w:pPr>
              <w:widowControl/>
              <w:jc w:val="center"/>
              <w:rPr>
                <w:rFonts w:hint="eastAsia" w:ascii="宋体" w:hAnsi="宋体" w:eastAsia="宋体" w:cs="宋体"/>
                <w:kern w:val="0"/>
                <w:sz w:val="20"/>
              </w:rPr>
            </w:pPr>
            <w:r>
              <w:rPr>
                <w:rFonts w:hint="eastAsia" w:ascii="宋体" w:hAnsi="宋体" w:eastAsia="宋体" w:cs="宋体"/>
                <w:kern w:val="0"/>
                <w:sz w:val="20"/>
              </w:rPr>
              <w:t>（万元）</w:t>
            </w:r>
          </w:p>
        </w:tc>
        <w:tc>
          <w:tcPr>
            <w:tcW w:w="1677" w:type="dxa"/>
            <w:tcBorders>
              <w:top w:val="nil"/>
              <w:left w:val="nil"/>
              <w:bottom w:val="single" w:color="auto" w:sz="4" w:space="0"/>
              <w:right w:val="single" w:color="auto" w:sz="8" w:space="0"/>
            </w:tcBorders>
            <w:vAlign w:val="bottom"/>
          </w:tcPr>
          <w:p w14:paraId="4C290DB1">
            <w:pPr>
              <w:widowControl/>
              <w:jc w:val="center"/>
              <w:rPr>
                <w:rFonts w:hint="eastAsia" w:ascii="宋体" w:hAnsi="宋体" w:eastAsia="宋体" w:cs="宋体"/>
                <w:kern w:val="0"/>
                <w:sz w:val="20"/>
              </w:rPr>
            </w:pPr>
            <w:r>
              <w:rPr>
                <w:rFonts w:hint="eastAsia" w:ascii="宋体" w:hAnsi="宋体" w:eastAsia="宋体" w:cs="宋体"/>
                <w:kern w:val="0"/>
                <w:sz w:val="20"/>
              </w:rPr>
              <w:t>资产总额Z</w:t>
            </w:r>
          </w:p>
          <w:p w14:paraId="4E03A7E3">
            <w:pPr>
              <w:widowControl/>
              <w:jc w:val="center"/>
              <w:rPr>
                <w:rFonts w:hint="eastAsia" w:ascii="宋体" w:hAnsi="宋体" w:eastAsia="宋体" w:cs="宋体"/>
                <w:kern w:val="0"/>
                <w:sz w:val="20"/>
              </w:rPr>
            </w:pPr>
            <w:r>
              <w:rPr>
                <w:rFonts w:hint="eastAsia" w:ascii="宋体" w:hAnsi="宋体" w:eastAsia="宋体" w:cs="宋体"/>
                <w:kern w:val="0"/>
                <w:sz w:val="20"/>
              </w:rPr>
              <w:t>（万元）</w:t>
            </w:r>
          </w:p>
        </w:tc>
        <w:tc>
          <w:tcPr>
            <w:tcW w:w="1252" w:type="dxa"/>
            <w:tcBorders>
              <w:top w:val="nil"/>
              <w:left w:val="nil"/>
              <w:bottom w:val="single" w:color="auto" w:sz="4" w:space="0"/>
              <w:right w:val="single" w:color="auto" w:sz="4" w:space="0"/>
            </w:tcBorders>
            <w:vAlign w:val="bottom"/>
          </w:tcPr>
          <w:p w14:paraId="2CA646B6">
            <w:pPr>
              <w:widowControl/>
              <w:jc w:val="center"/>
              <w:rPr>
                <w:rFonts w:hint="eastAsia" w:ascii="宋体" w:hAnsi="宋体" w:eastAsia="宋体" w:cs="宋体"/>
                <w:kern w:val="0"/>
                <w:sz w:val="20"/>
              </w:rPr>
            </w:pPr>
            <w:r>
              <w:rPr>
                <w:rFonts w:hint="eastAsia" w:ascii="宋体" w:hAnsi="宋体" w:eastAsia="宋体" w:cs="宋体"/>
                <w:kern w:val="0"/>
                <w:sz w:val="20"/>
              </w:rPr>
              <w:t>从业人员X（人）</w:t>
            </w:r>
          </w:p>
        </w:tc>
        <w:tc>
          <w:tcPr>
            <w:tcW w:w="1494" w:type="dxa"/>
            <w:tcBorders>
              <w:top w:val="nil"/>
              <w:left w:val="nil"/>
              <w:bottom w:val="single" w:color="auto" w:sz="4" w:space="0"/>
              <w:right w:val="single" w:color="auto" w:sz="4" w:space="0"/>
            </w:tcBorders>
            <w:vAlign w:val="bottom"/>
          </w:tcPr>
          <w:p w14:paraId="1D6C3225">
            <w:pPr>
              <w:widowControl/>
              <w:jc w:val="center"/>
              <w:rPr>
                <w:rFonts w:hint="eastAsia" w:ascii="宋体" w:hAnsi="宋体" w:eastAsia="宋体" w:cs="宋体"/>
                <w:kern w:val="0"/>
                <w:sz w:val="20"/>
              </w:rPr>
            </w:pPr>
            <w:r>
              <w:rPr>
                <w:rFonts w:hint="eastAsia" w:ascii="宋体" w:hAnsi="宋体" w:eastAsia="宋体" w:cs="宋体"/>
                <w:kern w:val="0"/>
                <w:sz w:val="20"/>
              </w:rPr>
              <w:t>营业收入Y</w:t>
            </w:r>
          </w:p>
          <w:p w14:paraId="3C1A2CB5">
            <w:pPr>
              <w:widowControl/>
              <w:jc w:val="center"/>
              <w:rPr>
                <w:rFonts w:hint="eastAsia" w:ascii="宋体" w:hAnsi="宋体" w:eastAsia="宋体" w:cs="宋体"/>
                <w:kern w:val="0"/>
                <w:sz w:val="20"/>
              </w:rPr>
            </w:pPr>
            <w:r>
              <w:rPr>
                <w:rFonts w:hint="eastAsia" w:ascii="宋体" w:hAnsi="宋体" w:eastAsia="宋体" w:cs="宋体"/>
                <w:kern w:val="0"/>
                <w:sz w:val="20"/>
              </w:rPr>
              <w:t>（万元）</w:t>
            </w:r>
          </w:p>
        </w:tc>
        <w:tc>
          <w:tcPr>
            <w:tcW w:w="1536" w:type="dxa"/>
            <w:tcBorders>
              <w:top w:val="nil"/>
              <w:left w:val="nil"/>
              <w:bottom w:val="single" w:color="auto" w:sz="4" w:space="0"/>
              <w:right w:val="single" w:color="auto" w:sz="8" w:space="0"/>
            </w:tcBorders>
            <w:vAlign w:val="bottom"/>
          </w:tcPr>
          <w:p w14:paraId="383E6EFD">
            <w:pPr>
              <w:widowControl/>
              <w:jc w:val="center"/>
              <w:rPr>
                <w:rFonts w:hint="eastAsia" w:ascii="宋体" w:hAnsi="宋体" w:eastAsia="宋体" w:cs="宋体"/>
                <w:kern w:val="0"/>
                <w:sz w:val="20"/>
              </w:rPr>
            </w:pPr>
            <w:r>
              <w:rPr>
                <w:rFonts w:hint="eastAsia" w:ascii="宋体" w:hAnsi="宋体" w:eastAsia="宋体" w:cs="宋体"/>
                <w:kern w:val="0"/>
                <w:sz w:val="20"/>
              </w:rPr>
              <w:t>资产总额Z</w:t>
            </w:r>
          </w:p>
          <w:p w14:paraId="04929E95">
            <w:pPr>
              <w:widowControl/>
              <w:jc w:val="center"/>
              <w:rPr>
                <w:rFonts w:hint="eastAsia" w:ascii="宋体" w:hAnsi="宋体" w:eastAsia="宋体" w:cs="宋体"/>
                <w:kern w:val="0"/>
                <w:sz w:val="20"/>
              </w:rPr>
            </w:pPr>
            <w:r>
              <w:rPr>
                <w:rFonts w:hint="eastAsia" w:ascii="宋体" w:hAnsi="宋体" w:eastAsia="宋体" w:cs="宋体"/>
                <w:kern w:val="0"/>
                <w:sz w:val="20"/>
              </w:rPr>
              <w:t>（万元）</w:t>
            </w:r>
          </w:p>
        </w:tc>
        <w:tc>
          <w:tcPr>
            <w:tcW w:w="1297" w:type="dxa"/>
            <w:tcBorders>
              <w:top w:val="nil"/>
              <w:left w:val="nil"/>
              <w:bottom w:val="single" w:color="auto" w:sz="4" w:space="0"/>
              <w:right w:val="single" w:color="auto" w:sz="4" w:space="0"/>
            </w:tcBorders>
            <w:vAlign w:val="bottom"/>
          </w:tcPr>
          <w:p w14:paraId="45835032">
            <w:pPr>
              <w:widowControl/>
              <w:jc w:val="center"/>
              <w:rPr>
                <w:rFonts w:hint="eastAsia" w:ascii="宋体" w:hAnsi="宋体" w:eastAsia="宋体" w:cs="宋体"/>
                <w:kern w:val="0"/>
                <w:sz w:val="20"/>
              </w:rPr>
            </w:pPr>
            <w:r>
              <w:rPr>
                <w:rFonts w:hint="eastAsia" w:ascii="宋体" w:hAnsi="宋体" w:eastAsia="宋体" w:cs="宋体"/>
                <w:kern w:val="0"/>
                <w:sz w:val="20"/>
              </w:rPr>
              <w:t>从业人员X（人）</w:t>
            </w:r>
          </w:p>
        </w:tc>
        <w:tc>
          <w:tcPr>
            <w:tcW w:w="1287" w:type="dxa"/>
            <w:tcBorders>
              <w:top w:val="nil"/>
              <w:left w:val="nil"/>
              <w:bottom w:val="single" w:color="auto" w:sz="4" w:space="0"/>
              <w:right w:val="single" w:color="auto" w:sz="4" w:space="0"/>
            </w:tcBorders>
            <w:vAlign w:val="bottom"/>
          </w:tcPr>
          <w:p w14:paraId="2E5F05C8">
            <w:pPr>
              <w:widowControl/>
              <w:jc w:val="center"/>
              <w:rPr>
                <w:rFonts w:hint="eastAsia" w:ascii="宋体" w:hAnsi="宋体" w:eastAsia="宋体" w:cs="宋体"/>
                <w:kern w:val="0"/>
                <w:sz w:val="20"/>
              </w:rPr>
            </w:pPr>
            <w:r>
              <w:rPr>
                <w:rFonts w:hint="eastAsia" w:ascii="宋体" w:hAnsi="宋体" w:eastAsia="宋体" w:cs="宋体"/>
                <w:kern w:val="0"/>
                <w:sz w:val="20"/>
              </w:rPr>
              <w:t>营业收入Y（万元）</w:t>
            </w:r>
          </w:p>
        </w:tc>
        <w:tc>
          <w:tcPr>
            <w:tcW w:w="1234" w:type="dxa"/>
            <w:tcBorders>
              <w:top w:val="nil"/>
              <w:left w:val="nil"/>
              <w:bottom w:val="single" w:color="auto" w:sz="4" w:space="0"/>
              <w:right w:val="single" w:color="auto" w:sz="8" w:space="0"/>
            </w:tcBorders>
            <w:vAlign w:val="bottom"/>
          </w:tcPr>
          <w:p w14:paraId="25D8D106">
            <w:pPr>
              <w:widowControl/>
              <w:jc w:val="center"/>
              <w:rPr>
                <w:rFonts w:hint="eastAsia" w:ascii="宋体" w:hAnsi="宋体" w:eastAsia="宋体" w:cs="宋体"/>
                <w:kern w:val="0"/>
                <w:sz w:val="20"/>
              </w:rPr>
            </w:pPr>
            <w:r>
              <w:rPr>
                <w:rFonts w:hint="eastAsia" w:ascii="宋体" w:hAnsi="宋体" w:eastAsia="宋体" w:cs="宋体"/>
                <w:kern w:val="0"/>
                <w:sz w:val="20"/>
              </w:rPr>
              <w:t>资产总额Z（万元）</w:t>
            </w:r>
          </w:p>
        </w:tc>
      </w:tr>
      <w:tr w14:paraId="1F96EBC8">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2B7EEF0A">
            <w:pPr>
              <w:widowControl/>
              <w:jc w:val="both"/>
              <w:rPr>
                <w:rFonts w:hint="eastAsia" w:ascii="宋体" w:hAnsi="宋体" w:eastAsia="宋体" w:cs="宋体"/>
                <w:kern w:val="0"/>
                <w:sz w:val="20"/>
              </w:rPr>
            </w:pPr>
            <w:r>
              <w:rPr>
                <w:rFonts w:hint="eastAsia" w:ascii="宋体" w:hAnsi="宋体" w:eastAsia="宋体" w:cs="宋体"/>
                <w:kern w:val="0"/>
                <w:sz w:val="20"/>
              </w:rPr>
              <w:t>1</w:t>
            </w:r>
            <w:r>
              <w:rPr>
                <w:rFonts w:hint="eastAsia" w:ascii="宋体" w:hAnsi="宋体" w:eastAsia="宋体" w:cs="宋体"/>
                <w:kern w:val="0"/>
                <w:sz w:val="20"/>
                <w:lang w:val="en-US" w:eastAsia="zh-CN"/>
              </w:rPr>
              <w:t>.</w:t>
            </w:r>
            <w:r>
              <w:rPr>
                <w:rFonts w:hint="eastAsia" w:ascii="宋体" w:hAnsi="宋体" w:eastAsia="宋体" w:cs="宋体"/>
                <w:kern w:val="0"/>
                <w:sz w:val="20"/>
              </w:rPr>
              <w:t>农林牧渔业</w:t>
            </w:r>
          </w:p>
        </w:tc>
        <w:tc>
          <w:tcPr>
            <w:tcW w:w="1512" w:type="dxa"/>
            <w:tcBorders>
              <w:top w:val="nil"/>
              <w:left w:val="nil"/>
              <w:bottom w:val="single" w:color="auto" w:sz="4" w:space="0"/>
              <w:right w:val="single" w:color="auto" w:sz="4" w:space="0"/>
            </w:tcBorders>
            <w:vAlign w:val="center"/>
          </w:tcPr>
          <w:p w14:paraId="6CF44684">
            <w:pPr>
              <w:widowControl/>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vAlign w:val="center"/>
          </w:tcPr>
          <w:p w14:paraId="08617C0A">
            <w:pPr>
              <w:widowControl/>
              <w:rPr>
                <w:rFonts w:hint="eastAsia" w:ascii="宋体" w:hAnsi="宋体" w:eastAsia="宋体" w:cs="宋体"/>
                <w:kern w:val="0"/>
                <w:sz w:val="20"/>
              </w:rPr>
            </w:pPr>
            <w:r>
              <w:rPr>
                <w:rFonts w:hint="eastAsia" w:ascii="宋体" w:hAnsi="宋体" w:eastAsia="宋体" w:cs="宋体"/>
                <w:kern w:val="0"/>
                <w:sz w:val="20"/>
              </w:rPr>
              <w:t>500≤Y＜20000</w:t>
            </w:r>
          </w:p>
        </w:tc>
        <w:tc>
          <w:tcPr>
            <w:tcW w:w="1677" w:type="dxa"/>
            <w:tcBorders>
              <w:top w:val="nil"/>
              <w:left w:val="nil"/>
              <w:bottom w:val="single" w:color="auto" w:sz="4" w:space="0"/>
              <w:right w:val="single" w:color="auto" w:sz="8" w:space="0"/>
            </w:tcBorders>
            <w:vAlign w:val="center"/>
          </w:tcPr>
          <w:p w14:paraId="4788C9CF">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5CCAE7B1">
            <w:pPr>
              <w:widowControl/>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vAlign w:val="center"/>
          </w:tcPr>
          <w:p w14:paraId="0DEB7579">
            <w:pPr>
              <w:widowControl/>
              <w:rPr>
                <w:rFonts w:hint="eastAsia" w:ascii="宋体" w:hAnsi="宋体" w:eastAsia="宋体" w:cs="宋体"/>
                <w:kern w:val="0"/>
                <w:sz w:val="20"/>
              </w:rPr>
            </w:pPr>
            <w:r>
              <w:rPr>
                <w:rFonts w:hint="eastAsia" w:ascii="宋体" w:hAnsi="宋体" w:eastAsia="宋体" w:cs="宋体"/>
                <w:kern w:val="0"/>
                <w:sz w:val="20"/>
              </w:rPr>
              <w:t>50≤Y＜500</w:t>
            </w:r>
          </w:p>
        </w:tc>
        <w:tc>
          <w:tcPr>
            <w:tcW w:w="1536" w:type="dxa"/>
            <w:tcBorders>
              <w:top w:val="nil"/>
              <w:left w:val="nil"/>
              <w:bottom w:val="single" w:color="auto" w:sz="4" w:space="0"/>
              <w:right w:val="single" w:color="auto" w:sz="8" w:space="0"/>
            </w:tcBorders>
            <w:vAlign w:val="center"/>
          </w:tcPr>
          <w:p w14:paraId="607EA012">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5F928435">
            <w:pPr>
              <w:widowControl/>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vAlign w:val="center"/>
          </w:tcPr>
          <w:p w14:paraId="4D33E965">
            <w:pPr>
              <w:widowControl/>
              <w:rPr>
                <w:rFonts w:hint="eastAsia" w:ascii="宋体" w:hAnsi="宋体" w:eastAsia="宋体" w:cs="宋体"/>
                <w:kern w:val="0"/>
                <w:sz w:val="20"/>
              </w:rPr>
            </w:pPr>
            <w:r>
              <w:rPr>
                <w:rFonts w:hint="eastAsia" w:ascii="宋体" w:hAnsi="宋体" w:eastAsia="宋体" w:cs="宋体"/>
                <w:kern w:val="0"/>
                <w:sz w:val="20"/>
              </w:rPr>
              <w:t>Y＜50</w:t>
            </w:r>
          </w:p>
        </w:tc>
        <w:tc>
          <w:tcPr>
            <w:tcW w:w="1234" w:type="dxa"/>
            <w:tcBorders>
              <w:top w:val="nil"/>
              <w:left w:val="nil"/>
              <w:bottom w:val="single" w:color="auto" w:sz="4" w:space="0"/>
              <w:right w:val="single" w:color="auto" w:sz="8" w:space="0"/>
            </w:tcBorders>
            <w:vAlign w:val="center"/>
          </w:tcPr>
          <w:p w14:paraId="39310FD0">
            <w:pPr>
              <w:widowControl/>
              <w:rPr>
                <w:rFonts w:hint="eastAsia" w:ascii="宋体" w:hAnsi="宋体" w:eastAsia="宋体" w:cs="宋体"/>
                <w:kern w:val="0"/>
                <w:sz w:val="20"/>
              </w:rPr>
            </w:pPr>
            <w:r>
              <w:rPr>
                <w:rFonts w:hint="eastAsia" w:ascii="宋体" w:hAnsi="宋体" w:eastAsia="宋体" w:cs="宋体"/>
                <w:kern w:val="0"/>
                <w:sz w:val="20"/>
              </w:rPr>
              <w:t>　</w:t>
            </w:r>
          </w:p>
        </w:tc>
      </w:tr>
      <w:tr w14:paraId="0CD0742D">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43247BE7">
            <w:pPr>
              <w:widowControl/>
              <w:jc w:val="both"/>
              <w:rPr>
                <w:rFonts w:hint="eastAsia" w:ascii="宋体" w:hAnsi="宋体" w:eastAsia="宋体" w:cs="宋体"/>
                <w:kern w:val="0"/>
                <w:sz w:val="20"/>
              </w:rPr>
            </w:pPr>
            <w:r>
              <w:rPr>
                <w:rFonts w:hint="eastAsia" w:ascii="宋体" w:hAnsi="宋体" w:eastAsia="宋体" w:cs="宋体"/>
                <w:kern w:val="0"/>
                <w:sz w:val="20"/>
              </w:rPr>
              <w:t>2</w:t>
            </w:r>
            <w:r>
              <w:rPr>
                <w:rFonts w:hint="eastAsia" w:ascii="宋体" w:hAnsi="宋体" w:eastAsia="宋体" w:cs="宋体"/>
                <w:kern w:val="0"/>
                <w:sz w:val="20"/>
                <w:lang w:val="en-US" w:eastAsia="zh-CN"/>
              </w:rPr>
              <w:t>.</w:t>
            </w:r>
            <w:r>
              <w:rPr>
                <w:rFonts w:hint="eastAsia" w:ascii="宋体" w:hAnsi="宋体" w:eastAsia="宋体" w:cs="宋体"/>
                <w:kern w:val="0"/>
                <w:sz w:val="20"/>
              </w:rPr>
              <w:t>工业</w:t>
            </w:r>
          </w:p>
        </w:tc>
        <w:tc>
          <w:tcPr>
            <w:tcW w:w="1512" w:type="dxa"/>
            <w:tcBorders>
              <w:top w:val="nil"/>
              <w:left w:val="nil"/>
              <w:bottom w:val="single" w:color="auto" w:sz="4" w:space="0"/>
              <w:right w:val="single" w:color="auto" w:sz="4" w:space="0"/>
            </w:tcBorders>
            <w:vAlign w:val="center"/>
          </w:tcPr>
          <w:p w14:paraId="672827F7">
            <w:pPr>
              <w:widowControl/>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vAlign w:val="center"/>
          </w:tcPr>
          <w:p w14:paraId="0A122F45">
            <w:pPr>
              <w:widowControl/>
              <w:rPr>
                <w:rFonts w:hint="eastAsia" w:ascii="宋体" w:hAnsi="宋体" w:eastAsia="宋体" w:cs="宋体"/>
                <w:kern w:val="0"/>
                <w:sz w:val="20"/>
              </w:rPr>
            </w:pPr>
            <w:r>
              <w:rPr>
                <w:rFonts w:hint="eastAsia" w:ascii="宋体" w:hAnsi="宋体" w:eastAsia="宋体" w:cs="宋体"/>
                <w:kern w:val="0"/>
                <w:sz w:val="20"/>
              </w:rPr>
              <w:t>2000≤Y＜40000</w:t>
            </w:r>
          </w:p>
        </w:tc>
        <w:tc>
          <w:tcPr>
            <w:tcW w:w="1677" w:type="dxa"/>
            <w:tcBorders>
              <w:top w:val="nil"/>
              <w:left w:val="nil"/>
              <w:bottom w:val="single" w:color="auto" w:sz="4" w:space="0"/>
              <w:right w:val="single" w:color="auto" w:sz="8" w:space="0"/>
            </w:tcBorders>
            <w:vAlign w:val="center"/>
          </w:tcPr>
          <w:p w14:paraId="136D72E1">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7D3CAAE9">
            <w:pPr>
              <w:widowControl/>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vAlign w:val="center"/>
          </w:tcPr>
          <w:p w14:paraId="1A639E88">
            <w:pPr>
              <w:widowControl/>
              <w:rPr>
                <w:rFonts w:hint="eastAsia" w:ascii="宋体" w:hAnsi="宋体" w:eastAsia="宋体" w:cs="宋体"/>
                <w:kern w:val="0"/>
                <w:sz w:val="20"/>
              </w:rPr>
            </w:pPr>
            <w:r>
              <w:rPr>
                <w:rFonts w:hint="eastAsia" w:ascii="宋体" w:hAnsi="宋体" w:eastAsia="宋体" w:cs="宋体"/>
                <w:kern w:val="0"/>
                <w:sz w:val="20"/>
              </w:rPr>
              <w:t>300≤Y＜2000</w:t>
            </w:r>
          </w:p>
        </w:tc>
        <w:tc>
          <w:tcPr>
            <w:tcW w:w="1536" w:type="dxa"/>
            <w:tcBorders>
              <w:top w:val="nil"/>
              <w:left w:val="nil"/>
              <w:bottom w:val="single" w:color="auto" w:sz="4" w:space="0"/>
              <w:right w:val="single" w:color="auto" w:sz="8" w:space="0"/>
            </w:tcBorders>
            <w:vAlign w:val="center"/>
          </w:tcPr>
          <w:p w14:paraId="0386D88D">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47F1C9FE">
            <w:pPr>
              <w:widowControl/>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vAlign w:val="center"/>
          </w:tcPr>
          <w:p w14:paraId="129C1535">
            <w:pPr>
              <w:widowControl/>
              <w:rPr>
                <w:rFonts w:hint="eastAsia" w:ascii="宋体" w:hAnsi="宋体" w:eastAsia="宋体" w:cs="宋体"/>
                <w:kern w:val="0"/>
                <w:sz w:val="20"/>
              </w:rPr>
            </w:pPr>
            <w:r>
              <w:rPr>
                <w:rFonts w:hint="eastAsia" w:ascii="宋体" w:hAnsi="宋体" w:eastAsia="宋体" w:cs="宋体"/>
                <w:kern w:val="0"/>
                <w:sz w:val="20"/>
              </w:rPr>
              <w:t>Y＜300</w:t>
            </w:r>
          </w:p>
        </w:tc>
        <w:tc>
          <w:tcPr>
            <w:tcW w:w="1234" w:type="dxa"/>
            <w:tcBorders>
              <w:top w:val="nil"/>
              <w:left w:val="nil"/>
              <w:bottom w:val="single" w:color="auto" w:sz="4" w:space="0"/>
              <w:right w:val="single" w:color="auto" w:sz="8" w:space="0"/>
            </w:tcBorders>
            <w:vAlign w:val="center"/>
          </w:tcPr>
          <w:p w14:paraId="2BD29AF7">
            <w:pPr>
              <w:widowControl/>
              <w:rPr>
                <w:rFonts w:hint="eastAsia" w:ascii="宋体" w:hAnsi="宋体" w:eastAsia="宋体" w:cs="宋体"/>
                <w:kern w:val="0"/>
                <w:sz w:val="20"/>
              </w:rPr>
            </w:pPr>
            <w:r>
              <w:rPr>
                <w:rFonts w:hint="eastAsia" w:ascii="宋体" w:hAnsi="宋体" w:eastAsia="宋体" w:cs="宋体"/>
                <w:kern w:val="0"/>
                <w:sz w:val="20"/>
              </w:rPr>
              <w:t>　</w:t>
            </w:r>
          </w:p>
        </w:tc>
      </w:tr>
      <w:tr w14:paraId="1FD7B5D9">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0C6EE8BE">
            <w:pPr>
              <w:widowControl/>
              <w:jc w:val="both"/>
              <w:rPr>
                <w:rFonts w:hint="eastAsia" w:ascii="宋体" w:hAnsi="宋体" w:eastAsia="宋体" w:cs="宋体"/>
                <w:kern w:val="0"/>
                <w:sz w:val="20"/>
              </w:rPr>
            </w:pPr>
            <w:r>
              <w:rPr>
                <w:rFonts w:hint="eastAsia" w:ascii="宋体" w:hAnsi="宋体" w:eastAsia="宋体" w:cs="宋体"/>
                <w:kern w:val="0"/>
                <w:sz w:val="20"/>
              </w:rPr>
              <w:t>3</w:t>
            </w:r>
            <w:r>
              <w:rPr>
                <w:rFonts w:hint="eastAsia" w:ascii="宋体" w:hAnsi="宋体" w:eastAsia="宋体" w:cs="宋体"/>
                <w:kern w:val="0"/>
                <w:sz w:val="20"/>
                <w:lang w:val="en-US" w:eastAsia="zh-CN"/>
              </w:rPr>
              <w:t>.</w:t>
            </w:r>
            <w:r>
              <w:rPr>
                <w:rFonts w:hint="eastAsia" w:ascii="宋体" w:hAnsi="宋体" w:eastAsia="宋体" w:cs="宋体"/>
                <w:kern w:val="0"/>
                <w:sz w:val="20"/>
              </w:rPr>
              <w:t>建筑业</w:t>
            </w:r>
          </w:p>
        </w:tc>
        <w:tc>
          <w:tcPr>
            <w:tcW w:w="1512" w:type="dxa"/>
            <w:tcBorders>
              <w:top w:val="nil"/>
              <w:left w:val="nil"/>
              <w:bottom w:val="single" w:color="auto" w:sz="4" w:space="0"/>
              <w:right w:val="single" w:color="auto" w:sz="4" w:space="0"/>
            </w:tcBorders>
            <w:vAlign w:val="center"/>
          </w:tcPr>
          <w:p w14:paraId="7E9F2567">
            <w:pPr>
              <w:widowControl/>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vAlign w:val="center"/>
          </w:tcPr>
          <w:p w14:paraId="664C8F6C">
            <w:pPr>
              <w:widowControl/>
              <w:rPr>
                <w:rFonts w:hint="eastAsia" w:ascii="宋体" w:hAnsi="宋体" w:eastAsia="宋体" w:cs="宋体"/>
                <w:kern w:val="0"/>
                <w:sz w:val="20"/>
              </w:rPr>
            </w:pPr>
            <w:r>
              <w:rPr>
                <w:rFonts w:hint="eastAsia" w:ascii="宋体" w:hAnsi="宋体" w:eastAsia="宋体" w:cs="宋体"/>
                <w:kern w:val="0"/>
                <w:sz w:val="20"/>
              </w:rPr>
              <w:t>6000≤Y＜80000</w:t>
            </w:r>
          </w:p>
        </w:tc>
        <w:tc>
          <w:tcPr>
            <w:tcW w:w="1677" w:type="dxa"/>
            <w:tcBorders>
              <w:top w:val="nil"/>
              <w:left w:val="nil"/>
              <w:bottom w:val="single" w:color="auto" w:sz="4" w:space="0"/>
              <w:right w:val="single" w:color="auto" w:sz="8" w:space="0"/>
            </w:tcBorders>
            <w:vAlign w:val="center"/>
          </w:tcPr>
          <w:p w14:paraId="4DB205F3">
            <w:pPr>
              <w:widowControl/>
              <w:rPr>
                <w:rFonts w:hint="eastAsia" w:ascii="宋体" w:hAnsi="宋体" w:eastAsia="宋体" w:cs="宋体"/>
                <w:kern w:val="0"/>
                <w:sz w:val="20"/>
              </w:rPr>
            </w:pPr>
            <w:r>
              <w:rPr>
                <w:rFonts w:hint="eastAsia" w:ascii="宋体" w:hAnsi="宋体" w:eastAsia="宋体" w:cs="宋体"/>
                <w:kern w:val="0"/>
                <w:sz w:val="20"/>
              </w:rPr>
              <w:t>5000≤Z＜80000</w:t>
            </w:r>
          </w:p>
        </w:tc>
        <w:tc>
          <w:tcPr>
            <w:tcW w:w="1252" w:type="dxa"/>
            <w:tcBorders>
              <w:top w:val="nil"/>
              <w:left w:val="nil"/>
              <w:bottom w:val="single" w:color="auto" w:sz="4" w:space="0"/>
              <w:right w:val="single" w:color="auto" w:sz="4" w:space="0"/>
            </w:tcBorders>
            <w:vAlign w:val="center"/>
          </w:tcPr>
          <w:p w14:paraId="78C7572B">
            <w:pPr>
              <w:widowControl/>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vAlign w:val="center"/>
          </w:tcPr>
          <w:p w14:paraId="3362C955">
            <w:pPr>
              <w:widowControl/>
              <w:rPr>
                <w:rFonts w:hint="eastAsia" w:ascii="宋体" w:hAnsi="宋体" w:eastAsia="宋体" w:cs="宋体"/>
                <w:kern w:val="0"/>
                <w:sz w:val="20"/>
              </w:rPr>
            </w:pPr>
            <w:r>
              <w:rPr>
                <w:rFonts w:hint="eastAsia" w:ascii="宋体" w:hAnsi="宋体" w:eastAsia="宋体" w:cs="宋体"/>
                <w:kern w:val="0"/>
                <w:sz w:val="20"/>
              </w:rPr>
              <w:t>300≤Y＜6000</w:t>
            </w:r>
          </w:p>
        </w:tc>
        <w:tc>
          <w:tcPr>
            <w:tcW w:w="1536" w:type="dxa"/>
            <w:tcBorders>
              <w:top w:val="nil"/>
              <w:left w:val="nil"/>
              <w:bottom w:val="single" w:color="auto" w:sz="4" w:space="0"/>
              <w:right w:val="single" w:color="auto" w:sz="8" w:space="0"/>
            </w:tcBorders>
            <w:vAlign w:val="center"/>
          </w:tcPr>
          <w:p w14:paraId="48AF6809">
            <w:pPr>
              <w:widowControl/>
              <w:rPr>
                <w:rFonts w:hint="eastAsia" w:ascii="宋体" w:hAnsi="宋体" w:eastAsia="宋体" w:cs="宋体"/>
                <w:kern w:val="0"/>
                <w:sz w:val="20"/>
              </w:rPr>
            </w:pPr>
            <w:r>
              <w:rPr>
                <w:rFonts w:hint="eastAsia" w:ascii="宋体" w:hAnsi="宋体" w:eastAsia="宋体" w:cs="宋体"/>
                <w:kern w:val="0"/>
                <w:sz w:val="20"/>
              </w:rPr>
              <w:t>300≤Z＜5000</w:t>
            </w:r>
          </w:p>
        </w:tc>
        <w:tc>
          <w:tcPr>
            <w:tcW w:w="1297" w:type="dxa"/>
            <w:tcBorders>
              <w:top w:val="nil"/>
              <w:left w:val="nil"/>
              <w:bottom w:val="single" w:color="auto" w:sz="4" w:space="0"/>
              <w:right w:val="single" w:color="auto" w:sz="4" w:space="0"/>
            </w:tcBorders>
            <w:vAlign w:val="center"/>
          </w:tcPr>
          <w:p w14:paraId="16C974FD">
            <w:pPr>
              <w:widowControl/>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vAlign w:val="center"/>
          </w:tcPr>
          <w:p w14:paraId="4AD1329A">
            <w:pPr>
              <w:widowControl/>
              <w:rPr>
                <w:rFonts w:hint="eastAsia" w:ascii="宋体" w:hAnsi="宋体" w:eastAsia="宋体" w:cs="宋体"/>
                <w:kern w:val="0"/>
                <w:sz w:val="20"/>
              </w:rPr>
            </w:pPr>
            <w:r>
              <w:rPr>
                <w:rFonts w:hint="eastAsia" w:ascii="宋体" w:hAnsi="宋体" w:eastAsia="宋体" w:cs="宋体"/>
                <w:kern w:val="0"/>
                <w:sz w:val="20"/>
              </w:rPr>
              <w:t>Y＜300</w:t>
            </w:r>
          </w:p>
        </w:tc>
        <w:tc>
          <w:tcPr>
            <w:tcW w:w="1234" w:type="dxa"/>
            <w:tcBorders>
              <w:top w:val="nil"/>
              <w:left w:val="nil"/>
              <w:bottom w:val="single" w:color="auto" w:sz="4" w:space="0"/>
              <w:right w:val="single" w:color="auto" w:sz="8" w:space="0"/>
            </w:tcBorders>
            <w:vAlign w:val="center"/>
          </w:tcPr>
          <w:p w14:paraId="49603E4B">
            <w:pPr>
              <w:widowControl/>
              <w:rPr>
                <w:rFonts w:hint="eastAsia" w:ascii="宋体" w:hAnsi="宋体" w:eastAsia="宋体" w:cs="宋体"/>
                <w:kern w:val="0"/>
                <w:sz w:val="20"/>
              </w:rPr>
            </w:pPr>
            <w:r>
              <w:rPr>
                <w:rFonts w:hint="eastAsia" w:ascii="宋体" w:hAnsi="宋体" w:eastAsia="宋体" w:cs="宋体"/>
                <w:kern w:val="0"/>
                <w:sz w:val="20"/>
              </w:rPr>
              <w:t>Z＜300</w:t>
            </w:r>
          </w:p>
        </w:tc>
      </w:tr>
      <w:tr w14:paraId="58EEA39E">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397D2B10">
            <w:pPr>
              <w:widowControl/>
              <w:jc w:val="both"/>
              <w:rPr>
                <w:rFonts w:hint="eastAsia" w:ascii="宋体" w:hAnsi="宋体" w:eastAsia="宋体" w:cs="宋体"/>
                <w:kern w:val="0"/>
                <w:sz w:val="20"/>
              </w:rPr>
            </w:pPr>
            <w:r>
              <w:rPr>
                <w:rFonts w:hint="eastAsia" w:ascii="宋体" w:hAnsi="宋体" w:eastAsia="宋体" w:cs="宋体"/>
                <w:kern w:val="0"/>
                <w:sz w:val="20"/>
              </w:rPr>
              <w:t>4</w:t>
            </w:r>
            <w:r>
              <w:rPr>
                <w:rFonts w:hint="eastAsia" w:ascii="宋体" w:hAnsi="宋体" w:eastAsia="宋体" w:cs="宋体"/>
                <w:kern w:val="0"/>
                <w:sz w:val="20"/>
                <w:lang w:val="en-US" w:eastAsia="zh-CN"/>
              </w:rPr>
              <w:t>.</w:t>
            </w:r>
            <w:r>
              <w:rPr>
                <w:rFonts w:hint="eastAsia" w:ascii="宋体" w:hAnsi="宋体" w:eastAsia="宋体" w:cs="宋体"/>
                <w:kern w:val="0"/>
                <w:sz w:val="20"/>
              </w:rPr>
              <w:t>批发业</w:t>
            </w:r>
          </w:p>
        </w:tc>
        <w:tc>
          <w:tcPr>
            <w:tcW w:w="1512" w:type="dxa"/>
            <w:tcBorders>
              <w:top w:val="nil"/>
              <w:left w:val="nil"/>
              <w:bottom w:val="single" w:color="auto" w:sz="4" w:space="0"/>
              <w:right w:val="single" w:color="auto" w:sz="4" w:space="0"/>
            </w:tcBorders>
            <w:vAlign w:val="center"/>
          </w:tcPr>
          <w:p w14:paraId="052049C9">
            <w:pPr>
              <w:widowControl/>
              <w:rPr>
                <w:rFonts w:hint="eastAsia" w:ascii="宋体" w:hAnsi="宋体" w:eastAsia="宋体" w:cs="宋体"/>
                <w:kern w:val="0"/>
                <w:sz w:val="20"/>
              </w:rPr>
            </w:pPr>
            <w:r>
              <w:rPr>
                <w:rFonts w:hint="eastAsia" w:ascii="宋体" w:hAnsi="宋体" w:eastAsia="宋体" w:cs="宋体"/>
                <w:kern w:val="0"/>
                <w:sz w:val="20"/>
              </w:rPr>
              <w:t>20≤X＜200</w:t>
            </w:r>
          </w:p>
        </w:tc>
        <w:tc>
          <w:tcPr>
            <w:tcW w:w="1779" w:type="dxa"/>
            <w:tcBorders>
              <w:top w:val="nil"/>
              <w:left w:val="nil"/>
              <w:bottom w:val="single" w:color="auto" w:sz="4" w:space="0"/>
              <w:right w:val="single" w:color="auto" w:sz="4" w:space="0"/>
            </w:tcBorders>
            <w:vAlign w:val="center"/>
          </w:tcPr>
          <w:p w14:paraId="4FB70EAD">
            <w:pPr>
              <w:widowControl/>
              <w:rPr>
                <w:rFonts w:hint="eastAsia" w:ascii="宋体" w:hAnsi="宋体" w:eastAsia="宋体" w:cs="宋体"/>
                <w:kern w:val="0"/>
                <w:sz w:val="20"/>
              </w:rPr>
            </w:pPr>
            <w:r>
              <w:rPr>
                <w:rFonts w:hint="eastAsia" w:ascii="宋体" w:hAnsi="宋体" w:eastAsia="宋体" w:cs="宋体"/>
                <w:kern w:val="0"/>
                <w:sz w:val="20"/>
              </w:rPr>
              <w:t>5000≤Y＜40000</w:t>
            </w:r>
          </w:p>
        </w:tc>
        <w:tc>
          <w:tcPr>
            <w:tcW w:w="1677" w:type="dxa"/>
            <w:tcBorders>
              <w:top w:val="nil"/>
              <w:left w:val="nil"/>
              <w:bottom w:val="single" w:color="auto" w:sz="4" w:space="0"/>
              <w:right w:val="single" w:color="auto" w:sz="8" w:space="0"/>
            </w:tcBorders>
            <w:vAlign w:val="center"/>
          </w:tcPr>
          <w:p w14:paraId="7584800D">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39F3F70C">
            <w:pPr>
              <w:widowControl/>
              <w:rPr>
                <w:rFonts w:hint="eastAsia" w:ascii="宋体" w:hAnsi="宋体" w:eastAsia="宋体" w:cs="宋体"/>
                <w:kern w:val="0"/>
                <w:sz w:val="20"/>
              </w:rPr>
            </w:pPr>
            <w:r>
              <w:rPr>
                <w:rFonts w:hint="eastAsia" w:ascii="宋体" w:hAnsi="宋体" w:eastAsia="宋体" w:cs="宋体"/>
                <w:kern w:val="0"/>
                <w:sz w:val="20"/>
              </w:rPr>
              <w:t>5≤X＜20</w:t>
            </w:r>
          </w:p>
        </w:tc>
        <w:tc>
          <w:tcPr>
            <w:tcW w:w="1494" w:type="dxa"/>
            <w:tcBorders>
              <w:top w:val="nil"/>
              <w:left w:val="nil"/>
              <w:bottom w:val="single" w:color="auto" w:sz="4" w:space="0"/>
              <w:right w:val="single" w:color="auto" w:sz="4" w:space="0"/>
            </w:tcBorders>
            <w:vAlign w:val="center"/>
          </w:tcPr>
          <w:p w14:paraId="6BD7097D">
            <w:pPr>
              <w:widowControl/>
              <w:rPr>
                <w:rFonts w:hint="eastAsia" w:ascii="宋体" w:hAnsi="宋体" w:eastAsia="宋体" w:cs="宋体"/>
                <w:kern w:val="0"/>
                <w:sz w:val="20"/>
              </w:rPr>
            </w:pPr>
            <w:r>
              <w:rPr>
                <w:rFonts w:hint="eastAsia" w:ascii="宋体" w:hAnsi="宋体" w:eastAsia="宋体" w:cs="宋体"/>
                <w:kern w:val="0"/>
                <w:sz w:val="20"/>
              </w:rPr>
              <w:t>1000≤Y＜5000</w:t>
            </w:r>
          </w:p>
        </w:tc>
        <w:tc>
          <w:tcPr>
            <w:tcW w:w="1536" w:type="dxa"/>
            <w:tcBorders>
              <w:top w:val="nil"/>
              <w:left w:val="nil"/>
              <w:bottom w:val="single" w:color="auto" w:sz="4" w:space="0"/>
              <w:right w:val="single" w:color="auto" w:sz="8" w:space="0"/>
            </w:tcBorders>
            <w:vAlign w:val="center"/>
          </w:tcPr>
          <w:p w14:paraId="4DD56902">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6606E480">
            <w:pPr>
              <w:widowControl/>
              <w:rPr>
                <w:rFonts w:hint="eastAsia" w:ascii="宋体" w:hAnsi="宋体" w:eastAsia="宋体" w:cs="宋体"/>
                <w:kern w:val="0"/>
                <w:sz w:val="20"/>
              </w:rPr>
            </w:pPr>
            <w:r>
              <w:rPr>
                <w:rFonts w:hint="eastAsia" w:ascii="宋体" w:hAnsi="宋体" w:eastAsia="宋体" w:cs="宋体"/>
                <w:kern w:val="0"/>
                <w:sz w:val="20"/>
              </w:rPr>
              <w:t>X＜5</w:t>
            </w:r>
          </w:p>
        </w:tc>
        <w:tc>
          <w:tcPr>
            <w:tcW w:w="1287" w:type="dxa"/>
            <w:tcBorders>
              <w:top w:val="nil"/>
              <w:left w:val="nil"/>
              <w:bottom w:val="single" w:color="auto" w:sz="4" w:space="0"/>
              <w:right w:val="single" w:color="auto" w:sz="4" w:space="0"/>
            </w:tcBorders>
            <w:vAlign w:val="center"/>
          </w:tcPr>
          <w:p w14:paraId="35CE5F0B">
            <w:pPr>
              <w:widowControl/>
              <w:rPr>
                <w:rFonts w:hint="eastAsia" w:ascii="宋体" w:hAnsi="宋体" w:eastAsia="宋体" w:cs="宋体"/>
                <w:kern w:val="0"/>
                <w:sz w:val="20"/>
              </w:rPr>
            </w:pPr>
            <w:r>
              <w:rPr>
                <w:rFonts w:hint="eastAsia" w:ascii="宋体" w:hAnsi="宋体" w:eastAsia="宋体" w:cs="宋体"/>
                <w:kern w:val="0"/>
                <w:sz w:val="20"/>
              </w:rPr>
              <w:t>Y＜1000</w:t>
            </w:r>
          </w:p>
        </w:tc>
        <w:tc>
          <w:tcPr>
            <w:tcW w:w="1234" w:type="dxa"/>
            <w:tcBorders>
              <w:top w:val="nil"/>
              <w:left w:val="nil"/>
              <w:bottom w:val="single" w:color="auto" w:sz="4" w:space="0"/>
              <w:right w:val="single" w:color="auto" w:sz="8" w:space="0"/>
            </w:tcBorders>
            <w:vAlign w:val="center"/>
          </w:tcPr>
          <w:p w14:paraId="55461C8B">
            <w:pPr>
              <w:widowControl/>
              <w:rPr>
                <w:rFonts w:hint="eastAsia" w:ascii="宋体" w:hAnsi="宋体" w:eastAsia="宋体" w:cs="宋体"/>
                <w:kern w:val="0"/>
                <w:sz w:val="20"/>
              </w:rPr>
            </w:pPr>
            <w:r>
              <w:rPr>
                <w:rFonts w:hint="eastAsia" w:ascii="宋体" w:hAnsi="宋体" w:eastAsia="宋体" w:cs="宋体"/>
                <w:kern w:val="0"/>
                <w:sz w:val="20"/>
              </w:rPr>
              <w:t>　</w:t>
            </w:r>
          </w:p>
        </w:tc>
      </w:tr>
      <w:tr w14:paraId="0CB1339D">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222565E9">
            <w:pPr>
              <w:widowControl/>
              <w:jc w:val="both"/>
              <w:rPr>
                <w:rFonts w:hint="eastAsia" w:ascii="宋体" w:hAnsi="宋体" w:eastAsia="宋体" w:cs="宋体"/>
                <w:kern w:val="0"/>
                <w:sz w:val="20"/>
              </w:rPr>
            </w:pPr>
            <w:r>
              <w:rPr>
                <w:rFonts w:hint="eastAsia" w:ascii="宋体" w:hAnsi="宋体" w:eastAsia="宋体" w:cs="宋体"/>
                <w:kern w:val="0"/>
                <w:sz w:val="20"/>
              </w:rPr>
              <w:t>5</w:t>
            </w:r>
            <w:r>
              <w:rPr>
                <w:rFonts w:hint="eastAsia" w:ascii="宋体" w:hAnsi="宋体" w:eastAsia="宋体" w:cs="宋体"/>
                <w:kern w:val="0"/>
                <w:sz w:val="20"/>
                <w:lang w:val="en-US" w:eastAsia="zh-CN"/>
              </w:rPr>
              <w:t>.</w:t>
            </w:r>
            <w:r>
              <w:rPr>
                <w:rFonts w:hint="eastAsia" w:ascii="宋体" w:hAnsi="宋体" w:eastAsia="宋体" w:cs="宋体"/>
                <w:kern w:val="0"/>
                <w:sz w:val="20"/>
              </w:rPr>
              <w:t>零售业</w:t>
            </w:r>
          </w:p>
        </w:tc>
        <w:tc>
          <w:tcPr>
            <w:tcW w:w="1512" w:type="dxa"/>
            <w:tcBorders>
              <w:top w:val="nil"/>
              <w:left w:val="nil"/>
              <w:bottom w:val="single" w:color="auto" w:sz="4" w:space="0"/>
              <w:right w:val="single" w:color="auto" w:sz="4" w:space="0"/>
            </w:tcBorders>
            <w:vAlign w:val="center"/>
          </w:tcPr>
          <w:p w14:paraId="1D68F199">
            <w:pPr>
              <w:widowControl/>
              <w:rPr>
                <w:rFonts w:hint="eastAsia" w:ascii="宋体" w:hAnsi="宋体" w:eastAsia="宋体" w:cs="宋体"/>
                <w:kern w:val="0"/>
                <w:sz w:val="20"/>
              </w:rPr>
            </w:pPr>
            <w:r>
              <w:rPr>
                <w:rFonts w:hint="eastAsia" w:ascii="宋体" w:hAnsi="宋体" w:eastAsia="宋体" w:cs="宋体"/>
                <w:kern w:val="0"/>
                <w:sz w:val="20"/>
              </w:rPr>
              <w:t>50≤X＜300</w:t>
            </w:r>
          </w:p>
        </w:tc>
        <w:tc>
          <w:tcPr>
            <w:tcW w:w="1779" w:type="dxa"/>
            <w:tcBorders>
              <w:top w:val="nil"/>
              <w:left w:val="nil"/>
              <w:bottom w:val="single" w:color="auto" w:sz="4" w:space="0"/>
              <w:right w:val="single" w:color="auto" w:sz="4" w:space="0"/>
            </w:tcBorders>
            <w:vAlign w:val="center"/>
          </w:tcPr>
          <w:p w14:paraId="5D7EA771">
            <w:pPr>
              <w:widowControl/>
              <w:rPr>
                <w:rFonts w:hint="eastAsia" w:ascii="宋体" w:hAnsi="宋体" w:eastAsia="宋体" w:cs="宋体"/>
                <w:kern w:val="0"/>
                <w:sz w:val="20"/>
              </w:rPr>
            </w:pPr>
            <w:r>
              <w:rPr>
                <w:rFonts w:hint="eastAsia" w:ascii="宋体" w:hAnsi="宋体" w:eastAsia="宋体" w:cs="宋体"/>
                <w:kern w:val="0"/>
                <w:sz w:val="20"/>
              </w:rPr>
              <w:t>500≤Y＜20000</w:t>
            </w:r>
          </w:p>
        </w:tc>
        <w:tc>
          <w:tcPr>
            <w:tcW w:w="1677" w:type="dxa"/>
            <w:tcBorders>
              <w:top w:val="nil"/>
              <w:left w:val="nil"/>
              <w:bottom w:val="single" w:color="auto" w:sz="4" w:space="0"/>
              <w:right w:val="single" w:color="auto" w:sz="8" w:space="0"/>
            </w:tcBorders>
            <w:vAlign w:val="center"/>
          </w:tcPr>
          <w:p w14:paraId="20F1B93C">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384A5733">
            <w:pPr>
              <w:widowControl/>
              <w:rPr>
                <w:rFonts w:hint="eastAsia" w:ascii="宋体" w:hAnsi="宋体" w:eastAsia="宋体" w:cs="宋体"/>
                <w:kern w:val="0"/>
                <w:sz w:val="20"/>
              </w:rPr>
            </w:pPr>
            <w:r>
              <w:rPr>
                <w:rFonts w:hint="eastAsia" w:ascii="宋体" w:hAnsi="宋体" w:eastAsia="宋体" w:cs="宋体"/>
                <w:kern w:val="0"/>
                <w:sz w:val="20"/>
              </w:rPr>
              <w:t>10≤X＜50</w:t>
            </w:r>
          </w:p>
        </w:tc>
        <w:tc>
          <w:tcPr>
            <w:tcW w:w="1494" w:type="dxa"/>
            <w:tcBorders>
              <w:top w:val="nil"/>
              <w:left w:val="nil"/>
              <w:bottom w:val="single" w:color="auto" w:sz="4" w:space="0"/>
              <w:right w:val="single" w:color="auto" w:sz="4" w:space="0"/>
            </w:tcBorders>
            <w:vAlign w:val="center"/>
          </w:tcPr>
          <w:p w14:paraId="67721C5B">
            <w:pPr>
              <w:widowControl/>
              <w:rPr>
                <w:rFonts w:hint="eastAsia" w:ascii="宋体" w:hAnsi="宋体" w:eastAsia="宋体" w:cs="宋体"/>
                <w:kern w:val="0"/>
                <w:sz w:val="20"/>
              </w:rPr>
            </w:pPr>
            <w:r>
              <w:rPr>
                <w:rFonts w:hint="eastAsia" w:ascii="宋体" w:hAnsi="宋体" w:eastAsia="宋体" w:cs="宋体"/>
                <w:kern w:val="0"/>
                <w:sz w:val="20"/>
              </w:rPr>
              <w:t>100≤Y＜500</w:t>
            </w:r>
          </w:p>
        </w:tc>
        <w:tc>
          <w:tcPr>
            <w:tcW w:w="1536" w:type="dxa"/>
            <w:tcBorders>
              <w:top w:val="nil"/>
              <w:left w:val="nil"/>
              <w:bottom w:val="single" w:color="auto" w:sz="4" w:space="0"/>
              <w:right w:val="single" w:color="auto" w:sz="8" w:space="0"/>
            </w:tcBorders>
            <w:vAlign w:val="center"/>
          </w:tcPr>
          <w:p w14:paraId="1DFEEC58">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41B29A5E">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40509D1D">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25544BCA">
            <w:pPr>
              <w:widowControl/>
              <w:rPr>
                <w:rFonts w:hint="eastAsia" w:ascii="宋体" w:hAnsi="宋体" w:eastAsia="宋体" w:cs="宋体"/>
                <w:kern w:val="0"/>
                <w:sz w:val="20"/>
              </w:rPr>
            </w:pPr>
            <w:r>
              <w:rPr>
                <w:rFonts w:hint="eastAsia" w:ascii="宋体" w:hAnsi="宋体" w:eastAsia="宋体" w:cs="宋体"/>
                <w:kern w:val="0"/>
                <w:sz w:val="20"/>
              </w:rPr>
              <w:t>　</w:t>
            </w:r>
          </w:p>
        </w:tc>
      </w:tr>
      <w:tr w14:paraId="4DCDB6A5">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52B1EEFE">
            <w:pPr>
              <w:widowControl/>
              <w:jc w:val="both"/>
              <w:rPr>
                <w:rFonts w:hint="eastAsia" w:ascii="宋体" w:hAnsi="宋体" w:eastAsia="宋体" w:cs="宋体"/>
                <w:kern w:val="0"/>
                <w:sz w:val="20"/>
              </w:rPr>
            </w:pPr>
            <w:r>
              <w:rPr>
                <w:rFonts w:hint="eastAsia" w:ascii="宋体" w:hAnsi="宋体" w:eastAsia="宋体" w:cs="宋体"/>
                <w:kern w:val="0"/>
                <w:sz w:val="20"/>
              </w:rPr>
              <w:t>6</w:t>
            </w:r>
            <w:r>
              <w:rPr>
                <w:rFonts w:hint="eastAsia" w:ascii="宋体" w:hAnsi="宋体" w:eastAsia="宋体" w:cs="宋体"/>
                <w:kern w:val="0"/>
                <w:sz w:val="20"/>
                <w:lang w:val="en-US" w:eastAsia="zh-CN"/>
              </w:rPr>
              <w:t>.</w:t>
            </w:r>
            <w:r>
              <w:rPr>
                <w:rFonts w:hint="eastAsia" w:ascii="宋体" w:hAnsi="宋体" w:eastAsia="宋体" w:cs="宋体"/>
                <w:kern w:val="0"/>
                <w:sz w:val="20"/>
              </w:rPr>
              <w:t>交通运输业</w:t>
            </w:r>
          </w:p>
        </w:tc>
        <w:tc>
          <w:tcPr>
            <w:tcW w:w="1512" w:type="dxa"/>
            <w:tcBorders>
              <w:top w:val="nil"/>
              <w:left w:val="nil"/>
              <w:bottom w:val="single" w:color="auto" w:sz="4" w:space="0"/>
              <w:right w:val="single" w:color="auto" w:sz="4" w:space="0"/>
            </w:tcBorders>
            <w:vAlign w:val="center"/>
          </w:tcPr>
          <w:p w14:paraId="7D871D6E">
            <w:pPr>
              <w:widowControl/>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vAlign w:val="center"/>
          </w:tcPr>
          <w:p w14:paraId="2BE50BDF">
            <w:pPr>
              <w:widowControl/>
              <w:rPr>
                <w:rFonts w:hint="eastAsia" w:ascii="宋体" w:hAnsi="宋体" w:eastAsia="宋体" w:cs="宋体"/>
                <w:kern w:val="0"/>
                <w:sz w:val="20"/>
              </w:rPr>
            </w:pPr>
            <w:r>
              <w:rPr>
                <w:rFonts w:hint="eastAsia" w:ascii="宋体" w:hAnsi="宋体" w:eastAsia="宋体" w:cs="宋体"/>
                <w:kern w:val="0"/>
                <w:sz w:val="20"/>
              </w:rPr>
              <w:t>3000≤Y＜30000</w:t>
            </w:r>
          </w:p>
        </w:tc>
        <w:tc>
          <w:tcPr>
            <w:tcW w:w="1677" w:type="dxa"/>
            <w:tcBorders>
              <w:top w:val="nil"/>
              <w:left w:val="nil"/>
              <w:bottom w:val="single" w:color="auto" w:sz="4" w:space="0"/>
              <w:right w:val="single" w:color="auto" w:sz="8" w:space="0"/>
            </w:tcBorders>
            <w:vAlign w:val="center"/>
          </w:tcPr>
          <w:p w14:paraId="0B170B5C">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623BFADD">
            <w:pPr>
              <w:widowControl/>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vAlign w:val="center"/>
          </w:tcPr>
          <w:p w14:paraId="63AF29A2">
            <w:pPr>
              <w:widowControl/>
              <w:rPr>
                <w:rFonts w:hint="eastAsia" w:ascii="宋体" w:hAnsi="宋体" w:eastAsia="宋体" w:cs="宋体"/>
                <w:kern w:val="0"/>
                <w:sz w:val="20"/>
              </w:rPr>
            </w:pPr>
            <w:r>
              <w:rPr>
                <w:rFonts w:hint="eastAsia" w:ascii="宋体" w:hAnsi="宋体" w:eastAsia="宋体" w:cs="宋体"/>
                <w:kern w:val="0"/>
                <w:sz w:val="20"/>
              </w:rPr>
              <w:t>200≤Y＜3000</w:t>
            </w:r>
          </w:p>
        </w:tc>
        <w:tc>
          <w:tcPr>
            <w:tcW w:w="1536" w:type="dxa"/>
            <w:tcBorders>
              <w:top w:val="nil"/>
              <w:left w:val="nil"/>
              <w:bottom w:val="single" w:color="auto" w:sz="4" w:space="0"/>
              <w:right w:val="single" w:color="auto" w:sz="8" w:space="0"/>
            </w:tcBorders>
            <w:vAlign w:val="center"/>
          </w:tcPr>
          <w:p w14:paraId="3208ABF6">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1E649287">
            <w:pPr>
              <w:widowControl/>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vAlign w:val="center"/>
          </w:tcPr>
          <w:p w14:paraId="746A86E8">
            <w:pPr>
              <w:widowControl/>
              <w:rPr>
                <w:rFonts w:hint="eastAsia" w:ascii="宋体" w:hAnsi="宋体" w:eastAsia="宋体" w:cs="宋体"/>
                <w:kern w:val="0"/>
                <w:sz w:val="20"/>
              </w:rPr>
            </w:pPr>
            <w:r>
              <w:rPr>
                <w:rFonts w:hint="eastAsia" w:ascii="宋体" w:hAnsi="宋体" w:eastAsia="宋体" w:cs="宋体"/>
                <w:kern w:val="0"/>
                <w:sz w:val="20"/>
              </w:rPr>
              <w:t>V＜200</w:t>
            </w:r>
          </w:p>
        </w:tc>
        <w:tc>
          <w:tcPr>
            <w:tcW w:w="1234" w:type="dxa"/>
            <w:tcBorders>
              <w:top w:val="nil"/>
              <w:left w:val="nil"/>
              <w:bottom w:val="single" w:color="auto" w:sz="4" w:space="0"/>
              <w:right w:val="single" w:color="auto" w:sz="8" w:space="0"/>
            </w:tcBorders>
            <w:vAlign w:val="center"/>
          </w:tcPr>
          <w:p w14:paraId="764F11F2">
            <w:pPr>
              <w:widowControl/>
              <w:rPr>
                <w:rFonts w:hint="eastAsia" w:ascii="宋体" w:hAnsi="宋体" w:eastAsia="宋体" w:cs="宋体"/>
                <w:kern w:val="0"/>
                <w:sz w:val="20"/>
              </w:rPr>
            </w:pPr>
            <w:r>
              <w:rPr>
                <w:rFonts w:hint="eastAsia" w:ascii="宋体" w:hAnsi="宋体" w:eastAsia="宋体" w:cs="宋体"/>
                <w:kern w:val="0"/>
                <w:sz w:val="20"/>
              </w:rPr>
              <w:t>　</w:t>
            </w:r>
          </w:p>
        </w:tc>
      </w:tr>
      <w:tr w14:paraId="42CFDB05">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68D6B0A8">
            <w:pPr>
              <w:widowControl/>
              <w:jc w:val="both"/>
              <w:rPr>
                <w:rFonts w:hint="eastAsia" w:ascii="宋体" w:hAnsi="宋体" w:eastAsia="宋体" w:cs="宋体"/>
                <w:kern w:val="0"/>
                <w:sz w:val="20"/>
              </w:rPr>
            </w:pPr>
            <w:r>
              <w:rPr>
                <w:rFonts w:hint="eastAsia" w:ascii="宋体" w:hAnsi="宋体" w:eastAsia="宋体" w:cs="宋体"/>
                <w:kern w:val="0"/>
                <w:sz w:val="20"/>
              </w:rPr>
              <w:t>7</w:t>
            </w:r>
            <w:r>
              <w:rPr>
                <w:rFonts w:hint="eastAsia" w:ascii="宋体" w:hAnsi="宋体" w:eastAsia="宋体" w:cs="宋体"/>
                <w:kern w:val="0"/>
                <w:sz w:val="20"/>
                <w:lang w:val="en-US" w:eastAsia="zh-CN"/>
              </w:rPr>
              <w:t>.</w:t>
            </w:r>
            <w:r>
              <w:rPr>
                <w:rFonts w:hint="eastAsia" w:ascii="宋体" w:hAnsi="宋体" w:eastAsia="宋体" w:cs="宋体"/>
                <w:kern w:val="0"/>
                <w:sz w:val="20"/>
              </w:rPr>
              <w:t>仓储业</w:t>
            </w:r>
          </w:p>
        </w:tc>
        <w:tc>
          <w:tcPr>
            <w:tcW w:w="1512" w:type="dxa"/>
            <w:tcBorders>
              <w:top w:val="nil"/>
              <w:left w:val="nil"/>
              <w:bottom w:val="single" w:color="auto" w:sz="4" w:space="0"/>
              <w:right w:val="single" w:color="auto" w:sz="4" w:space="0"/>
            </w:tcBorders>
            <w:vAlign w:val="center"/>
          </w:tcPr>
          <w:p w14:paraId="66A9F851">
            <w:pPr>
              <w:widowControl/>
              <w:rPr>
                <w:rFonts w:hint="eastAsia" w:ascii="宋体" w:hAnsi="宋体" w:eastAsia="宋体" w:cs="宋体"/>
                <w:kern w:val="0"/>
                <w:sz w:val="20"/>
              </w:rPr>
            </w:pPr>
            <w:r>
              <w:rPr>
                <w:rFonts w:hint="eastAsia" w:ascii="宋体" w:hAnsi="宋体" w:eastAsia="宋体" w:cs="宋体"/>
                <w:kern w:val="0"/>
                <w:sz w:val="20"/>
              </w:rPr>
              <w:t>100≤X＜200</w:t>
            </w:r>
          </w:p>
        </w:tc>
        <w:tc>
          <w:tcPr>
            <w:tcW w:w="1779" w:type="dxa"/>
            <w:tcBorders>
              <w:top w:val="nil"/>
              <w:left w:val="nil"/>
              <w:bottom w:val="single" w:color="auto" w:sz="4" w:space="0"/>
              <w:right w:val="single" w:color="auto" w:sz="4" w:space="0"/>
            </w:tcBorders>
            <w:vAlign w:val="center"/>
          </w:tcPr>
          <w:p w14:paraId="3AD65F50">
            <w:pPr>
              <w:widowControl/>
              <w:rPr>
                <w:rFonts w:hint="eastAsia" w:ascii="宋体" w:hAnsi="宋体" w:eastAsia="宋体" w:cs="宋体"/>
                <w:kern w:val="0"/>
                <w:sz w:val="20"/>
              </w:rPr>
            </w:pPr>
            <w:r>
              <w:rPr>
                <w:rFonts w:hint="eastAsia" w:ascii="宋体" w:hAnsi="宋体" w:eastAsia="宋体" w:cs="宋体"/>
                <w:kern w:val="0"/>
                <w:sz w:val="20"/>
              </w:rPr>
              <w:t>1000≤Y＜30000</w:t>
            </w:r>
          </w:p>
        </w:tc>
        <w:tc>
          <w:tcPr>
            <w:tcW w:w="1677" w:type="dxa"/>
            <w:tcBorders>
              <w:top w:val="nil"/>
              <w:left w:val="nil"/>
              <w:bottom w:val="single" w:color="auto" w:sz="4" w:space="0"/>
              <w:right w:val="single" w:color="auto" w:sz="8" w:space="0"/>
            </w:tcBorders>
            <w:vAlign w:val="center"/>
          </w:tcPr>
          <w:p w14:paraId="22FB6D1C">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7467531E">
            <w:pPr>
              <w:widowControl/>
              <w:rPr>
                <w:rFonts w:hint="eastAsia" w:ascii="宋体" w:hAnsi="宋体" w:eastAsia="宋体" w:cs="宋体"/>
                <w:kern w:val="0"/>
                <w:sz w:val="20"/>
              </w:rPr>
            </w:pPr>
            <w:r>
              <w:rPr>
                <w:rFonts w:hint="eastAsia" w:ascii="宋体" w:hAnsi="宋体" w:eastAsia="宋体" w:cs="宋体"/>
                <w:kern w:val="0"/>
                <w:sz w:val="20"/>
              </w:rPr>
              <w:t>20≤X＜100</w:t>
            </w:r>
          </w:p>
        </w:tc>
        <w:tc>
          <w:tcPr>
            <w:tcW w:w="1494" w:type="dxa"/>
            <w:tcBorders>
              <w:top w:val="nil"/>
              <w:left w:val="nil"/>
              <w:bottom w:val="single" w:color="auto" w:sz="4" w:space="0"/>
              <w:right w:val="single" w:color="auto" w:sz="4" w:space="0"/>
            </w:tcBorders>
            <w:vAlign w:val="center"/>
          </w:tcPr>
          <w:p w14:paraId="3D9B8FCF">
            <w:pPr>
              <w:widowControl/>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vAlign w:val="center"/>
          </w:tcPr>
          <w:p w14:paraId="47901632">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204B67F2">
            <w:pPr>
              <w:widowControl/>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vAlign w:val="center"/>
          </w:tcPr>
          <w:p w14:paraId="7AF045E7">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1B46C18B">
            <w:pPr>
              <w:widowControl/>
              <w:rPr>
                <w:rFonts w:hint="eastAsia" w:ascii="宋体" w:hAnsi="宋体" w:eastAsia="宋体" w:cs="宋体"/>
                <w:kern w:val="0"/>
                <w:sz w:val="20"/>
              </w:rPr>
            </w:pPr>
            <w:r>
              <w:rPr>
                <w:rFonts w:hint="eastAsia" w:ascii="宋体" w:hAnsi="宋体" w:eastAsia="宋体" w:cs="宋体"/>
                <w:kern w:val="0"/>
                <w:sz w:val="20"/>
              </w:rPr>
              <w:t>　</w:t>
            </w:r>
          </w:p>
        </w:tc>
      </w:tr>
      <w:tr w14:paraId="4CB8022C">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752D8226">
            <w:pPr>
              <w:widowControl/>
              <w:jc w:val="both"/>
              <w:rPr>
                <w:rFonts w:hint="eastAsia" w:ascii="宋体" w:hAnsi="宋体" w:eastAsia="宋体" w:cs="宋体"/>
                <w:kern w:val="0"/>
                <w:sz w:val="20"/>
              </w:rPr>
            </w:pPr>
            <w:r>
              <w:rPr>
                <w:rFonts w:hint="eastAsia" w:ascii="宋体" w:hAnsi="宋体" w:eastAsia="宋体" w:cs="宋体"/>
                <w:kern w:val="0"/>
                <w:sz w:val="20"/>
              </w:rPr>
              <w:t>8</w:t>
            </w:r>
            <w:r>
              <w:rPr>
                <w:rFonts w:hint="eastAsia" w:ascii="宋体" w:hAnsi="宋体" w:eastAsia="宋体" w:cs="宋体"/>
                <w:kern w:val="0"/>
                <w:sz w:val="20"/>
                <w:lang w:val="en-US" w:eastAsia="zh-CN"/>
              </w:rPr>
              <w:t>.</w:t>
            </w:r>
            <w:r>
              <w:rPr>
                <w:rFonts w:hint="eastAsia" w:ascii="宋体" w:hAnsi="宋体" w:eastAsia="宋体" w:cs="宋体"/>
                <w:kern w:val="0"/>
                <w:sz w:val="20"/>
              </w:rPr>
              <w:t>邮政业</w:t>
            </w:r>
          </w:p>
        </w:tc>
        <w:tc>
          <w:tcPr>
            <w:tcW w:w="1512" w:type="dxa"/>
            <w:tcBorders>
              <w:top w:val="nil"/>
              <w:left w:val="nil"/>
              <w:bottom w:val="single" w:color="auto" w:sz="4" w:space="0"/>
              <w:right w:val="single" w:color="auto" w:sz="4" w:space="0"/>
            </w:tcBorders>
            <w:vAlign w:val="center"/>
          </w:tcPr>
          <w:p w14:paraId="07639BAF">
            <w:pPr>
              <w:widowControl/>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vAlign w:val="center"/>
          </w:tcPr>
          <w:p w14:paraId="59A54862">
            <w:pPr>
              <w:widowControl/>
              <w:rPr>
                <w:rFonts w:hint="eastAsia" w:ascii="宋体" w:hAnsi="宋体" w:eastAsia="宋体" w:cs="宋体"/>
                <w:kern w:val="0"/>
                <w:sz w:val="20"/>
              </w:rPr>
            </w:pPr>
            <w:r>
              <w:rPr>
                <w:rFonts w:hint="eastAsia" w:ascii="宋体" w:hAnsi="宋体" w:eastAsia="宋体" w:cs="宋体"/>
                <w:kern w:val="0"/>
                <w:sz w:val="20"/>
              </w:rPr>
              <w:t>2000≤Y＜30000</w:t>
            </w:r>
          </w:p>
        </w:tc>
        <w:tc>
          <w:tcPr>
            <w:tcW w:w="1677" w:type="dxa"/>
            <w:tcBorders>
              <w:top w:val="nil"/>
              <w:left w:val="nil"/>
              <w:bottom w:val="single" w:color="auto" w:sz="4" w:space="0"/>
              <w:right w:val="single" w:color="auto" w:sz="8" w:space="0"/>
            </w:tcBorders>
            <w:vAlign w:val="center"/>
          </w:tcPr>
          <w:p w14:paraId="354F0272">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07FE2345">
            <w:pPr>
              <w:widowControl/>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vAlign w:val="center"/>
          </w:tcPr>
          <w:p w14:paraId="714E46A8">
            <w:pPr>
              <w:widowControl/>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vAlign w:val="center"/>
          </w:tcPr>
          <w:p w14:paraId="0AA2E0E5">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1958E4E0">
            <w:pPr>
              <w:widowControl/>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vAlign w:val="center"/>
          </w:tcPr>
          <w:p w14:paraId="0C64663F">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74EB0749">
            <w:pPr>
              <w:widowControl/>
              <w:rPr>
                <w:rFonts w:hint="eastAsia" w:ascii="宋体" w:hAnsi="宋体" w:eastAsia="宋体" w:cs="宋体"/>
                <w:kern w:val="0"/>
                <w:sz w:val="20"/>
              </w:rPr>
            </w:pPr>
            <w:r>
              <w:rPr>
                <w:rFonts w:hint="eastAsia" w:ascii="宋体" w:hAnsi="宋体" w:eastAsia="宋体" w:cs="宋体"/>
                <w:kern w:val="0"/>
                <w:sz w:val="20"/>
              </w:rPr>
              <w:t>　</w:t>
            </w:r>
          </w:p>
        </w:tc>
      </w:tr>
      <w:tr w14:paraId="7ACB4A46">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24A6B19D">
            <w:pPr>
              <w:widowControl/>
              <w:jc w:val="both"/>
              <w:rPr>
                <w:rFonts w:hint="eastAsia" w:ascii="宋体" w:hAnsi="宋体" w:eastAsia="宋体" w:cs="宋体"/>
                <w:kern w:val="0"/>
                <w:sz w:val="20"/>
              </w:rPr>
            </w:pPr>
            <w:r>
              <w:rPr>
                <w:rFonts w:hint="eastAsia" w:ascii="宋体" w:hAnsi="宋体" w:eastAsia="宋体" w:cs="宋体"/>
                <w:kern w:val="0"/>
                <w:sz w:val="20"/>
              </w:rPr>
              <w:t>9</w:t>
            </w:r>
            <w:r>
              <w:rPr>
                <w:rFonts w:hint="eastAsia" w:ascii="宋体" w:hAnsi="宋体" w:eastAsia="宋体" w:cs="宋体"/>
                <w:kern w:val="0"/>
                <w:sz w:val="20"/>
                <w:lang w:val="en-US" w:eastAsia="zh-CN"/>
              </w:rPr>
              <w:t>.</w:t>
            </w:r>
            <w:r>
              <w:rPr>
                <w:rFonts w:hint="eastAsia" w:ascii="宋体" w:hAnsi="宋体" w:eastAsia="宋体" w:cs="宋体"/>
                <w:kern w:val="0"/>
                <w:sz w:val="20"/>
              </w:rPr>
              <w:t>住宿业</w:t>
            </w:r>
          </w:p>
        </w:tc>
        <w:tc>
          <w:tcPr>
            <w:tcW w:w="1512" w:type="dxa"/>
            <w:tcBorders>
              <w:top w:val="nil"/>
              <w:left w:val="nil"/>
              <w:bottom w:val="single" w:color="auto" w:sz="4" w:space="0"/>
              <w:right w:val="single" w:color="auto" w:sz="4" w:space="0"/>
            </w:tcBorders>
            <w:vAlign w:val="center"/>
          </w:tcPr>
          <w:p w14:paraId="08B0DAB4">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vAlign w:val="center"/>
          </w:tcPr>
          <w:p w14:paraId="0EA1A2D5">
            <w:pPr>
              <w:widowControl/>
              <w:rPr>
                <w:rFonts w:hint="eastAsia" w:ascii="宋体" w:hAnsi="宋体" w:eastAsia="宋体" w:cs="宋体"/>
                <w:kern w:val="0"/>
                <w:sz w:val="20"/>
              </w:rPr>
            </w:pPr>
            <w:r>
              <w:rPr>
                <w:rFonts w:hint="eastAsia" w:ascii="宋体" w:hAnsi="宋体" w:eastAsia="宋体" w:cs="宋体"/>
                <w:kern w:val="0"/>
                <w:sz w:val="20"/>
              </w:rPr>
              <w:t>2000≤Y＜10000</w:t>
            </w:r>
          </w:p>
        </w:tc>
        <w:tc>
          <w:tcPr>
            <w:tcW w:w="1677" w:type="dxa"/>
            <w:tcBorders>
              <w:top w:val="nil"/>
              <w:left w:val="nil"/>
              <w:bottom w:val="single" w:color="auto" w:sz="4" w:space="0"/>
              <w:right w:val="single" w:color="auto" w:sz="8" w:space="0"/>
            </w:tcBorders>
            <w:vAlign w:val="center"/>
          </w:tcPr>
          <w:p w14:paraId="7467F2B6">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44EDF350">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vAlign w:val="center"/>
          </w:tcPr>
          <w:p w14:paraId="6BBBFC0D">
            <w:pPr>
              <w:widowControl/>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vAlign w:val="center"/>
          </w:tcPr>
          <w:p w14:paraId="73E35B72">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769B26C7">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1BE6F86E">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389C8AD3">
            <w:pPr>
              <w:widowControl/>
              <w:rPr>
                <w:rFonts w:hint="eastAsia" w:ascii="宋体" w:hAnsi="宋体" w:eastAsia="宋体" w:cs="宋体"/>
                <w:kern w:val="0"/>
                <w:sz w:val="20"/>
              </w:rPr>
            </w:pPr>
            <w:r>
              <w:rPr>
                <w:rFonts w:hint="eastAsia" w:ascii="宋体" w:hAnsi="宋体" w:eastAsia="宋体" w:cs="宋体"/>
                <w:kern w:val="0"/>
                <w:sz w:val="20"/>
              </w:rPr>
              <w:t>　</w:t>
            </w:r>
          </w:p>
        </w:tc>
      </w:tr>
      <w:tr w14:paraId="5D3D9E81">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015B00F9">
            <w:pPr>
              <w:widowControl/>
              <w:jc w:val="both"/>
              <w:rPr>
                <w:rFonts w:hint="eastAsia" w:ascii="宋体" w:hAnsi="宋体" w:eastAsia="宋体" w:cs="宋体"/>
                <w:kern w:val="0"/>
                <w:sz w:val="20"/>
              </w:rPr>
            </w:pPr>
            <w:r>
              <w:rPr>
                <w:rFonts w:hint="eastAsia" w:ascii="宋体" w:hAnsi="宋体" w:eastAsia="宋体" w:cs="宋体"/>
                <w:kern w:val="0"/>
                <w:sz w:val="20"/>
              </w:rPr>
              <w:t>10</w:t>
            </w:r>
            <w:r>
              <w:rPr>
                <w:rFonts w:hint="eastAsia" w:ascii="宋体" w:hAnsi="宋体" w:eastAsia="宋体" w:cs="宋体"/>
                <w:kern w:val="0"/>
                <w:sz w:val="20"/>
                <w:lang w:val="en-US" w:eastAsia="zh-CN"/>
              </w:rPr>
              <w:t>.</w:t>
            </w:r>
            <w:r>
              <w:rPr>
                <w:rFonts w:hint="eastAsia" w:ascii="宋体" w:hAnsi="宋体" w:eastAsia="宋体" w:cs="宋体"/>
                <w:kern w:val="0"/>
                <w:sz w:val="20"/>
              </w:rPr>
              <w:t>餐饮业</w:t>
            </w:r>
          </w:p>
        </w:tc>
        <w:tc>
          <w:tcPr>
            <w:tcW w:w="1512" w:type="dxa"/>
            <w:tcBorders>
              <w:top w:val="nil"/>
              <w:left w:val="nil"/>
              <w:bottom w:val="single" w:color="auto" w:sz="4" w:space="0"/>
              <w:right w:val="single" w:color="auto" w:sz="4" w:space="0"/>
            </w:tcBorders>
            <w:vAlign w:val="center"/>
          </w:tcPr>
          <w:p w14:paraId="7C04A067">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vAlign w:val="center"/>
          </w:tcPr>
          <w:p w14:paraId="3E0FFFDE">
            <w:pPr>
              <w:widowControl/>
              <w:rPr>
                <w:rFonts w:hint="eastAsia" w:ascii="宋体" w:hAnsi="宋体" w:eastAsia="宋体" w:cs="宋体"/>
                <w:kern w:val="0"/>
                <w:sz w:val="20"/>
              </w:rPr>
            </w:pPr>
            <w:r>
              <w:rPr>
                <w:rFonts w:hint="eastAsia" w:ascii="宋体" w:hAnsi="宋体" w:eastAsia="宋体" w:cs="宋体"/>
                <w:kern w:val="0"/>
                <w:sz w:val="20"/>
              </w:rPr>
              <w:t>2000≤Y＜10000</w:t>
            </w:r>
          </w:p>
        </w:tc>
        <w:tc>
          <w:tcPr>
            <w:tcW w:w="1677" w:type="dxa"/>
            <w:tcBorders>
              <w:top w:val="nil"/>
              <w:left w:val="nil"/>
              <w:bottom w:val="single" w:color="auto" w:sz="4" w:space="0"/>
              <w:right w:val="single" w:color="auto" w:sz="8" w:space="0"/>
            </w:tcBorders>
            <w:vAlign w:val="center"/>
          </w:tcPr>
          <w:p w14:paraId="7CAF3AEA">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729456AC">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vAlign w:val="center"/>
          </w:tcPr>
          <w:p w14:paraId="77EEFD93">
            <w:pPr>
              <w:widowControl/>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vAlign w:val="center"/>
          </w:tcPr>
          <w:p w14:paraId="0CF81022">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63ED2C77">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6B9398F3">
            <w:pPr>
              <w:widowControl/>
              <w:rPr>
                <w:rFonts w:hint="eastAsia" w:ascii="宋体" w:hAnsi="宋体" w:eastAsia="宋体" w:cs="宋体"/>
                <w:kern w:val="0"/>
                <w:sz w:val="20"/>
              </w:rPr>
            </w:pPr>
            <w:r>
              <w:rPr>
                <w:rFonts w:hint="eastAsia" w:ascii="宋体" w:hAnsi="宋体" w:eastAsia="宋体" w:cs="宋体"/>
                <w:kern w:val="0"/>
                <w:sz w:val="20"/>
              </w:rPr>
              <w:t>V＜100</w:t>
            </w:r>
          </w:p>
        </w:tc>
        <w:tc>
          <w:tcPr>
            <w:tcW w:w="1234" w:type="dxa"/>
            <w:tcBorders>
              <w:top w:val="nil"/>
              <w:left w:val="nil"/>
              <w:bottom w:val="single" w:color="auto" w:sz="4" w:space="0"/>
              <w:right w:val="single" w:color="auto" w:sz="8" w:space="0"/>
            </w:tcBorders>
            <w:vAlign w:val="center"/>
          </w:tcPr>
          <w:p w14:paraId="441B4864">
            <w:pPr>
              <w:widowControl/>
              <w:rPr>
                <w:rFonts w:hint="eastAsia" w:ascii="宋体" w:hAnsi="宋体" w:eastAsia="宋体" w:cs="宋体"/>
                <w:kern w:val="0"/>
                <w:sz w:val="20"/>
              </w:rPr>
            </w:pPr>
            <w:r>
              <w:rPr>
                <w:rFonts w:hint="eastAsia" w:ascii="宋体" w:hAnsi="宋体" w:eastAsia="宋体" w:cs="宋体"/>
                <w:kern w:val="0"/>
                <w:sz w:val="20"/>
              </w:rPr>
              <w:t>　</w:t>
            </w:r>
          </w:p>
        </w:tc>
      </w:tr>
      <w:tr w14:paraId="296D3624">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304F27B0">
            <w:pPr>
              <w:widowControl/>
              <w:jc w:val="both"/>
              <w:rPr>
                <w:rFonts w:hint="eastAsia" w:ascii="宋体" w:hAnsi="宋体" w:eastAsia="宋体" w:cs="宋体"/>
                <w:kern w:val="0"/>
                <w:sz w:val="20"/>
              </w:rPr>
            </w:pPr>
            <w:r>
              <w:rPr>
                <w:rFonts w:hint="eastAsia" w:ascii="宋体" w:hAnsi="宋体" w:eastAsia="宋体" w:cs="宋体"/>
                <w:kern w:val="0"/>
                <w:sz w:val="20"/>
              </w:rPr>
              <w:t>11</w:t>
            </w:r>
            <w:r>
              <w:rPr>
                <w:rFonts w:hint="eastAsia" w:ascii="宋体" w:hAnsi="宋体" w:eastAsia="宋体" w:cs="宋体"/>
                <w:kern w:val="0"/>
                <w:sz w:val="20"/>
                <w:lang w:val="en-US" w:eastAsia="zh-CN"/>
              </w:rPr>
              <w:t>.</w:t>
            </w:r>
            <w:r>
              <w:rPr>
                <w:rFonts w:hint="eastAsia" w:ascii="宋体" w:hAnsi="宋体" w:eastAsia="宋体" w:cs="宋体"/>
                <w:kern w:val="0"/>
                <w:sz w:val="20"/>
              </w:rPr>
              <w:t>信息传输业</w:t>
            </w:r>
          </w:p>
        </w:tc>
        <w:tc>
          <w:tcPr>
            <w:tcW w:w="1512" w:type="dxa"/>
            <w:tcBorders>
              <w:top w:val="nil"/>
              <w:left w:val="nil"/>
              <w:bottom w:val="single" w:color="auto" w:sz="4" w:space="0"/>
              <w:right w:val="single" w:color="auto" w:sz="4" w:space="0"/>
            </w:tcBorders>
            <w:vAlign w:val="center"/>
          </w:tcPr>
          <w:p w14:paraId="59B77D8C">
            <w:pPr>
              <w:widowControl/>
              <w:rPr>
                <w:rFonts w:hint="eastAsia" w:ascii="宋体" w:hAnsi="宋体" w:eastAsia="宋体" w:cs="宋体"/>
                <w:kern w:val="0"/>
                <w:sz w:val="20"/>
              </w:rPr>
            </w:pPr>
            <w:r>
              <w:rPr>
                <w:rFonts w:hint="eastAsia" w:ascii="宋体" w:hAnsi="宋体" w:eastAsia="宋体" w:cs="宋体"/>
                <w:kern w:val="0"/>
                <w:sz w:val="20"/>
              </w:rPr>
              <w:t>100≤X＜2000</w:t>
            </w:r>
          </w:p>
        </w:tc>
        <w:tc>
          <w:tcPr>
            <w:tcW w:w="1779" w:type="dxa"/>
            <w:tcBorders>
              <w:top w:val="nil"/>
              <w:left w:val="nil"/>
              <w:bottom w:val="single" w:color="auto" w:sz="4" w:space="0"/>
              <w:right w:val="single" w:color="auto" w:sz="4" w:space="0"/>
            </w:tcBorders>
            <w:vAlign w:val="center"/>
          </w:tcPr>
          <w:p w14:paraId="09862E7C">
            <w:pPr>
              <w:widowControl/>
              <w:rPr>
                <w:rFonts w:hint="eastAsia" w:ascii="宋体" w:hAnsi="宋体" w:eastAsia="宋体" w:cs="宋体"/>
                <w:kern w:val="0"/>
                <w:sz w:val="20"/>
              </w:rPr>
            </w:pPr>
            <w:r>
              <w:rPr>
                <w:rFonts w:hint="eastAsia" w:ascii="宋体" w:hAnsi="宋体" w:eastAsia="宋体" w:cs="宋体"/>
                <w:kern w:val="0"/>
                <w:sz w:val="20"/>
              </w:rPr>
              <w:t>1000≤Y＜100000</w:t>
            </w:r>
          </w:p>
        </w:tc>
        <w:tc>
          <w:tcPr>
            <w:tcW w:w="1677" w:type="dxa"/>
            <w:tcBorders>
              <w:top w:val="nil"/>
              <w:left w:val="nil"/>
              <w:bottom w:val="single" w:color="auto" w:sz="4" w:space="0"/>
              <w:right w:val="single" w:color="auto" w:sz="8" w:space="0"/>
            </w:tcBorders>
            <w:vAlign w:val="center"/>
          </w:tcPr>
          <w:p w14:paraId="7D8FADAF">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4AD59EF1">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vAlign w:val="center"/>
          </w:tcPr>
          <w:p w14:paraId="21F0BD44">
            <w:pPr>
              <w:widowControl/>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vAlign w:val="center"/>
          </w:tcPr>
          <w:p w14:paraId="62D57268">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16498DC9">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6EEC347F">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083626A4">
            <w:pPr>
              <w:widowControl/>
              <w:rPr>
                <w:rFonts w:hint="eastAsia" w:ascii="宋体" w:hAnsi="宋体" w:eastAsia="宋体" w:cs="宋体"/>
                <w:kern w:val="0"/>
                <w:sz w:val="20"/>
              </w:rPr>
            </w:pPr>
            <w:r>
              <w:rPr>
                <w:rFonts w:hint="eastAsia" w:ascii="宋体" w:hAnsi="宋体" w:eastAsia="宋体" w:cs="宋体"/>
                <w:kern w:val="0"/>
                <w:sz w:val="20"/>
              </w:rPr>
              <w:t>　</w:t>
            </w:r>
          </w:p>
        </w:tc>
      </w:tr>
      <w:tr w14:paraId="783E7BE4">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4784E738">
            <w:pPr>
              <w:widowControl/>
              <w:jc w:val="both"/>
              <w:rPr>
                <w:rFonts w:hint="eastAsia" w:ascii="宋体" w:hAnsi="宋体" w:eastAsia="宋体" w:cs="宋体"/>
                <w:kern w:val="0"/>
                <w:sz w:val="20"/>
              </w:rPr>
            </w:pPr>
            <w:r>
              <w:rPr>
                <w:rFonts w:hint="eastAsia" w:ascii="宋体" w:hAnsi="宋体" w:eastAsia="宋体" w:cs="宋体"/>
                <w:kern w:val="0"/>
                <w:sz w:val="20"/>
              </w:rPr>
              <w:t>12</w:t>
            </w:r>
            <w:r>
              <w:rPr>
                <w:rFonts w:hint="eastAsia" w:ascii="宋体" w:hAnsi="宋体" w:eastAsia="宋体" w:cs="宋体"/>
                <w:kern w:val="0"/>
                <w:sz w:val="20"/>
                <w:lang w:val="en-US" w:eastAsia="zh-CN"/>
              </w:rPr>
              <w:t>.</w:t>
            </w:r>
            <w:r>
              <w:rPr>
                <w:rFonts w:hint="eastAsia" w:ascii="宋体" w:hAnsi="宋体" w:eastAsia="宋体" w:cs="宋体"/>
                <w:kern w:val="0"/>
                <w:sz w:val="20"/>
              </w:rPr>
              <w:t>软件和信息技术服务业</w:t>
            </w:r>
          </w:p>
        </w:tc>
        <w:tc>
          <w:tcPr>
            <w:tcW w:w="1512" w:type="dxa"/>
            <w:tcBorders>
              <w:top w:val="nil"/>
              <w:left w:val="nil"/>
              <w:bottom w:val="single" w:color="auto" w:sz="4" w:space="0"/>
              <w:right w:val="single" w:color="auto" w:sz="4" w:space="0"/>
            </w:tcBorders>
            <w:vAlign w:val="center"/>
          </w:tcPr>
          <w:p w14:paraId="187B244D">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vAlign w:val="center"/>
          </w:tcPr>
          <w:p w14:paraId="3C101A3A">
            <w:pPr>
              <w:widowControl/>
              <w:rPr>
                <w:rFonts w:hint="eastAsia" w:ascii="宋体" w:hAnsi="宋体" w:eastAsia="宋体" w:cs="宋体"/>
                <w:kern w:val="0"/>
                <w:sz w:val="20"/>
              </w:rPr>
            </w:pPr>
            <w:r>
              <w:rPr>
                <w:rFonts w:hint="eastAsia" w:ascii="宋体" w:hAnsi="宋体" w:eastAsia="宋体" w:cs="宋体"/>
                <w:kern w:val="0"/>
                <w:sz w:val="20"/>
              </w:rPr>
              <w:t>1000≤Y＜10000</w:t>
            </w:r>
          </w:p>
        </w:tc>
        <w:tc>
          <w:tcPr>
            <w:tcW w:w="1677" w:type="dxa"/>
            <w:tcBorders>
              <w:top w:val="nil"/>
              <w:left w:val="nil"/>
              <w:bottom w:val="single" w:color="auto" w:sz="4" w:space="0"/>
              <w:right w:val="single" w:color="auto" w:sz="8" w:space="0"/>
            </w:tcBorders>
            <w:vAlign w:val="center"/>
          </w:tcPr>
          <w:p w14:paraId="1B740068">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2833ED3A">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vAlign w:val="center"/>
          </w:tcPr>
          <w:p w14:paraId="2D1C2EBE">
            <w:pPr>
              <w:widowControl/>
              <w:rPr>
                <w:rFonts w:hint="eastAsia" w:ascii="宋体" w:hAnsi="宋体" w:eastAsia="宋体" w:cs="宋体"/>
                <w:kern w:val="0"/>
                <w:sz w:val="20"/>
              </w:rPr>
            </w:pPr>
            <w:r>
              <w:rPr>
                <w:rFonts w:hint="eastAsia" w:ascii="宋体" w:hAnsi="宋体" w:eastAsia="宋体" w:cs="宋体"/>
                <w:kern w:val="0"/>
                <w:sz w:val="20"/>
              </w:rPr>
              <w:t>50≤Y＜1000</w:t>
            </w:r>
          </w:p>
        </w:tc>
        <w:tc>
          <w:tcPr>
            <w:tcW w:w="1536" w:type="dxa"/>
            <w:tcBorders>
              <w:top w:val="nil"/>
              <w:left w:val="nil"/>
              <w:bottom w:val="single" w:color="auto" w:sz="4" w:space="0"/>
              <w:right w:val="single" w:color="auto" w:sz="8" w:space="0"/>
            </w:tcBorders>
            <w:vAlign w:val="center"/>
          </w:tcPr>
          <w:p w14:paraId="6110734D">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6A9EA974">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59E0E493">
            <w:pPr>
              <w:widowControl/>
              <w:rPr>
                <w:rFonts w:hint="eastAsia" w:ascii="宋体" w:hAnsi="宋体" w:eastAsia="宋体" w:cs="宋体"/>
                <w:kern w:val="0"/>
                <w:sz w:val="20"/>
              </w:rPr>
            </w:pPr>
            <w:r>
              <w:rPr>
                <w:rFonts w:hint="eastAsia" w:ascii="宋体" w:hAnsi="宋体" w:eastAsia="宋体" w:cs="宋体"/>
                <w:kern w:val="0"/>
                <w:sz w:val="20"/>
              </w:rPr>
              <w:t>Y＜50</w:t>
            </w:r>
          </w:p>
        </w:tc>
        <w:tc>
          <w:tcPr>
            <w:tcW w:w="1234" w:type="dxa"/>
            <w:tcBorders>
              <w:top w:val="nil"/>
              <w:left w:val="nil"/>
              <w:bottom w:val="single" w:color="auto" w:sz="4" w:space="0"/>
              <w:right w:val="single" w:color="auto" w:sz="8" w:space="0"/>
            </w:tcBorders>
            <w:vAlign w:val="center"/>
          </w:tcPr>
          <w:p w14:paraId="62CA3E0F">
            <w:pPr>
              <w:widowControl/>
              <w:rPr>
                <w:rFonts w:hint="eastAsia" w:ascii="宋体" w:hAnsi="宋体" w:eastAsia="宋体" w:cs="宋体"/>
                <w:kern w:val="0"/>
                <w:sz w:val="20"/>
              </w:rPr>
            </w:pPr>
            <w:r>
              <w:rPr>
                <w:rFonts w:hint="eastAsia" w:ascii="宋体" w:hAnsi="宋体" w:eastAsia="宋体" w:cs="宋体"/>
                <w:kern w:val="0"/>
                <w:sz w:val="20"/>
              </w:rPr>
              <w:t>　</w:t>
            </w:r>
          </w:p>
        </w:tc>
      </w:tr>
      <w:tr w14:paraId="357AD985">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6F3CFFD6">
            <w:pPr>
              <w:widowControl/>
              <w:jc w:val="both"/>
              <w:rPr>
                <w:rFonts w:hint="eastAsia" w:ascii="宋体" w:hAnsi="宋体" w:eastAsia="宋体" w:cs="宋体"/>
                <w:kern w:val="0"/>
                <w:sz w:val="20"/>
              </w:rPr>
            </w:pPr>
            <w:r>
              <w:rPr>
                <w:rFonts w:hint="eastAsia" w:ascii="宋体" w:hAnsi="宋体" w:eastAsia="宋体" w:cs="宋体"/>
                <w:kern w:val="0"/>
                <w:sz w:val="20"/>
              </w:rPr>
              <w:t>13</w:t>
            </w:r>
            <w:r>
              <w:rPr>
                <w:rFonts w:hint="eastAsia" w:ascii="宋体" w:hAnsi="宋体" w:eastAsia="宋体" w:cs="宋体"/>
                <w:kern w:val="0"/>
                <w:sz w:val="20"/>
                <w:lang w:val="en-US" w:eastAsia="zh-CN"/>
              </w:rPr>
              <w:t>.</w:t>
            </w:r>
            <w:r>
              <w:rPr>
                <w:rFonts w:hint="eastAsia" w:ascii="宋体" w:hAnsi="宋体" w:eastAsia="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28D93A36">
            <w:pPr>
              <w:widowControl/>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vAlign w:val="center"/>
          </w:tcPr>
          <w:p w14:paraId="574F4C6D">
            <w:pPr>
              <w:widowControl/>
              <w:rPr>
                <w:rFonts w:hint="eastAsia" w:ascii="宋体" w:hAnsi="宋体" w:eastAsia="宋体" w:cs="宋体"/>
                <w:kern w:val="0"/>
                <w:sz w:val="20"/>
              </w:rPr>
            </w:pPr>
            <w:r>
              <w:rPr>
                <w:rFonts w:hint="eastAsia" w:ascii="宋体" w:hAnsi="宋体" w:eastAsia="宋体" w:cs="宋体"/>
                <w:kern w:val="0"/>
                <w:sz w:val="20"/>
              </w:rPr>
              <w:t>1000≤Y＜200000</w:t>
            </w:r>
          </w:p>
        </w:tc>
        <w:tc>
          <w:tcPr>
            <w:tcW w:w="1677" w:type="dxa"/>
            <w:tcBorders>
              <w:top w:val="nil"/>
              <w:left w:val="nil"/>
              <w:bottom w:val="single" w:color="auto" w:sz="4" w:space="0"/>
              <w:right w:val="single" w:color="auto" w:sz="8" w:space="0"/>
            </w:tcBorders>
            <w:vAlign w:val="center"/>
          </w:tcPr>
          <w:p w14:paraId="52416432">
            <w:pPr>
              <w:widowControl/>
              <w:rPr>
                <w:rFonts w:hint="eastAsia" w:ascii="宋体" w:hAnsi="宋体" w:eastAsia="宋体" w:cs="宋体"/>
                <w:kern w:val="0"/>
                <w:sz w:val="20"/>
              </w:rPr>
            </w:pPr>
            <w:r>
              <w:rPr>
                <w:rFonts w:hint="eastAsia" w:ascii="宋体" w:hAnsi="宋体" w:eastAsia="宋体" w:cs="宋体"/>
                <w:kern w:val="0"/>
                <w:sz w:val="20"/>
              </w:rPr>
              <w:t>5000≤Z＜10000</w:t>
            </w:r>
          </w:p>
        </w:tc>
        <w:tc>
          <w:tcPr>
            <w:tcW w:w="1252" w:type="dxa"/>
            <w:tcBorders>
              <w:top w:val="nil"/>
              <w:left w:val="nil"/>
              <w:bottom w:val="single" w:color="auto" w:sz="4" w:space="0"/>
              <w:right w:val="single" w:color="auto" w:sz="4" w:space="0"/>
            </w:tcBorders>
            <w:vAlign w:val="center"/>
          </w:tcPr>
          <w:p w14:paraId="11E62254">
            <w:pPr>
              <w:widowControl/>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vAlign w:val="center"/>
          </w:tcPr>
          <w:p w14:paraId="6AEE0914">
            <w:pPr>
              <w:widowControl/>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vAlign w:val="center"/>
          </w:tcPr>
          <w:p w14:paraId="27CC431D">
            <w:pPr>
              <w:widowControl/>
              <w:rPr>
                <w:rFonts w:hint="eastAsia" w:ascii="宋体" w:hAnsi="宋体" w:eastAsia="宋体" w:cs="宋体"/>
                <w:kern w:val="0"/>
                <w:sz w:val="20"/>
              </w:rPr>
            </w:pPr>
            <w:r>
              <w:rPr>
                <w:rFonts w:hint="eastAsia" w:ascii="宋体" w:hAnsi="宋体" w:eastAsia="宋体" w:cs="宋体"/>
                <w:kern w:val="0"/>
                <w:sz w:val="20"/>
              </w:rPr>
              <w:t>2000≤Z＜5000</w:t>
            </w:r>
          </w:p>
        </w:tc>
        <w:tc>
          <w:tcPr>
            <w:tcW w:w="1297" w:type="dxa"/>
            <w:tcBorders>
              <w:top w:val="nil"/>
              <w:left w:val="nil"/>
              <w:bottom w:val="single" w:color="auto" w:sz="4" w:space="0"/>
              <w:right w:val="single" w:color="auto" w:sz="4" w:space="0"/>
            </w:tcBorders>
            <w:vAlign w:val="center"/>
          </w:tcPr>
          <w:p w14:paraId="087A494A">
            <w:pPr>
              <w:widowControl/>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vAlign w:val="center"/>
          </w:tcPr>
          <w:p w14:paraId="4794EEE2">
            <w:pPr>
              <w:widowControl/>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vAlign w:val="center"/>
          </w:tcPr>
          <w:p w14:paraId="38208F81">
            <w:pPr>
              <w:widowControl/>
              <w:rPr>
                <w:rFonts w:hint="eastAsia" w:ascii="宋体" w:hAnsi="宋体" w:eastAsia="宋体" w:cs="宋体"/>
                <w:kern w:val="0"/>
                <w:sz w:val="20"/>
              </w:rPr>
            </w:pPr>
            <w:r>
              <w:rPr>
                <w:rFonts w:hint="eastAsia" w:ascii="宋体" w:hAnsi="宋体" w:eastAsia="宋体" w:cs="宋体"/>
                <w:kern w:val="0"/>
                <w:sz w:val="20"/>
              </w:rPr>
              <w:t>Z＜2000</w:t>
            </w:r>
          </w:p>
        </w:tc>
      </w:tr>
      <w:tr w14:paraId="104DA731">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4E36C816">
            <w:pPr>
              <w:widowControl/>
              <w:jc w:val="both"/>
              <w:rPr>
                <w:rFonts w:hint="eastAsia" w:ascii="宋体" w:hAnsi="宋体" w:eastAsia="宋体" w:cs="宋体"/>
                <w:kern w:val="0"/>
                <w:sz w:val="20"/>
              </w:rPr>
            </w:pPr>
            <w:r>
              <w:rPr>
                <w:rFonts w:hint="eastAsia" w:ascii="宋体" w:hAnsi="宋体" w:eastAsia="宋体" w:cs="宋体"/>
                <w:kern w:val="0"/>
                <w:sz w:val="20"/>
              </w:rPr>
              <w:t>14</w:t>
            </w:r>
            <w:r>
              <w:rPr>
                <w:rFonts w:hint="eastAsia" w:ascii="宋体" w:hAnsi="宋体" w:eastAsia="宋体" w:cs="宋体"/>
                <w:kern w:val="0"/>
                <w:sz w:val="20"/>
                <w:lang w:val="en-US" w:eastAsia="zh-CN"/>
              </w:rPr>
              <w:t>.</w:t>
            </w:r>
            <w:r>
              <w:rPr>
                <w:rFonts w:hint="eastAsia" w:ascii="宋体" w:hAnsi="宋体" w:eastAsia="宋体" w:cs="宋体"/>
                <w:kern w:val="0"/>
                <w:sz w:val="20"/>
              </w:rPr>
              <w:t>物业管理</w:t>
            </w:r>
          </w:p>
        </w:tc>
        <w:tc>
          <w:tcPr>
            <w:tcW w:w="1512" w:type="dxa"/>
            <w:tcBorders>
              <w:top w:val="nil"/>
              <w:left w:val="nil"/>
              <w:bottom w:val="single" w:color="auto" w:sz="4" w:space="0"/>
              <w:right w:val="single" w:color="auto" w:sz="4" w:space="0"/>
            </w:tcBorders>
            <w:vAlign w:val="center"/>
          </w:tcPr>
          <w:p w14:paraId="52F1E1B0">
            <w:pPr>
              <w:widowControl/>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vAlign w:val="center"/>
          </w:tcPr>
          <w:p w14:paraId="0D9F8422">
            <w:pPr>
              <w:widowControl/>
              <w:rPr>
                <w:rFonts w:hint="eastAsia" w:ascii="宋体" w:hAnsi="宋体" w:eastAsia="宋体" w:cs="宋体"/>
                <w:kern w:val="0"/>
                <w:sz w:val="20"/>
              </w:rPr>
            </w:pPr>
            <w:r>
              <w:rPr>
                <w:rFonts w:hint="eastAsia" w:ascii="宋体" w:hAnsi="宋体" w:eastAsia="宋体" w:cs="宋体"/>
                <w:kern w:val="0"/>
                <w:sz w:val="20"/>
              </w:rPr>
              <w:t>1000≤Y＜5000</w:t>
            </w:r>
          </w:p>
        </w:tc>
        <w:tc>
          <w:tcPr>
            <w:tcW w:w="1677" w:type="dxa"/>
            <w:tcBorders>
              <w:top w:val="nil"/>
              <w:left w:val="nil"/>
              <w:bottom w:val="single" w:color="auto" w:sz="4" w:space="0"/>
              <w:right w:val="single" w:color="auto" w:sz="8" w:space="0"/>
            </w:tcBorders>
            <w:vAlign w:val="center"/>
          </w:tcPr>
          <w:p w14:paraId="03E1599C">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vAlign w:val="center"/>
          </w:tcPr>
          <w:p w14:paraId="6FFC9DD4">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494" w:type="dxa"/>
            <w:tcBorders>
              <w:top w:val="nil"/>
              <w:left w:val="nil"/>
              <w:bottom w:val="single" w:color="auto" w:sz="4" w:space="0"/>
              <w:right w:val="single" w:color="auto" w:sz="4" w:space="0"/>
            </w:tcBorders>
            <w:vAlign w:val="center"/>
          </w:tcPr>
          <w:p w14:paraId="12770018">
            <w:pPr>
              <w:widowControl/>
              <w:rPr>
                <w:rFonts w:hint="eastAsia" w:ascii="宋体" w:hAnsi="宋体" w:eastAsia="宋体" w:cs="宋体"/>
                <w:kern w:val="0"/>
                <w:sz w:val="20"/>
              </w:rPr>
            </w:pPr>
            <w:r>
              <w:rPr>
                <w:rFonts w:hint="eastAsia" w:ascii="宋体" w:hAnsi="宋体" w:eastAsia="宋体" w:cs="宋体"/>
                <w:kern w:val="0"/>
                <w:sz w:val="20"/>
              </w:rPr>
              <w:t>500≤Y＜1000</w:t>
            </w:r>
          </w:p>
        </w:tc>
        <w:tc>
          <w:tcPr>
            <w:tcW w:w="1536" w:type="dxa"/>
            <w:tcBorders>
              <w:top w:val="nil"/>
              <w:left w:val="nil"/>
              <w:bottom w:val="single" w:color="auto" w:sz="4" w:space="0"/>
              <w:right w:val="single" w:color="auto" w:sz="8" w:space="0"/>
            </w:tcBorders>
            <w:vAlign w:val="center"/>
          </w:tcPr>
          <w:p w14:paraId="49AA26D1">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vAlign w:val="center"/>
          </w:tcPr>
          <w:p w14:paraId="2ED97173">
            <w:pPr>
              <w:widowControl/>
              <w:rPr>
                <w:rFonts w:hint="eastAsia" w:ascii="宋体" w:hAnsi="宋体" w:eastAsia="宋体" w:cs="宋体"/>
                <w:kern w:val="0"/>
                <w:sz w:val="20"/>
              </w:rPr>
            </w:pPr>
            <w:r>
              <w:rPr>
                <w:rFonts w:hint="eastAsia" w:ascii="宋体" w:hAnsi="宋体" w:eastAsia="宋体" w:cs="宋体"/>
                <w:kern w:val="0"/>
                <w:sz w:val="20"/>
              </w:rPr>
              <w:t>X＜100</w:t>
            </w:r>
          </w:p>
        </w:tc>
        <w:tc>
          <w:tcPr>
            <w:tcW w:w="1287" w:type="dxa"/>
            <w:tcBorders>
              <w:top w:val="nil"/>
              <w:left w:val="nil"/>
              <w:bottom w:val="single" w:color="auto" w:sz="4" w:space="0"/>
              <w:right w:val="single" w:color="auto" w:sz="4" w:space="0"/>
            </w:tcBorders>
            <w:vAlign w:val="center"/>
          </w:tcPr>
          <w:p w14:paraId="0CADE047">
            <w:pPr>
              <w:widowControl/>
              <w:rPr>
                <w:rFonts w:hint="eastAsia" w:ascii="宋体" w:hAnsi="宋体" w:eastAsia="宋体" w:cs="宋体"/>
                <w:kern w:val="0"/>
                <w:sz w:val="20"/>
              </w:rPr>
            </w:pPr>
            <w:r>
              <w:rPr>
                <w:rFonts w:hint="eastAsia" w:ascii="宋体" w:hAnsi="宋体" w:eastAsia="宋体" w:cs="宋体"/>
                <w:kern w:val="0"/>
                <w:sz w:val="20"/>
              </w:rPr>
              <w:t>Y＜500</w:t>
            </w:r>
          </w:p>
        </w:tc>
        <w:tc>
          <w:tcPr>
            <w:tcW w:w="1234" w:type="dxa"/>
            <w:tcBorders>
              <w:top w:val="nil"/>
              <w:left w:val="nil"/>
              <w:bottom w:val="single" w:color="auto" w:sz="4" w:space="0"/>
              <w:right w:val="single" w:color="auto" w:sz="8" w:space="0"/>
            </w:tcBorders>
            <w:vAlign w:val="center"/>
          </w:tcPr>
          <w:p w14:paraId="247A5E5D">
            <w:pPr>
              <w:widowControl/>
              <w:rPr>
                <w:rFonts w:hint="eastAsia" w:ascii="宋体" w:hAnsi="宋体" w:eastAsia="宋体" w:cs="宋体"/>
                <w:kern w:val="0"/>
                <w:sz w:val="20"/>
              </w:rPr>
            </w:pPr>
            <w:r>
              <w:rPr>
                <w:rFonts w:hint="eastAsia" w:ascii="宋体" w:hAnsi="宋体" w:eastAsia="宋体" w:cs="宋体"/>
                <w:kern w:val="0"/>
                <w:sz w:val="20"/>
              </w:rPr>
              <w:t>　</w:t>
            </w:r>
          </w:p>
        </w:tc>
      </w:tr>
      <w:tr w14:paraId="252E8CDB">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4" w:space="0"/>
              <w:right w:val="single" w:color="auto" w:sz="8" w:space="0"/>
            </w:tcBorders>
            <w:vAlign w:val="center"/>
          </w:tcPr>
          <w:p w14:paraId="2EEEFA8D">
            <w:pPr>
              <w:widowControl/>
              <w:jc w:val="both"/>
              <w:rPr>
                <w:rFonts w:hint="eastAsia" w:ascii="宋体" w:hAnsi="宋体" w:eastAsia="宋体" w:cs="宋体"/>
                <w:kern w:val="0"/>
                <w:sz w:val="20"/>
              </w:rPr>
            </w:pPr>
            <w:r>
              <w:rPr>
                <w:rFonts w:hint="eastAsia" w:ascii="宋体" w:hAnsi="宋体" w:eastAsia="宋体" w:cs="宋体"/>
                <w:kern w:val="0"/>
                <w:sz w:val="20"/>
              </w:rPr>
              <w:t>15</w:t>
            </w:r>
            <w:r>
              <w:rPr>
                <w:rFonts w:hint="eastAsia" w:ascii="宋体" w:hAnsi="宋体" w:eastAsia="宋体" w:cs="宋体"/>
                <w:kern w:val="0"/>
                <w:sz w:val="20"/>
                <w:lang w:val="en-US" w:eastAsia="zh-CN"/>
              </w:rPr>
              <w:t>.</w:t>
            </w:r>
            <w:r>
              <w:rPr>
                <w:rFonts w:hint="eastAsia" w:ascii="宋体" w:hAnsi="宋体" w:eastAsia="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63CA6ABA">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vAlign w:val="center"/>
          </w:tcPr>
          <w:p w14:paraId="50C632AD">
            <w:pPr>
              <w:widowControl/>
              <w:rPr>
                <w:rFonts w:hint="eastAsia" w:ascii="宋体" w:hAnsi="宋体" w:eastAsia="宋体" w:cs="宋体"/>
                <w:kern w:val="0"/>
                <w:sz w:val="20"/>
              </w:rPr>
            </w:pPr>
            <w:r>
              <w:rPr>
                <w:rFonts w:hint="eastAsia" w:ascii="宋体" w:hAnsi="宋体" w:eastAsia="宋体" w:cs="宋体"/>
                <w:kern w:val="0"/>
                <w:sz w:val="20"/>
              </w:rPr>
              <w:t>　</w:t>
            </w:r>
          </w:p>
        </w:tc>
        <w:tc>
          <w:tcPr>
            <w:tcW w:w="1677" w:type="dxa"/>
            <w:tcBorders>
              <w:top w:val="nil"/>
              <w:left w:val="nil"/>
              <w:bottom w:val="single" w:color="auto" w:sz="4" w:space="0"/>
              <w:right w:val="single" w:color="auto" w:sz="8" w:space="0"/>
            </w:tcBorders>
            <w:vAlign w:val="center"/>
          </w:tcPr>
          <w:p w14:paraId="09AAE4A3">
            <w:pPr>
              <w:widowControl/>
              <w:rPr>
                <w:rFonts w:hint="eastAsia" w:ascii="宋体" w:hAnsi="宋体" w:eastAsia="宋体" w:cs="宋体"/>
                <w:kern w:val="0"/>
                <w:sz w:val="20"/>
              </w:rPr>
            </w:pPr>
            <w:r>
              <w:rPr>
                <w:rFonts w:hint="eastAsia" w:ascii="宋体" w:hAnsi="宋体" w:eastAsia="宋体" w:cs="宋体"/>
                <w:kern w:val="0"/>
                <w:sz w:val="20"/>
              </w:rPr>
              <w:t>8000≤Z＜120000</w:t>
            </w:r>
          </w:p>
        </w:tc>
        <w:tc>
          <w:tcPr>
            <w:tcW w:w="1252" w:type="dxa"/>
            <w:tcBorders>
              <w:top w:val="nil"/>
              <w:left w:val="nil"/>
              <w:bottom w:val="single" w:color="auto" w:sz="4" w:space="0"/>
              <w:right w:val="single" w:color="auto" w:sz="4" w:space="0"/>
            </w:tcBorders>
            <w:vAlign w:val="center"/>
          </w:tcPr>
          <w:p w14:paraId="6A0E53E4">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vAlign w:val="center"/>
          </w:tcPr>
          <w:p w14:paraId="786B2DAE">
            <w:pPr>
              <w:widowControl/>
              <w:rPr>
                <w:rFonts w:hint="eastAsia"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4" w:space="0"/>
              <w:right w:val="single" w:color="auto" w:sz="8" w:space="0"/>
            </w:tcBorders>
            <w:vAlign w:val="center"/>
          </w:tcPr>
          <w:p w14:paraId="0A0D25EF">
            <w:pPr>
              <w:widowControl/>
              <w:rPr>
                <w:rFonts w:hint="eastAsia" w:ascii="宋体" w:hAnsi="宋体" w:eastAsia="宋体" w:cs="宋体"/>
                <w:kern w:val="0"/>
                <w:sz w:val="20"/>
              </w:rPr>
            </w:pPr>
            <w:r>
              <w:rPr>
                <w:rFonts w:hint="eastAsia" w:ascii="宋体" w:hAnsi="宋体" w:eastAsia="宋体" w:cs="宋体"/>
                <w:kern w:val="0"/>
                <w:sz w:val="20"/>
              </w:rPr>
              <w:t>100≤Z＜8000</w:t>
            </w:r>
          </w:p>
        </w:tc>
        <w:tc>
          <w:tcPr>
            <w:tcW w:w="1297" w:type="dxa"/>
            <w:tcBorders>
              <w:top w:val="nil"/>
              <w:left w:val="nil"/>
              <w:bottom w:val="single" w:color="auto" w:sz="4" w:space="0"/>
              <w:right w:val="single" w:color="auto" w:sz="4" w:space="0"/>
            </w:tcBorders>
            <w:vAlign w:val="center"/>
          </w:tcPr>
          <w:p w14:paraId="3896783F">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vAlign w:val="center"/>
          </w:tcPr>
          <w:p w14:paraId="56457E1E">
            <w:pPr>
              <w:widowControl/>
              <w:rPr>
                <w:rFonts w:hint="eastAsia"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4" w:space="0"/>
              <w:right w:val="single" w:color="auto" w:sz="8" w:space="0"/>
            </w:tcBorders>
            <w:vAlign w:val="center"/>
          </w:tcPr>
          <w:p w14:paraId="38981AAE">
            <w:pPr>
              <w:widowControl/>
              <w:rPr>
                <w:rFonts w:hint="eastAsia" w:ascii="宋体" w:hAnsi="宋体" w:eastAsia="宋体" w:cs="宋体"/>
                <w:kern w:val="0"/>
                <w:sz w:val="20"/>
              </w:rPr>
            </w:pPr>
            <w:r>
              <w:rPr>
                <w:rFonts w:hint="eastAsia" w:ascii="宋体" w:hAnsi="宋体" w:eastAsia="宋体" w:cs="宋体"/>
                <w:kern w:val="0"/>
                <w:sz w:val="20"/>
              </w:rPr>
              <w:t>Z＜100</w:t>
            </w:r>
          </w:p>
        </w:tc>
      </w:tr>
      <w:tr w14:paraId="4E68263C">
        <w:tblPrEx>
          <w:tblCellMar>
            <w:top w:w="0" w:type="dxa"/>
            <w:left w:w="108" w:type="dxa"/>
            <w:bottom w:w="0" w:type="dxa"/>
            <w:right w:w="108" w:type="dxa"/>
          </w:tblCellMar>
        </w:tblPrEx>
        <w:trPr>
          <w:gridAfter w:val="1"/>
          <w:wAfter w:w="6" w:type="dxa"/>
          <w:trHeight w:val="283" w:hRule="atLeast"/>
        </w:trPr>
        <w:tc>
          <w:tcPr>
            <w:tcW w:w="2003" w:type="dxa"/>
            <w:tcBorders>
              <w:top w:val="nil"/>
              <w:left w:val="single" w:color="auto" w:sz="8" w:space="0"/>
              <w:bottom w:val="single" w:color="auto" w:sz="8" w:space="0"/>
              <w:right w:val="single" w:color="auto" w:sz="8" w:space="0"/>
            </w:tcBorders>
            <w:vAlign w:val="center"/>
          </w:tcPr>
          <w:p w14:paraId="0033BEA0">
            <w:pPr>
              <w:widowControl/>
              <w:jc w:val="both"/>
              <w:rPr>
                <w:rFonts w:hint="eastAsia" w:ascii="宋体" w:hAnsi="宋体" w:eastAsia="宋体" w:cs="宋体"/>
                <w:kern w:val="0"/>
                <w:sz w:val="20"/>
              </w:rPr>
            </w:pPr>
            <w:r>
              <w:rPr>
                <w:rFonts w:hint="eastAsia" w:ascii="宋体" w:hAnsi="宋体" w:eastAsia="宋体" w:cs="宋体"/>
                <w:kern w:val="0"/>
                <w:sz w:val="20"/>
              </w:rPr>
              <w:t>16</w:t>
            </w:r>
            <w:r>
              <w:rPr>
                <w:rFonts w:hint="eastAsia" w:ascii="宋体" w:hAnsi="宋体" w:eastAsia="宋体" w:cs="宋体"/>
                <w:kern w:val="0"/>
                <w:sz w:val="20"/>
                <w:lang w:val="en-US" w:eastAsia="zh-CN"/>
              </w:rPr>
              <w:t>.</w:t>
            </w:r>
            <w:r>
              <w:rPr>
                <w:rFonts w:hint="eastAsia" w:ascii="宋体" w:hAnsi="宋体" w:eastAsia="宋体" w:cs="宋体"/>
                <w:kern w:val="0"/>
                <w:sz w:val="20"/>
              </w:rPr>
              <w:t>其他未列明行业</w:t>
            </w:r>
          </w:p>
        </w:tc>
        <w:tc>
          <w:tcPr>
            <w:tcW w:w="1512" w:type="dxa"/>
            <w:tcBorders>
              <w:top w:val="nil"/>
              <w:left w:val="nil"/>
              <w:bottom w:val="single" w:color="auto" w:sz="8" w:space="0"/>
              <w:right w:val="single" w:color="auto" w:sz="4" w:space="0"/>
            </w:tcBorders>
            <w:vAlign w:val="center"/>
          </w:tcPr>
          <w:p w14:paraId="1675ED8C">
            <w:pPr>
              <w:widowControl/>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8" w:space="0"/>
              <w:right w:val="single" w:color="auto" w:sz="4" w:space="0"/>
            </w:tcBorders>
            <w:vAlign w:val="center"/>
          </w:tcPr>
          <w:p w14:paraId="6C7D6A54">
            <w:pPr>
              <w:widowControl/>
              <w:rPr>
                <w:rFonts w:hint="eastAsia" w:ascii="宋体" w:hAnsi="宋体" w:eastAsia="宋体" w:cs="宋体"/>
                <w:kern w:val="0"/>
                <w:sz w:val="20"/>
              </w:rPr>
            </w:pPr>
            <w:r>
              <w:rPr>
                <w:rFonts w:hint="eastAsia" w:ascii="宋体" w:hAnsi="宋体" w:eastAsia="宋体" w:cs="宋体"/>
                <w:kern w:val="0"/>
                <w:sz w:val="20"/>
              </w:rPr>
              <w:t>　</w:t>
            </w:r>
          </w:p>
        </w:tc>
        <w:tc>
          <w:tcPr>
            <w:tcW w:w="1677" w:type="dxa"/>
            <w:tcBorders>
              <w:top w:val="nil"/>
              <w:left w:val="nil"/>
              <w:bottom w:val="single" w:color="auto" w:sz="8" w:space="0"/>
              <w:right w:val="single" w:color="auto" w:sz="8" w:space="0"/>
            </w:tcBorders>
            <w:vAlign w:val="center"/>
          </w:tcPr>
          <w:p w14:paraId="4CB6384A">
            <w:pPr>
              <w:widowControl/>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8" w:space="0"/>
              <w:right w:val="single" w:color="auto" w:sz="4" w:space="0"/>
            </w:tcBorders>
            <w:vAlign w:val="center"/>
          </w:tcPr>
          <w:p w14:paraId="36D826AC">
            <w:pPr>
              <w:widowControl/>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8" w:space="0"/>
              <w:right w:val="single" w:color="auto" w:sz="4" w:space="0"/>
            </w:tcBorders>
            <w:vAlign w:val="center"/>
          </w:tcPr>
          <w:p w14:paraId="73E9FC04">
            <w:pPr>
              <w:widowControl/>
              <w:rPr>
                <w:rFonts w:hint="eastAsia"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8" w:space="0"/>
              <w:right w:val="single" w:color="auto" w:sz="8" w:space="0"/>
            </w:tcBorders>
            <w:vAlign w:val="center"/>
          </w:tcPr>
          <w:p w14:paraId="13DC9BDF">
            <w:pPr>
              <w:widowControl/>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8" w:space="0"/>
              <w:right w:val="single" w:color="auto" w:sz="4" w:space="0"/>
            </w:tcBorders>
            <w:vAlign w:val="center"/>
          </w:tcPr>
          <w:p w14:paraId="2F49EE0E">
            <w:pPr>
              <w:widowControl/>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8" w:space="0"/>
              <w:right w:val="single" w:color="auto" w:sz="4" w:space="0"/>
            </w:tcBorders>
            <w:vAlign w:val="center"/>
          </w:tcPr>
          <w:p w14:paraId="019CB33B">
            <w:pPr>
              <w:widowControl/>
              <w:rPr>
                <w:rFonts w:hint="eastAsia"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8" w:space="0"/>
              <w:right w:val="single" w:color="auto" w:sz="8" w:space="0"/>
            </w:tcBorders>
            <w:vAlign w:val="center"/>
          </w:tcPr>
          <w:p w14:paraId="00EF83E4">
            <w:pPr>
              <w:widowControl/>
              <w:rPr>
                <w:rFonts w:hint="eastAsia" w:ascii="宋体" w:hAnsi="宋体" w:eastAsia="宋体" w:cs="宋体"/>
                <w:kern w:val="0"/>
                <w:sz w:val="20"/>
              </w:rPr>
            </w:pPr>
            <w:r>
              <w:rPr>
                <w:rFonts w:hint="eastAsia" w:ascii="宋体" w:hAnsi="宋体" w:eastAsia="宋体" w:cs="宋体"/>
                <w:kern w:val="0"/>
                <w:sz w:val="20"/>
              </w:rPr>
              <w:t>　</w:t>
            </w:r>
          </w:p>
        </w:tc>
      </w:tr>
      <w:tr w14:paraId="655901BD">
        <w:tblPrEx>
          <w:tblCellMar>
            <w:top w:w="0" w:type="dxa"/>
            <w:left w:w="108" w:type="dxa"/>
            <w:bottom w:w="0" w:type="dxa"/>
            <w:right w:w="108" w:type="dxa"/>
          </w:tblCellMar>
        </w:tblPrEx>
        <w:trPr>
          <w:trHeight w:val="1009" w:hRule="atLeast"/>
        </w:trPr>
        <w:tc>
          <w:tcPr>
            <w:tcW w:w="15077" w:type="dxa"/>
            <w:gridSpan w:val="11"/>
            <w:tcBorders>
              <w:top w:val="nil"/>
              <w:left w:val="nil"/>
              <w:bottom w:val="nil"/>
              <w:right w:val="nil"/>
            </w:tcBorders>
            <w:vAlign w:val="bottom"/>
          </w:tcPr>
          <w:p w14:paraId="094C0C90">
            <w:pPr>
              <w:widowControl/>
              <w:jc w:val="left"/>
              <w:rPr>
                <w:rFonts w:hint="eastAsia" w:ascii="宋体" w:hAnsi="宋体" w:eastAsia="宋体" w:cs="宋体"/>
                <w:kern w:val="0"/>
                <w:sz w:val="20"/>
              </w:rPr>
            </w:pPr>
            <w:r>
              <w:rPr>
                <w:rFonts w:hint="eastAsia" w:ascii="宋体" w:hAnsi="宋体" w:eastAsia="宋体" w:cs="宋体"/>
                <w:kern w:val="0"/>
                <w:sz w:val="20"/>
              </w:rPr>
              <w:t>说明　1</w:t>
            </w:r>
            <w:r>
              <w:rPr>
                <w:rFonts w:hint="eastAsia" w:ascii="宋体" w:hAnsi="宋体" w:eastAsia="宋体" w:cs="宋体"/>
                <w:kern w:val="0"/>
                <w:sz w:val="20"/>
                <w:lang w:val="en-US" w:eastAsia="zh-CN"/>
              </w:rPr>
              <w:t>.</w:t>
            </w:r>
            <w:r>
              <w:rPr>
                <w:rFonts w:hint="eastAsia" w:ascii="宋体" w:hAnsi="宋体" w:eastAsia="宋体" w:cs="宋体"/>
                <w:kern w:val="0"/>
                <w:sz w:val="20"/>
              </w:rPr>
              <w:t>企业类型的划分以统计部门的统计数据为依据。</w:t>
            </w:r>
          </w:p>
          <w:p w14:paraId="40AF8A2F">
            <w:pPr>
              <w:widowControl/>
              <w:ind w:firstLine="600" w:firstLineChars="300"/>
              <w:jc w:val="left"/>
              <w:rPr>
                <w:rFonts w:hint="eastAsia" w:ascii="宋体" w:hAnsi="宋体" w:eastAsia="宋体" w:cs="宋体"/>
                <w:kern w:val="0"/>
                <w:sz w:val="20"/>
              </w:rPr>
            </w:pPr>
            <w:r>
              <w:rPr>
                <w:rFonts w:hint="eastAsia" w:ascii="宋体" w:hAnsi="宋体" w:eastAsia="宋体" w:cs="宋体"/>
                <w:kern w:val="0"/>
                <w:sz w:val="20"/>
              </w:rPr>
              <w:t>2</w:t>
            </w:r>
            <w:r>
              <w:rPr>
                <w:rFonts w:hint="eastAsia" w:ascii="宋体" w:hAnsi="宋体" w:eastAsia="宋体" w:cs="宋体"/>
                <w:kern w:val="0"/>
                <w:sz w:val="20"/>
                <w:lang w:val="en-US" w:eastAsia="zh-CN"/>
              </w:rPr>
              <w:t>.</w:t>
            </w:r>
            <w:r>
              <w:rPr>
                <w:rFonts w:hint="eastAsia" w:ascii="宋体" w:hAnsi="宋体" w:eastAsia="宋体" w:cs="宋体"/>
                <w:kern w:val="0"/>
                <w:sz w:val="20"/>
              </w:rPr>
              <w:t>个体工商户和本规定以外的行业，参照本规定进行划型。</w:t>
            </w:r>
          </w:p>
          <w:p w14:paraId="004144F3">
            <w:pPr>
              <w:widowControl/>
              <w:ind w:firstLine="600" w:firstLineChars="300"/>
              <w:jc w:val="left"/>
              <w:rPr>
                <w:rFonts w:hint="eastAsia" w:ascii="宋体" w:hAnsi="宋体" w:eastAsia="宋体" w:cs="宋体"/>
                <w:kern w:val="0"/>
                <w:sz w:val="20"/>
              </w:rPr>
            </w:pPr>
            <w:r>
              <w:rPr>
                <w:rFonts w:hint="eastAsia" w:ascii="宋体" w:hAnsi="宋体" w:eastAsia="宋体" w:cs="宋体"/>
                <w:kern w:val="0"/>
                <w:sz w:val="20"/>
              </w:rPr>
              <w:t>3</w:t>
            </w:r>
            <w:r>
              <w:rPr>
                <w:rFonts w:hint="eastAsia" w:ascii="宋体" w:hAnsi="宋体" w:eastAsia="宋体" w:cs="宋体"/>
                <w:kern w:val="0"/>
                <w:sz w:val="20"/>
                <w:lang w:val="en-US" w:eastAsia="zh-CN"/>
              </w:rPr>
              <w:t>.</w:t>
            </w:r>
            <w:r>
              <w:rPr>
                <w:rFonts w:hint="eastAsia" w:ascii="宋体" w:hAnsi="宋体" w:eastAsia="宋体" w:cs="宋体"/>
                <w:kern w:val="0"/>
                <w:sz w:val="20"/>
              </w:rPr>
              <w:t>本规定的中型企业标准上限即为大型企业标准的下限。</w:t>
            </w:r>
          </w:p>
        </w:tc>
      </w:tr>
    </w:tbl>
    <w:p w14:paraId="095D271A">
      <w:pPr>
        <w:pStyle w:val="116"/>
        <w:snapToGrid w:val="0"/>
        <w:spacing w:line="440" w:lineRule="exact"/>
        <w:rPr>
          <w:rFonts w:hint="eastAsia" w:ascii="宋体" w:hAnsi="宋体" w:eastAsia="宋体" w:cs="宋体"/>
          <w:b/>
          <w:sz w:val="28"/>
          <w:szCs w:val="28"/>
        </w:rPr>
      </w:pPr>
    </w:p>
    <w:p w14:paraId="33EBE88C">
      <w:pPr>
        <w:pStyle w:val="116"/>
        <w:snapToGrid w:val="0"/>
        <w:spacing w:line="440" w:lineRule="exact"/>
        <w:rPr>
          <w:rFonts w:hint="eastAsia" w:ascii="宋体" w:hAnsi="宋体" w:eastAsia="宋体" w:cs="宋体"/>
          <w:b/>
          <w:sz w:val="28"/>
          <w:szCs w:val="28"/>
        </w:rPr>
      </w:pPr>
    </w:p>
    <w:sectPr>
      <w:pgSz w:w="16840" w:h="11907" w:orient="landscape"/>
      <w:pgMar w:top="1474" w:right="1474" w:bottom="1474" w:left="1474" w:header="907" w:footer="85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274A">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A3E3">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14:paraId="297F43A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65D5">
    <w:pPr>
      <w:pStyle w:val="3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2648DD">
                <w:pPr>
                  <w:pStyle w:val="3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7D4B7">
    <w:pPr>
      <w:pStyle w:val="31"/>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55DD435">
                <w:pPr>
                  <w:pStyle w:val="31"/>
                  <w:rPr>
                    <w:rFonts w:hint="eastAsia" w:ascii="宋体" w:hAnsi="宋体" w:eastAsia="宋体" w:cs="宋体"/>
                  </w:rPr>
                </w:pPr>
                <w:r>
                  <w:rPr>
                    <w:rFonts w:hint="eastAsia" w:ascii="宋体" w:hAnsi="宋体" w:eastAsia="宋体" w:cs="宋体"/>
                  </w:rPr>
                  <w:fldChar w:fldCharType="begin"/>
                </w:r>
                <w:r>
                  <w:rPr>
                    <w:rStyle w:val="53"/>
                    <w:rFonts w:hint="eastAsia" w:ascii="宋体" w:hAnsi="宋体" w:eastAsia="宋体" w:cs="宋体"/>
                  </w:rPr>
                  <w:instrText xml:space="preserve">PAGE  </w:instrText>
                </w:r>
                <w:r>
                  <w:rPr>
                    <w:rFonts w:hint="eastAsia" w:ascii="宋体" w:hAnsi="宋体" w:eastAsia="宋体" w:cs="宋体"/>
                  </w:rPr>
                  <w:fldChar w:fldCharType="separate"/>
                </w:r>
                <w:r>
                  <w:rPr>
                    <w:rStyle w:val="53"/>
                    <w:rFonts w:hint="eastAsia" w:ascii="宋体" w:hAnsi="宋体" w:eastAsia="宋体" w:cs="宋体"/>
                  </w:rPr>
                  <w:t>3</w:t>
                </w:r>
                <w:r>
                  <w:rPr>
                    <w:rFonts w:hint="eastAsia" w:ascii="宋体" w:hAnsi="宋体" w:eastAsia="宋体" w:cs="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2BE0">
    <w:pPr>
      <w:pStyle w:val="31"/>
      <w:jc w:val="right"/>
    </w:pPr>
    <w:r>
      <w:rPr>
        <w:sz w:val="18"/>
      </w:rPr>
      <w:pict>
        <v:shape id="_x0000_s4099" o:spid="_x0000_s4099" o:spt="202" type="#_x0000_t202" style="position:absolute;left:0pt;margin-top:0pt;height:14.15pt;width:11.5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14:paraId="74310898">
                <w:pPr>
                  <w:pStyle w:val="31"/>
                  <w:jc w:val="center"/>
                  <w:rPr>
                    <w:rStyle w:val="53"/>
                    <w:rFonts w:hint="eastAsia" w:ascii="宋体" w:hAnsi="宋体" w:eastAsia="宋体" w:cs="宋体"/>
                  </w:rPr>
                </w:pPr>
                <w:r>
                  <w:rPr>
                    <w:rFonts w:hint="eastAsia" w:ascii="宋体" w:hAnsi="宋体" w:eastAsia="宋体" w:cs="宋体"/>
                  </w:rPr>
                  <w:fldChar w:fldCharType="begin"/>
                </w:r>
                <w:r>
                  <w:rPr>
                    <w:rStyle w:val="53"/>
                    <w:rFonts w:hint="eastAsia" w:ascii="宋体" w:hAnsi="宋体" w:eastAsia="宋体" w:cs="宋体"/>
                  </w:rPr>
                  <w:instrText xml:space="preserve">PAGE  </w:instrText>
                </w:r>
                <w:r>
                  <w:rPr>
                    <w:rFonts w:hint="eastAsia" w:ascii="宋体" w:hAnsi="宋体" w:eastAsia="宋体" w:cs="宋体"/>
                  </w:rPr>
                  <w:fldChar w:fldCharType="separate"/>
                </w:r>
                <w:r>
                  <w:rPr>
                    <w:rStyle w:val="53"/>
                    <w:rFonts w:hint="eastAsia" w:ascii="宋体" w:hAnsi="宋体" w:eastAsia="宋体" w:cs="宋体"/>
                  </w:rPr>
                  <w:t>18</w:t>
                </w:r>
                <w:r>
                  <w:rPr>
                    <w:rFonts w:hint="eastAsia" w:ascii="宋体" w:hAnsi="宋体" w:eastAsia="宋体" w:cs="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9229">
    <w:pPr>
      <w:pStyle w:val="31"/>
      <w:adjustRightInd w:val="0"/>
      <w:snapToGrid/>
    </w:pPr>
    <w:r>
      <w:rPr>
        <w:sz w:val="18"/>
      </w:rPr>
      <w:pict>
        <v:shape id="_x0000_s4100" o:spid="_x0000_s4100" o:spt="202" type="#_x0000_t202" style="position:absolute;left:0pt;margin-top:0pt;height:12.5pt;width:11.5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14:paraId="01CE2342">
                <w:pPr>
                  <w:pStyle w:val="31"/>
                  <w:jc w:val="center"/>
                  <w:rPr>
                    <w:rStyle w:val="53"/>
                  </w:rPr>
                </w:pPr>
                <w:r>
                  <w:rPr>
                    <w:rFonts w:hint="eastAsia" w:ascii="宋体" w:hAnsi="宋体" w:eastAsia="宋体" w:cs="宋体"/>
                  </w:rPr>
                  <w:fldChar w:fldCharType="begin"/>
                </w:r>
                <w:r>
                  <w:rPr>
                    <w:rStyle w:val="53"/>
                    <w:rFonts w:hint="eastAsia" w:ascii="宋体" w:hAnsi="宋体" w:eastAsia="宋体" w:cs="宋体"/>
                  </w:rPr>
                  <w:instrText xml:space="preserve">PAGE  </w:instrText>
                </w:r>
                <w:r>
                  <w:rPr>
                    <w:rFonts w:hint="eastAsia" w:ascii="宋体" w:hAnsi="宋体" w:eastAsia="宋体" w:cs="宋体"/>
                  </w:rPr>
                  <w:fldChar w:fldCharType="separate"/>
                </w:r>
                <w:r>
                  <w:rPr>
                    <w:rStyle w:val="53"/>
                    <w:rFonts w:hint="eastAsia" w:ascii="宋体" w:hAnsi="宋体" w:eastAsia="宋体" w:cs="宋体"/>
                  </w:rPr>
                  <w:t>41</w:t>
                </w:r>
                <w:r>
                  <w:rPr>
                    <w:rFonts w:hint="eastAsia" w:ascii="宋体" w:hAnsi="宋体" w:eastAsia="宋体" w:cs="宋体"/>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8E92">
    <w:pPr>
      <w:pStyle w:val="31"/>
      <w:adjustRightInd w:val="0"/>
      <w:snapToGrid/>
    </w:pPr>
    <w:r>
      <w:rPr>
        <w:sz w:val="18"/>
      </w:rPr>
      <w:pict>
        <v:shape id="_x0000_s4101" o:spid="_x0000_s4101" o:spt="202" type="#_x0000_t202" style="position:absolute;left:0pt;margin-top:0pt;height:14.15pt;width:16.45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14:paraId="31B32E6B">
                <w:pPr>
                  <w:pStyle w:val="31"/>
                  <w:jc w:val="both"/>
                  <w:rPr>
                    <w:rStyle w:val="53"/>
                  </w:rPr>
                </w:pPr>
                <w:r>
                  <w:rPr>
                    <w:rFonts w:hint="eastAsia" w:ascii="宋体" w:hAnsi="宋体" w:eastAsia="宋体" w:cs="宋体"/>
                  </w:rPr>
                  <w:fldChar w:fldCharType="begin"/>
                </w:r>
                <w:r>
                  <w:rPr>
                    <w:rStyle w:val="53"/>
                    <w:rFonts w:hint="eastAsia" w:ascii="宋体" w:hAnsi="宋体" w:eastAsia="宋体" w:cs="宋体"/>
                  </w:rPr>
                  <w:instrText xml:space="preserve">PAGE  </w:instrText>
                </w:r>
                <w:r>
                  <w:rPr>
                    <w:rFonts w:hint="eastAsia" w:ascii="宋体" w:hAnsi="宋体" w:eastAsia="宋体" w:cs="宋体"/>
                  </w:rPr>
                  <w:fldChar w:fldCharType="separate"/>
                </w:r>
                <w:r>
                  <w:rPr>
                    <w:rStyle w:val="53"/>
                    <w:rFonts w:hint="eastAsia" w:ascii="宋体" w:hAnsi="宋体" w:eastAsia="宋体" w:cs="宋体"/>
                  </w:rPr>
                  <w:t>45</w:t>
                </w:r>
                <w:r>
                  <w:rPr>
                    <w:rFonts w:hint="eastAsia" w:ascii="宋体" w:hAnsi="宋体" w:eastAsia="宋体" w:cs="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A9F6">
    <w:pPr>
      <w:pStyle w:val="3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ascii="宋体" w:hAnsi="宋体" w:cs="宋体"/>
        <w:b/>
        <w:sz w:val="28"/>
        <w:szCs w:val="28"/>
        <w:lang w:eastAsia="zh-CN"/>
      </w:rPr>
      <w:t>竞争性磋商</w:t>
    </w:r>
    <w:r>
      <w:rPr>
        <w:rFonts w:hint="eastAsia" w:ascii="宋体" w:hAnsi="宋体" w:cs="宋体"/>
        <w:b/>
        <w:sz w:val="28"/>
        <w:szCs w:val="2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ADF1">
    <w:pPr>
      <w:pStyle w:val="3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2"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ascii="宋体" w:hAnsi="宋体" w:cs="宋体"/>
        <w:b/>
        <w:sz w:val="28"/>
        <w:szCs w:val="28"/>
        <w:lang w:eastAsia="zh-CN"/>
      </w:rPr>
      <w:t>竞争性磋商</w:t>
    </w:r>
    <w:r>
      <w:rPr>
        <w:rFonts w:hint="eastAsia" w:ascii="宋体" w:hAnsi="宋体" w:cs="宋体"/>
        <w:b/>
        <w:sz w:val="28"/>
        <w:szCs w:val="2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91C1">
    <w:pPr>
      <w:pStyle w:val="3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3"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ascii="宋体" w:hAnsi="宋体" w:cs="宋体"/>
        <w:b/>
        <w:sz w:val="28"/>
        <w:szCs w:val="28"/>
        <w:lang w:eastAsia="zh-CN"/>
      </w:rPr>
      <w:t>竞争性磋商</w:t>
    </w:r>
    <w:r>
      <w:rPr>
        <w:rFonts w:hint="eastAsia" w:ascii="宋体" w:hAnsi="宋体" w:cs="宋体"/>
        <w:b/>
        <w:sz w:val="28"/>
        <w:szCs w:val="2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2F71">
    <w:pPr>
      <w:pStyle w:val="3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4" name="图片 4"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ascii="宋体" w:hAnsi="宋体" w:cs="宋体"/>
        <w:b/>
        <w:sz w:val="28"/>
        <w:szCs w:val="28"/>
        <w:lang w:eastAsia="zh-CN"/>
      </w:rPr>
      <w:t>竞争性磋商</w:t>
    </w:r>
    <w:r>
      <w:rPr>
        <w:rFonts w:hint="eastAsia" w:ascii="宋体" w:hAnsi="宋体" w:cs="宋体"/>
        <w:b/>
        <w:sz w:val="28"/>
        <w:szCs w:val="2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B783">
    <w:pPr>
      <w:pStyle w:val="3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5" name="图片 5"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ascii="宋体" w:hAnsi="宋体" w:cs="宋体"/>
        <w:b/>
        <w:sz w:val="28"/>
        <w:szCs w:val="28"/>
        <w:lang w:eastAsia="zh-CN"/>
      </w:rPr>
      <w:t>竞争性磋商</w:t>
    </w:r>
    <w:r>
      <w:rPr>
        <w:rFonts w:hint="eastAsia" w:ascii="宋体" w:hAnsi="宋体" w:cs="宋体"/>
        <w:b/>
        <w:sz w:val="28"/>
        <w:szCs w:val="2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2"/>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5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1">
    <w:nsid w:val="0000000B"/>
    <w:multiLevelType w:val="singleLevel"/>
    <w:tmpl w:val="0000000B"/>
    <w:lvl w:ilvl="0" w:tentative="0">
      <w:start w:val="1"/>
      <w:numFmt w:val="decimal"/>
      <w:pStyle w:val="35"/>
      <w:lvlText w:val="%1、"/>
      <w:lvlJc w:val="left"/>
      <w:pPr>
        <w:tabs>
          <w:tab w:val="left" w:pos="840"/>
        </w:tabs>
        <w:ind w:left="840" w:hanging="360"/>
      </w:pPr>
      <w:rPr>
        <w:rFonts w:hint="eastAsia"/>
      </w:rPr>
    </w:lvl>
  </w:abstractNum>
  <w:abstractNum w:abstractNumId="2">
    <w:nsid w:val="0000000C"/>
    <w:multiLevelType w:val="singleLevel"/>
    <w:tmpl w:val="0000000C"/>
    <w:lvl w:ilvl="0" w:tentative="0">
      <w:start w:val="1"/>
      <w:numFmt w:val="decimal"/>
      <w:pStyle w:val="140"/>
      <w:lvlText w:val="(%1)"/>
      <w:lvlJc w:val="left"/>
      <w:pPr>
        <w:tabs>
          <w:tab w:val="left" w:pos="700"/>
        </w:tabs>
        <w:ind w:left="0" w:firstLine="340"/>
      </w:pPr>
      <w:rPr>
        <w:rFonts w:hint="eastAsia"/>
      </w:rPr>
    </w:lvl>
  </w:abstractNum>
  <w:abstractNum w:abstractNumId="3">
    <w:nsid w:val="0000000D"/>
    <w:multiLevelType w:val="multilevel"/>
    <w:tmpl w:val="0000000D"/>
    <w:lvl w:ilvl="0" w:tentative="0">
      <w:start w:val="5"/>
      <w:numFmt w:val="decimal"/>
      <w:pStyle w:val="132"/>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4054F6"/>
    <w:multiLevelType w:val="multilevel"/>
    <w:tmpl w:val="074054F6"/>
    <w:lvl w:ilvl="0" w:tentative="0">
      <w:start w:val="1"/>
      <w:numFmt w:val="decimal"/>
      <w:pStyle w:val="2"/>
      <w:lvlText w:val="第%1章"/>
      <w:lvlJc w:val="left"/>
      <w:pPr>
        <w:tabs>
          <w:tab w:val="left" w:pos="432"/>
        </w:tabs>
        <w:ind w:left="2632" w:hanging="432"/>
      </w:pPr>
      <w:rPr>
        <w:rFonts w:hint="eastAsia"/>
      </w:rPr>
    </w:lvl>
    <w:lvl w:ilvl="1" w:tentative="0">
      <w:start w:val="1"/>
      <w:numFmt w:val="decimal"/>
      <w:lvlText w:val="%1.%2"/>
      <w:lvlJc w:val="left"/>
      <w:pPr>
        <w:tabs>
          <w:tab w:val="left" w:pos="576"/>
        </w:tabs>
        <w:ind w:left="2776" w:hanging="576"/>
      </w:pPr>
      <w:rPr>
        <w:rFonts w:hint="eastAsia"/>
      </w:rPr>
    </w:lvl>
    <w:lvl w:ilvl="2" w:tentative="0">
      <w:start w:val="1"/>
      <w:numFmt w:val="decimal"/>
      <w:lvlText w:val="%1.%2.%3"/>
      <w:lvlJc w:val="left"/>
      <w:pPr>
        <w:tabs>
          <w:tab w:val="left" w:pos="720"/>
        </w:tabs>
        <w:ind w:left="2920" w:hanging="720"/>
      </w:pPr>
      <w:rPr>
        <w:rFonts w:hint="eastAsia"/>
      </w:rPr>
    </w:lvl>
    <w:lvl w:ilvl="3" w:tentative="0">
      <w:start w:val="1"/>
      <w:numFmt w:val="decimal"/>
      <w:lvlText w:val="%1.%2.%3.%4"/>
      <w:lvlJc w:val="left"/>
      <w:pPr>
        <w:tabs>
          <w:tab w:val="left" w:pos="864"/>
        </w:tabs>
        <w:ind w:left="3064" w:hanging="864"/>
      </w:pPr>
      <w:rPr>
        <w:rFonts w:hint="eastAsia"/>
      </w:rPr>
    </w:lvl>
    <w:lvl w:ilvl="4" w:tentative="0">
      <w:start w:val="1"/>
      <w:numFmt w:val="decimal"/>
      <w:lvlText w:val="%1.%2.%3.%4.%5"/>
      <w:lvlJc w:val="left"/>
      <w:pPr>
        <w:tabs>
          <w:tab w:val="left" w:pos="1008"/>
        </w:tabs>
        <w:ind w:left="3208" w:hanging="1008"/>
      </w:pPr>
      <w:rPr>
        <w:rFonts w:hint="eastAsia"/>
      </w:rPr>
    </w:lvl>
    <w:lvl w:ilvl="5" w:tentative="0">
      <w:start w:val="1"/>
      <w:numFmt w:val="decimal"/>
      <w:lvlText w:val="%1.%2.%3.%4.%5.%6"/>
      <w:lvlJc w:val="left"/>
      <w:pPr>
        <w:tabs>
          <w:tab w:val="left" w:pos="1152"/>
        </w:tabs>
        <w:ind w:left="3352" w:hanging="1152"/>
      </w:pPr>
      <w:rPr>
        <w:rFonts w:hint="eastAsia"/>
      </w:rPr>
    </w:lvl>
    <w:lvl w:ilvl="6" w:tentative="0">
      <w:start w:val="1"/>
      <w:numFmt w:val="decimal"/>
      <w:lvlText w:val="%1.%2.%3.%4.%5.%6.%7"/>
      <w:lvlJc w:val="left"/>
      <w:pPr>
        <w:tabs>
          <w:tab w:val="left" w:pos="1296"/>
        </w:tabs>
        <w:ind w:left="3496" w:hanging="1296"/>
      </w:pPr>
      <w:rPr>
        <w:rFonts w:hint="eastAsia"/>
      </w:rPr>
    </w:lvl>
    <w:lvl w:ilvl="7" w:tentative="0">
      <w:start w:val="1"/>
      <w:numFmt w:val="decimal"/>
      <w:lvlText w:val="%1.%2.%3.%4.%5.%6.%7.%8"/>
      <w:lvlJc w:val="left"/>
      <w:pPr>
        <w:tabs>
          <w:tab w:val="left" w:pos="1440"/>
        </w:tabs>
        <w:ind w:left="3640" w:hanging="1440"/>
      </w:pPr>
      <w:rPr>
        <w:rFonts w:hint="eastAsia"/>
      </w:rPr>
    </w:lvl>
    <w:lvl w:ilvl="8" w:tentative="0">
      <w:start w:val="1"/>
      <w:numFmt w:val="decimal"/>
      <w:lvlText w:val="%1.%2.%3.%4.%5.%6.%7.%8.%9"/>
      <w:lvlJc w:val="left"/>
      <w:pPr>
        <w:tabs>
          <w:tab w:val="left" w:pos="1584"/>
        </w:tabs>
        <w:ind w:left="3784" w:hanging="1584"/>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c1MDU5MjdmNjkzZDA1M2YzZGM1NzY2NTBlYTQ2Y2QifQ=="/>
  </w:docVars>
  <w:rsids>
    <w:rsidRoot w:val="00172A27"/>
    <w:rsid w:val="000001EA"/>
    <w:rsid w:val="00001CBB"/>
    <w:rsid w:val="0000202E"/>
    <w:rsid w:val="00002583"/>
    <w:rsid w:val="00002A24"/>
    <w:rsid w:val="000043ED"/>
    <w:rsid w:val="00004CF0"/>
    <w:rsid w:val="000058FF"/>
    <w:rsid w:val="00005A80"/>
    <w:rsid w:val="000070E0"/>
    <w:rsid w:val="000100D8"/>
    <w:rsid w:val="0001088F"/>
    <w:rsid w:val="00011121"/>
    <w:rsid w:val="0001173E"/>
    <w:rsid w:val="00011A76"/>
    <w:rsid w:val="0001382B"/>
    <w:rsid w:val="00013A0B"/>
    <w:rsid w:val="00013B64"/>
    <w:rsid w:val="00013B78"/>
    <w:rsid w:val="00013F5A"/>
    <w:rsid w:val="00014DA3"/>
    <w:rsid w:val="0001741A"/>
    <w:rsid w:val="00017EA4"/>
    <w:rsid w:val="0002017A"/>
    <w:rsid w:val="00020247"/>
    <w:rsid w:val="00020EE7"/>
    <w:rsid w:val="00021508"/>
    <w:rsid w:val="00021CA8"/>
    <w:rsid w:val="000224F5"/>
    <w:rsid w:val="00022517"/>
    <w:rsid w:val="00023052"/>
    <w:rsid w:val="000234BB"/>
    <w:rsid w:val="00023FC8"/>
    <w:rsid w:val="0002468F"/>
    <w:rsid w:val="000260F2"/>
    <w:rsid w:val="0002705B"/>
    <w:rsid w:val="00027770"/>
    <w:rsid w:val="00030DD0"/>
    <w:rsid w:val="000311C3"/>
    <w:rsid w:val="00032E65"/>
    <w:rsid w:val="00032FA0"/>
    <w:rsid w:val="00033934"/>
    <w:rsid w:val="00034175"/>
    <w:rsid w:val="000351CB"/>
    <w:rsid w:val="00035951"/>
    <w:rsid w:val="00036373"/>
    <w:rsid w:val="00036FCF"/>
    <w:rsid w:val="00040235"/>
    <w:rsid w:val="000406F4"/>
    <w:rsid w:val="000419E6"/>
    <w:rsid w:val="000425DB"/>
    <w:rsid w:val="000431F7"/>
    <w:rsid w:val="00043EF7"/>
    <w:rsid w:val="00044011"/>
    <w:rsid w:val="00044402"/>
    <w:rsid w:val="0004501B"/>
    <w:rsid w:val="00045D1D"/>
    <w:rsid w:val="00047D46"/>
    <w:rsid w:val="0005075B"/>
    <w:rsid w:val="00050965"/>
    <w:rsid w:val="00050C43"/>
    <w:rsid w:val="000519E7"/>
    <w:rsid w:val="0005221B"/>
    <w:rsid w:val="00052397"/>
    <w:rsid w:val="0005302B"/>
    <w:rsid w:val="0005392F"/>
    <w:rsid w:val="000546D2"/>
    <w:rsid w:val="00055904"/>
    <w:rsid w:val="0005649A"/>
    <w:rsid w:val="00056636"/>
    <w:rsid w:val="00056940"/>
    <w:rsid w:val="00056ADD"/>
    <w:rsid w:val="00057281"/>
    <w:rsid w:val="00057C48"/>
    <w:rsid w:val="00060060"/>
    <w:rsid w:val="000603DA"/>
    <w:rsid w:val="00060400"/>
    <w:rsid w:val="00061347"/>
    <w:rsid w:val="000618F8"/>
    <w:rsid w:val="00062061"/>
    <w:rsid w:val="000636D0"/>
    <w:rsid w:val="00064D98"/>
    <w:rsid w:val="00065E49"/>
    <w:rsid w:val="000669E4"/>
    <w:rsid w:val="000672D2"/>
    <w:rsid w:val="000703C3"/>
    <w:rsid w:val="00070F6A"/>
    <w:rsid w:val="0007169A"/>
    <w:rsid w:val="0007313E"/>
    <w:rsid w:val="000734B2"/>
    <w:rsid w:val="0007351E"/>
    <w:rsid w:val="000738D7"/>
    <w:rsid w:val="00073A2B"/>
    <w:rsid w:val="00073A8E"/>
    <w:rsid w:val="000741BA"/>
    <w:rsid w:val="00074DCB"/>
    <w:rsid w:val="000750D8"/>
    <w:rsid w:val="00075543"/>
    <w:rsid w:val="000758C6"/>
    <w:rsid w:val="00075B2D"/>
    <w:rsid w:val="00075D6B"/>
    <w:rsid w:val="00076559"/>
    <w:rsid w:val="000772A2"/>
    <w:rsid w:val="000776B3"/>
    <w:rsid w:val="000811DF"/>
    <w:rsid w:val="00081656"/>
    <w:rsid w:val="0008242F"/>
    <w:rsid w:val="000826F8"/>
    <w:rsid w:val="00082B59"/>
    <w:rsid w:val="00082DC7"/>
    <w:rsid w:val="00083E9C"/>
    <w:rsid w:val="00084011"/>
    <w:rsid w:val="000847E3"/>
    <w:rsid w:val="00084B7A"/>
    <w:rsid w:val="000860A6"/>
    <w:rsid w:val="000862CB"/>
    <w:rsid w:val="000866F0"/>
    <w:rsid w:val="00086879"/>
    <w:rsid w:val="000869C2"/>
    <w:rsid w:val="00086A71"/>
    <w:rsid w:val="00086B2A"/>
    <w:rsid w:val="00090142"/>
    <w:rsid w:val="00090525"/>
    <w:rsid w:val="00090D4F"/>
    <w:rsid w:val="0009183B"/>
    <w:rsid w:val="00092E04"/>
    <w:rsid w:val="00093BC8"/>
    <w:rsid w:val="00096BC2"/>
    <w:rsid w:val="00097485"/>
    <w:rsid w:val="000974F2"/>
    <w:rsid w:val="00097CF9"/>
    <w:rsid w:val="000A0A6F"/>
    <w:rsid w:val="000A0A87"/>
    <w:rsid w:val="000A0BB5"/>
    <w:rsid w:val="000A1980"/>
    <w:rsid w:val="000A1D50"/>
    <w:rsid w:val="000A29C9"/>
    <w:rsid w:val="000A3152"/>
    <w:rsid w:val="000A5455"/>
    <w:rsid w:val="000A57C4"/>
    <w:rsid w:val="000A5A0D"/>
    <w:rsid w:val="000A66E9"/>
    <w:rsid w:val="000A691A"/>
    <w:rsid w:val="000A72F4"/>
    <w:rsid w:val="000A7C7B"/>
    <w:rsid w:val="000B001A"/>
    <w:rsid w:val="000B0027"/>
    <w:rsid w:val="000B0122"/>
    <w:rsid w:val="000B0143"/>
    <w:rsid w:val="000B1499"/>
    <w:rsid w:val="000B284B"/>
    <w:rsid w:val="000B2CC6"/>
    <w:rsid w:val="000B3974"/>
    <w:rsid w:val="000B3DB7"/>
    <w:rsid w:val="000B6898"/>
    <w:rsid w:val="000B6B69"/>
    <w:rsid w:val="000B6CA6"/>
    <w:rsid w:val="000C0A63"/>
    <w:rsid w:val="000C0B93"/>
    <w:rsid w:val="000C164A"/>
    <w:rsid w:val="000C1ED0"/>
    <w:rsid w:val="000C2579"/>
    <w:rsid w:val="000C3345"/>
    <w:rsid w:val="000C392B"/>
    <w:rsid w:val="000C3C43"/>
    <w:rsid w:val="000C4D26"/>
    <w:rsid w:val="000C5B7D"/>
    <w:rsid w:val="000C6042"/>
    <w:rsid w:val="000C614D"/>
    <w:rsid w:val="000C7078"/>
    <w:rsid w:val="000D262F"/>
    <w:rsid w:val="000D2F1C"/>
    <w:rsid w:val="000D3368"/>
    <w:rsid w:val="000D3FBE"/>
    <w:rsid w:val="000D444F"/>
    <w:rsid w:val="000D5233"/>
    <w:rsid w:val="000D5526"/>
    <w:rsid w:val="000D562C"/>
    <w:rsid w:val="000D5CDB"/>
    <w:rsid w:val="000D5F2A"/>
    <w:rsid w:val="000D661A"/>
    <w:rsid w:val="000D6FE9"/>
    <w:rsid w:val="000E0D0C"/>
    <w:rsid w:val="000E1040"/>
    <w:rsid w:val="000E15BB"/>
    <w:rsid w:val="000E17ED"/>
    <w:rsid w:val="000E18A8"/>
    <w:rsid w:val="000E18CF"/>
    <w:rsid w:val="000E2F7E"/>
    <w:rsid w:val="000E322E"/>
    <w:rsid w:val="000E4265"/>
    <w:rsid w:val="000E4B7A"/>
    <w:rsid w:val="000E5AD3"/>
    <w:rsid w:val="000E5BCD"/>
    <w:rsid w:val="000E64A7"/>
    <w:rsid w:val="000E6D06"/>
    <w:rsid w:val="000E7B1E"/>
    <w:rsid w:val="000F0DE9"/>
    <w:rsid w:val="000F16EF"/>
    <w:rsid w:val="000F1712"/>
    <w:rsid w:val="000F174A"/>
    <w:rsid w:val="000F25FF"/>
    <w:rsid w:val="000F38D1"/>
    <w:rsid w:val="000F4357"/>
    <w:rsid w:val="000F469D"/>
    <w:rsid w:val="000F471B"/>
    <w:rsid w:val="000F6060"/>
    <w:rsid w:val="000F6B7D"/>
    <w:rsid w:val="000F6E3F"/>
    <w:rsid w:val="000F7442"/>
    <w:rsid w:val="000F7688"/>
    <w:rsid w:val="000F78CA"/>
    <w:rsid w:val="00100962"/>
    <w:rsid w:val="00100C82"/>
    <w:rsid w:val="00100D8C"/>
    <w:rsid w:val="00100EE3"/>
    <w:rsid w:val="001010ED"/>
    <w:rsid w:val="0010135C"/>
    <w:rsid w:val="001013F1"/>
    <w:rsid w:val="00101460"/>
    <w:rsid w:val="001018D9"/>
    <w:rsid w:val="00101A71"/>
    <w:rsid w:val="00102E4E"/>
    <w:rsid w:val="00104ED8"/>
    <w:rsid w:val="0010518E"/>
    <w:rsid w:val="0010569F"/>
    <w:rsid w:val="001058DE"/>
    <w:rsid w:val="00106534"/>
    <w:rsid w:val="00106699"/>
    <w:rsid w:val="00107A1E"/>
    <w:rsid w:val="0011013D"/>
    <w:rsid w:val="00110F43"/>
    <w:rsid w:val="00111449"/>
    <w:rsid w:val="00112428"/>
    <w:rsid w:val="00112867"/>
    <w:rsid w:val="00112F21"/>
    <w:rsid w:val="001140DD"/>
    <w:rsid w:val="001154D3"/>
    <w:rsid w:val="001156FE"/>
    <w:rsid w:val="00116208"/>
    <w:rsid w:val="00116AF7"/>
    <w:rsid w:val="00116D01"/>
    <w:rsid w:val="00117A02"/>
    <w:rsid w:val="00117E1F"/>
    <w:rsid w:val="00120408"/>
    <w:rsid w:val="00120CCB"/>
    <w:rsid w:val="00121D34"/>
    <w:rsid w:val="00122365"/>
    <w:rsid w:val="00123365"/>
    <w:rsid w:val="0012419B"/>
    <w:rsid w:val="001246BE"/>
    <w:rsid w:val="00125597"/>
    <w:rsid w:val="001258AB"/>
    <w:rsid w:val="00125995"/>
    <w:rsid w:val="00125F4F"/>
    <w:rsid w:val="0012631B"/>
    <w:rsid w:val="001271A0"/>
    <w:rsid w:val="001272B6"/>
    <w:rsid w:val="0012765F"/>
    <w:rsid w:val="00130EA1"/>
    <w:rsid w:val="0013166C"/>
    <w:rsid w:val="00131A3D"/>
    <w:rsid w:val="00133080"/>
    <w:rsid w:val="0013320D"/>
    <w:rsid w:val="00133D48"/>
    <w:rsid w:val="00134186"/>
    <w:rsid w:val="001353EB"/>
    <w:rsid w:val="0013543F"/>
    <w:rsid w:val="00135E13"/>
    <w:rsid w:val="0013644C"/>
    <w:rsid w:val="00140206"/>
    <w:rsid w:val="001413B0"/>
    <w:rsid w:val="00141C35"/>
    <w:rsid w:val="00142821"/>
    <w:rsid w:val="00142C31"/>
    <w:rsid w:val="001449AA"/>
    <w:rsid w:val="00144B13"/>
    <w:rsid w:val="00144B19"/>
    <w:rsid w:val="001463BE"/>
    <w:rsid w:val="00146737"/>
    <w:rsid w:val="001479C0"/>
    <w:rsid w:val="00150320"/>
    <w:rsid w:val="00150EF3"/>
    <w:rsid w:val="001518A4"/>
    <w:rsid w:val="00151969"/>
    <w:rsid w:val="00151CCE"/>
    <w:rsid w:val="001520CA"/>
    <w:rsid w:val="00152827"/>
    <w:rsid w:val="00152AA3"/>
    <w:rsid w:val="00153DAB"/>
    <w:rsid w:val="0015485C"/>
    <w:rsid w:val="001564A5"/>
    <w:rsid w:val="00156A6B"/>
    <w:rsid w:val="0015749F"/>
    <w:rsid w:val="00157FD3"/>
    <w:rsid w:val="00160013"/>
    <w:rsid w:val="001602DA"/>
    <w:rsid w:val="0016070A"/>
    <w:rsid w:val="001626DC"/>
    <w:rsid w:val="001630E4"/>
    <w:rsid w:val="00163426"/>
    <w:rsid w:val="00163F2E"/>
    <w:rsid w:val="00164EF9"/>
    <w:rsid w:val="001655F1"/>
    <w:rsid w:val="00165FB9"/>
    <w:rsid w:val="0016717C"/>
    <w:rsid w:val="0016746D"/>
    <w:rsid w:val="001675BD"/>
    <w:rsid w:val="001705BB"/>
    <w:rsid w:val="00170DDE"/>
    <w:rsid w:val="001713EF"/>
    <w:rsid w:val="0017250B"/>
    <w:rsid w:val="00172A27"/>
    <w:rsid w:val="001734CC"/>
    <w:rsid w:val="00174454"/>
    <w:rsid w:val="0017538C"/>
    <w:rsid w:val="001757AF"/>
    <w:rsid w:val="0017652B"/>
    <w:rsid w:val="00176548"/>
    <w:rsid w:val="00176D4C"/>
    <w:rsid w:val="00177058"/>
    <w:rsid w:val="001776D8"/>
    <w:rsid w:val="00177850"/>
    <w:rsid w:val="00177D27"/>
    <w:rsid w:val="00177EB7"/>
    <w:rsid w:val="00180023"/>
    <w:rsid w:val="0018028F"/>
    <w:rsid w:val="0018169F"/>
    <w:rsid w:val="00181B50"/>
    <w:rsid w:val="001825ED"/>
    <w:rsid w:val="00182A7E"/>
    <w:rsid w:val="00184AEC"/>
    <w:rsid w:val="00184C1E"/>
    <w:rsid w:val="00185067"/>
    <w:rsid w:val="00186225"/>
    <w:rsid w:val="00187B69"/>
    <w:rsid w:val="00187C84"/>
    <w:rsid w:val="00191ABD"/>
    <w:rsid w:val="0019232D"/>
    <w:rsid w:val="00193123"/>
    <w:rsid w:val="001932A3"/>
    <w:rsid w:val="00194F1C"/>
    <w:rsid w:val="00195338"/>
    <w:rsid w:val="00196C78"/>
    <w:rsid w:val="00197045"/>
    <w:rsid w:val="00197564"/>
    <w:rsid w:val="00197A48"/>
    <w:rsid w:val="00197A78"/>
    <w:rsid w:val="00197C89"/>
    <w:rsid w:val="001A059B"/>
    <w:rsid w:val="001A1ADD"/>
    <w:rsid w:val="001A1D98"/>
    <w:rsid w:val="001A1F33"/>
    <w:rsid w:val="001A3367"/>
    <w:rsid w:val="001A37BA"/>
    <w:rsid w:val="001A3804"/>
    <w:rsid w:val="001A66CB"/>
    <w:rsid w:val="001A6D4C"/>
    <w:rsid w:val="001A7DB0"/>
    <w:rsid w:val="001A7EED"/>
    <w:rsid w:val="001A7FEB"/>
    <w:rsid w:val="001B069E"/>
    <w:rsid w:val="001B0812"/>
    <w:rsid w:val="001B1320"/>
    <w:rsid w:val="001B14E0"/>
    <w:rsid w:val="001B1B18"/>
    <w:rsid w:val="001B2724"/>
    <w:rsid w:val="001B2A0E"/>
    <w:rsid w:val="001B2CC6"/>
    <w:rsid w:val="001B4E73"/>
    <w:rsid w:val="001B4F3F"/>
    <w:rsid w:val="001B56F4"/>
    <w:rsid w:val="001B590F"/>
    <w:rsid w:val="001B694E"/>
    <w:rsid w:val="001B76C3"/>
    <w:rsid w:val="001B7E55"/>
    <w:rsid w:val="001C0E24"/>
    <w:rsid w:val="001C1656"/>
    <w:rsid w:val="001C2ADF"/>
    <w:rsid w:val="001C3219"/>
    <w:rsid w:val="001C39D5"/>
    <w:rsid w:val="001C47B4"/>
    <w:rsid w:val="001C49A6"/>
    <w:rsid w:val="001C5ED2"/>
    <w:rsid w:val="001C5F23"/>
    <w:rsid w:val="001C6D2D"/>
    <w:rsid w:val="001C705D"/>
    <w:rsid w:val="001C74D3"/>
    <w:rsid w:val="001C7A3E"/>
    <w:rsid w:val="001C7E52"/>
    <w:rsid w:val="001D07B7"/>
    <w:rsid w:val="001D0EA9"/>
    <w:rsid w:val="001D0FCF"/>
    <w:rsid w:val="001D17F3"/>
    <w:rsid w:val="001D1D76"/>
    <w:rsid w:val="001D210E"/>
    <w:rsid w:val="001D291F"/>
    <w:rsid w:val="001D2EFC"/>
    <w:rsid w:val="001D39A2"/>
    <w:rsid w:val="001D3A47"/>
    <w:rsid w:val="001D45C9"/>
    <w:rsid w:val="001D45F0"/>
    <w:rsid w:val="001D47ED"/>
    <w:rsid w:val="001D4A3B"/>
    <w:rsid w:val="001D4FE1"/>
    <w:rsid w:val="001D5CC2"/>
    <w:rsid w:val="001D7109"/>
    <w:rsid w:val="001E260E"/>
    <w:rsid w:val="001E56BA"/>
    <w:rsid w:val="001E6782"/>
    <w:rsid w:val="001E6A7E"/>
    <w:rsid w:val="001E6B27"/>
    <w:rsid w:val="001F01F2"/>
    <w:rsid w:val="001F0312"/>
    <w:rsid w:val="001F0418"/>
    <w:rsid w:val="001F049A"/>
    <w:rsid w:val="001F0B9A"/>
    <w:rsid w:val="001F12F0"/>
    <w:rsid w:val="001F26A8"/>
    <w:rsid w:val="001F34D3"/>
    <w:rsid w:val="001F3BA0"/>
    <w:rsid w:val="001F3CB4"/>
    <w:rsid w:val="001F4457"/>
    <w:rsid w:val="001F4BE0"/>
    <w:rsid w:val="001F4BED"/>
    <w:rsid w:val="001F4ED7"/>
    <w:rsid w:val="001F7457"/>
    <w:rsid w:val="001F7510"/>
    <w:rsid w:val="002018D7"/>
    <w:rsid w:val="00202065"/>
    <w:rsid w:val="00203855"/>
    <w:rsid w:val="002040F3"/>
    <w:rsid w:val="00204F55"/>
    <w:rsid w:val="002059DC"/>
    <w:rsid w:val="00205C25"/>
    <w:rsid w:val="002066E1"/>
    <w:rsid w:val="0020702A"/>
    <w:rsid w:val="00207862"/>
    <w:rsid w:val="00210789"/>
    <w:rsid w:val="00210FA6"/>
    <w:rsid w:val="00211AE0"/>
    <w:rsid w:val="00211B59"/>
    <w:rsid w:val="00211EF9"/>
    <w:rsid w:val="00212068"/>
    <w:rsid w:val="00212723"/>
    <w:rsid w:val="00212DAB"/>
    <w:rsid w:val="00212F15"/>
    <w:rsid w:val="0021346F"/>
    <w:rsid w:val="00215613"/>
    <w:rsid w:val="00215CA4"/>
    <w:rsid w:val="00215D37"/>
    <w:rsid w:val="00216D21"/>
    <w:rsid w:val="00217DE5"/>
    <w:rsid w:val="00220758"/>
    <w:rsid w:val="002222B9"/>
    <w:rsid w:val="00222E93"/>
    <w:rsid w:val="0022391A"/>
    <w:rsid w:val="00223929"/>
    <w:rsid w:val="00223ADF"/>
    <w:rsid w:val="002245B2"/>
    <w:rsid w:val="002259F7"/>
    <w:rsid w:val="00225EE4"/>
    <w:rsid w:val="0022602C"/>
    <w:rsid w:val="00226489"/>
    <w:rsid w:val="002275E5"/>
    <w:rsid w:val="00227833"/>
    <w:rsid w:val="00231F25"/>
    <w:rsid w:val="002325B3"/>
    <w:rsid w:val="00232C79"/>
    <w:rsid w:val="00233FEC"/>
    <w:rsid w:val="002346BA"/>
    <w:rsid w:val="00234937"/>
    <w:rsid w:val="00236002"/>
    <w:rsid w:val="00236150"/>
    <w:rsid w:val="002363BA"/>
    <w:rsid w:val="002368B1"/>
    <w:rsid w:val="00241053"/>
    <w:rsid w:val="0024150A"/>
    <w:rsid w:val="00241AAD"/>
    <w:rsid w:val="002434F5"/>
    <w:rsid w:val="00243671"/>
    <w:rsid w:val="0024443C"/>
    <w:rsid w:val="00244BAA"/>
    <w:rsid w:val="002458F9"/>
    <w:rsid w:val="00245EA8"/>
    <w:rsid w:val="00246135"/>
    <w:rsid w:val="00246BCC"/>
    <w:rsid w:val="002471A9"/>
    <w:rsid w:val="00247D0A"/>
    <w:rsid w:val="00250CBC"/>
    <w:rsid w:val="0025119A"/>
    <w:rsid w:val="00251599"/>
    <w:rsid w:val="00251760"/>
    <w:rsid w:val="0025233D"/>
    <w:rsid w:val="00252659"/>
    <w:rsid w:val="002532F1"/>
    <w:rsid w:val="00253403"/>
    <w:rsid w:val="00253E30"/>
    <w:rsid w:val="00255331"/>
    <w:rsid w:val="0025550F"/>
    <w:rsid w:val="0025578A"/>
    <w:rsid w:val="002559ED"/>
    <w:rsid w:val="00255E50"/>
    <w:rsid w:val="00256438"/>
    <w:rsid w:val="002565DA"/>
    <w:rsid w:val="002569FD"/>
    <w:rsid w:val="00256BA6"/>
    <w:rsid w:val="0025771F"/>
    <w:rsid w:val="002602F8"/>
    <w:rsid w:val="0026067A"/>
    <w:rsid w:val="00260725"/>
    <w:rsid w:val="00260B70"/>
    <w:rsid w:val="00260F7B"/>
    <w:rsid w:val="002615C0"/>
    <w:rsid w:val="002617E1"/>
    <w:rsid w:val="00261FA1"/>
    <w:rsid w:val="00262DBF"/>
    <w:rsid w:val="00263637"/>
    <w:rsid w:val="002639B3"/>
    <w:rsid w:val="00263BC0"/>
    <w:rsid w:val="00263CC6"/>
    <w:rsid w:val="0026430E"/>
    <w:rsid w:val="0026517B"/>
    <w:rsid w:val="0026568E"/>
    <w:rsid w:val="0026613C"/>
    <w:rsid w:val="0026734F"/>
    <w:rsid w:val="0027068D"/>
    <w:rsid w:val="002710B2"/>
    <w:rsid w:val="002731A9"/>
    <w:rsid w:val="0027326C"/>
    <w:rsid w:val="00273CD8"/>
    <w:rsid w:val="00274284"/>
    <w:rsid w:val="00274E10"/>
    <w:rsid w:val="002767C3"/>
    <w:rsid w:val="00276B3A"/>
    <w:rsid w:val="00276DE6"/>
    <w:rsid w:val="00277F4A"/>
    <w:rsid w:val="00280D58"/>
    <w:rsid w:val="002816F2"/>
    <w:rsid w:val="00282F26"/>
    <w:rsid w:val="00283D9F"/>
    <w:rsid w:val="00283F7E"/>
    <w:rsid w:val="00284C92"/>
    <w:rsid w:val="0028509C"/>
    <w:rsid w:val="0028587B"/>
    <w:rsid w:val="00285C2D"/>
    <w:rsid w:val="002879DA"/>
    <w:rsid w:val="00287A9F"/>
    <w:rsid w:val="00290615"/>
    <w:rsid w:val="00290F0E"/>
    <w:rsid w:val="00291EE9"/>
    <w:rsid w:val="0029292C"/>
    <w:rsid w:val="0029341E"/>
    <w:rsid w:val="002938E9"/>
    <w:rsid w:val="00293F56"/>
    <w:rsid w:val="00294CC0"/>
    <w:rsid w:val="00294DDD"/>
    <w:rsid w:val="0029567E"/>
    <w:rsid w:val="00295972"/>
    <w:rsid w:val="002959C4"/>
    <w:rsid w:val="002967F0"/>
    <w:rsid w:val="002971CE"/>
    <w:rsid w:val="0029721E"/>
    <w:rsid w:val="002973DE"/>
    <w:rsid w:val="00297666"/>
    <w:rsid w:val="002A019C"/>
    <w:rsid w:val="002A0B63"/>
    <w:rsid w:val="002A222A"/>
    <w:rsid w:val="002A3432"/>
    <w:rsid w:val="002A3D0A"/>
    <w:rsid w:val="002A4479"/>
    <w:rsid w:val="002A505F"/>
    <w:rsid w:val="002A55D2"/>
    <w:rsid w:val="002A61BA"/>
    <w:rsid w:val="002A639E"/>
    <w:rsid w:val="002A6C8E"/>
    <w:rsid w:val="002A7181"/>
    <w:rsid w:val="002A728C"/>
    <w:rsid w:val="002A7A04"/>
    <w:rsid w:val="002B078A"/>
    <w:rsid w:val="002B0FE7"/>
    <w:rsid w:val="002B13B2"/>
    <w:rsid w:val="002B1463"/>
    <w:rsid w:val="002B1BF1"/>
    <w:rsid w:val="002B2C67"/>
    <w:rsid w:val="002B309C"/>
    <w:rsid w:val="002B592E"/>
    <w:rsid w:val="002B64DF"/>
    <w:rsid w:val="002B6E03"/>
    <w:rsid w:val="002C07C7"/>
    <w:rsid w:val="002C0D35"/>
    <w:rsid w:val="002C2C4B"/>
    <w:rsid w:val="002C416D"/>
    <w:rsid w:val="002C41FC"/>
    <w:rsid w:val="002C556B"/>
    <w:rsid w:val="002C59C6"/>
    <w:rsid w:val="002C670B"/>
    <w:rsid w:val="002C6F0D"/>
    <w:rsid w:val="002C74AC"/>
    <w:rsid w:val="002C7EC9"/>
    <w:rsid w:val="002D02BB"/>
    <w:rsid w:val="002D13BE"/>
    <w:rsid w:val="002D16DF"/>
    <w:rsid w:val="002D2475"/>
    <w:rsid w:val="002D248D"/>
    <w:rsid w:val="002D26A6"/>
    <w:rsid w:val="002D43E2"/>
    <w:rsid w:val="002D7119"/>
    <w:rsid w:val="002D75C6"/>
    <w:rsid w:val="002D7FDC"/>
    <w:rsid w:val="002E0137"/>
    <w:rsid w:val="002E0F82"/>
    <w:rsid w:val="002E1060"/>
    <w:rsid w:val="002E1665"/>
    <w:rsid w:val="002E168A"/>
    <w:rsid w:val="002E1F17"/>
    <w:rsid w:val="002E20BA"/>
    <w:rsid w:val="002E251B"/>
    <w:rsid w:val="002E2EA2"/>
    <w:rsid w:val="002E389A"/>
    <w:rsid w:val="002E3AA3"/>
    <w:rsid w:val="002E3D0A"/>
    <w:rsid w:val="002E539C"/>
    <w:rsid w:val="002E5431"/>
    <w:rsid w:val="002E55C5"/>
    <w:rsid w:val="002E6930"/>
    <w:rsid w:val="002E6F1E"/>
    <w:rsid w:val="002E73C5"/>
    <w:rsid w:val="002E78C6"/>
    <w:rsid w:val="002F03FD"/>
    <w:rsid w:val="002F0F81"/>
    <w:rsid w:val="002F136F"/>
    <w:rsid w:val="002F3D92"/>
    <w:rsid w:val="002F40C0"/>
    <w:rsid w:val="002F4725"/>
    <w:rsid w:val="002F50D8"/>
    <w:rsid w:val="002F5A57"/>
    <w:rsid w:val="002F6993"/>
    <w:rsid w:val="002F6DFD"/>
    <w:rsid w:val="002F6F3C"/>
    <w:rsid w:val="002F717B"/>
    <w:rsid w:val="00300769"/>
    <w:rsid w:val="003016DE"/>
    <w:rsid w:val="00301D81"/>
    <w:rsid w:val="003024AC"/>
    <w:rsid w:val="00302C80"/>
    <w:rsid w:val="00302D50"/>
    <w:rsid w:val="00302FD8"/>
    <w:rsid w:val="00303B9F"/>
    <w:rsid w:val="0030442C"/>
    <w:rsid w:val="003046B4"/>
    <w:rsid w:val="00304FCA"/>
    <w:rsid w:val="0030536A"/>
    <w:rsid w:val="00305613"/>
    <w:rsid w:val="00305E65"/>
    <w:rsid w:val="003106BE"/>
    <w:rsid w:val="00310A2A"/>
    <w:rsid w:val="00311B99"/>
    <w:rsid w:val="00311BEA"/>
    <w:rsid w:val="003121AF"/>
    <w:rsid w:val="00313511"/>
    <w:rsid w:val="003139D5"/>
    <w:rsid w:val="003142E1"/>
    <w:rsid w:val="00316583"/>
    <w:rsid w:val="003174CE"/>
    <w:rsid w:val="00317E35"/>
    <w:rsid w:val="00320050"/>
    <w:rsid w:val="0032070D"/>
    <w:rsid w:val="00320819"/>
    <w:rsid w:val="00320C09"/>
    <w:rsid w:val="00320D7A"/>
    <w:rsid w:val="00321A59"/>
    <w:rsid w:val="00322566"/>
    <w:rsid w:val="0032312A"/>
    <w:rsid w:val="00323211"/>
    <w:rsid w:val="0032516E"/>
    <w:rsid w:val="00325FD4"/>
    <w:rsid w:val="0032612C"/>
    <w:rsid w:val="0032671F"/>
    <w:rsid w:val="003277EF"/>
    <w:rsid w:val="00327956"/>
    <w:rsid w:val="00327E5C"/>
    <w:rsid w:val="00332515"/>
    <w:rsid w:val="00332E70"/>
    <w:rsid w:val="00333015"/>
    <w:rsid w:val="00333546"/>
    <w:rsid w:val="00333740"/>
    <w:rsid w:val="0033410E"/>
    <w:rsid w:val="0033466B"/>
    <w:rsid w:val="00334A2B"/>
    <w:rsid w:val="00334CB7"/>
    <w:rsid w:val="003367C9"/>
    <w:rsid w:val="003369E1"/>
    <w:rsid w:val="00336FFF"/>
    <w:rsid w:val="00337BE6"/>
    <w:rsid w:val="00341030"/>
    <w:rsid w:val="003418C3"/>
    <w:rsid w:val="0034203C"/>
    <w:rsid w:val="003422E4"/>
    <w:rsid w:val="00342705"/>
    <w:rsid w:val="00342A4F"/>
    <w:rsid w:val="00342F15"/>
    <w:rsid w:val="003431EA"/>
    <w:rsid w:val="003432FF"/>
    <w:rsid w:val="00345180"/>
    <w:rsid w:val="00345C7C"/>
    <w:rsid w:val="003462C5"/>
    <w:rsid w:val="0034689A"/>
    <w:rsid w:val="003469E8"/>
    <w:rsid w:val="003470A8"/>
    <w:rsid w:val="00350D48"/>
    <w:rsid w:val="003518BE"/>
    <w:rsid w:val="00351BAD"/>
    <w:rsid w:val="00351C8E"/>
    <w:rsid w:val="00352114"/>
    <w:rsid w:val="00353170"/>
    <w:rsid w:val="003535BB"/>
    <w:rsid w:val="00353ADD"/>
    <w:rsid w:val="00353D78"/>
    <w:rsid w:val="00353D90"/>
    <w:rsid w:val="0035617A"/>
    <w:rsid w:val="00356193"/>
    <w:rsid w:val="0036013B"/>
    <w:rsid w:val="00360FDC"/>
    <w:rsid w:val="003613DD"/>
    <w:rsid w:val="003615FA"/>
    <w:rsid w:val="00362611"/>
    <w:rsid w:val="00362749"/>
    <w:rsid w:val="00362BB5"/>
    <w:rsid w:val="00362C08"/>
    <w:rsid w:val="00363DF3"/>
    <w:rsid w:val="003644CE"/>
    <w:rsid w:val="003656D2"/>
    <w:rsid w:val="003659C8"/>
    <w:rsid w:val="003663BB"/>
    <w:rsid w:val="00366749"/>
    <w:rsid w:val="00367EDA"/>
    <w:rsid w:val="003700CE"/>
    <w:rsid w:val="0037035B"/>
    <w:rsid w:val="003709B5"/>
    <w:rsid w:val="003709B8"/>
    <w:rsid w:val="00371785"/>
    <w:rsid w:val="0037254F"/>
    <w:rsid w:val="00374E10"/>
    <w:rsid w:val="00374E92"/>
    <w:rsid w:val="00374FD8"/>
    <w:rsid w:val="00375DCD"/>
    <w:rsid w:val="00376567"/>
    <w:rsid w:val="00376B73"/>
    <w:rsid w:val="00376D80"/>
    <w:rsid w:val="00377314"/>
    <w:rsid w:val="003808F3"/>
    <w:rsid w:val="00380B73"/>
    <w:rsid w:val="00381531"/>
    <w:rsid w:val="0038179F"/>
    <w:rsid w:val="003817A4"/>
    <w:rsid w:val="003818A5"/>
    <w:rsid w:val="00382863"/>
    <w:rsid w:val="003833DD"/>
    <w:rsid w:val="003844AF"/>
    <w:rsid w:val="00384801"/>
    <w:rsid w:val="00384E40"/>
    <w:rsid w:val="00385A7A"/>
    <w:rsid w:val="00386E1B"/>
    <w:rsid w:val="003873B6"/>
    <w:rsid w:val="00387C4D"/>
    <w:rsid w:val="00390396"/>
    <w:rsid w:val="003914CB"/>
    <w:rsid w:val="0039381D"/>
    <w:rsid w:val="00394CE8"/>
    <w:rsid w:val="00394FF5"/>
    <w:rsid w:val="00395A24"/>
    <w:rsid w:val="0039755C"/>
    <w:rsid w:val="00397C59"/>
    <w:rsid w:val="003A02D7"/>
    <w:rsid w:val="003A08B8"/>
    <w:rsid w:val="003A165A"/>
    <w:rsid w:val="003A197B"/>
    <w:rsid w:val="003A1B40"/>
    <w:rsid w:val="003A2441"/>
    <w:rsid w:val="003A464D"/>
    <w:rsid w:val="003A4D38"/>
    <w:rsid w:val="003A4FED"/>
    <w:rsid w:val="003A67B1"/>
    <w:rsid w:val="003B1C86"/>
    <w:rsid w:val="003B2A84"/>
    <w:rsid w:val="003B5373"/>
    <w:rsid w:val="003B57B5"/>
    <w:rsid w:val="003B6534"/>
    <w:rsid w:val="003B67F3"/>
    <w:rsid w:val="003B7060"/>
    <w:rsid w:val="003C0764"/>
    <w:rsid w:val="003C1033"/>
    <w:rsid w:val="003C3974"/>
    <w:rsid w:val="003C3EBE"/>
    <w:rsid w:val="003C3F71"/>
    <w:rsid w:val="003C4433"/>
    <w:rsid w:val="003C4681"/>
    <w:rsid w:val="003C4BFF"/>
    <w:rsid w:val="003C6125"/>
    <w:rsid w:val="003C6ABA"/>
    <w:rsid w:val="003C7330"/>
    <w:rsid w:val="003C7DCA"/>
    <w:rsid w:val="003D15D4"/>
    <w:rsid w:val="003D1798"/>
    <w:rsid w:val="003D4859"/>
    <w:rsid w:val="003D4A22"/>
    <w:rsid w:val="003D515E"/>
    <w:rsid w:val="003D591E"/>
    <w:rsid w:val="003D7724"/>
    <w:rsid w:val="003D77D7"/>
    <w:rsid w:val="003E1725"/>
    <w:rsid w:val="003E42E0"/>
    <w:rsid w:val="003E5071"/>
    <w:rsid w:val="003E5764"/>
    <w:rsid w:val="003E68CA"/>
    <w:rsid w:val="003E7EB3"/>
    <w:rsid w:val="003F15E9"/>
    <w:rsid w:val="003F2387"/>
    <w:rsid w:val="003F251A"/>
    <w:rsid w:val="003F2666"/>
    <w:rsid w:val="003F2753"/>
    <w:rsid w:val="003F3A96"/>
    <w:rsid w:val="003F4EC3"/>
    <w:rsid w:val="003F5093"/>
    <w:rsid w:val="003F5233"/>
    <w:rsid w:val="003F6B6A"/>
    <w:rsid w:val="003F7950"/>
    <w:rsid w:val="004010B1"/>
    <w:rsid w:val="004020AA"/>
    <w:rsid w:val="00404F93"/>
    <w:rsid w:val="004058A4"/>
    <w:rsid w:val="00405CD2"/>
    <w:rsid w:val="00405CDB"/>
    <w:rsid w:val="004073F5"/>
    <w:rsid w:val="004074FC"/>
    <w:rsid w:val="00407D85"/>
    <w:rsid w:val="00410D21"/>
    <w:rsid w:val="00411760"/>
    <w:rsid w:val="00411CBB"/>
    <w:rsid w:val="0041268F"/>
    <w:rsid w:val="00412E87"/>
    <w:rsid w:val="00413441"/>
    <w:rsid w:val="00413487"/>
    <w:rsid w:val="00413FAD"/>
    <w:rsid w:val="00415342"/>
    <w:rsid w:val="00415526"/>
    <w:rsid w:val="00415768"/>
    <w:rsid w:val="00415867"/>
    <w:rsid w:val="004164CF"/>
    <w:rsid w:val="00417604"/>
    <w:rsid w:val="00417CAC"/>
    <w:rsid w:val="0042317B"/>
    <w:rsid w:val="00423443"/>
    <w:rsid w:val="00423601"/>
    <w:rsid w:val="004250F9"/>
    <w:rsid w:val="004252EA"/>
    <w:rsid w:val="004259BF"/>
    <w:rsid w:val="0042614D"/>
    <w:rsid w:val="0042779E"/>
    <w:rsid w:val="004303BD"/>
    <w:rsid w:val="00430AF1"/>
    <w:rsid w:val="0043102F"/>
    <w:rsid w:val="00431083"/>
    <w:rsid w:val="0043139A"/>
    <w:rsid w:val="00431C48"/>
    <w:rsid w:val="00432035"/>
    <w:rsid w:val="00432670"/>
    <w:rsid w:val="00432A75"/>
    <w:rsid w:val="00432F00"/>
    <w:rsid w:val="0043473D"/>
    <w:rsid w:val="00436E4B"/>
    <w:rsid w:val="00437144"/>
    <w:rsid w:val="004375E3"/>
    <w:rsid w:val="004410C9"/>
    <w:rsid w:val="004415B9"/>
    <w:rsid w:val="0044166D"/>
    <w:rsid w:val="0044240F"/>
    <w:rsid w:val="0044294E"/>
    <w:rsid w:val="00443A4E"/>
    <w:rsid w:val="00445B8C"/>
    <w:rsid w:val="00445C9F"/>
    <w:rsid w:val="00446812"/>
    <w:rsid w:val="004469A8"/>
    <w:rsid w:val="00446DFE"/>
    <w:rsid w:val="00447BA9"/>
    <w:rsid w:val="00447FE1"/>
    <w:rsid w:val="004514FF"/>
    <w:rsid w:val="00452061"/>
    <w:rsid w:val="004520BD"/>
    <w:rsid w:val="004528B1"/>
    <w:rsid w:val="00452BA7"/>
    <w:rsid w:val="004543E7"/>
    <w:rsid w:val="00454ADB"/>
    <w:rsid w:val="00454C16"/>
    <w:rsid w:val="00454E0A"/>
    <w:rsid w:val="00454F28"/>
    <w:rsid w:val="00455009"/>
    <w:rsid w:val="00455348"/>
    <w:rsid w:val="00455CB1"/>
    <w:rsid w:val="00455D5C"/>
    <w:rsid w:val="00455E38"/>
    <w:rsid w:val="00456185"/>
    <w:rsid w:val="00456407"/>
    <w:rsid w:val="00457CC2"/>
    <w:rsid w:val="00457F9B"/>
    <w:rsid w:val="00460B45"/>
    <w:rsid w:val="004613E6"/>
    <w:rsid w:val="00461961"/>
    <w:rsid w:val="00462FCF"/>
    <w:rsid w:val="004633BE"/>
    <w:rsid w:val="0046364D"/>
    <w:rsid w:val="00463F0C"/>
    <w:rsid w:val="00464547"/>
    <w:rsid w:val="004647FC"/>
    <w:rsid w:val="00464A3A"/>
    <w:rsid w:val="00466A8D"/>
    <w:rsid w:val="00466E4E"/>
    <w:rsid w:val="00467143"/>
    <w:rsid w:val="0046720A"/>
    <w:rsid w:val="00467429"/>
    <w:rsid w:val="0046750C"/>
    <w:rsid w:val="00467A79"/>
    <w:rsid w:val="004706AE"/>
    <w:rsid w:val="00470985"/>
    <w:rsid w:val="0047106B"/>
    <w:rsid w:val="00471176"/>
    <w:rsid w:val="004712F8"/>
    <w:rsid w:val="00472DFA"/>
    <w:rsid w:val="00472EEC"/>
    <w:rsid w:val="00473B68"/>
    <w:rsid w:val="00474FB8"/>
    <w:rsid w:val="0047508E"/>
    <w:rsid w:val="004750D9"/>
    <w:rsid w:val="004751BE"/>
    <w:rsid w:val="0047531E"/>
    <w:rsid w:val="00476196"/>
    <w:rsid w:val="00476DBC"/>
    <w:rsid w:val="00476F6A"/>
    <w:rsid w:val="00477678"/>
    <w:rsid w:val="00477A26"/>
    <w:rsid w:val="00477A48"/>
    <w:rsid w:val="00481BEB"/>
    <w:rsid w:val="00483501"/>
    <w:rsid w:val="0048488F"/>
    <w:rsid w:val="00484BEB"/>
    <w:rsid w:val="00485344"/>
    <w:rsid w:val="0048714E"/>
    <w:rsid w:val="004874AD"/>
    <w:rsid w:val="004918C7"/>
    <w:rsid w:val="00491A35"/>
    <w:rsid w:val="004936DF"/>
    <w:rsid w:val="00493C5B"/>
    <w:rsid w:val="00494119"/>
    <w:rsid w:val="004954EC"/>
    <w:rsid w:val="00495B05"/>
    <w:rsid w:val="00496444"/>
    <w:rsid w:val="004978DC"/>
    <w:rsid w:val="00497A26"/>
    <w:rsid w:val="00497B73"/>
    <w:rsid w:val="00497CEB"/>
    <w:rsid w:val="004A03CF"/>
    <w:rsid w:val="004A1931"/>
    <w:rsid w:val="004A1AF2"/>
    <w:rsid w:val="004A261B"/>
    <w:rsid w:val="004A33A1"/>
    <w:rsid w:val="004A34FB"/>
    <w:rsid w:val="004A3F62"/>
    <w:rsid w:val="004A436E"/>
    <w:rsid w:val="004A44F6"/>
    <w:rsid w:val="004A4881"/>
    <w:rsid w:val="004A4D1E"/>
    <w:rsid w:val="004A54C0"/>
    <w:rsid w:val="004A58A3"/>
    <w:rsid w:val="004A6507"/>
    <w:rsid w:val="004A67D0"/>
    <w:rsid w:val="004A7E9E"/>
    <w:rsid w:val="004B0004"/>
    <w:rsid w:val="004B1486"/>
    <w:rsid w:val="004B16B5"/>
    <w:rsid w:val="004B1B75"/>
    <w:rsid w:val="004B1FC0"/>
    <w:rsid w:val="004B2BF6"/>
    <w:rsid w:val="004B30F4"/>
    <w:rsid w:val="004B3BE2"/>
    <w:rsid w:val="004B40B0"/>
    <w:rsid w:val="004B4365"/>
    <w:rsid w:val="004B4EB4"/>
    <w:rsid w:val="004B5E42"/>
    <w:rsid w:val="004B61EB"/>
    <w:rsid w:val="004B670C"/>
    <w:rsid w:val="004B679D"/>
    <w:rsid w:val="004B6A7C"/>
    <w:rsid w:val="004B6B5E"/>
    <w:rsid w:val="004C1746"/>
    <w:rsid w:val="004C1B08"/>
    <w:rsid w:val="004C21D7"/>
    <w:rsid w:val="004C2C33"/>
    <w:rsid w:val="004C5929"/>
    <w:rsid w:val="004C7DA7"/>
    <w:rsid w:val="004D083B"/>
    <w:rsid w:val="004D1259"/>
    <w:rsid w:val="004D1379"/>
    <w:rsid w:val="004D2C4F"/>
    <w:rsid w:val="004D2DC5"/>
    <w:rsid w:val="004D38A0"/>
    <w:rsid w:val="004D3A2C"/>
    <w:rsid w:val="004D5118"/>
    <w:rsid w:val="004D58F8"/>
    <w:rsid w:val="004D5F37"/>
    <w:rsid w:val="004D60DE"/>
    <w:rsid w:val="004D640F"/>
    <w:rsid w:val="004D7295"/>
    <w:rsid w:val="004E0242"/>
    <w:rsid w:val="004E06B2"/>
    <w:rsid w:val="004E0D21"/>
    <w:rsid w:val="004E1B1C"/>
    <w:rsid w:val="004E2002"/>
    <w:rsid w:val="004E3C96"/>
    <w:rsid w:val="004E3F7D"/>
    <w:rsid w:val="004E4B75"/>
    <w:rsid w:val="004E5F8F"/>
    <w:rsid w:val="004E6922"/>
    <w:rsid w:val="004E79B8"/>
    <w:rsid w:val="004F028D"/>
    <w:rsid w:val="004F036F"/>
    <w:rsid w:val="004F0665"/>
    <w:rsid w:val="004F09D7"/>
    <w:rsid w:val="004F0C35"/>
    <w:rsid w:val="004F0D1B"/>
    <w:rsid w:val="004F15EC"/>
    <w:rsid w:val="004F1630"/>
    <w:rsid w:val="004F187D"/>
    <w:rsid w:val="004F213D"/>
    <w:rsid w:val="004F21CC"/>
    <w:rsid w:val="004F31EE"/>
    <w:rsid w:val="004F3BD9"/>
    <w:rsid w:val="004F4978"/>
    <w:rsid w:val="004F49E0"/>
    <w:rsid w:val="004F4BD9"/>
    <w:rsid w:val="004F5C4F"/>
    <w:rsid w:val="004F5DD8"/>
    <w:rsid w:val="004F7589"/>
    <w:rsid w:val="004F75AC"/>
    <w:rsid w:val="004F7C9C"/>
    <w:rsid w:val="004F7E45"/>
    <w:rsid w:val="00501190"/>
    <w:rsid w:val="005015C6"/>
    <w:rsid w:val="00502692"/>
    <w:rsid w:val="00502BB9"/>
    <w:rsid w:val="005046B1"/>
    <w:rsid w:val="005048A3"/>
    <w:rsid w:val="00505732"/>
    <w:rsid w:val="00506DA3"/>
    <w:rsid w:val="00507636"/>
    <w:rsid w:val="005076CA"/>
    <w:rsid w:val="00507FD4"/>
    <w:rsid w:val="00511757"/>
    <w:rsid w:val="00511992"/>
    <w:rsid w:val="00511C9C"/>
    <w:rsid w:val="005134F8"/>
    <w:rsid w:val="005135FD"/>
    <w:rsid w:val="00516539"/>
    <w:rsid w:val="0051666D"/>
    <w:rsid w:val="00520207"/>
    <w:rsid w:val="0052032A"/>
    <w:rsid w:val="00521166"/>
    <w:rsid w:val="005237CA"/>
    <w:rsid w:val="00524A0E"/>
    <w:rsid w:val="00524C57"/>
    <w:rsid w:val="0052510F"/>
    <w:rsid w:val="00525917"/>
    <w:rsid w:val="00525A19"/>
    <w:rsid w:val="0052621E"/>
    <w:rsid w:val="005267DE"/>
    <w:rsid w:val="00527BEF"/>
    <w:rsid w:val="00530515"/>
    <w:rsid w:val="00530535"/>
    <w:rsid w:val="005307DD"/>
    <w:rsid w:val="00530A8C"/>
    <w:rsid w:val="00530C05"/>
    <w:rsid w:val="00531088"/>
    <w:rsid w:val="00531385"/>
    <w:rsid w:val="0053226C"/>
    <w:rsid w:val="00532B61"/>
    <w:rsid w:val="00532C55"/>
    <w:rsid w:val="0053319A"/>
    <w:rsid w:val="00533234"/>
    <w:rsid w:val="005336D3"/>
    <w:rsid w:val="005344A5"/>
    <w:rsid w:val="00536173"/>
    <w:rsid w:val="00536857"/>
    <w:rsid w:val="005368B1"/>
    <w:rsid w:val="00537E67"/>
    <w:rsid w:val="005405B7"/>
    <w:rsid w:val="00540DA3"/>
    <w:rsid w:val="005441E9"/>
    <w:rsid w:val="0054486B"/>
    <w:rsid w:val="005448AA"/>
    <w:rsid w:val="00544EFE"/>
    <w:rsid w:val="00545180"/>
    <w:rsid w:val="00547637"/>
    <w:rsid w:val="00547B49"/>
    <w:rsid w:val="00547C6B"/>
    <w:rsid w:val="00547CBB"/>
    <w:rsid w:val="00550362"/>
    <w:rsid w:val="0055163B"/>
    <w:rsid w:val="00552D6D"/>
    <w:rsid w:val="005534D4"/>
    <w:rsid w:val="00554E52"/>
    <w:rsid w:val="00556401"/>
    <w:rsid w:val="0055669F"/>
    <w:rsid w:val="00557317"/>
    <w:rsid w:val="00560051"/>
    <w:rsid w:val="00562A10"/>
    <w:rsid w:val="00562CBA"/>
    <w:rsid w:val="00562DD9"/>
    <w:rsid w:val="005637EA"/>
    <w:rsid w:val="0056421B"/>
    <w:rsid w:val="0056638F"/>
    <w:rsid w:val="00566A0B"/>
    <w:rsid w:val="0056775D"/>
    <w:rsid w:val="00567D29"/>
    <w:rsid w:val="0057039A"/>
    <w:rsid w:val="0057046D"/>
    <w:rsid w:val="00570913"/>
    <w:rsid w:val="00571651"/>
    <w:rsid w:val="00571EE3"/>
    <w:rsid w:val="005721C6"/>
    <w:rsid w:val="005724AC"/>
    <w:rsid w:val="005742D7"/>
    <w:rsid w:val="005765AE"/>
    <w:rsid w:val="00576864"/>
    <w:rsid w:val="00577E73"/>
    <w:rsid w:val="00580CA5"/>
    <w:rsid w:val="00582541"/>
    <w:rsid w:val="005831C5"/>
    <w:rsid w:val="00584203"/>
    <w:rsid w:val="005844D0"/>
    <w:rsid w:val="005849ED"/>
    <w:rsid w:val="00586DD3"/>
    <w:rsid w:val="00587D84"/>
    <w:rsid w:val="00587F7D"/>
    <w:rsid w:val="0059019E"/>
    <w:rsid w:val="0059135F"/>
    <w:rsid w:val="00591EAD"/>
    <w:rsid w:val="00592010"/>
    <w:rsid w:val="00592150"/>
    <w:rsid w:val="0059218F"/>
    <w:rsid w:val="00593055"/>
    <w:rsid w:val="005933B6"/>
    <w:rsid w:val="0059354E"/>
    <w:rsid w:val="005935F5"/>
    <w:rsid w:val="00593DF4"/>
    <w:rsid w:val="00594F74"/>
    <w:rsid w:val="005A062C"/>
    <w:rsid w:val="005A085C"/>
    <w:rsid w:val="005A10F8"/>
    <w:rsid w:val="005A1842"/>
    <w:rsid w:val="005A33EB"/>
    <w:rsid w:val="005A3C51"/>
    <w:rsid w:val="005A4C28"/>
    <w:rsid w:val="005A525D"/>
    <w:rsid w:val="005A6440"/>
    <w:rsid w:val="005A64B0"/>
    <w:rsid w:val="005B01B7"/>
    <w:rsid w:val="005B0A06"/>
    <w:rsid w:val="005B1843"/>
    <w:rsid w:val="005B1A97"/>
    <w:rsid w:val="005B2C60"/>
    <w:rsid w:val="005B3DB6"/>
    <w:rsid w:val="005B43B1"/>
    <w:rsid w:val="005B43C0"/>
    <w:rsid w:val="005B4CD6"/>
    <w:rsid w:val="005B5D1D"/>
    <w:rsid w:val="005B6750"/>
    <w:rsid w:val="005B6B62"/>
    <w:rsid w:val="005B6C55"/>
    <w:rsid w:val="005B741E"/>
    <w:rsid w:val="005B7E68"/>
    <w:rsid w:val="005C03EF"/>
    <w:rsid w:val="005C14B8"/>
    <w:rsid w:val="005C187F"/>
    <w:rsid w:val="005C32B9"/>
    <w:rsid w:val="005C349D"/>
    <w:rsid w:val="005C3739"/>
    <w:rsid w:val="005C425B"/>
    <w:rsid w:val="005C502D"/>
    <w:rsid w:val="005C53B9"/>
    <w:rsid w:val="005C78E5"/>
    <w:rsid w:val="005C7DD4"/>
    <w:rsid w:val="005D0899"/>
    <w:rsid w:val="005D0C58"/>
    <w:rsid w:val="005D10A8"/>
    <w:rsid w:val="005D10F0"/>
    <w:rsid w:val="005D120D"/>
    <w:rsid w:val="005D1268"/>
    <w:rsid w:val="005D159C"/>
    <w:rsid w:val="005D1ED1"/>
    <w:rsid w:val="005D2B94"/>
    <w:rsid w:val="005D3406"/>
    <w:rsid w:val="005D49F7"/>
    <w:rsid w:val="005D4A76"/>
    <w:rsid w:val="005D4A7C"/>
    <w:rsid w:val="005D57FA"/>
    <w:rsid w:val="005D7BD0"/>
    <w:rsid w:val="005D7D2A"/>
    <w:rsid w:val="005E0BBD"/>
    <w:rsid w:val="005E13CD"/>
    <w:rsid w:val="005E20D6"/>
    <w:rsid w:val="005E3D99"/>
    <w:rsid w:val="005E3DCC"/>
    <w:rsid w:val="005E4967"/>
    <w:rsid w:val="005E4A34"/>
    <w:rsid w:val="005E5084"/>
    <w:rsid w:val="005E7199"/>
    <w:rsid w:val="005E7756"/>
    <w:rsid w:val="005E7B74"/>
    <w:rsid w:val="005E7C55"/>
    <w:rsid w:val="005E7C98"/>
    <w:rsid w:val="005F0038"/>
    <w:rsid w:val="005F0AD2"/>
    <w:rsid w:val="005F18F5"/>
    <w:rsid w:val="005F19F3"/>
    <w:rsid w:val="005F2458"/>
    <w:rsid w:val="005F25B3"/>
    <w:rsid w:val="005F2677"/>
    <w:rsid w:val="005F2704"/>
    <w:rsid w:val="005F28DA"/>
    <w:rsid w:val="005F31EC"/>
    <w:rsid w:val="005F3200"/>
    <w:rsid w:val="005F3293"/>
    <w:rsid w:val="005F394F"/>
    <w:rsid w:val="005F4848"/>
    <w:rsid w:val="005F559E"/>
    <w:rsid w:val="005F56FD"/>
    <w:rsid w:val="005F6316"/>
    <w:rsid w:val="005F6A11"/>
    <w:rsid w:val="005F7BA6"/>
    <w:rsid w:val="005F7F1E"/>
    <w:rsid w:val="00600049"/>
    <w:rsid w:val="00600A65"/>
    <w:rsid w:val="00600BDA"/>
    <w:rsid w:val="00601049"/>
    <w:rsid w:val="00604162"/>
    <w:rsid w:val="00604424"/>
    <w:rsid w:val="00605979"/>
    <w:rsid w:val="00605C1B"/>
    <w:rsid w:val="00606596"/>
    <w:rsid w:val="00610407"/>
    <w:rsid w:val="00610FD7"/>
    <w:rsid w:val="00611916"/>
    <w:rsid w:val="00611CCF"/>
    <w:rsid w:val="006142BB"/>
    <w:rsid w:val="00614E4F"/>
    <w:rsid w:val="006155D1"/>
    <w:rsid w:val="00615AEA"/>
    <w:rsid w:val="00616258"/>
    <w:rsid w:val="00616974"/>
    <w:rsid w:val="00620567"/>
    <w:rsid w:val="00620BCB"/>
    <w:rsid w:val="006217A1"/>
    <w:rsid w:val="00622E11"/>
    <w:rsid w:val="00623EBC"/>
    <w:rsid w:val="00624F9E"/>
    <w:rsid w:val="006250B3"/>
    <w:rsid w:val="0062580A"/>
    <w:rsid w:val="00625C91"/>
    <w:rsid w:val="00626B1B"/>
    <w:rsid w:val="00627B9A"/>
    <w:rsid w:val="00627E6A"/>
    <w:rsid w:val="00630220"/>
    <w:rsid w:val="00630A47"/>
    <w:rsid w:val="00631C47"/>
    <w:rsid w:val="0063222A"/>
    <w:rsid w:val="006324FA"/>
    <w:rsid w:val="006326FF"/>
    <w:rsid w:val="00632851"/>
    <w:rsid w:val="00632BC7"/>
    <w:rsid w:val="006330D3"/>
    <w:rsid w:val="00633355"/>
    <w:rsid w:val="0063347F"/>
    <w:rsid w:val="00634CDF"/>
    <w:rsid w:val="00634FDE"/>
    <w:rsid w:val="0063517E"/>
    <w:rsid w:val="00635F1B"/>
    <w:rsid w:val="00636434"/>
    <w:rsid w:val="00637C62"/>
    <w:rsid w:val="00637D33"/>
    <w:rsid w:val="00640E9B"/>
    <w:rsid w:val="00641986"/>
    <w:rsid w:val="00641CB7"/>
    <w:rsid w:val="006422A4"/>
    <w:rsid w:val="00642A03"/>
    <w:rsid w:val="00642F46"/>
    <w:rsid w:val="00645E15"/>
    <w:rsid w:val="0064615A"/>
    <w:rsid w:val="00646EE2"/>
    <w:rsid w:val="00647A96"/>
    <w:rsid w:val="0065005B"/>
    <w:rsid w:val="00650380"/>
    <w:rsid w:val="00651EC8"/>
    <w:rsid w:val="00652134"/>
    <w:rsid w:val="0065345F"/>
    <w:rsid w:val="006534B3"/>
    <w:rsid w:val="00653514"/>
    <w:rsid w:val="006541E8"/>
    <w:rsid w:val="006542E4"/>
    <w:rsid w:val="0065469F"/>
    <w:rsid w:val="0065472C"/>
    <w:rsid w:val="00654DA5"/>
    <w:rsid w:val="006551F8"/>
    <w:rsid w:val="00655B64"/>
    <w:rsid w:val="00655C94"/>
    <w:rsid w:val="00656003"/>
    <w:rsid w:val="0065753A"/>
    <w:rsid w:val="00657BCD"/>
    <w:rsid w:val="00657F54"/>
    <w:rsid w:val="006604AE"/>
    <w:rsid w:val="00660549"/>
    <w:rsid w:val="006608E4"/>
    <w:rsid w:val="006611CA"/>
    <w:rsid w:val="006614D7"/>
    <w:rsid w:val="006619BA"/>
    <w:rsid w:val="00661B57"/>
    <w:rsid w:val="006630F6"/>
    <w:rsid w:val="0066456D"/>
    <w:rsid w:val="00664CFB"/>
    <w:rsid w:val="00664F8B"/>
    <w:rsid w:val="006659B3"/>
    <w:rsid w:val="0066668D"/>
    <w:rsid w:val="00667736"/>
    <w:rsid w:val="00670868"/>
    <w:rsid w:val="00672865"/>
    <w:rsid w:val="006728C0"/>
    <w:rsid w:val="0067392D"/>
    <w:rsid w:val="00673EA8"/>
    <w:rsid w:val="006742B5"/>
    <w:rsid w:val="00675AD7"/>
    <w:rsid w:val="00675C97"/>
    <w:rsid w:val="0067626B"/>
    <w:rsid w:val="00676F6F"/>
    <w:rsid w:val="00677B38"/>
    <w:rsid w:val="00681104"/>
    <w:rsid w:val="0068295F"/>
    <w:rsid w:val="006846A7"/>
    <w:rsid w:val="006857C7"/>
    <w:rsid w:val="00686C4D"/>
    <w:rsid w:val="00687E76"/>
    <w:rsid w:val="00690A0D"/>
    <w:rsid w:val="00692CD6"/>
    <w:rsid w:val="00692F64"/>
    <w:rsid w:val="0069396F"/>
    <w:rsid w:val="006949FC"/>
    <w:rsid w:val="00694E7F"/>
    <w:rsid w:val="00695236"/>
    <w:rsid w:val="00695AFC"/>
    <w:rsid w:val="00695BB7"/>
    <w:rsid w:val="00696859"/>
    <w:rsid w:val="0069729A"/>
    <w:rsid w:val="00697C8A"/>
    <w:rsid w:val="006A1D82"/>
    <w:rsid w:val="006A34EE"/>
    <w:rsid w:val="006A380D"/>
    <w:rsid w:val="006A42C9"/>
    <w:rsid w:val="006A55D7"/>
    <w:rsid w:val="006A57DA"/>
    <w:rsid w:val="006A5AF2"/>
    <w:rsid w:val="006A6F6B"/>
    <w:rsid w:val="006A746D"/>
    <w:rsid w:val="006A7A06"/>
    <w:rsid w:val="006B1163"/>
    <w:rsid w:val="006B1184"/>
    <w:rsid w:val="006B180B"/>
    <w:rsid w:val="006B1DA1"/>
    <w:rsid w:val="006B1E77"/>
    <w:rsid w:val="006B208C"/>
    <w:rsid w:val="006B3095"/>
    <w:rsid w:val="006B42FC"/>
    <w:rsid w:val="006B4BC2"/>
    <w:rsid w:val="006B641D"/>
    <w:rsid w:val="006B646F"/>
    <w:rsid w:val="006B7935"/>
    <w:rsid w:val="006B7E23"/>
    <w:rsid w:val="006C0A21"/>
    <w:rsid w:val="006C1B1A"/>
    <w:rsid w:val="006C1B5D"/>
    <w:rsid w:val="006C28A1"/>
    <w:rsid w:val="006C2A54"/>
    <w:rsid w:val="006C2B6D"/>
    <w:rsid w:val="006C2B87"/>
    <w:rsid w:val="006C2CD1"/>
    <w:rsid w:val="006C2D86"/>
    <w:rsid w:val="006C2E3C"/>
    <w:rsid w:val="006C4AF2"/>
    <w:rsid w:val="006C4F0A"/>
    <w:rsid w:val="006C52F8"/>
    <w:rsid w:val="006C5F97"/>
    <w:rsid w:val="006C669A"/>
    <w:rsid w:val="006C6B7F"/>
    <w:rsid w:val="006C7E2F"/>
    <w:rsid w:val="006D022E"/>
    <w:rsid w:val="006D0CD8"/>
    <w:rsid w:val="006D10F1"/>
    <w:rsid w:val="006D236A"/>
    <w:rsid w:val="006D2C89"/>
    <w:rsid w:val="006D331C"/>
    <w:rsid w:val="006D36FD"/>
    <w:rsid w:val="006D3D72"/>
    <w:rsid w:val="006D526E"/>
    <w:rsid w:val="006D7060"/>
    <w:rsid w:val="006E0984"/>
    <w:rsid w:val="006E1E65"/>
    <w:rsid w:val="006E1F0B"/>
    <w:rsid w:val="006E21B4"/>
    <w:rsid w:val="006E2382"/>
    <w:rsid w:val="006E24E5"/>
    <w:rsid w:val="006E309E"/>
    <w:rsid w:val="006E3976"/>
    <w:rsid w:val="006E54F7"/>
    <w:rsid w:val="006E5AF7"/>
    <w:rsid w:val="006E7883"/>
    <w:rsid w:val="006E7E2A"/>
    <w:rsid w:val="006F0571"/>
    <w:rsid w:val="006F0896"/>
    <w:rsid w:val="006F2032"/>
    <w:rsid w:val="006F221C"/>
    <w:rsid w:val="006F22F4"/>
    <w:rsid w:val="006F2ECE"/>
    <w:rsid w:val="006F3194"/>
    <w:rsid w:val="006F321A"/>
    <w:rsid w:val="006F34AC"/>
    <w:rsid w:val="006F4027"/>
    <w:rsid w:val="006F422A"/>
    <w:rsid w:val="006F4F98"/>
    <w:rsid w:val="006F6902"/>
    <w:rsid w:val="006F6C68"/>
    <w:rsid w:val="006F7745"/>
    <w:rsid w:val="006F7DB8"/>
    <w:rsid w:val="0070050F"/>
    <w:rsid w:val="00700B8F"/>
    <w:rsid w:val="00700BAA"/>
    <w:rsid w:val="00700CDC"/>
    <w:rsid w:val="00700FF3"/>
    <w:rsid w:val="0070172C"/>
    <w:rsid w:val="00701DFB"/>
    <w:rsid w:val="00703B08"/>
    <w:rsid w:val="00703CFE"/>
    <w:rsid w:val="00704D92"/>
    <w:rsid w:val="0070523A"/>
    <w:rsid w:val="00705D79"/>
    <w:rsid w:val="0070702B"/>
    <w:rsid w:val="0070713A"/>
    <w:rsid w:val="00707C5D"/>
    <w:rsid w:val="0071057A"/>
    <w:rsid w:val="00710E2D"/>
    <w:rsid w:val="0071120B"/>
    <w:rsid w:val="0071176B"/>
    <w:rsid w:val="007117A7"/>
    <w:rsid w:val="00711E31"/>
    <w:rsid w:val="007121C1"/>
    <w:rsid w:val="00713B86"/>
    <w:rsid w:val="0071444D"/>
    <w:rsid w:val="0071633D"/>
    <w:rsid w:val="0071748E"/>
    <w:rsid w:val="007179AF"/>
    <w:rsid w:val="0072025F"/>
    <w:rsid w:val="00720DF0"/>
    <w:rsid w:val="00722726"/>
    <w:rsid w:val="00722E01"/>
    <w:rsid w:val="00724258"/>
    <w:rsid w:val="007254B0"/>
    <w:rsid w:val="007260E3"/>
    <w:rsid w:val="007261B2"/>
    <w:rsid w:val="00726650"/>
    <w:rsid w:val="00727D97"/>
    <w:rsid w:val="0073031C"/>
    <w:rsid w:val="00730431"/>
    <w:rsid w:val="0073078F"/>
    <w:rsid w:val="00730A1B"/>
    <w:rsid w:val="00730B24"/>
    <w:rsid w:val="00731138"/>
    <w:rsid w:val="007312C5"/>
    <w:rsid w:val="007324B6"/>
    <w:rsid w:val="00733487"/>
    <w:rsid w:val="00733965"/>
    <w:rsid w:val="00734A87"/>
    <w:rsid w:val="00736315"/>
    <w:rsid w:val="00737D04"/>
    <w:rsid w:val="00741577"/>
    <w:rsid w:val="00741613"/>
    <w:rsid w:val="00741834"/>
    <w:rsid w:val="007419D2"/>
    <w:rsid w:val="00742102"/>
    <w:rsid w:val="00743254"/>
    <w:rsid w:val="0074336E"/>
    <w:rsid w:val="00744F22"/>
    <w:rsid w:val="00745431"/>
    <w:rsid w:val="007455CC"/>
    <w:rsid w:val="00746EBB"/>
    <w:rsid w:val="00747B23"/>
    <w:rsid w:val="00750338"/>
    <w:rsid w:val="00750532"/>
    <w:rsid w:val="007509A1"/>
    <w:rsid w:val="00752EA5"/>
    <w:rsid w:val="00753554"/>
    <w:rsid w:val="0075556B"/>
    <w:rsid w:val="0075559E"/>
    <w:rsid w:val="007556B6"/>
    <w:rsid w:val="00755F46"/>
    <w:rsid w:val="00756694"/>
    <w:rsid w:val="00756AAC"/>
    <w:rsid w:val="00756BC2"/>
    <w:rsid w:val="00756E93"/>
    <w:rsid w:val="00760254"/>
    <w:rsid w:val="0076053F"/>
    <w:rsid w:val="00760581"/>
    <w:rsid w:val="00760865"/>
    <w:rsid w:val="007613A3"/>
    <w:rsid w:val="007638B0"/>
    <w:rsid w:val="007659BA"/>
    <w:rsid w:val="00766C17"/>
    <w:rsid w:val="0076701D"/>
    <w:rsid w:val="007678EC"/>
    <w:rsid w:val="00767B4C"/>
    <w:rsid w:val="00770CB8"/>
    <w:rsid w:val="0077150A"/>
    <w:rsid w:val="007715CD"/>
    <w:rsid w:val="0077327B"/>
    <w:rsid w:val="00775E59"/>
    <w:rsid w:val="00776180"/>
    <w:rsid w:val="007769EE"/>
    <w:rsid w:val="00776AD0"/>
    <w:rsid w:val="00777EB6"/>
    <w:rsid w:val="0078067B"/>
    <w:rsid w:val="00780980"/>
    <w:rsid w:val="00781133"/>
    <w:rsid w:val="0078188C"/>
    <w:rsid w:val="00781DD2"/>
    <w:rsid w:val="00782A59"/>
    <w:rsid w:val="00782B65"/>
    <w:rsid w:val="00782CC8"/>
    <w:rsid w:val="00783607"/>
    <w:rsid w:val="0078379B"/>
    <w:rsid w:val="0078595B"/>
    <w:rsid w:val="00787A0D"/>
    <w:rsid w:val="007912F1"/>
    <w:rsid w:val="00791837"/>
    <w:rsid w:val="00791B65"/>
    <w:rsid w:val="00792016"/>
    <w:rsid w:val="0079232B"/>
    <w:rsid w:val="00792B40"/>
    <w:rsid w:val="00793825"/>
    <w:rsid w:val="00793DA6"/>
    <w:rsid w:val="00793E00"/>
    <w:rsid w:val="00794C8A"/>
    <w:rsid w:val="007955A6"/>
    <w:rsid w:val="00795D14"/>
    <w:rsid w:val="00795E5C"/>
    <w:rsid w:val="007968B9"/>
    <w:rsid w:val="007A03B6"/>
    <w:rsid w:val="007A2A02"/>
    <w:rsid w:val="007A3393"/>
    <w:rsid w:val="007A3674"/>
    <w:rsid w:val="007A422B"/>
    <w:rsid w:val="007A5A6B"/>
    <w:rsid w:val="007A6803"/>
    <w:rsid w:val="007A7091"/>
    <w:rsid w:val="007A7244"/>
    <w:rsid w:val="007A7D05"/>
    <w:rsid w:val="007B1076"/>
    <w:rsid w:val="007B11B7"/>
    <w:rsid w:val="007B1CF5"/>
    <w:rsid w:val="007B2447"/>
    <w:rsid w:val="007B2527"/>
    <w:rsid w:val="007B272A"/>
    <w:rsid w:val="007B41AC"/>
    <w:rsid w:val="007B485E"/>
    <w:rsid w:val="007B5895"/>
    <w:rsid w:val="007B5DF1"/>
    <w:rsid w:val="007B649B"/>
    <w:rsid w:val="007C0C94"/>
    <w:rsid w:val="007C1432"/>
    <w:rsid w:val="007C1890"/>
    <w:rsid w:val="007C2536"/>
    <w:rsid w:val="007C2558"/>
    <w:rsid w:val="007C27DB"/>
    <w:rsid w:val="007C2F52"/>
    <w:rsid w:val="007C3C03"/>
    <w:rsid w:val="007C5F85"/>
    <w:rsid w:val="007C65E2"/>
    <w:rsid w:val="007C6713"/>
    <w:rsid w:val="007C6F79"/>
    <w:rsid w:val="007C7595"/>
    <w:rsid w:val="007C7759"/>
    <w:rsid w:val="007C778B"/>
    <w:rsid w:val="007D04DA"/>
    <w:rsid w:val="007D0506"/>
    <w:rsid w:val="007D0802"/>
    <w:rsid w:val="007D0E1D"/>
    <w:rsid w:val="007D19CE"/>
    <w:rsid w:val="007D1B8B"/>
    <w:rsid w:val="007D4377"/>
    <w:rsid w:val="007D52EE"/>
    <w:rsid w:val="007D59D6"/>
    <w:rsid w:val="007D6509"/>
    <w:rsid w:val="007D6EBA"/>
    <w:rsid w:val="007E01DA"/>
    <w:rsid w:val="007E12CF"/>
    <w:rsid w:val="007E1A83"/>
    <w:rsid w:val="007E1FEF"/>
    <w:rsid w:val="007E385E"/>
    <w:rsid w:val="007E3DF1"/>
    <w:rsid w:val="007E3EE4"/>
    <w:rsid w:val="007E505E"/>
    <w:rsid w:val="007E5EB4"/>
    <w:rsid w:val="007E65CF"/>
    <w:rsid w:val="007E7825"/>
    <w:rsid w:val="007F0237"/>
    <w:rsid w:val="007F07CD"/>
    <w:rsid w:val="007F0B4A"/>
    <w:rsid w:val="007F0E16"/>
    <w:rsid w:val="007F162D"/>
    <w:rsid w:val="007F1CC7"/>
    <w:rsid w:val="007F1DF2"/>
    <w:rsid w:val="007F2008"/>
    <w:rsid w:val="007F2062"/>
    <w:rsid w:val="007F20A6"/>
    <w:rsid w:val="007F239E"/>
    <w:rsid w:val="007F4DD3"/>
    <w:rsid w:val="007F5955"/>
    <w:rsid w:val="007F6E75"/>
    <w:rsid w:val="007F722E"/>
    <w:rsid w:val="007F7A9F"/>
    <w:rsid w:val="007F7BFE"/>
    <w:rsid w:val="007F7C88"/>
    <w:rsid w:val="008005F5"/>
    <w:rsid w:val="00801010"/>
    <w:rsid w:val="0080110A"/>
    <w:rsid w:val="00801613"/>
    <w:rsid w:val="00801A9E"/>
    <w:rsid w:val="00802276"/>
    <w:rsid w:val="008034D8"/>
    <w:rsid w:val="00803813"/>
    <w:rsid w:val="00803B7B"/>
    <w:rsid w:val="00804057"/>
    <w:rsid w:val="008047BE"/>
    <w:rsid w:val="00804828"/>
    <w:rsid w:val="008056A4"/>
    <w:rsid w:val="008056A6"/>
    <w:rsid w:val="00806C3B"/>
    <w:rsid w:val="00806F9C"/>
    <w:rsid w:val="00807186"/>
    <w:rsid w:val="0080753D"/>
    <w:rsid w:val="0080758A"/>
    <w:rsid w:val="00807669"/>
    <w:rsid w:val="0081047E"/>
    <w:rsid w:val="00810866"/>
    <w:rsid w:val="00811F9E"/>
    <w:rsid w:val="00813D88"/>
    <w:rsid w:val="008147A4"/>
    <w:rsid w:val="0081492F"/>
    <w:rsid w:val="00814EE6"/>
    <w:rsid w:val="00816D93"/>
    <w:rsid w:val="00816EEA"/>
    <w:rsid w:val="0081713D"/>
    <w:rsid w:val="0081792C"/>
    <w:rsid w:val="008179F6"/>
    <w:rsid w:val="00817AC4"/>
    <w:rsid w:val="00817EF5"/>
    <w:rsid w:val="00820357"/>
    <w:rsid w:val="00821595"/>
    <w:rsid w:val="00821C93"/>
    <w:rsid w:val="0082310C"/>
    <w:rsid w:val="00823A7A"/>
    <w:rsid w:val="00823ECD"/>
    <w:rsid w:val="0082404A"/>
    <w:rsid w:val="008256F9"/>
    <w:rsid w:val="0082578F"/>
    <w:rsid w:val="00825F84"/>
    <w:rsid w:val="0082636B"/>
    <w:rsid w:val="008269A7"/>
    <w:rsid w:val="00826F9F"/>
    <w:rsid w:val="00827C40"/>
    <w:rsid w:val="00827D32"/>
    <w:rsid w:val="00827F2D"/>
    <w:rsid w:val="00830236"/>
    <w:rsid w:val="008305CD"/>
    <w:rsid w:val="008307E9"/>
    <w:rsid w:val="00830BBD"/>
    <w:rsid w:val="0083172A"/>
    <w:rsid w:val="00831BC6"/>
    <w:rsid w:val="00832292"/>
    <w:rsid w:val="008336B8"/>
    <w:rsid w:val="00833D89"/>
    <w:rsid w:val="008356B6"/>
    <w:rsid w:val="00836088"/>
    <w:rsid w:val="00836471"/>
    <w:rsid w:val="008375DA"/>
    <w:rsid w:val="00837879"/>
    <w:rsid w:val="00840F31"/>
    <w:rsid w:val="00841636"/>
    <w:rsid w:val="00842260"/>
    <w:rsid w:val="008429B7"/>
    <w:rsid w:val="00842AA7"/>
    <w:rsid w:val="00844DC2"/>
    <w:rsid w:val="00846AFC"/>
    <w:rsid w:val="0084706F"/>
    <w:rsid w:val="00847852"/>
    <w:rsid w:val="00852898"/>
    <w:rsid w:val="008528F0"/>
    <w:rsid w:val="008532A6"/>
    <w:rsid w:val="0085393E"/>
    <w:rsid w:val="00853E4C"/>
    <w:rsid w:val="00853EFC"/>
    <w:rsid w:val="0085474C"/>
    <w:rsid w:val="00854833"/>
    <w:rsid w:val="00855FC3"/>
    <w:rsid w:val="00856160"/>
    <w:rsid w:val="00856B3D"/>
    <w:rsid w:val="00860602"/>
    <w:rsid w:val="00860701"/>
    <w:rsid w:val="00861B6F"/>
    <w:rsid w:val="00862894"/>
    <w:rsid w:val="00863158"/>
    <w:rsid w:val="00863653"/>
    <w:rsid w:val="00863B83"/>
    <w:rsid w:val="0086422D"/>
    <w:rsid w:val="0086593A"/>
    <w:rsid w:val="008664FE"/>
    <w:rsid w:val="00870E1C"/>
    <w:rsid w:val="00872FA5"/>
    <w:rsid w:val="008739F7"/>
    <w:rsid w:val="00875A71"/>
    <w:rsid w:val="00875FDA"/>
    <w:rsid w:val="00876A5C"/>
    <w:rsid w:val="00876EA6"/>
    <w:rsid w:val="00877121"/>
    <w:rsid w:val="00877DAE"/>
    <w:rsid w:val="00881240"/>
    <w:rsid w:val="00883207"/>
    <w:rsid w:val="008849A6"/>
    <w:rsid w:val="008849A7"/>
    <w:rsid w:val="00886175"/>
    <w:rsid w:val="008863DF"/>
    <w:rsid w:val="008869D0"/>
    <w:rsid w:val="00886BD9"/>
    <w:rsid w:val="00886C1E"/>
    <w:rsid w:val="0089021A"/>
    <w:rsid w:val="008908F1"/>
    <w:rsid w:val="008909CC"/>
    <w:rsid w:val="008912AA"/>
    <w:rsid w:val="008914A5"/>
    <w:rsid w:val="00891520"/>
    <w:rsid w:val="008915E4"/>
    <w:rsid w:val="0089193A"/>
    <w:rsid w:val="00891EF4"/>
    <w:rsid w:val="00892ECA"/>
    <w:rsid w:val="00893BFC"/>
    <w:rsid w:val="008942A8"/>
    <w:rsid w:val="0089456E"/>
    <w:rsid w:val="00896C71"/>
    <w:rsid w:val="00897739"/>
    <w:rsid w:val="008A03A0"/>
    <w:rsid w:val="008A0581"/>
    <w:rsid w:val="008A30BB"/>
    <w:rsid w:val="008A39C4"/>
    <w:rsid w:val="008A4684"/>
    <w:rsid w:val="008A48C6"/>
    <w:rsid w:val="008A60B8"/>
    <w:rsid w:val="008A629D"/>
    <w:rsid w:val="008A7561"/>
    <w:rsid w:val="008B1592"/>
    <w:rsid w:val="008B1D46"/>
    <w:rsid w:val="008B290B"/>
    <w:rsid w:val="008B2A6B"/>
    <w:rsid w:val="008B2C8F"/>
    <w:rsid w:val="008B3AA1"/>
    <w:rsid w:val="008B3D5D"/>
    <w:rsid w:val="008B5699"/>
    <w:rsid w:val="008B5908"/>
    <w:rsid w:val="008B6019"/>
    <w:rsid w:val="008B70D5"/>
    <w:rsid w:val="008C0AE5"/>
    <w:rsid w:val="008C0BC4"/>
    <w:rsid w:val="008C2EF6"/>
    <w:rsid w:val="008C2EF8"/>
    <w:rsid w:val="008C41B0"/>
    <w:rsid w:val="008C4733"/>
    <w:rsid w:val="008C4AB0"/>
    <w:rsid w:val="008C4C6E"/>
    <w:rsid w:val="008C510B"/>
    <w:rsid w:val="008C5561"/>
    <w:rsid w:val="008C5745"/>
    <w:rsid w:val="008C5944"/>
    <w:rsid w:val="008C5D8C"/>
    <w:rsid w:val="008C61A6"/>
    <w:rsid w:val="008C6883"/>
    <w:rsid w:val="008D01F0"/>
    <w:rsid w:val="008D0252"/>
    <w:rsid w:val="008D02A3"/>
    <w:rsid w:val="008D1802"/>
    <w:rsid w:val="008D180D"/>
    <w:rsid w:val="008D1FBE"/>
    <w:rsid w:val="008D2C41"/>
    <w:rsid w:val="008D36C8"/>
    <w:rsid w:val="008D37DB"/>
    <w:rsid w:val="008D3A62"/>
    <w:rsid w:val="008D3E77"/>
    <w:rsid w:val="008D42CE"/>
    <w:rsid w:val="008D58A5"/>
    <w:rsid w:val="008D5EC6"/>
    <w:rsid w:val="008D668F"/>
    <w:rsid w:val="008D75EC"/>
    <w:rsid w:val="008D7CC2"/>
    <w:rsid w:val="008E04F3"/>
    <w:rsid w:val="008E2174"/>
    <w:rsid w:val="008E2A00"/>
    <w:rsid w:val="008E2CEF"/>
    <w:rsid w:val="008E36A2"/>
    <w:rsid w:val="008E3CCC"/>
    <w:rsid w:val="008E42FC"/>
    <w:rsid w:val="008E71D2"/>
    <w:rsid w:val="008E7872"/>
    <w:rsid w:val="008E7BBA"/>
    <w:rsid w:val="008F03A1"/>
    <w:rsid w:val="008F10E3"/>
    <w:rsid w:val="008F1187"/>
    <w:rsid w:val="008F18A3"/>
    <w:rsid w:val="008F1B17"/>
    <w:rsid w:val="008F1F8F"/>
    <w:rsid w:val="008F32E0"/>
    <w:rsid w:val="008F37F3"/>
    <w:rsid w:val="008F3ABE"/>
    <w:rsid w:val="008F3C81"/>
    <w:rsid w:val="008F4C77"/>
    <w:rsid w:val="008F677F"/>
    <w:rsid w:val="0090081C"/>
    <w:rsid w:val="009012C8"/>
    <w:rsid w:val="00901413"/>
    <w:rsid w:val="009015E8"/>
    <w:rsid w:val="00901ACE"/>
    <w:rsid w:val="00902111"/>
    <w:rsid w:val="00902BF3"/>
    <w:rsid w:val="00902CAD"/>
    <w:rsid w:val="0090323B"/>
    <w:rsid w:val="00905672"/>
    <w:rsid w:val="009057CA"/>
    <w:rsid w:val="00905E89"/>
    <w:rsid w:val="00905F0F"/>
    <w:rsid w:val="00906074"/>
    <w:rsid w:val="009063E0"/>
    <w:rsid w:val="0091033C"/>
    <w:rsid w:val="00910870"/>
    <w:rsid w:val="00910C93"/>
    <w:rsid w:val="009110EE"/>
    <w:rsid w:val="0091201F"/>
    <w:rsid w:val="009124CF"/>
    <w:rsid w:val="00912847"/>
    <w:rsid w:val="00912E8D"/>
    <w:rsid w:val="00913028"/>
    <w:rsid w:val="009131EC"/>
    <w:rsid w:val="00913DE5"/>
    <w:rsid w:val="00914574"/>
    <w:rsid w:val="00914965"/>
    <w:rsid w:val="00914CA7"/>
    <w:rsid w:val="00915058"/>
    <w:rsid w:val="009150DD"/>
    <w:rsid w:val="00916298"/>
    <w:rsid w:val="00916C92"/>
    <w:rsid w:val="00916F98"/>
    <w:rsid w:val="009174C0"/>
    <w:rsid w:val="00917C23"/>
    <w:rsid w:val="00920E83"/>
    <w:rsid w:val="00921424"/>
    <w:rsid w:val="0092158B"/>
    <w:rsid w:val="00921710"/>
    <w:rsid w:val="00921CE9"/>
    <w:rsid w:val="00922059"/>
    <w:rsid w:val="0092236D"/>
    <w:rsid w:val="00923DE2"/>
    <w:rsid w:val="00925405"/>
    <w:rsid w:val="00927003"/>
    <w:rsid w:val="009270A2"/>
    <w:rsid w:val="009276F9"/>
    <w:rsid w:val="009306BA"/>
    <w:rsid w:val="009312CF"/>
    <w:rsid w:val="00931A16"/>
    <w:rsid w:val="00931F70"/>
    <w:rsid w:val="00932068"/>
    <w:rsid w:val="00932D71"/>
    <w:rsid w:val="00932F29"/>
    <w:rsid w:val="00932F82"/>
    <w:rsid w:val="00933743"/>
    <w:rsid w:val="00934D1C"/>
    <w:rsid w:val="00935B0E"/>
    <w:rsid w:val="00935E01"/>
    <w:rsid w:val="00936AA3"/>
    <w:rsid w:val="00936B76"/>
    <w:rsid w:val="00936BF8"/>
    <w:rsid w:val="00936CBC"/>
    <w:rsid w:val="009373F0"/>
    <w:rsid w:val="0094003B"/>
    <w:rsid w:val="0094152B"/>
    <w:rsid w:val="00941B7A"/>
    <w:rsid w:val="009423BB"/>
    <w:rsid w:val="0094335C"/>
    <w:rsid w:val="00943866"/>
    <w:rsid w:val="0094397F"/>
    <w:rsid w:val="0094438B"/>
    <w:rsid w:val="00944445"/>
    <w:rsid w:val="009446EF"/>
    <w:rsid w:val="00944A46"/>
    <w:rsid w:val="00946E9F"/>
    <w:rsid w:val="00947B60"/>
    <w:rsid w:val="00950D26"/>
    <w:rsid w:val="0095223D"/>
    <w:rsid w:val="00952E1C"/>
    <w:rsid w:val="009531B1"/>
    <w:rsid w:val="00953E97"/>
    <w:rsid w:val="009541B5"/>
    <w:rsid w:val="009550DA"/>
    <w:rsid w:val="009554C0"/>
    <w:rsid w:val="00955D27"/>
    <w:rsid w:val="009563B5"/>
    <w:rsid w:val="009567B4"/>
    <w:rsid w:val="00956DDF"/>
    <w:rsid w:val="00957174"/>
    <w:rsid w:val="00957337"/>
    <w:rsid w:val="00957E4E"/>
    <w:rsid w:val="00961314"/>
    <w:rsid w:val="009618E4"/>
    <w:rsid w:val="00962724"/>
    <w:rsid w:val="009635BC"/>
    <w:rsid w:val="009636CE"/>
    <w:rsid w:val="00964196"/>
    <w:rsid w:val="009643CB"/>
    <w:rsid w:val="00965CE1"/>
    <w:rsid w:val="0096681D"/>
    <w:rsid w:val="00970943"/>
    <w:rsid w:val="00971B0E"/>
    <w:rsid w:val="00972C20"/>
    <w:rsid w:val="0097356A"/>
    <w:rsid w:val="00973BCD"/>
    <w:rsid w:val="00973D77"/>
    <w:rsid w:val="009742AF"/>
    <w:rsid w:val="009745C5"/>
    <w:rsid w:val="00974DC9"/>
    <w:rsid w:val="0097599D"/>
    <w:rsid w:val="00975DD3"/>
    <w:rsid w:val="0097624B"/>
    <w:rsid w:val="00976B01"/>
    <w:rsid w:val="00976D1E"/>
    <w:rsid w:val="009775BB"/>
    <w:rsid w:val="00977E40"/>
    <w:rsid w:val="00980C17"/>
    <w:rsid w:val="009811A4"/>
    <w:rsid w:val="009826E3"/>
    <w:rsid w:val="0098277E"/>
    <w:rsid w:val="0098284A"/>
    <w:rsid w:val="00982B8B"/>
    <w:rsid w:val="00984B90"/>
    <w:rsid w:val="00984E87"/>
    <w:rsid w:val="009866CA"/>
    <w:rsid w:val="009870ED"/>
    <w:rsid w:val="009878D9"/>
    <w:rsid w:val="00987D56"/>
    <w:rsid w:val="0099018C"/>
    <w:rsid w:val="009902B2"/>
    <w:rsid w:val="0099066B"/>
    <w:rsid w:val="00990B72"/>
    <w:rsid w:val="00991258"/>
    <w:rsid w:val="00991B0A"/>
    <w:rsid w:val="009920E4"/>
    <w:rsid w:val="0099226C"/>
    <w:rsid w:val="00993E6C"/>
    <w:rsid w:val="0099549C"/>
    <w:rsid w:val="00995EDC"/>
    <w:rsid w:val="009A1039"/>
    <w:rsid w:val="009A1575"/>
    <w:rsid w:val="009A1EEF"/>
    <w:rsid w:val="009A34FF"/>
    <w:rsid w:val="009A4327"/>
    <w:rsid w:val="009A496E"/>
    <w:rsid w:val="009A4A38"/>
    <w:rsid w:val="009A4BB5"/>
    <w:rsid w:val="009A4DBF"/>
    <w:rsid w:val="009A5093"/>
    <w:rsid w:val="009A5EE9"/>
    <w:rsid w:val="009A78D9"/>
    <w:rsid w:val="009B0923"/>
    <w:rsid w:val="009B0F04"/>
    <w:rsid w:val="009B21E2"/>
    <w:rsid w:val="009B23A0"/>
    <w:rsid w:val="009B2585"/>
    <w:rsid w:val="009B2E64"/>
    <w:rsid w:val="009B3EC0"/>
    <w:rsid w:val="009B44E1"/>
    <w:rsid w:val="009B4F62"/>
    <w:rsid w:val="009B4F87"/>
    <w:rsid w:val="009B59AE"/>
    <w:rsid w:val="009B5B9B"/>
    <w:rsid w:val="009B5D3F"/>
    <w:rsid w:val="009B5E1F"/>
    <w:rsid w:val="009B6ACD"/>
    <w:rsid w:val="009B6E95"/>
    <w:rsid w:val="009B70E5"/>
    <w:rsid w:val="009C0CFA"/>
    <w:rsid w:val="009C1870"/>
    <w:rsid w:val="009C18CE"/>
    <w:rsid w:val="009C1902"/>
    <w:rsid w:val="009C261F"/>
    <w:rsid w:val="009C263F"/>
    <w:rsid w:val="009C2651"/>
    <w:rsid w:val="009C2B4A"/>
    <w:rsid w:val="009C2FBF"/>
    <w:rsid w:val="009C326D"/>
    <w:rsid w:val="009C34D0"/>
    <w:rsid w:val="009C43AC"/>
    <w:rsid w:val="009C50A5"/>
    <w:rsid w:val="009C51DE"/>
    <w:rsid w:val="009C57FC"/>
    <w:rsid w:val="009C5F39"/>
    <w:rsid w:val="009C5FF3"/>
    <w:rsid w:val="009C6613"/>
    <w:rsid w:val="009C67F9"/>
    <w:rsid w:val="009C75DC"/>
    <w:rsid w:val="009D0346"/>
    <w:rsid w:val="009D0928"/>
    <w:rsid w:val="009D1659"/>
    <w:rsid w:val="009D1A76"/>
    <w:rsid w:val="009D1B3F"/>
    <w:rsid w:val="009D35D4"/>
    <w:rsid w:val="009D4838"/>
    <w:rsid w:val="009D586C"/>
    <w:rsid w:val="009D5945"/>
    <w:rsid w:val="009D5963"/>
    <w:rsid w:val="009D6C3E"/>
    <w:rsid w:val="009E0313"/>
    <w:rsid w:val="009E2222"/>
    <w:rsid w:val="009E25AE"/>
    <w:rsid w:val="009E2F59"/>
    <w:rsid w:val="009E38D0"/>
    <w:rsid w:val="009E4808"/>
    <w:rsid w:val="009E603F"/>
    <w:rsid w:val="009E611D"/>
    <w:rsid w:val="009E6701"/>
    <w:rsid w:val="009E677F"/>
    <w:rsid w:val="009E7063"/>
    <w:rsid w:val="009E72A2"/>
    <w:rsid w:val="009E7C72"/>
    <w:rsid w:val="009F064B"/>
    <w:rsid w:val="009F0656"/>
    <w:rsid w:val="009F086E"/>
    <w:rsid w:val="009F1822"/>
    <w:rsid w:val="009F3032"/>
    <w:rsid w:val="009F32CA"/>
    <w:rsid w:val="009F336A"/>
    <w:rsid w:val="009F5484"/>
    <w:rsid w:val="009F60DE"/>
    <w:rsid w:val="009F6437"/>
    <w:rsid w:val="009F669E"/>
    <w:rsid w:val="009F72B4"/>
    <w:rsid w:val="009F7C33"/>
    <w:rsid w:val="00A00846"/>
    <w:rsid w:val="00A01915"/>
    <w:rsid w:val="00A01FA5"/>
    <w:rsid w:val="00A03847"/>
    <w:rsid w:val="00A04BCC"/>
    <w:rsid w:val="00A055EF"/>
    <w:rsid w:val="00A05F72"/>
    <w:rsid w:val="00A07846"/>
    <w:rsid w:val="00A07AF7"/>
    <w:rsid w:val="00A1192B"/>
    <w:rsid w:val="00A11A03"/>
    <w:rsid w:val="00A123B9"/>
    <w:rsid w:val="00A1265D"/>
    <w:rsid w:val="00A12754"/>
    <w:rsid w:val="00A127B2"/>
    <w:rsid w:val="00A1379D"/>
    <w:rsid w:val="00A14088"/>
    <w:rsid w:val="00A15B81"/>
    <w:rsid w:val="00A16270"/>
    <w:rsid w:val="00A17D01"/>
    <w:rsid w:val="00A210EB"/>
    <w:rsid w:val="00A21116"/>
    <w:rsid w:val="00A21223"/>
    <w:rsid w:val="00A21EBE"/>
    <w:rsid w:val="00A23274"/>
    <w:rsid w:val="00A278C9"/>
    <w:rsid w:val="00A27A54"/>
    <w:rsid w:val="00A27E43"/>
    <w:rsid w:val="00A307D3"/>
    <w:rsid w:val="00A30BD3"/>
    <w:rsid w:val="00A31A08"/>
    <w:rsid w:val="00A31D51"/>
    <w:rsid w:val="00A31F90"/>
    <w:rsid w:val="00A3286C"/>
    <w:rsid w:val="00A3286E"/>
    <w:rsid w:val="00A34A86"/>
    <w:rsid w:val="00A350C3"/>
    <w:rsid w:val="00A350D3"/>
    <w:rsid w:val="00A35504"/>
    <w:rsid w:val="00A3552F"/>
    <w:rsid w:val="00A36EB7"/>
    <w:rsid w:val="00A377FF"/>
    <w:rsid w:val="00A41096"/>
    <w:rsid w:val="00A413B6"/>
    <w:rsid w:val="00A42CE5"/>
    <w:rsid w:val="00A431A0"/>
    <w:rsid w:val="00A433FF"/>
    <w:rsid w:val="00A45B54"/>
    <w:rsid w:val="00A46DD6"/>
    <w:rsid w:val="00A470A2"/>
    <w:rsid w:val="00A472E0"/>
    <w:rsid w:val="00A475EB"/>
    <w:rsid w:val="00A475F8"/>
    <w:rsid w:val="00A47724"/>
    <w:rsid w:val="00A5074A"/>
    <w:rsid w:val="00A509AC"/>
    <w:rsid w:val="00A512A1"/>
    <w:rsid w:val="00A51430"/>
    <w:rsid w:val="00A51E89"/>
    <w:rsid w:val="00A52231"/>
    <w:rsid w:val="00A52430"/>
    <w:rsid w:val="00A52466"/>
    <w:rsid w:val="00A52BC8"/>
    <w:rsid w:val="00A5306A"/>
    <w:rsid w:val="00A53A22"/>
    <w:rsid w:val="00A54162"/>
    <w:rsid w:val="00A55C72"/>
    <w:rsid w:val="00A55C98"/>
    <w:rsid w:val="00A55FB6"/>
    <w:rsid w:val="00A56888"/>
    <w:rsid w:val="00A5779E"/>
    <w:rsid w:val="00A57AB6"/>
    <w:rsid w:val="00A57B94"/>
    <w:rsid w:val="00A60452"/>
    <w:rsid w:val="00A60D63"/>
    <w:rsid w:val="00A61336"/>
    <w:rsid w:val="00A619ED"/>
    <w:rsid w:val="00A6242F"/>
    <w:rsid w:val="00A629BF"/>
    <w:rsid w:val="00A63779"/>
    <w:rsid w:val="00A63951"/>
    <w:rsid w:val="00A63B26"/>
    <w:rsid w:val="00A63FE9"/>
    <w:rsid w:val="00A64E23"/>
    <w:rsid w:val="00A64EBD"/>
    <w:rsid w:val="00A6618F"/>
    <w:rsid w:val="00A6655C"/>
    <w:rsid w:val="00A66734"/>
    <w:rsid w:val="00A667D4"/>
    <w:rsid w:val="00A66F79"/>
    <w:rsid w:val="00A70CD4"/>
    <w:rsid w:val="00A70FA2"/>
    <w:rsid w:val="00A71B99"/>
    <w:rsid w:val="00A740CF"/>
    <w:rsid w:val="00A7468D"/>
    <w:rsid w:val="00A75499"/>
    <w:rsid w:val="00A757B3"/>
    <w:rsid w:val="00A75FB2"/>
    <w:rsid w:val="00A76224"/>
    <w:rsid w:val="00A76743"/>
    <w:rsid w:val="00A76DB2"/>
    <w:rsid w:val="00A776CC"/>
    <w:rsid w:val="00A77AE5"/>
    <w:rsid w:val="00A805B7"/>
    <w:rsid w:val="00A809E8"/>
    <w:rsid w:val="00A80A7D"/>
    <w:rsid w:val="00A80F76"/>
    <w:rsid w:val="00A821FD"/>
    <w:rsid w:val="00A829B2"/>
    <w:rsid w:val="00A84095"/>
    <w:rsid w:val="00A848E0"/>
    <w:rsid w:val="00A84D95"/>
    <w:rsid w:val="00A858C0"/>
    <w:rsid w:val="00A860D0"/>
    <w:rsid w:val="00A86EFD"/>
    <w:rsid w:val="00A877BA"/>
    <w:rsid w:val="00A878DE"/>
    <w:rsid w:val="00A900EE"/>
    <w:rsid w:val="00A905B0"/>
    <w:rsid w:val="00A91170"/>
    <w:rsid w:val="00A91A58"/>
    <w:rsid w:val="00A91DA1"/>
    <w:rsid w:val="00A925B7"/>
    <w:rsid w:val="00A92873"/>
    <w:rsid w:val="00A943E7"/>
    <w:rsid w:val="00A948F3"/>
    <w:rsid w:val="00A9499A"/>
    <w:rsid w:val="00A95452"/>
    <w:rsid w:val="00A96E3B"/>
    <w:rsid w:val="00A97299"/>
    <w:rsid w:val="00A97F42"/>
    <w:rsid w:val="00AA049C"/>
    <w:rsid w:val="00AA0EE3"/>
    <w:rsid w:val="00AA13A7"/>
    <w:rsid w:val="00AA17C2"/>
    <w:rsid w:val="00AA4E61"/>
    <w:rsid w:val="00AA4EC7"/>
    <w:rsid w:val="00AA5D3F"/>
    <w:rsid w:val="00AA5F3E"/>
    <w:rsid w:val="00AA6AC0"/>
    <w:rsid w:val="00AA76D1"/>
    <w:rsid w:val="00AB1274"/>
    <w:rsid w:val="00AB1300"/>
    <w:rsid w:val="00AB1902"/>
    <w:rsid w:val="00AB190B"/>
    <w:rsid w:val="00AB1AD0"/>
    <w:rsid w:val="00AB1DB6"/>
    <w:rsid w:val="00AB1EA5"/>
    <w:rsid w:val="00AB2173"/>
    <w:rsid w:val="00AB2B0E"/>
    <w:rsid w:val="00AB2FF2"/>
    <w:rsid w:val="00AB3D92"/>
    <w:rsid w:val="00AB5AE1"/>
    <w:rsid w:val="00AB64A1"/>
    <w:rsid w:val="00AB6F8B"/>
    <w:rsid w:val="00AB70DD"/>
    <w:rsid w:val="00AB7769"/>
    <w:rsid w:val="00AB7A77"/>
    <w:rsid w:val="00AC019B"/>
    <w:rsid w:val="00AC081A"/>
    <w:rsid w:val="00AC1552"/>
    <w:rsid w:val="00AC16FE"/>
    <w:rsid w:val="00AC1C3A"/>
    <w:rsid w:val="00AC1D6A"/>
    <w:rsid w:val="00AC22EB"/>
    <w:rsid w:val="00AC29D0"/>
    <w:rsid w:val="00AC72EC"/>
    <w:rsid w:val="00AC7524"/>
    <w:rsid w:val="00AD06C8"/>
    <w:rsid w:val="00AD099D"/>
    <w:rsid w:val="00AD18BD"/>
    <w:rsid w:val="00AD1963"/>
    <w:rsid w:val="00AD1BCE"/>
    <w:rsid w:val="00AD289D"/>
    <w:rsid w:val="00AD2C61"/>
    <w:rsid w:val="00AD43D6"/>
    <w:rsid w:val="00AD4546"/>
    <w:rsid w:val="00AD69D0"/>
    <w:rsid w:val="00AE25B7"/>
    <w:rsid w:val="00AE314B"/>
    <w:rsid w:val="00AE3AC0"/>
    <w:rsid w:val="00AE4A19"/>
    <w:rsid w:val="00AE4CFF"/>
    <w:rsid w:val="00AE5590"/>
    <w:rsid w:val="00AE5999"/>
    <w:rsid w:val="00AE5E69"/>
    <w:rsid w:val="00AE66D3"/>
    <w:rsid w:val="00AE6A14"/>
    <w:rsid w:val="00AE6DF7"/>
    <w:rsid w:val="00AE721B"/>
    <w:rsid w:val="00AE7379"/>
    <w:rsid w:val="00AF000F"/>
    <w:rsid w:val="00AF12DA"/>
    <w:rsid w:val="00AF1707"/>
    <w:rsid w:val="00AF1B2E"/>
    <w:rsid w:val="00AF2D56"/>
    <w:rsid w:val="00AF34C8"/>
    <w:rsid w:val="00AF445D"/>
    <w:rsid w:val="00AF5870"/>
    <w:rsid w:val="00AF58DD"/>
    <w:rsid w:val="00AF7AB8"/>
    <w:rsid w:val="00B0036E"/>
    <w:rsid w:val="00B007E9"/>
    <w:rsid w:val="00B00DF4"/>
    <w:rsid w:val="00B047E8"/>
    <w:rsid w:val="00B05507"/>
    <w:rsid w:val="00B05A87"/>
    <w:rsid w:val="00B0650A"/>
    <w:rsid w:val="00B06993"/>
    <w:rsid w:val="00B072FC"/>
    <w:rsid w:val="00B1217A"/>
    <w:rsid w:val="00B128B3"/>
    <w:rsid w:val="00B128BE"/>
    <w:rsid w:val="00B12E7B"/>
    <w:rsid w:val="00B133EB"/>
    <w:rsid w:val="00B1347E"/>
    <w:rsid w:val="00B13F75"/>
    <w:rsid w:val="00B14AFA"/>
    <w:rsid w:val="00B14C45"/>
    <w:rsid w:val="00B14D0E"/>
    <w:rsid w:val="00B15517"/>
    <w:rsid w:val="00B1598A"/>
    <w:rsid w:val="00B16617"/>
    <w:rsid w:val="00B166E4"/>
    <w:rsid w:val="00B16745"/>
    <w:rsid w:val="00B17ECD"/>
    <w:rsid w:val="00B2083C"/>
    <w:rsid w:val="00B211D3"/>
    <w:rsid w:val="00B21A97"/>
    <w:rsid w:val="00B2214C"/>
    <w:rsid w:val="00B22474"/>
    <w:rsid w:val="00B230FA"/>
    <w:rsid w:val="00B23143"/>
    <w:rsid w:val="00B23D85"/>
    <w:rsid w:val="00B244BE"/>
    <w:rsid w:val="00B244C1"/>
    <w:rsid w:val="00B24AA7"/>
    <w:rsid w:val="00B26E29"/>
    <w:rsid w:val="00B274B1"/>
    <w:rsid w:val="00B309AB"/>
    <w:rsid w:val="00B309BB"/>
    <w:rsid w:val="00B31722"/>
    <w:rsid w:val="00B3207B"/>
    <w:rsid w:val="00B3291E"/>
    <w:rsid w:val="00B32B42"/>
    <w:rsid w:val="00B32E84"/>
    <w:rsid w:val="00B343C9"/>
    <w:rsid w:val="00B3485F"/>
    <w:rsid w:val="00B34B40"/>
    <w:rsid w:val="00B34C50"/>
    <w:rsid w:val="00B3517B"/>
    <w:rsid w:val="00B358D3"/>
    <w:rsid w:val="00B35C90"/>
    <w:rsid w:val="00B35FAF"/>
    <w:rsid w:val="00B37218"/>
    <w:rsid w:val="00B3730D"/>
    <w:rsid w:val="00B37416"/>
    <w:rsid w:val="00B40F7F"/>
    <w:rsid w:val="00B418D0"/>
    <w:rsid w:val="00B42025"/>
    <w:rsid w:val="00B44DD2"/>
    <w:rsid w:val="00B452C2"/>
    <w:rsid w:val="00B46701"/>
    <w:rsid w:val="00B51183"/>
    <w:rsid w:val="00B517DE"/>
    <w:rsid w:val="00B51806"/>
    <w:rsid w:val="00B53D7F"/>
    <w:rsid w:val="00B54460"/>
    <w:rsid w:val="00B54C1A"/>
    <w:rsid w:val="00B54F5A"/>
    <w:rsid w:val="00B55941"/>
    <w:rsid w:val="00B56CD7"/>
    <w:rsid w:val="00B57B8C"/>
    <w:rsid w:val="00B60C50"/>
    <w:rsid w:val="00B60DD1"/>
    <w:rsid w:val="00B618CA"/>
    <w:rsid w:val="00B61D2B"/>
    <w:rsid w:val="00B6364A"/>
    <w:rsid w:val="00B63DFF"/>
    <w:rsid w:val="00B63FAC"/>
    <w:rsid w:val="00B661F2"/>
    <w:rsid w:val="00B67D63"/>
    <w:rsid w:val="00B7007D"/>
    <w:rsid w:val="00B700BB"/>
    <w:rsid w:val="00B70A58"/>
    <w:rsid w:val="00B71860"/>
    <w:rsid w:val="00B72843"/>
    <w:rsid w:val="00B735E7"/>
    <w:rsid w:val="00B74AFA"/>
    <w:rsid w:val="00B74C2F"/>
    <w:rsid w:val="00B74FA5"/>
    <w:rsid w:val="00B75743"/>
    <w:rsid w:val="00B75868"/>
    <w:rsid w:val="00B75A1E"/>
    <w:rsid w:val="00B76CBB"/>
    <w:rsid w:val="00B76E3E"/>
    <w:rsid w:val="00B77AD1"/>
    <w:rsid w:val="00B80A1D"/>
    <w:rsid w:val="00B80A66"/>
    <w:rsid w:val="00B80E32"/>
    <w:rsid w:val="00B82455"/>
    <w:rsid w:val="00B82634"/>
    <w:rsid w:val="00B82ADC"/>
    <w:rsid w:val="00B83B05"/>
    <w:rsid w:val="00B855E1"/>
    <w:rsid w:val="00B868B7"/>
    <w:rsid w:val="00B86BC0"/>
    <w:rsid w:val="00B87844"/>
    <w:rsid w:val="00B90586"/>
    <w:rsid w:val="00B921A0"/>
    <w:rsid w:val="00B94379"/>
    <w:rsid w:val="00B952E2"/>
    <w:rsid w:val="00B95CDD"/>
    <w:rsid w:val="00B966BC"/>
    <w:rsid w:val="00BA14F6"/>
    <w:rsid w:val="00BA1A4C"/>
    <w:rsid w:val="00BA39F8"/>
    <w:rsid w:val="00BA4069"/>
    <w:rsid w:val="00BA4E97"/>
    <w:rsid w:val="00BA67DD"/>
    <w:rsid w:val="00BA6BA5"/>
    <w:rsid w:val="00BA79F5"/>
    <w:rsid w:val="00BA7BF9"/>
    <w:rsid w:val="00BB06C3"/>
    <w:rsid w:val="00BB06C6"/>
    <w:rsid w:val="00BB1321"/>
    <w:rsid w:val="00BB174F"/>
    <w:rsid w:val="00BB17AA"/>
    <w:rsid w:val="00BB2B3A"/>
    <w:rsid w:val="00BB3742"/>
    <w:rsid w:val="00BB3779"/>
    <w:rsid w:val="00BB3D98"/>
    <w:rsid w:val="00BB4872"/>
    <w:rsid w:val="00BB4C2E"/>
    <w:rsid w:val="00BB585B"/>
    <w:rsid w:val="00BB6A87"/>
    <w:rsid w:val="00BB702A"/>
    <w:rsid w:val="00BB76B8"/>
    <w:rsid w:val="00BC0837"/>
    <w:rsid w:val="00BC0DA8"/>
    <w:rsid w:val="00BC16F9"/>
    <w:rsid w:val="00BC323D"/>
    <w:rsid w:val="00BC4F4B"/>
    <w:rsid w:val="00BC5D2A"/>
    <w:rsid w:val="00BC5DCD"/>
    <w:rsid w:val="00BC7234"/>
    <w:rsid w:val="00BD0120"/>
    <w:rsid w:val="00BD2A72"/>
    <w:rsid w:val="00BD323C"/>
    <w:rsid w:val="00BD3440"/>
    <w:rsid w:val="00BD34C6"/>
    <w:rsid w:val="00BD413C"/>
    <w:rsid w:val="00BD43A8"/>
    <w:rsid w:val="00BD43B4"/>
    <w:rsid w:val="00BD48F5"/>
    <w:rsid w:val="00BD5380"/>
    <w:rsid w:val="00BD62CF"/>
    <w:rsid w:val="00BD6B33"/>
    <w:rsid w:val="00BD748A"/>
    <w:rsid w:val="00BD7E60"/>
    <w:rsid w:val="00BE03A4"/>
    <w:rsid w:val="00BE05C9"/>
    <w:rsid w:val="00BE065C"/>
    <w:rsid w:val="00BE0C78"/>
    <w:rsid w:val="00BE332A"/>
    <w:rsid w:val="00BE39FD"/>
    <w:rsid w:val="00BE4AE1"/>
    <w:rsid w:val="00BE4B14"/>
    <w:rsid w:val="00BE59E4"/>
    <w:rsid w:val="00BE76AE"/>
    <w:rsid w:val="00BF0744"/>
    <w:rsid w:val="00BF0F6D"/>
    <w:rsid w:val="00BF11A3"/>
    <w:rsid w:val="00BF237A"/>
    <w:rsid w:val="00BF2D2D"/>
    <w:rsid w:val="00BF3E86"/>
    <w:rsid w:val="00BF3EBE"/>
    <w:rsid w:val="00C00A22"/>
    <w:rsid w:val="00C01B5D"/>
    <w:rsid w:val="00C023C3"/>
    <w:rsid w:val="00C03E00"/>
    <w:rsid w:val="00C03E05"/>
    <w:rsid w:val="00C03FB7"/>
    <w:rsid w:val="00C04319"/>
    <w:rsid w:val="00C04B69"/>
    <w:rsid w:val="00C04B8C"/>
    <w:rsid w:val="00C06CCE"/>
    <w:rsid w:val="00C073C4"/>
    <w:rsid w:val="00C0740D"/>
    <w:rsid w:val="00C0777F"/>
    <w:rsid w:val="00C10076"/>
    <w:rsid w:val="00C10DF9"/>
    <w:rsid w:val="00C131B3"/>
    <w:rsid w:val="00C13E9E"/>
    <w:rsid w:val="00C14EB9"/>
    <w:rsid w:val="00C14FDB"/>
    <w:rsid w:val="00C156C0"/>
    <w:rsid w:val="00C15A6F"/>
    <w:rsid w:val="00C15E3D"/>
    <w:rsid w:val="00C163B5"/>
    <w:rsid w:val="00C16466"/>
    <w:rsid w:val="00C171BE"/>
    <w:rsid w:val="00C17710"/>
    <w:rsid w:val="00C178BC"/>
    <w:rsid w:val="00C2147A"/>
    <w:rsid w:val="00C222DE"/>
    <w:rsid w:val="00C2331B"/>
    <w:rsid w:val="00C23381"/>
    <w:rsid w:val="00C237A7"/>
    <w:rsid w:val="00C23E28"/>
    <w:rsid w:val="00C246A7"/>
    <w:rsid w:val="00C25330"/>
    <w:rsid w:val="00C25991"/>
    <w:rsid w:val="00C259CD"/>
    <w:rsid w:val="00C25A7A"/>
    <w:rsid w:val="00C25ADF"/>
    <w:rsid w:val="00C2651E"/>
    <w:rsid w:val="00C274DC"/>
    <w:rsid w:val="00C27884"/>
    <w:rsid w:val="00C27A1D"/>
    <w:rsid w:val="00C3074A"/>
    <w:rsid w:val="00C30CDA"/>
    <w:rsid w:val="00C31736"/>
    <w:rsid w:val="00C323F5"/>
    <w:rsid w:val="00C32624"/>
    <w:rsid w:val="00C3364A"/>
    <w:rsid w:val="00C336D6"/>
    <w:rsid w:val="00C3421E"/>
    <w:rsid w:val="00C3442A"/>
    <w:rsid w:val="00C344C6"/>
    <w:rsid w:val="00C34D8B"/>
    <w:rsid w:val="00C35219"/>
    <w:rsid w:val="00C35509"/>
    <w:rsid w:val="00C35885"/>
    <w:rsid w:val="00C35D31"/>
    <w:rsid w:val="00C35E4F"/>
    <w:rsid w:val="00C35F16"/>
    <w:rsid w:val="00C36BA2"/>
    <w:rsid w:val="00C36E47"/>
    <w:rsid w:val="00C41E09"/>
    <w:rsid w:val="00C42BE7"/>
    <w:rsid w:val="00C43D00"/>
    <w:rsid w:val="00C43F28"/>
    <w:rsid w:val="00C44FA4"/>
    <w:rsid w:val="00C450F7"/>
    <w:rsid w:val="00C455DE"/>
    <w:rsid w:val="00C45B10"/>
    <w:rsid w:val="00C46396"/>
    <w:rsid w:val="00C466BE"/>
    <w:rsid w:val="00C46888"/>
    <w:rsid w:val="00C476E1"/>
    <w:rsid w:val="00C51FCF"/>
    <w:rsid w:val="00C52954"/>
    <w:rsid w:val="00C52F52"/>
    <w:rsid w:val="00C538B7"/>
    <w:rsid w:val="00C552DC"/>
    <w:rsid w:val="00C56620"/>
    <w:rsid w:val="00C57514"/>
    <w:rsid w:val="00C57C13"/>
    <w:rsid w:val="00C57DA7"/>
    <w:rsid w:val="00C61AB4"/>
    <w:rsid w:val="00C62892"/>
    <w:rsid w:val="00C63299"/>
    <w:rsid w:val="00C633C1"/>
    <w:rsid w:val="00C6477B"/>
    <w:rsid w:val="00C64C23"/>
    <w:rsid w:val="00C651AD"/>
    <w:rsid w:val="00C66551"/>
    <w:rsid w:val="00C669F6"/>
    <w:rsid w:val="00C66C8D"/>
    <w:rsid w:val="00C67139"/>
    <w:rsid w:val="00C67966"/>
    <w:rsid w:val="00C7091E"/>
    <w:rsid w:val="00C7124E"/>
    <w:rsid w:val="00C73844"/>
    <w:rsid w:val="00C73D21"/>
    <w:rsid w:val="00C744DB"/>
    <w:rsid w:val="00C7516D"/>
    <w:rsid w:val="00C75437"/>
    <w:rsid w:val="00C75609"/>
    <w:rsid w:val="00C76DA6"/>
    <w:rsid w:val="00C777BD"/>
    <w:rsid w:val="00C77C9A"/>
    <w:rsid w:val="00C803F2"/>
    <w:rsid w:val="00C804F2"/>
    <w:rsid w:val="00C81E72"/>
    <w:rsid w:val="00C83368"/>
    <w:rsid w:val="00C83A80"/>
    <w:rsid w:val="00C83FD2"/>
    <w:rsid w:val="00C84CE8"/>
    <w:rsid w:val="00C8512A"/>
    <w:rsid w:val="00C90034"/>
    <w:rsid w:val="00C905F4"/>
    <w:rsid w:val="00C90E39"/>
    <w:rsid w:val="00C9147A"/>
    <w:rsid w:val="00C91A26"/>
    <w:rsid w:val="00C91B88"/>
    <w:rsid w:val="00C9207F"/>
    <w:rsid w:val="00C92DFD"/>
    <w:rsid w:val="00C93759"/>
    <w:rsid w:val="00C93C38"/>
    <w:rsid w:val="00C940D7"/>
    <w:rsid w:val="00C94882"/>
    <w:rsid w:val="00C948D0"/>
    <w:rsid w:val="00C94E57"/>
    <w:rsid w:val="00C95F59"/>
    <w:rsid w:val="00C97CB7"/>
    <w:rsid w:val="00C97F95"/>
    <w:rsid w:val="00CA050E"/>
    <w:rsid w:val="00CA0B12"/>
    <w:rsid w:val="00CA139A"/>
    <w:rsid w:val="00CA1849"/>
    <w:rsid w:val="00CA1A0E"/>
    <w:rsid w:val="00CA1C91"/>
    <w:rsid w:val="00CA27FF"/>
    <w:rsid w:val="00CA2D71"/>
    <w:rsid w:val="00CA3F4F"/>
    <w:rsid w:val="00CA40FF"/>
    <w:rsid w:val="00CA42F1"/>
    <w:rsid w:val="00CA4BD3"/>
    <w:rsid w:val="00CA5221"/>
    <w:rsid w:val="00CA56A7"/>
    <w:rsid w:val="00CA6B24"/>
    <w:rsid w:val="00CA6C93"/>
    <w:rsid w:val="00CB0AD9"/>
    <w:rsid w:val="00CB1267"/>
    <w:rsid w:val="00CB1F7C"/>
    <w:rsid w:val="00CB21FF"/>
    <w:rsid w:val="00CB2BBE"/>
    <w:rsid w:val="00CB4526"/>
    <w:rsid w:val="00CB5171"/>
    <w:rsid w:val="00CB5C2E"/>
    <w:rsid w:val="00CB669D"/>
    <w:rsid w:val="00CB6784"/>
    <w:rsid w:val="00CB6816"/>
    <w:rsid w:val="00CB6B58"/>
    <w:rsid w:val="00CB7146"/>
    <w:rsid w:val="00CB76B5"/>
    <w:rsid w:val="00CB7D1C"/>
    <w:rsid w:val="00CB7F31"/>
    <w:rsid w:val="00CC0772"/>
    <w:rsid w:val="00CC09D2"/>
    <w:rsid w:val="00CC3B3B"/>
    <w:rsid w:val="00CC3E4D"/>
    <w:rsid w:val="00CC4470"/>
    <w:rsid w:val="00CC498F"/>
    <w:rsid w:val="00CC5DC7"/>
    <w:rsid w:val="00CC5FFC"/>
    <w:rsid w:val="00CC6B7B"/>
    <w:rsid w:val="00CC7F46"/>
    <w:rsid w:val="00CD0A56"/>
    <w:rsid w:val="00CD0AD5"/>
    <w:rsid w:val="00CD28D5"/>
    <w:rsid w:val="00CD31EA"/>
    <w:rsid w:val="00CD32A2"/>
    <w:rsid w:val="00CD3F7C"/>
    <w:rsid w:val="00CD409A"/>
    <w:rsid w:val="00CD5B22"/>
    <w:rsid w:val="00CD5C83"/>
    <w:rsid w:val="00CD5F46"/>
    <w:rsid w:val="00CD64B7"/>
    <w:rsid w:val="00CD7E6A"/>
    <w:rsid w:val="00CE0F24"/>
    <w:rsid w:val="00CE11F2"/>
    <w:rsid w:val="00CE19C4"/>
    <w:rsid w:val="00CE1A38"/>
    <w:rsid w:val="00CE1BC1"/>
    <w:rsid w:val="00CE3ACA"/>
    <w:rsid w:val="00CE51C4"/>
    <w:rsid w:val="00CE588C"/>
    <w:rsid w:val="00CE693E"/>
    <w:rsid w:val="00CE6EDD"/>
    <w:rsid w:val="00CE741A"/>
    <w:rsid w:val="00CE7CA8"/>
    <w:rsid w:val="00CF03B0"/>
    <w:rsid w:val="00CF0F2F"/>
    <w:rsid w:val="00CF2E08"/>
    <w:rsid w:val="00CF3979"/>
    <w:rsid w:val="00CF45C0"/>
    <w:rsid w:val="00CF534F"/>
    <w:rsid w:val="00CF5416"/>
    <w:rsid w:val="00CF5535"/>
    <w:rsid w:val="00CF575F"/>
    <w:rsid w:val="00CF7AD8"/>
    <w:rsid w:val="00D00B60"/>
    <w:rsid w:val="00D01890"/>
    <w:rsid w:val="00D01D1C"/>
    <w:rsid w:val="00D022E9"/>
    <w:rsid w:val="00D02923"/>
    <w:rsid w:val="00D04A12"/>
    <w:rsid w:val="00D05203"/>
    <w:rsid w:val="00D05C64"/>
    <w:rsid w:val="00D06009"/>
    <w:rsid w:val="00D0654D"/>
    <w:rsid w:val="00D066A9"/>
    <w:rsid w:val="00D06D29"/>
    <w:rsid w:val="00D10120"/>
    <w:rsid w:val="00D10309"/>
    <w:rsid w:val="00D10A3E"/>
    <w:rsid w:val="00D11192"/>
    <w:rsid w:val="00D11C73"/>
    <w:rsid w:val="00D122A9"/>
    <w:rsid w:val="00D12F19"/>
    <w:rsid w:val="00D13903"/>
    <w:rsid w:val="00D147B3"/>
    <w:rsid w:val="00D1664E"/>
    <w:rsid w:val="00D1665C"/>
    <w:rsid w:val="00D166D2"/>
    <w:rsid w:val="00D16E8E"/>
    <w:rsid w:val="00D1776C"/>
    <w:rsid w:val="00D17CB9"/>
    <w:rsid w:val="00D2071E"/>
    <w:rsid w:val="00D20DBC"/>
    <w:rsid w:val="00D20E4E"/>
    <w:rsid w:val="00D21825"/>
    <w:rsid w:val="00D21D72"/>
    <w:rsid w:val="00D22D0D"/>
    <w:rsid w:val="00D23263"/>
    <w:rsid w:val="00D23996"/>
    <w:rsid w:val="00D24C31"/>
    <w:rsid w:val="00D250F1"/>
    <w:rsid w:val="00D25480"/>
    <w:rsid w:val="00D25A8B"/>
    <w:rsid w:val="00D25E1A"/>
    <w:rsid w:val="00D25FE3"/>
    <w:rsid w:val="00D26375"/>
    <w:rsid w:val="00D27828"/>
    <w:rsid w:val="00D3043B"/>
    <w:rsid w:val="00D30473"/>
    <w:rsid w:val="00D30C33"/>
    <w:rsid w:val="00D311BA"/>
    <w:rsid w:val="00D3127D"/>
    <w:rsid w:val="00D3184B"/>
    <w:rsid w:val="00D329C7"/>
    <w:rsid w:val="00D33C4A"/>
    <w:rsid w:val="00D33D92"/>
    <w:rsid w:val="00D346E2"/>
    <w:rsid w:val="00D34B5D"/>
    <w:rsid w:val="00D35AF5"/>
    <w:rsid w:val="00D36347"/>
    <w:rsid w:val="00D37D6F"/>
    <w:rsid w:val="00D37DD0"/>
    <w:rsid w:val="00D40375"/>
    <w:rsid w:val="00D4040F"/>
    <w:rsid w:val="00D40FAD"/>
    <w:rsid w:val="00D41237"/>
    <w:rsid w:val="00D43AB7"/>
    <w:rsid w:val="00D44ECE"/>
    <w:rsid w:val="00D450D9"/>
    <w:rsid w:val="00D45C4A"/>
    <w:rsid w:val="00D51683"/>
    <w:rsid w:val="00D519CC"/>
    <w:rsid w:val="00D54623"/>
    <w:rsid w:val="00D5488F"/>
    <w:rsid w:val="00D5507E"/>
    <w:rsid w:val="00D559EB"/>
    <w:rsid w:val="00D56EFB"/>
    <w:rsid w:val="00D573DF"/>
    <w:rsid w:val="00D57FDA"/>
    <w:rsid w:val="00D60A4A"/>
    <w:rsid w:val="00D62A1E"/>
    <w:rsid w:val="00D62AFF"/>
    <w:rsid w:val="00D63E35"/>
    <w:rsid w:val="00D64C50"/>
    <w:rsid w:val="00D650B7"/>
    <w:rsid w:val="00D65E82"/>
    <w:rsid w:val="00D66226"/>
    <w:rsid w:val="00D6674D"/>
    <w:rsid w:val="00D66F8C"/>
    <w:rsid w:val="00D70DE2"/>
    <w:rsid w:val="00D745E5"/>
    <w:rsid w:val="00D758C3"/>
    <w:rsid w:val="00D75926"/>
    <w:rsid w:val="00D75AE2"/>
    <w:rsid w:val="00D75D6F"/>
    <w:rsid w:val="00D776B1"/>
    <w:rsid w:val="00D778F3"/>
    <w:rsid w:val="00D8194B"/>
    <w:rsid w:val="00D825E1"/>
    <w:rsid w:val="00D82C3B"/>
    <w:rsid w:val="00D8310F"/>
    <w:rsid w:val="00D8331C"/>
    <w:rsid w:val="00D83B49"/>
    <w:rsid w:val="00D857DD"/>
    <w:rsid w:val="00D871DD"/>
    <w:rsid w:val="00D87C72"/>
    <w:rsid w:val="00D90355"/>
    <w:rsid w:val="00D91784"/>
    <w:rsid w:val="00D91851"/>
    <w:rsid w:val="00D919E4"/>
    <w:rsid w:val="00D91EFE"/>
    <w:rsid w:val="00D91F4E"/>
    <w:rsid w:val="00D928B3"/>
    <w:rsid w:val="00D92CCA"/>
    <w:rsid w:val="00D92E4B"/>
    <w:rsid w:val="00D9313A"/>
    <w:rsid w:val="00D93374"/>
    <w:rsid w:val="00D93A80"/>
    <w:rsid w:val="00D93B86"/>
    <w:rsid w:val="00D94E0E"/>
    <w:rsid w:val="00D95583"/>
    <w:rsid w:val="00D96131"/>
    <w:rsid w:val="00D96867"/>
    <w:rsid w:val="00D969A1"/>
    <w:rsid w:val="00D96DF6"/>
    <w:rsid w:val="00DA0EF5"/>
    <w:rsid w:val="00DA2005"/>
    <w:rsid w:val="00DA27EE"/>
    <w:rsid w:val="00DA2926"/>
    <w:rsid w:val="00DA2C6B"/>
    <w:rsid w:val="00DA33F6"/>
    <w:rsid w:val="00DA35D8"/>
    <w:rsid w:val="00DA3DDE"/>
    <w:rsid w:val="00DA4BF7"/>
    <w:rsid w:val="00DA532F"/>
    <w:rsid w:val="00DA63F2"/>
    <w:rsid w:val="00DA6412"/>
    <w:rsid w:val="00DA7076"/>
    <w:rsid w:val="00DB005C"/>
    <w:rsid w:val="00DB0138"/>
    <w:rsid w:val="00DB1706"/>
    <w:rsid w:val="00DB32F4"/>
    <w:rsid w:val="00DB3F89"/>
    <w:rsid w:val="00DB5917"/>
    <w:rsid w:val="00DB5A1D"/>
    <w:rsid w:val="00DB6B7B"/>
    <w:rsid w:val="00DB7449"/>
    <w:rsid w:val="00DB788E"/>
    <w:rsid w:val="00DB7B85"/>
    <w:rsid w:val="00DB7FB1"/>
    <w:rsid w:val="00DC04E0"/>
    <w:rsid w:val="00DC0518"/>
    <w:rsid w:val="00DC0C05"/>
    <w:rsid w:val="00DC12B1"/>
    <w:rsid w:val="00DC147C"/>
    <w:rsid w:val="00DC1899"/>
    <w:rsid w:val="00DC195D"/>
    <w:rsid w:val="00DC1BB0"/>
    <w:rsid w:val="00DC317D"/>
    <w:rsid w:val="00DC36A8"/>
    <w:rsid w:val="00DC54EA"/>
    <w:rsid w:val="00DC5A94"/>
    <w:rsid w:val="00DC5DEF"/>
    <w:rsid w:val="00DC5E19"/>
    <w:rsid w:val="00DC6148"/>
    <w:rsid w:val="00DC6746"/>
    <w:rsid w:val="00DC67AB"/>
    <w:rsid w:val="00DC67E0"/>
    <w:rsid w:val="00DC6EDF"/>
    <w:rsid w:val="00DC6F76"/>
    <w:rsid w:val="00DD0026"/>
    <w:rsid w:val="00DD12FF"/>
    <w:rsid w:val="00DD2BC3"/>
    <w:rsid w:val="00DD30A2"/>
    <w:rsid w:val="00DD54DB"/>
    <w:rsid w:val="00DD55CF"/>
    <w:rsid w:val="00DD5987"/>
    <w:rsid w:val="00DD6642"/>
    <w:rsid w:val="00DD67E0"/>
    <w:rsid w:val="00DD7C88"/>
    <w:rsid w:val="00DE050C"/>
    <w:rsid w:val="00DE10D3"/>
    <w:rsid w:val="00DE11A4"/>
    <w:rsid w:val="00DE12A3"/>
    <w:rsid w:val="00DE19F3"/>
    <w:rsid w:val="00DE1CA9"/>
    <w:rsid w:val="00DE22E9"/>
    <w:rsid w:val="00DE2AE1"/>
    <w:rsid w:val="00DE5614"/>
    <w:rsid w:val="00DE61A4"/>
    <w:rsid w:val="00DE62A5"/>
    <w:rsid w:val="00DE65F6"/>
    <w:rsid w:val="00DE67EE"/>
    <w:rsid w:val="00DE68A1"/>
    <w:rsid w:val="00DE6F37"/>
    <w:rsid w:val="00DE6FDC"/>
    <w:rsid w:val="00DE7A8F"/>
    <w:rsid w:val="00DE7BFA"/>
    <w:rsid w:val="00DF0028"/>
    <w:rsid w:val="00DF0B2A"/>
    <w:rsid w:val="00DF10F9"/>
    <w:rsid w:val="00DF1329"/>
    <w:rsid w:val="00DF1F64"/>
    <w:rsid w:val="00DF2DAB"/>
    <w:rsid w:val="00DF5336"/>
    <w:rsid w:val="00DF5A3A"/>
    <w:rsid w:val="00DF66F5"/>
    <w:rsid w:val="00E02E00"/>
    <w:rsid w:val="00E03230"/>
    <w:rsid w:val="00E03427"/>
    <w:rsid w:val="00E03B37"/>
    <w:rsid w:val="00E047F1"/>
    <w:rsid w:val="00E04C40"/>
    <w:rsid w:val="00E06624"/>
    <w:rsid w:val="00E070DB"/>
    <w:rsid w:val="00E075C9"/>
    <w:rsid w:val="00E07BB2"/>
    <w:rsid w:val="00E102B1"/>
    <w:rsid w:val="00E11474"/>
    <w:rsid w:val="00E115DC"/>
    <w:rsid w:val="00E1168C"/>
    <w:rsid w:val="00E11E15"/>
    <w:rsid w:val="00E12306"/>
    <w:rsid w:val="00E12464"/>
    <w:rsid w:val="00E1256C"/>
    <w:rsid w:val="00E1389A"/>
    <w:rsid w:val="00E14410"/>
    <w:rsid w:val="00E14D42"/>
    <w:rsid w:val="00E14FD2"/>
    <w:rsid w:val="00E155CE"/>
    <w:rsid w:val="00E16145"/>
    <w:rsid w:val="00E202F5"/>
    <w:rsid w:val="00E208FC"/>
    <w:rsid w:val="00E209A2"/>
    <w:rsid w:val="00E21659"/>
    <w:rsid w:val="00E22758"/>
    <w:rsid w:val="00E25032"/>
    <w:rsid w:val="00E25183"/>
    <w:rsid w:val="00E258D3"/>
    <w:rsid w:val="00E259D9"/>
    <w:rsid w:val="00E26D03"/>
    <w:rsid w:val="00E27193"/>
    <w:rsid w:val="00E274B5"/>
    <w:rsid w:val="00E274D7"/>
    <w:rsid w:val="00E30364"/>
    <w:rsid w:val="00E31275"/>
    <w:rsid w:val="00E314AB"/>
    <w:rsid w:val="00E32689"/>
    <w:rsid w:val="00E32809"/>
    <w:rsid w:val="00E33604"/>
    <w:rsid w:val="00E3382A"/>
    <w:rsid w:val="00E33995"/>
    <w:rsid w:val="00E33D6C"/>
    <w:rsid w:val="00E348E4"/>
    <w:rsid w:val="00E34B72"/>
    <w:rsid w:val="00E35781"/>
    <w:rsid w:val="00E357F1"/>
    <w:rsid w:val="00E35FD5"/>
    <w:rsid w:val="00E36731"/>
    <w:rsid w:val="00E36F05"/>
    <w:rsid w:val="00E40C13"/>
    <w:rsid w:val="00E40C64"/>
    <w:rsid w:val="00E41418"/>
    <w:rsid w:val="00E415D4"/>
    <w:rsid w:val="00E41D1C"/>
    <w:rsid w:val="00E42992"/>
    <w:rsid w:val="00E438D6"/>
    <w:rsid w:val="00E446BA"/>
    <w:rsid w:val="00E45961"/>
    <w:rsid w:val="00E45D54"/>
    <w:rsid w:val="00E46C9E"/>
    <w:rsid w:val="00E474B1"/>
    <w:rsid w:val="00E475CB"/>
    <w:rsid w:val="00E515A3"/>
    <w:rsid w:val="00E531C5"/>
    <w:rsid w:val="00E53B4D"/>
    <w:rsid w:val="00E54095"/>
    <w:rsid w:val="00E5482B"/>
    <w:rsid w:val="00E54BF1"/>
    <w:rsid w:val="00E555F1"/>
    <w:rsid w:val="00E55643"/>
    <w:rsid w:val="00E5566D"/>
    <w:rsid w:val="00E60AAF"/>
    <w:rsid w:val="00E61561"/>
    <w:rsid w:val="00E62152"/>
    <w:rsid w:val="00E623E9"/>
    <w:rsid w:val="00E62746"/>
    <w:rsid w:val="00E62A3C"/>
    <w:rsid w:val="00E64EE1"/>
    <w:rsid w:val="00E658B1"/>
    <w:rsid w:val="00E65E78"/>
    <w:rsid w:val="00E706AA"/>
    <w:rsid w:val="00E712BE"/>
    <w:rsid w:val="00E71332"/>
    <w:rsid w:val="00E721BF"/>
    <w:rsid w:val="00E72424"/>
    <w:rsid w:val="00E7350E"/>
    <w:rsid w:val="00E75CFB"/>
    <w:rsid w:val="00E76823"/>
    <w:rsid w:val="00E77E84"/>
    <w:rsid w:val="00E77FAB"/>
    <w:rsid w:val="00E826D1"/>
    <w:rsid w:val="00E8273D"/>
    <w:rsid w:val="00E82B45"/>
    <w:rsid w:val="00E82B5F"/>
    <w:rsid w:val="00E83896"/>
    <w:rsid w:val="00E84B70"/>
    <w:rsid w:val="00E90271"/>
    <w:rsid w:val="00E90421"/>
    <w:rsid w:val="00E91468"/>
    <w:rsid w:val="00E91B11"/>
    <w:rsid w:val="00E91B2D"/>
    <w:rsid w:val="00E92583"/>
    <w:rsid w:val="00E934C1"/>
    <w:rsid w:val="00E9362D"/>
    <w:rsid w:val="00E93DD2"/>
    <w:rsid w:val="00E94DFD"/>
    <w:rsid w:val="00E94E0C"/>
    <w:rsid w:val="00E94FF5"/>
    <w:rsid w:val="00E95BA9"/>
    <w:rsid w:val="00E9602A"/>
    <w:rsid w:val="00E960E0"/>
    <w:rsid w:val="00E96780"/>
    <w:rsid w:val="00E976F5"/>
    <w:rsid w:val="00EA09EB"/>
    <w:rsid w:val="00EA21FE"/>
    <w:rsid w:val="00EA2E35"/>
    <w:rsid w:val="00EA3D16"/>
    <w:rsid w:val="00EA3E26"/>
    <w:rsid w:val="00EA3E57"/>
    <w:rsid w:val="00EA3F76"/>
    <w:rsid w:val="00EA3FE2"/>
    <w:rsid w:val="00EA4749"/>
    <w:rsid w:val="00EA494F"/>
    <w:rsid w:val="00EA4B0B"/>
    <w:rsid w:val="00EA5C1B"/>
    <w:rsid w:val="00EA6094"/>
    <w:rsid w:val="00EA7550"/>
    <w:rsid w:val="00EA75D9"/>
    <w:rsid w:val="00EA7AB3"/>
    <w:rsid w:val="00EB05C8"/>
    <w:rsid w:val="00EB12AC"/>
    <w:rsid w:val="00EB1BAA"/>
    <w:rsid w:val="00EB1FA2"/>
    <w:rsid w:val="00EB24F5"/>
    <w:rsid w:val="00EB348D"/>
    <w:rsid w:val="00EB3B58"/>
    <w:rsid w:val="00EB43B1"/>
    <w:rsid w:val="00EB4A62"/>
    <w:rsid w:val="00EB50B2"/>
    <w:rsid w:val="00EB5647"/>
    <w:rsid w:val="00EB5E27"/>
    <w:rsid w:val="00EC32C6"/>
    <w:rsid w:val="00EC3AD8"/>
    <w:rsid w:val="00EC3D1D"/>
    <w:rsid w:val="00EC5E68"/>
    <w:rsid w:val="00EC5E8F"/>
    <w:rsid w:val="00EC6A1B"/>
    <w:rsid w:val="00EC6F84"/>
    <w:rsid w:val="00EC719A"/>
    <w:rsid w:val="00EC74D6"/>
    <w:rsid w:val="00ED0723"/>
    <w:rsid w:val="00ED0A1B"/>
    <w:rsid w:val="00ED1802"/>
    <w:rsid w:val="00ED204C"/>
    <w:rsid w:val="00ED20AB"/>
    <w:rsid w:val="00ED2E12"/>
    <w:rsid w:val="00ED3E58"/>
    <w:rsid w:val="00ED3F2A"/>
    <w:rsid w:val="00ED5A8F"/>
    <w:rsid w:val="00ED5F3D"/>
    <w:rsid w:val="00ED5F45"/>
    <w:rsid w:val="00EE0DBC"/>
    <w:rsid w:val="00EE1309"/>
    <w:rsid w:val="00EE14CB"/>
    <w:rsid w:val="00EE2532"/>
    <w:rsid w:val="00EE3B5B"/>
    <w:rsid w:val="00EE40DE"/>
    <w:rsid w:val="00EE5BCD"/>
    <w:rsid w:val="00EE6180"/>
    <w:rsid w:val="00EE636F"/>
    <w:rsid w:val="00EE6693"/>
    <w:rsid w:val="00EE6BCD"/>
    <w:rsid w:val="00EE70C7"/>
    <w:rsid w:val="00EF06FE"/>
    <w:rsid w:val="00EF09EF"/>
    <w:rsid w:val="00EF0AC9"/>
    <w:rsid w:val="00EF1D83"/>
    <w:rsid w:val="00EF2CEA"/>
    <w:rsid w:val="00EF35C7"/>
    <w:rsid w:val="00EF361F"/>
    <w:rsid w:val="00EF6BB6"/>
    <w:rsid w:val="00EF70AB"/>
    <w:rsid w:val="00F00520"/>
    <w:rsid w:val="00F00BEC"/>
    <w:rsid w:val="00F01695"/>
    <w:rsid w:val="00F027EC"/>
    <w:rsid w:val="00F02F53"/>
    <w:rsid w:val="00F03C65"/>
    <w:rsid w:val="00F03E12"/>
    <w:rsid w:val="00F049C4"/>
    <w:rsid w:val="00F05492"/>
    <w:rsid w:val="00F06622"/>
    <w:rsid w:val="00F10A01"/>
    <w:rsid w:val="00F1154A"/>
    <w:rsid w:val="00F11D28"/>
    <w:rsid w:val="00F12A74"/>
    <w:rsid w:val="00F12BB0"/>
    <w:rsid w:val="00F1450F"/>
    <w:rsid w:val="00F14998"/>
    <w:rsid w:val="00F154EE"/>
    <w:rsid w:val="00F15532"/>
    <w:rsid w:val="00F17B60"/>
    <w:rsid w:val="00F20F84"/>
    <w:rsid w:val="00F213F3"/>
    <w:rsid w:val="00F225BD"/>
    <w:rsid w:val="00F23404"/>
    <w:rsid w:val="00F23B47"/>
    <w:rsid w:val="00F23C47"/>
    <w:rsid w:val="00F24721"/>
    <w:rsid w:val="00F24C4B"/>
    <w:rsid w:val="00F25B7C"/>
    <w:rsid w:val="00F276D1"/>
    <w:rsid w:val="00F3147C"/>
    <w:rsid w:val="00F31558"/>
    <w:rsid w:val="00F3169D"/>
    <w:rsid w:val="00F31DFC"/>
    <w:rsid w:val="00F328DC"/>
    <w:rsid w:val="00F35DF1"/>
    <w:rsid w:val="00F36354"/>
    <w:rsid w:val="00F37AA9"/>
    <w:rsid w:val="00F37D64"/>
    <w:rsid w:val="00F40293"/>
    <w:rsid w:val="00F40536"/>
    <w:rsid w:val="00F40D83"/>
    <w:rsid w:val="00F41582"/>
    <w:rsid w:val="00F416BC"/>
    <w:rsid w:val="00F42A5B"/>
    <w:rsid w:val="00F42C1D"/>
    <w:rsid w:val="00F435AF"/>
    <w:rsid w:val="00F43BD3"/>
    <w:rsid w:val="00F44739"/>
    <w:rsid w:val="00F447BF"/>
    <w:rsid w:val="00F448CF"/>
    <w:rsid w:val="00F44CC5"/>
    <w:rsid w:val="00F44CF2"/>
    <w:rsid w:val="00F45C5B"/>
    <w:rsid w:val="00F46F02"/>
    <w:rsid w:val="00F46FF4"/>
    <w:rsid w:val="00F47406"/>
    <w:rsid w:val="00F47EEC"/>
    <w:rsid w:val="00F47FA8"/>
    <w:rsid w:val="00F50F99"/>
    <w:rsid w:val="00F51032"/>
    <w:rsid w:val="00F518E4"/>
    <w:rsid w:val="00F5222F"/>
    <w:rsid w:val="00F54440"/>
    <w:rsid w:val="00F54FD5"/>
    <w:rsid w:val="00F5534D"/>
    <w:rsid w:val="00F55581"/>
    <w:rsid w:val="00F55FA1"/>
    <w:rsid w:val="00F567E7"/>
    <w:rsid w:val="00F57B88"/>
    <w:rsid w:val="00F57EC7"/>
    <w:rsid w:val="00F57F74"/>
    <w:rsid w:val="00F603F9"/>
    <w:rsid w:val="00F60530"/>
    <w:rsid w:val="00F60D03"/>
    <w:rsid w:val="00F61C46"/>
    <w:rsid w:val="00F623A4"/>
    <w:rsid w:val="00F62428"/>
    <w:rsid w:val="00F626FF"/>
    <w:rsid w:val="00F62ED6"/>
    <w:rsid w:val="00F63335"/>
    <w:rsid w:val="00F64255"/>
    <w:rsid w:val="00F642F2"/>
    <w:rsid w:val="00F6612F"/>
    <w:rsid w:val="00F67A40"/>
    <w:rsid w:val="00F67E84"/>
    <w:rsid w:val="00F702AA"/>
    <w:rsid w:val="00F705C4"/>
    <w:rsid w:val="00F70898"/>
    <w:rsid w:val="00F72C73"/>
    <w:rsid w:val="00F735F2"/>
    <w:rsid w:val="00F73BEB"/>
    <w:rsid w:val="00F74316"/>
    <w:rsid w:val="00F74473"/>
    <w:rsid w:val="00F745A3"/>
    <w:rsid w:val="00F750B7"/>
    <w:rsid w:val="00F75171"/>
    <w:rsid w:val="00F756D2"/>
    <w:rsid w:val="00F764A3"/>
    <w:rsid w:val="00F76C37"/>
    <w:rsid w:val="00F76C7F"/>
    <w:rsid w:val="00F80511"/>
    <w:rsid w:val="00F8116B"/>
    <w:rsid w:val="00F82643"/>
    <w:rsid w:val="00F8343D"/>
    <w:rsid w:val="00F8346E"/>
    <w:rsid w:val="00F8494A"/>
    <w:rsid w:val="00F8495E"/>
    <w:rsid w:val="00F84B01"/>
    <w:rsid w:val="00F85D28"/>
    <w:rsid w:val="00F861B1"/>
    <w:rsid w:val="00F86346"/>
    <w:rsid w:val="00F8734D"/>
    <w:rsid w:val="00F90DC7"/>
    <w:rsid w:val="00F90E5E"/>
    <w:rsid w:val="00F939AB"/>
    <w:rsid w:val="00F93C7A"/>
    <w:rsid w:val="00F93E63"/>
    <w:rsid w:val="00F941F4"/>
    <w:rsid w:val="00F94203"/>
    <w:rsid w:val="00F954F8"/>
    <w:rsid w:val="00F9586C"/>
    <w:rsid w:val="00F95E84"/>
    <w:rsid w:val="00F9666F"/>
    <w:rsid w:val="00F96695"/>
    <w:rsid w:val="00F968D1"/>
    <w:rsid w:val="00F969B7"/>
    <w:rsid w:val="00F97F42"/>
    <w:rsid w:val="00FA0172"/>
    <w:rsid w:val="00FA05BE"/>
    <w:rsid w:val="00FA05EE"/>
    <w:rsid w:val="00FA1B8B"/>
    <w:rsid w:val="00FA1C7B"/>
    <w:rsid w:val="00FA2187"/>
    <w:rsid w:val="00FA3972"/>
    <w:rsid w:val="00FA3CCB"/>
    <w:rsid w:val="00FA3F74"/>
    <w:rsid w:val="00FA45EA"/>
    <w:rsid w:val="00FA522D"/>
    <w:rsid w:val="00FA5F3B"/>
    <w:rsid w:val="00FA7116"/>
    <w:rsid w:val="00FA778F"/>
    <w:rsid w:val="00FA7E6E"/>
    <w:rsid w:val="00FB0B72"/>
    <w:rsid w:val="00FB0B79"/>
    <w:rsid w:val="00FB18A4"/>
    <w:rsid w:val="00FB1C16"/>
    <w:rsid w:val="00FB1F4F"/>
    <w:rsid w:val="00FB37DA"/>
    <w:rsid w:val="00FB454E"/>
    <w:rsid w:val="00FB4D0C"/>
    <w:rsid w:val="00FB545F"/>
    <w:rsid w:val="00FB5629"/>
    <w:rsid w:val="00FB5A5E"/>
    <w:rsid w:val="00FB5DB1"/>
    <w:rsid w:val="00FB6C24"/>
    <w:rsid w:val="00FC0171"/>
    <w:rsid w:val="00FC2204"/>
    <w:rsid w:val="00FC3B40"/>
    <w:rsid w:val="00FC400C"/>
    <w:rsid w:val="00FC4A71"/>
    <w:rsid w:val="00FC5F5F"/>
    <w:rsid w:val="00FC678C"/>
    <w:rsid w:val="00FC6ED7"/>
    <w:rsid w:val="00FD0014"/>
    <w:rsid w:val="00FD072C"/>
    <w:rsid w:val="00FD1A0F"/>
    <w:rsid w:val="00FD1C55"/>
    <w:rsid w:val="00FD1DEE"/>
    <w:rsid w:val="00FD1DF1"/>
    <w:rsid w:val="00FD2483"/>
    <w:rsid w:val="00FD2C0B"/>
    <w:rsid w:val="00FD31C5"/>
    <w:rsid w:val="00FD3D7D"/>
    <w:rsid w:val="00FD4260"/>
    <w:rsid w:val="00FD51B8"/>
    <w:rsid w:val="00FD6C7E"/>
    <w:rsid w:val="00FE0328"/>
    <w:rsid w:val="00FE07CD"/>
    <w:rsid w:val="00FE1332"/>
    <w:rsid w:val="00FE190A"/>
    <w:rsid w:val="00FE1D4B"/>
    <w:rsid w:val="00FE2822"/>
    <w:rsid w:val="00FE3D84"/>
    <w:rsid w:val="00FE470B"/>
    <w:rsid w:val="00FE500D"/>
    <w:rsid w:val="00FE5CEB"/>
    <w:rsid w:val="00FE67E3"/>
    <w:rsid w:val="00FE6C78"/>
    <w:rsid w:val="00FE75C8"/>
    <w:rsid w:val="00FE79CC"/>
    <w:rsid w:val="00FE7CE4"/>
    <w:rsid w:val="00FF028B"/>
    <w:rsid w:val="00FF034A"/>
    <w:rsid w:val="00FF080B"/>
    <w:rsid w:val="00FF0E79"/>
    <w:rsid w:val="00FF230C"/>
    <w:rsid w:val="00FF2320"/>
    <w:rsid w:val="00FF2AFF"/>
    <w:rsid w:val="00FF37CB"/>
    <w:rsid w:val="00FF38B1"/>
    <w:rsid w:val="00FF4314"/>
    <w:rsid w:val="00FF4BB6"/>
    <w:rsid w:val="00FF511E"/>
    <w:rsid w:val="00FF6C80"/>
    <w:rsid w:val="00FF7940"/>
    <w:rsid w:val="032A4FDC"/>
    <w:rsid w:val="03842DE7"/>
    <w:rsid w:val="03C926DB"/>
    <w:rsid w:val="045F6753"/>
    <w:rsid w:val="04A36AAD"/>
    <w:rsid w:val="05476E5D"/>
    <w:rsid w:val="06255E28"/>
    <w:rsid w:val="06A555FA"/>
    <w:rsid w:val="07BA0A85"/>
    <w:rsid w:val="07D96C64"/>
    <w:rsid w:val="07E20B4A"/>
    <w:rsid w:val="08525ED6"/>
    <w:rsid w:val="096737B5"/>
    <w:rsid w:val="097B2715"/>
    <w:rsid w:val="098B21D5"/>
    <w:rsid w:val="09925B95"/>
    <w:rsid w:val="0A075926"/>
    <w:rsid w:val="0A6B77C1"/>
    <w:rsid w:val="0ABA792A"/>
    <w:rsid w:val="0ABB76FA"/>
    <w:rsid w:val="0AD53ECB"/>
    <w:rsid w:val="0B8708CB"/>
    <w:rsid w:val="0BAD65FD"/>
    <w:rsid w:val="0BE62940"/>
    <w:rsid w:val="0BF978D5"/>
    <w:rsid w:val="0C1D1A50"/>
    <w:rsid w:val="0CA832F4"/>
    <w:rsid w:val="0D60621C"/>
    <w:rsid w:val="0EAA4EB7"/>
    <w:rsid w:val="0F4D725D"/>
    <w:rsid w:val="0F981304"/>
    <w:rsid w:val="106A2B50"/>
    <w:rsid w:val="11131F08"/>
    <w:rsid w:val="126D3FC5"/>
    <w:rsid w:val="12852F30"/>
    <w:rsid w:val="12C50246"/>
    <w:rsid w:val="15A81381"/>
    <w:rsid w:val="17B03166"/>
    <w:rsid w:val="17D6638D"/>
    <w:rsid w:val="18D70A65"/>
    <w:rsid w:val="196E35B2"/>
    <w:rsid w:val="1B1A1616"/>
    <w:rsid w:val="1BC93A3F"/>
    <w:rsid w:val="1C5F19D6"/>
    <w:rsid w:val="1F6F248A"/>
    <w:rsid w:val="1FD5433E"/>
    <w:rsid w:val="20783067"/>
    <w:rsid w:val="20803CC9"/>
    <w:rsid w:val="223D3EC5"/>
    <w:rsid w:val="23ED7774"/>
    <w:rsid w:val="252A7AF4"/>
    <w:rsid w:val="26B15C64"/>
    <w:rsid w:val="2A003986"/>
    <w:rsid w:val="2A006D56"/>
    <w:rsid w:val="2A1A5C3B"/>
    <w:rsid w:val="2A951680"/>
    <w:rsid w:val="2B64639E"/>
    <w:rsid w:val="2C942061"/>
    <w:rsid w:val="2CB46C88"/>
    <w:rsid w:val="2CEF269C"/>
    <w:rsid w:val="2D60110A"/>
    <w:rsid w:val="2D8F379E"/>
    <w:rsid w:val="2DB126A6"/>
    <w:rsid w:val="2E634F28"/>
    <w:rsid w:val="2F305F8A"/>
    <w:rsid w:val="2F803CE6"/>
    <w:rsid w:val="316D7BAD"/>
    <w:rsid w:val="31E75151"/>
    <w:rsid w:val="32AC082E"/>
    <w:rsid w:val="33DF7DB5"/>
    <w:rsid w:val="34016560"/>
    <w:rsid w:val="34E225CB"/>
    <w:rsid w:val="355B1A58"/>
    <w:rsid w:val="35607CCA"/>
    <w:rsid w:val="36483084"/>
    <w:rsid w:val="36A46CA1"/>
    <w:rsid w:val="36C734BD"/>
    <w:rsid w:val="375717D0"/>
    <w:rsid w:val="38084878"/>
    <w:rsid w:val="38101B6E"/>
    <w:rsid w:val="38E61A64"/>
    <w:rsid w:val="391C0CC4"/>
    <w:rsid w:val="392A2FD6"/>
    <w:rsid w:val="393F2736"/>
    <w:rsid w:val="394538AA"/>
    <w:rsid w:val="39E906DA"/>
    <w:rsid w:val="3A5244D1"/>
    <w:rsid w:val="3A751F6D"/>
    <w:rsid w:val="3BDC1145"/>
    <w:rsid w:val="3C281246"/>
    <w:rsid w:val="3C543D41"/>
    <w:rsid w:val="3C6D35E8"/>
    <w:rsid w:val="3D054C3E"/>
    <w:rsid w:val="3D26613F"/>
    <w:rsid w:val="3D3B0507"/>
    <w:rsid w:val="3D8D3C90"/>
    <w:rsid w:val="3E6A4923"/>
    <w:rsid w:val="3ED96F6F"/>
    <w:rsid w:val="3F56098B"/>
    <w:rsid w:val="3F8447A1"/>
    <w:rsid w:val="3F894750"/>
    <w:rsid w:val="3FA75C81"/>
    <w:rsid w:val="3FD050AA"/>
    <w:rsid w:val="40DE086C"/>
    <w:rsid w:val="41897CEB"/>
    <w:rsid w:val="41C52633"/>
    <w:rsid w:val="423A3123"/>
    <w:rsid w:val="424E37D0"/>
    <w:rsid w:val="42F67D05"/>
    <w:rsid w:val="431366C4"/>
    <w:rsid w:val="44187FD3"/>
    <w:rsid w:val="442A32DD"/>
    <w:rsid w:val="45074E29"/>
    <w:rsid w:val="455751FF"/>
    <w:rsid w:val="4670640B"/>
    <w:rsid w:val="4686494C"/>
    <w:rsid w:val="46E07469"/>
    <w:rsid w:val="4761597D"/>
    <w:rsid w:val="490D13C7"/>
    <w:rsid w:val="4A0923DF"/>
    <w:rsid w:val="4AE43D3B"/>
    <w:rsid w:val="4B685902"/>
    <w:rsid w:val="4BA956C4"/>
    <w:rsid w:val="4CA706AC"/>
    <w:rsid w:val="4CCD008E"/>
    <w:rsid w:val="4DEC6284"/>
    <w:rsid w:val="4F0E056F"/>
    <w:rsid w:val="4FE97676"/>
    <w:rsid w:val="50650662"/>
    <w:rsid w:val="50AE3617"/>
    <w:rsid w:val="50E61077"/>
    <w:rsid w:val="52D44365"/>
    <w:rsid w:val="5538069E"/>
    <w:rsid w:val="55A20145"/>
    <w:rsid w:val="57203EB3"/>
    <w:rsid w:val="58564D34"/>
    <w:rsid w:val="58B02697"/>
    <w:rsid w:val="58C5164D"/>
    <w:rsid w:val="5987789B"/>
    <w:rsid w:val="59BA0A5F"/>
    <w:rsid w:val="5B2A2849"/>
    <w:rsid w:val="5B337E24"/>
    <w:rsid w:val="5C236D27"/>
    <w:rsid w:val="5CD94CD5"/>
    <w:rsid w:val="5D8B7956"/>
    <w:rsid w:val="5E785B76"/>
    <w:rsid w:val="5EA04F5B"/>
    <w:rsid w:val="5FBC7B73"/>
    <w:rsid w:val="601C6864"/>
    <w:rsid w:val="601E14F5"/>
    <w:rsid w:val="62173786"/>
    <w:rsid w:val="622512E7"/>
    <w:rsid w:val="62940395"/>
    <w:rsid w:val="63D41DF9"/>
    <w:rsid w:val="64585FAF"/>
    <w:rsid w:val="647C2B27"/>
    <w:rsid w:val="648106EC"/>
    <w:rsid w:val="64E936AF"/>
    <w:rsid w:val="64EE50AE"/>
    <w:rsid w:val="653A1C7A"/>
    <w:rsid w:val="65562818"/>
    <w:rsid w:val="657B771C"/>
    <w:rsid w:val="65E56481"/>
    <w:rsid w:val="66C0263F"/>
    <w:rsid w:val="674562D6"/>
    <w:rsid w:val="675F16E0"/>
    <w:rsid w:val="6B4D5039"/>
    <w:rsid w:val="6B6152F8"/>
    <w:rsid w:val="6E4C2BEC"/>
    <w:rsid w:val="6F174CC1"/>
    <w:rsid w:val="70BB6155"/>
    <w:rsid w:val="71B17E90"/>
    <w:rsid w:val="71BA1586"/>
    <w:rsid w:val="74641F40"/>
    <w:rsid w:val="746D05C0"/>
    <w:rsid w:val="770A3DB9"/>
    <w:rsid w:val="780F4F04"/>
    <w:rsid w:val="78807B8C"/>
    <w:rsid w:val="78BE1E71"/>
    <w:rsid w:val="79092C12"/>
    <w:rsid w:val="7A3A206E"/>
    <w:rsid w:val="7BA51A04"/>
    <w:rsid w:val="7D567401"/>
    <w:rsid w:val="7DE34324"/>
    <w:rsid w:val="BAE42B60"/>
    <w:rsid w:val="BF3FEE57"/>
    <w:rsid w:val="FD59FC0D"/>
    <w:rsid w:val="FEAF0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0"/>
    <w:autoRedefine/>
    <w:qFormat/>
    <w:uiPriority w:val="0"/>
    <w:pPr>
      <w:keepNext/>
      <w:spacing w:line="380" w:lineRule="exact"/>
      <w:jc w:val="center"/>
      <w:outlineLvl w:val="0"/>
    </w:pPr>
    <w:rPr>
      <w:rFonts w:ascii="宋体"/>
      <w:b/>
      <w:bCs/>
      <w:sz w:val="28"/>
    </w:rPr>
  </w:style>
  <w:style w:type="paragraph" w:styleId="6">
    <w:name w:val="heading 2"/>
    <w:basedOn w:val="1"/>
    <w:next w:val="1"/>
    <w:link w:val="61"/>
    <w:autoRedefine/>
    <w:qFormat/>
    <w:uiPriority w:val="0"/>
    <w:pPr>
      <w:keepNext/>
      <w:keepLines/>
      <w:tabs>
        <w:tab w:val="left" w:pos="578"/>
      </w:tabs>
      <w:spacing w:beforeLines="50" w:afterLines="50" w:line="360" w:lineRule="auto"/>
      <w:ind w:left="578" w:hanging="578"/>
      <w:outlineLvl w:val="1"/>
    </w:pPr>
    <w:rPr>
      <w:rFonts w:ascii="Arial" w:hAnsi="Arial" w:eastAsia="黑体"/>
      <w:b/>
      <w:bCs/>
      <w:sz w:val="32"/>
      <w:szCs w:val="32"/>
    </w:rPr>
  </w:style>
  <w:style w:type="paragraph" w:styleId="7">
    <w:name w:val="heading 3"/>
    <w:basedOn w:val="1"/>
    <w:next w:val="1"/>
    <w:link w:val="62"/>
    <w:autoRedefine/>
    <w:qFormat/>
    <w:uiPriority w:val="0"/>
    <w:pPr>
      <w:keepNext/>
      <w:keepLines/>
      <w:tabs>
        <w:tab w:val="left" w:pos="1620"/>
      </w:tabs>
      <w:spacing w:beforeLines="50" w:afterLines="50" w:line="360" w:lineRule="auto"/>
      <w:ind w:left="1620" w:hanging="720"/>
      <w:outlineLvl w:val="2"/>
    </w:pPr>
    <w:rPr>
      <w:rFonts w:ascii="Arial" w:hAnsi="Arial" w:eastAsia="黑体" w:cs="Arial"/>
      <w:b/>
      <w:bCs/>
      <w:sz w:val="30"/>
      <w:szCs w:val="32"/>
    </w:rPr>
  </w:style>
  <w:style w:type="paragraph" w:styleId="8">
    <w:name w:val="heading 4"/>
    <w:basedOn w:val="1"/>
    <w:next w:val="1"/>
    <w:link w:val="6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9">
    <w:name w:val="heading 5"/>
    <w:basedOn w:val="1"/>
    <w:next w:val="1"/>
    <w:link w:val="64"/>
    <w:autoRedefine/>
    <w:qFormat/>
    <w:uiPriority w:val="0"/>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5"/>
    <w:autoRedefine/>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66"/>
    <w:autoRedefine/>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2">
    <w:name w:val="heading 8"/>
    <w:basedOn w:val="1"/>
    <w:next w:val="1"/>
    <w:link w:val="67"/>
    <w:autoRedefine/>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3">
    <w:name w:val="heading 9"/>
    <w:basedOn w:val="1"/>
    <w:next w:val="1"/>
    <w:link w:val="68"/>
    <w:autoRedefine/>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Style1"/>
    <w:next w:val="3"/>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
    <w:name w:val="*正文"/>
    <w:basedOn w:val="4"/>
    <w:link w:val="161"/>
    <w:autoRedefine/>
    <w:qFormat/>
    <w:uiPriority w:val="0"/>
    <w:pPr>
      <w:widowControl/>
      <w:ind w:firstLine="200" w:firstLineChars="200"/>
    </w:pPr>
    <w:rPr>
      <w:rFonts w:ascii="仿宋_GB2312" w:eastAsia="仿宋_GB2312"/>
      <w:kern w:val="0"/>
      <w:sz w:val="24"/>
      <w:szCs w:val="28"/>
    </w:rPr>
  </w:style>
  <w:style w:type="paragraph" w:styleId="4">
    <w:name w:val="Normal Indent"/>
    <w:basedOn w:val="1"/>
    <w:next w:val="1"/>
    <w:link w:val="69"/>
    <w:autoRedefine/>
    <w:qFormat/>
    <w:uiPriority w:val="0"/>
    <w:pPr>
      <w:ind w:firstLine="420" w:firstLineChars="200"/>
    </w:pPr>
    <w:rPr>
      <w:szCs w:val="24"/>
    </w:rPr>
  </w:style>
  <w:style w:type="paragraph" w:styleId="14">
    <w:name w:val="toc 7"/>
    <w:basedOn w:val="1"/>
    <w:next w:val="1"/>
    <w:autoRedefine/>
    <w:qFormat/>
    <w:uiPriority w:val="0"/>
    <w:pPr>
      <w:ind w:left="1260"/>
      <w:jc w:val="left"/>
    </w:pPr>
    <w:rPr>
      <w:sz w:val="18"/>
      <w:szCs w:val="18"/>
    </w:r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16">
    <w:name w:val="caption"/>
    <w:basedOn w:val="1"/>
    <w:next w:val="1"/>
    <w:autoRedefine/>
    <w:qFormat/>
    <w:uiPriority w:val="0"/>
    <w:pPr>
      <w:spacing w:before="152" w:after="160"/>
    </w:pPr>
    <w:rPr>
      <w:rFonts w:ascii="Arial" w:hAnsi="Arial" w:eastAsia="黑体" w:cs="Arial"/>
      <w:sz w:val="20"/>
    </w:rPr>
  </w:style>
  <w:style w:type="paragraph" w:styleId="17">
    <w:name w:val="Document Map"/>
    <w:basedOn w:val="1"/>
    <w:link w:val="70"/>
    <w:autoRedefine/>
    <w:qFormat/>
    <w:uiPriority w:val="0"/>
    <w:pPr>
      <w:shd w:val="clear" w:color="auto" w:fill="000080"/>
    </w:pPr>
  </w:style>
  <w:style w:type="paragraph" w:styleId="18">
    <w:name w:val="annotation text"/>
    <w:basedOn w:val="1"/>
    <w:link w:val="71"/>
    <w:autoRedefine/>
    <w:qFormat/>
    <w:uiPriority w:val="0"/>
    <w:pPr>
      <w:jc w:val="left"/>
    </w:pPr>
  </w:style>
  <w:style w:type="paragraph" w:styleId="19">
    <w:name w:val="Body Text 3"/>
    <w:basedOn w:val="1"/>
    <w:link w:val="72"/>
    <w:autoRedefine/>
    <w:qFormat/>
    <w:uiPriority w:val="0"/>
    <w:pPr>
      <w:spacing w:after="120" w:line="360" w:lineRule="auto"/>
    </w:pPr>
    <w:rPr>
      <w:kern w:val="0"/>
      <w:sz w:val="16"/>
      <w:szCs w:val="16"/>
    </w:rPr>
  </w:style>
  <w:style w:type="paragraph" w:styleId="20">
    <w:name w:val="Body Text"/>
    <w:basedOn w:val="1"/>
    <w:next w:val="1"/>
    <w:link w:val="73"/>
    <w:autoRedefine/>
    <w:qFormat/>
    <w:uiPriority w:val="0"/>
    <w:rPr>
      <w:i/>
      <w:sz w:val="18"/>
    </w:rPr>
  </w:style>
  <w:style w:type="paragraph" w:styleId="21">
    <w:name w:val="Body Text Indent"/>
    <w:basedOn w:val="1"/>
    <w:link w:val="74"/>
    <w:autoRedefine/>
    <w:qFormat/>
    <w:uiPriority w:val="0"/>
    <w:pPr>
      <w:spacing w:line="380" w:lineRule="exact"/>
      <w:ind w:firstLine="480"/>
    </w:pPr>
    <w:rPr>
      <w:rFonts w:eastAsia="方正书宋简体"/>
      <w:sz w:val="24"/>
    </w:rPr>
  </w:style>
  <w:style w:type="paragraph" w:styleId="22">
    <w:name w:val="List Number 3"/>
    <w:basedOn w:val="1"/>
    <w:autoRedefine/>
    <w:qFormat/>
    <w:uiPriority w:val="0"/>
    <w:pPr>
      <w:widowControl/>
      <w:numPr>
        <w:ilvl w:val="0"/>
        <w:numId w:val="1"/>
      </w:numPr>
      <w:tabs>
        <w:tab w:val="left" w:pos="482"/>
        <w:tab w:val="clear" w:pos="510"/>
      </w:tabs>
      <w:spacing w:afterLines="50"/>
      <w:ind w:left="482" w:hanging="340"/>
      <w:jc w:val="left"/>
    </w:pPr>
    <w:rPr>
      <w:kern w:val="0"/>
      <w:sz w:val="24"/>
    </w:rPr>
  </w:style>
  <w:style w:type="paragraph" w:styleId="23">
    <w:name w:val="List 2"/>
    <w:basedOn w:val="1"/>
    <w:autoRedefine/>
    <w:qFormat/>
    <w:uiPriority w:val="0"/>
    <w:pPr>
      <w:ind w:left="100" w:leftChars="200" w:hanging="200" w:hangingChars="200"/>
    </w:pPr>
    <w:rPr>
      <w:sz w:val="28"/>
      <w:szCs w:val="24"/>
    </w:r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0"/>
    <w:pPr>
      <w:ind w:left="420"/>
      <w:jc w:val="left"/>
    </w:pPr>
    <w:rPr>
      <w:i/>
      <w:iCs/>
      <w:sz w:val="20"/>
    </w:rPr>
  </w:style>
  <w:style w:type="paragraph" w:styleId="26">
    <w:name w:val="Plain Text"/>
    <w:basedOn w:val="1"/>
    <w:link w:val="75"/>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7">
    <w:name w:val="toc 8"/>
    <w:basedOn w:val="1"/>
    <w:next w:val="1"/>
    <w:autoRedefine/>
    <w:qFormat/>
    <w:uiPriority w:val="0"/>
    <w:pPr>
      <w:ind w:left="1470"/>
      <w:jc w:val="left"/>
    </w:pPr>
    <w:rPr>
      <w:sz w:val="18"/>
      <w:szCs w:val="18"/>
    </w:rPr>
  </w:style>
  <w:style w:type="paragraph" w:styleId="28">
    <w:name w:val="Date"/>
    <w:basedOn w:val="1"/>
    <w:next w:val="1"/>
    <w:link w:val="76"/>
    <w:autoRedefine/>
    <w:qFormat/>
    <w:uiPriority w:val="0"/>
    <w:pPr>
      <w:adjustRightInd w:val="0"/>
      <w:spacing w:line="312" w:lineRule="atLeast"/>
      <w:jc w:val="right"/>
      <w:textAlignment w:val="baseline"/>
    </w:pPr>
    <w:rPr>
      <w:rFonts w:ascii="宋体"/>
      <w:kern w:val="0"/>
      <w:sz w:val="24"/>
    </w:rPr>
  </w:style>
  <w:style w:type="paragraph" w:styleId="29">
    <w:name w:val="Body Text Indent 2"/>
    <w:basedOn w:val="1"/>
    <w:link w:val="77"/>
    <w:autoRedefine/>
    <w:qFormat/>
    <w:uiPriority w:val="0"/>
    <w:pPr>
      <w:spacing w:line="380" w:lineRule="exact"/>
      <w:ind w:left="840" w:hanging="45"/>
    </w:pPr>
    <w:rPr>
      <w:rFonts w:ascii="宋体"/>
      <w:sz w:val="24"/>
    </w:rPr>
  </w:style>
  <w:style w:type="paragraph" w:styleId="30">
    <w:name w:val="Balloon Text"/>
    <w:basedOn w:val="1"/>
    <w:autoRedefine/>
    <w:qFormat/>
    <w:uiPriority w:val="0"/>
    <w:rPr>
      <w:sz w:val="18"/>
      <w:szCs w:val="18"/>
    </w:rPr>
  </w:style>
  <w:style w:type="paragraph" w:styleId="31">
    <w:name w:val="footer"/>
    <w:basedOn w:val="1"/>
    <w:link w:val="78"/>
    <w:autoRedefine/>
    <w:qFormat/>
    <w:uiPriority w:val="0"/>
    <w:pPr>
      <w:tabs>
        <w:tab w:val="center" w:pos="4153"/>
        <w:tab w:val="right" w:pos="8306"/>
      </w:tabs>
      <w:snapToGrid w:val="0"/>
      <w:jc w:val="left"/>
    </w:pPr>
    <w:rPr>
      <w:sz w:val="18"/>
    </w:rPr>
  </w:style>
  <w:style w:type="paragraph" w:styleId="32">
    <w:name w:val="header"/>
    <w:basedOn w:val="1"/>
    <w:link w:val="79"/>
    <w:autoRedefine/>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autoRedefine/>
    <w:qFormat/>
    <w:uiPriority w:val="0"/>
    <w:pPr>
      <w:ind w:left="630"/>
      <w:jc w:val="left"/>
    </w:pPr>
    <w:rPr>
      <w:sz w:val="18"/>
      <w:szCs w:val="18"/>
    </w:rPr>
  </w:style>
  <w:style w:type="paragraph" w:styleId="35">
    <w:name w:val="List Number 5"/>
    <w:basedOn w:val="1"/>
    <w:autoRedefine/>
    <w:qFormat/>
    <w:uiPriority w:val="0"/>
    <w:pPr>
      <w:numPr>
        <w:ilvl w:val="0"/>
        <w:numId w:val="3"/>
      </w:numPr>
      <w:tabs>
        <w:tab w:val="left" w:pos="2608"/>
        <w:tab w:val="clear" w:pos="840"/>
      </w:tabs>
      <w:spacing w:line="360" w:lineRule="auto"/>
    </w:pPr>
    <w:rPr>
      <w:sz w:val="24"/>
      <w:szCs w:val="24"/>
    </w:rPr>
  </w:style>
  <w:style w:type="paragraph" w:styleId="36">
    <w:name w:val="List"/>
    <w:basedOn w:val="1"/>
    <w:autoRedefine/>
    <w:qFormat/>
    <w:uiPriority w:val="0"/>
    <w:pPr>
      <w:ind w:left="200" w:hanging="200" w:hangingChars="200"/>
    </w:pPr>
    <w:rPr>
      <w:sz w:val="28"/>
      <w:szCs w:val="24"/>
    </w:rPr>
  </w:style>
  <w:style w:type="paragraph" w:styleId="37">
    <w:name w:val="toc 6"/>
    <w:basedOn w:val="1"/>
    <w:next w:val="1"/>
    <w:autoRedefine/>
    <w:qFormat/>
    <w:uiPriority w:val="0"/>
    <w:pPr>
      <w:ind w:left="1050"/>
      <w:jc w:val="left"/>
    </w:pPr>
    <w:rPr>
      <w:sz w:val="18"/>
      <w:szCs w:val="18"/>
    </w:rPr>
  </w:style>
  <w:style w:type="paragraph" w:styleId="38">
    <w:name w:val="Body Text Indent 3"/>
    <w:basedOn w:val="1"/>
    <w:link w:val="80"/>
    <w:autoRedefine/>
    <w:qFormat/>
    <w:uiPriority w:val="0"/>
    <w:pPr>
      <w:spacing w:line="380" w:lineRule="exact"/>
      <w:ind w:left="525"/>
    </w:pPr>
    <w:rPr>
      <w:rFonts w:ascii="宋体"/>
      <w:sz w:val="24"/>
    </w:rPr>
  </w:style>
  <w:style w:type="paragraph" w:styleId="39">
    <w:name w:val="table of figures"/>
    <w:basedOn w:val="1"/>
    <w:next w:val="1"/>
    <w:autoRedefine/>
    <w:qFormat/>
    <w:uiPriority w:val="0"/>
    <w:pPr>
      <w:ind w:left="420" w:hanging="420"/>
      <w:jc w:val="left"/>
    </w:pPr>
    <w:rPr>
      <w:smallCaps/>
      <w:sz w:val="20"/>
    </w:rPr>
  </w:style>
  <w:style w:type="paragraph" w:styleId="40">
    <w:name w:val="toc 2"/>
    <w:basedOn w:val="1"/>
    <w:next w:val="1"/>
    <w:autoRedefine/>
    <w:qFormat/>
    <w:uiPriority w:val="0"/>
    <w:pPr>
      <w:ind w:left="210"/>
      <w:jc w:val="left"/>
    </w:pPr>
    <w:rPr>
      <w:smallCaps/>
      <w:sz w:val="20"/>
    </w:rPr>
  </w:style>
  <w:style w:type="paragraph" w:styleId="41">
    <w:name w:val="toc 9"/>
    <w:basedOn w:val="1"/>
    <w:next w:val="1"/>
    <w:autoRedefine/>
    <w:qFormat/>
    <w:uiPriority w:val="0"/>
    <w:pPr>
      <w:ind w:left="1680"/>
      <w:jc w:val="left"/>
    </w:pPr>
    <w:rPr>
      <w:sz w:val="18"/>
      <w:szCs w:val="18"/>
    </w:rPr>
  </w:style>
  <w:style w:type="paragraph" w:styleId="42">
    <w:name w:val="Body Text 2"/>
    <w:basedOn w:val="1"/>
    <w:link w:val="81"/>
    <w:autoRedefine/>
    <w:qFormat/>
    <w:uiPriority w:val="0"/>
    <w:pPr>
      <w:spacing w:after="120" w:line="480" w:lineRule="auto"/>
    </w:pPr>
    <w:rPr>
      <w:kern w:val="0"/>
      <w:sz w:val="24"/>
      <w:szCs w:val="24"/>
    </w:rPr>
  </w:style>
  <w:style w:type="paragraph" w:styleId="43">
    <w:name w:val="HTML Preformatted"/>
    <w:basedOn w:val="1"/>
    <w:link w:val="82"/>
    <w:autoRedefine/>
    <w:qFormat/>
    <w:uiPriority w:val="0"/>
    <w:rPr>
      <w:rFonts w:ascii="Courier New" w:hAnsi="Courier New"/>
      <w:sz w:val="20"/>
    </w:rPr>
  </w:style>
  <w:style w:type="paragraph" w:styleId="44">
    <w:name w:val="Normal (Web)"/>
    <w:basedOn w:val="1"/>
    <w:link w:val="83"/>
    <w:autoRedefine/>
    <w:qFormat/>
    <w:uiPriority w:val="0"/>
    <w:pPr>
      <w:widowControl/>
      <w:spacing w:before="100" w:beforeAutospacing="1" w:after="100" w:afterAutospacing="1" w:line="300" w:lineRule="atLeast"/>
      <w:jc w:val="left"/>
    </w:pPr>
    <w:rPr>
      <w:rFonts w:ascii="宋体" w:hAnsi="宋体"/>
      <w:kern w:val="0"/>
      <w:sz w:val="24"/>
      <w:szCs w:val="24"/>
    </w:rPr>
  </w:style>
  <w:style w:type="paragraph" w:styleId="45">
    <w:name w:val="index 1"/>
    <w:basedOn w:val="1"/>
    <w:next w:val="1"/>
    <w:autoRedefine/>
    <w:qFormat/>
    <w:uiPriority w:val="0"/>
  </w:style>
  <w:style w:type="paragraph" w:styleId="46">
    <w:name w:val="annotation subject"/>
    <w:basedOn w:val="18"/>
    <w:next w:val="18"/>
    <w:link w:val="84"/>
    <w:autoRedefine/>
    <w:qFormat/>
    <w:uiPriority w:val="0"/>
    <w:rPr>
      <w:b/>
      <w:bCs/>
    </w:rPr>
  </w:style>
  <w:style w:type="paragraph" w:styleId="47">
    <w:name w:val="Body Text First Indent"/>
    <w:basedOn w:val="20"/>
    <w:link w:val="85"/>
    <w:autoRedefine/>
    <w:qFormat/>
    <w:uiPriority w:val="0"/>
    <w:pPr>
      <w:spacing w:after="120"/>
      <w:ind w:firstLine="420" w:firstLineChars="100"/>
    </w:pPr>
    <w:rPr>
      <w:sz w:val="21"/>
      <w:szCs w:val="24"/>
    </w:rPr>
  </w:style>
  <w:style w:type="paragraph" w:styleId="48">
    <w:name w:val="Body Text First Indent 2"/>
    <w:basedOn w:val="21"/>
    <w:link w:val="86"/>
    <w:autoRedefine/>
    <w:qFormat/>
    <w:uiPriority w:val="0"/>
    <w:pPr>
      <w:spacing w:after="120" w:line="240" w:lineRule="auto"/>
      <w:ind w:left="420" w:leftChars="200" w:firstLine="420" w:firstLineChars="200"/>
    </w:pPr>
    <w:rPr>
      <w:rFonts w:eastAsia="宋体"/>
      <w:sz w:val="21"/>
    </w:rPr>
  </w:style>
  <w:style w:type="table" w:styleId="50">
    <w:name w:val="Table Grid"/>
    <w:basedOn w:val="4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0"/>
    <w:rPr>
      <w:color w:val="CC0000"/>
    </w:rPr>
  </w:style>
  <w:style w:type="character" w:styleId="56">
    <w:name w:val="HTML Typewriter"/>
    <w:autoRedefine/>
    <w:qFormat/>
    <w:uiPriority w:val="0"/>
    <w:rPr>
      <w:rFonts w:ascii="Courier New" w:hAnsi="Courier New" w:cs="Courier New"/>
      <w:sz w:val="20"/>
      <w:szCs w:val="20"/>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HTML Sample"/>
    <w:basedOn w:val="51"/>
    <w:autoRedefine/>
    <w:unhideWhenUsed/>
    <w:qFormat/>
    <w:uiPriority w:val="99"/>
    <w:rPr>
      <w:rFonts w:ascii="宋体" w:hAnsi="宋体" w:eastAsia="宋体" w:cs="宋体"/>
    </w:rPr>
  </w:style>
  <w:style w:type="character" w:customStyle="1" w:styleId="60">
    <w:name w:val="标题 1 Char"/>
    <w:link w:val="5"/>
    <w:autoRedefine/>
    <w:qFormat/>
    <w:uiPriority w:val="0"/>
    <w:rPr>
      <w:rFonts w:ascii="宋体" w:eastAsia="宋体"/>
      <w:b/>
      <w:bCs/>
      <w:kern w:val="2"/>
      <w:sz w:val="28"/>
      <w:lang w:val="en-US" w:eastAsia="zh-CN" w:bidi="ar-SA"/>
    </w:rPr>
  </w:style>
  <w:style w:type="character" w:customStyle="1" w:styleId="61">
    <w:name w:val="标题 2 Char"/>
    <w:link w:val="6"/>
    <w:autoRedefine/>
    <w:qFormat/>
    <w:uiPriority w:val="0"/>
    <w:rPr>
      <w:rFonts w:ascii="Arial" w:hAnsi="Arial" w:eastAsia="黑体"/>
      <w:b/>
      <w:bCs/>
      <w:kern w:val="2"/>
      <w:sz w:val="32"/>
      <w:szCs w:val="32"/>
      <w:lang w:val="en-US" w:eastAsia="zh-CN" w:bidi="ar-SA"/>
    </w:rPr>
  </w:style>
  <w:style w:type="character" w:customStyle="1" w:styleId="62">
    <w:name w:val="标题 3 Char"/>
    <w:link w:val="7"/>
    <w:autoRedefine/>
    <w:qFormat/>
    <w:uiPriority w:val="0"/>
    <w:rPr>
      <w:rFonts w:ascii="Arial" w:hAnsi="Arial" w:eastAsia="黑体" w:cs="Arial"/>
      <w:b/>
      <w:bCs/>
      <w:kern w:val="2"/>
      <w:sz w:val="30"/>
      <w:szCs w:val="32"/>
      <w:lang w:val="en-US" w:eastAsia="zh-CN" w:bidi="ar-SA"/>
    </w:rPr>
  </w:style>
  <w:style w:type="character" w:customStyle="1" w:styleId="63">
    <w:name w:val="标题 4 Char"/>
    <w:link w:val="8"/>
    <w:autoRedefine/>
    <w:qFormat/>
    <w:uiPriority w:val="0"/>
    <w:rPr>
      <w:rFonts w:ascii="Arial" w:hAnsi="Arial" w:eastAsia="黑体"/>
      <w:b/>
      <w:bCs/>
      <w:kern w:val="2"/>
      <w:sz w:val="28"/>
      <w:szCs w:val="28"/>
      <w:lang w:val="en-US" w:eastAsia="zh-CN" w:bidi="ar-SA"/>
    </w:rPr>
  </w:style>
  <w:style w:type="character" w:customStyle="1" w:styleId="64">
    <w:name w:val="标题 5 Char"/>
    <w:link w:val="9"/>
    <w:autoRedefine/>
    <w:qFormat/>
    <w:uiPriority w:val="0"/>
    <w:rPr>
      <w:rFonts w:eastAsia="宋体"/>
      <w:b/>
      <w:bCs/>
      <w:kern w:val="2"/>
      <w:sz w:val="28"/>
      <w:szCs w:val="28"/>
      <w:lang w:val="en-US" w:eastAsia="zh-CN" w:bidi="ar-SA"/>
    </w:rPr>
  </w:style>
  <w:style w:type="character" w:customStyle="1" w:styleId="65">
    <w:name w:val="标题 6 Char"/>
    <w:link w:val="10"/>
    <w:autoRedefine/>
    <w:qFormat/>
    <w:uiPriority w:val="0"/>
    <w:rPr>
      <w:rFonts w:ascii="Cambria" w:hAnsi="Cambria" w:eastAsia="宋体"/>
      <w:b/>
      <w:bCs/>
      <w:kern w:val="2"/>
      <w:sz w:val="24"/>
      <w:szCs w:val="24"/>
      <w:lang w:val="en-US" w:eastAsia="zh-CN" w:bidi="ar-SA"/>
    </w:rPr>
  </w:style>
  <w:style w:type="character" w:customStyle="1" w:styleId="66">
    <w:name w:val="标题 7 Char"/>
    <w:link w:val="11"/>
    <w:autoRedefine/>
    <w:qFormat/>
    <w:uiPriority w:val="0"/>
    <w:rPr>
      <w:b/>
      <w:bCs/>
      <w:kern w:val="2"/>
      <w:sz w:val="24"/>
      <w:szCs w:val="24"/>
    </w:rPr>
  </w:style>
  <w:style w:type="character" w:customStyle="1" w:styleId="67">
    <w:name w:val="标题 8 Char"/>
    <w:link w:val="12"/>
    <w:autoRedefine/>
    <w:qFormat/>
    <w:uiPriority w:val="0"/>
    <w:rPr>
      <w:rFonts w:ascii="Arial" w:hAnsi="Arial" w:eastAsia="黑体"/>
      <w:kern w:val="2"/>
      <w:sz w:val="24"/>
      <w:szCs w:val="24"/>
    </w:rPr>
  </w:style>
  <w:style w:type="character" w:customStyle="1" w:styleId="68">
    <w:name w:val="标题 9 Char"/>
    <w:link w:val="13"/>
    <w:autoRedefine/>
    <w:qFormat/>
    <w:uiPriority w:val="0"/>
    <w:rPr>
      <w:rFonts w:ascii="Arial" w:hAnsi="Arial" w:eastAsia="黑体"/>
      <w:kern w:val="2"/>
      <w:sz w:val="21"/>
      <w:szCs w:val="21"/>
    </w:rPr>
  </w:style>
  <w:style w:type="character" w:customStyle="1" w:styleId="69">
    <w:name w:val="正文缩进 Char"/>
    <w:link w:val="4"/>
    <w:autoRedefine/>
    <w:qFormat/>
    <w:uiPriority w:val="0"/>
    <w:rPr>
      <w:rFonts w:eastAsia="宋体"/>
      <w:kern w:val="2"/>
      <w:sz w:val="21"/>
      <w:szCs w:val="24"/>
      <w:lang w:val="en-US" w:eastAsia="zh-CN" w:bidi="ar-SA"/>
    </w:rPr>
  </w:style>
  <w:style w:type="character" w:customStyle="1" w:styleId="70">
    <w:name w:val="文档结构图 Char"/>
    <w:link w:val="17"/>
    <w:autoRedefine/>
    <w:qFormat/>
    <w:uiPriority w:val="0"/>
    <w:rPr>
      <w:rFonts w:eastAsia="宋体"/>
      <w:kern w:val="2"/>
      <w:sz w:val="21"/>
      <w:lang w:val="en-US" w:eastAsia="zh-CN" w:bidi="ar-SA"/>
    </w:rPr>
  </w:style>
  <w:style w:type="character" w:customStyle="1" w:styleId="71">
    <w:name w:val="批注文字 Char"/>
    <w:link w:val="18"/>
    <w:autoRedefine/>
    <w:qFormat/>
    <w:uiPriority w:val="0"/>
    <w:rPr>
      <w:kern w:val="2"/>
      <w:sz w:val="21"/>
    </w:rPr>
  </w:style>
  <w:style w:type="character" w:customStyle="1" w:styleId="72">
    <w:name w:val="正文文本 3 Char"/>
    <w:link w:val="19"/>
    <w:autoRedefine/>
    <w:qFormat/>
    <w:uiPriority w:val="0"/>
    <w:rPr>
      <w:rFonts w:eastAsia="宋体"/>
      <w:sz w:val="16"/>
      <w:szCs w:val="16"/>
      <w:lang w:bidi="ar-SA"/>
    </w:rPr>
  </w:style>
  <w:style w:type="character" w:customStyle="1" w:styleId="73">
    <w:name w:val="正文文本 Char"/>
    <w:link w:val="20"/>
    <w:autoRedefine/>
    <w:qFormat/>
    <w:uiPriority w:val="0"/>
    <w:rPr>
      <w:rFonts w:eastAsia="宋体"/>
      <w:i/>
      <w:kern w:val="2"/>
      <w:sz w:val="18"/>
      <w:lang w:val="en-US" w:eastAsia="zh-CN" w:bidi="ar-SA"/>
    </w:rPr>
  </w:style>
  <w:style w:type="character" w:customStyle="1" w:styleId="74">
    <w:name w:val="正文文本缩进 Char2"/>
    <w:link w:val="21"/>
    <w:autoRedefine/>
    <w:qFormat/>
    <w:uiPriority w:val="0"/>
    <w:rPr>
      <w:rFonts w:eastAsia="方正书宋简体"/>
      <w:kern w:val="2"/>
      <w:sz w:val="24"/>
      <w:lang w:val="en-US" w:eastAsia="zh-CN" w:bidi="ar-SA"/>
    </w:rPr>
  </w:style>
  <w:style w:type="character" w:customStyle="1" w:styleId="75">
    <w:name w:val="纯文本 Char"/>
    <w:link w:val="26"/>
    <w:autoRedefine/>
    <w:qFormat/>
    <w:uiPriority w:val="99"/>
    <w:rPr>
      <w:rFonts w:ascii="宋体" w:hAnsi="宋体" w:eastAsia="宋体" w:cs="宋体"/>
      <w:color w:val="000000"/>
      <w:sz w:val="24"/>
      <w:szCs w:val="24"/>
      <w:lang w:val="en-US" w:eastAsia="zh-CN" w:bidi="ar-SA"/>
    </w:rPr>
  </w:style>
  <w:style w:type="character" w:customStyle="1" w:styleId="76">
    <w:name w:val="日期 Char"/>
    <w:link w:val="28"/>
    <w:autoRedefine/>
    <w:qFormat/>
    <w:locked/>
    <w:uiPriority w:val="0"/>
    <w:rPr>
      <w:rFonts w:ascii="宋体"/>
      <w:sz w:val="24"/>
    </w:rPr>
  </w:style>
  <w:style w:type="character" w:customStyle="1" w:styleId="77">
    <w:name w:val="正文文本缩进 2 Char"/>
    <w:link w:val="29"/>
    <w:autoRedefine/>
    <w:qFormat/>
    <w:uiPriority w:val="0"/>
    <w:rPr>
      <w:rFonts w:ascii="宋体" w:eastAsia="宋体"/>
      <w:kern w:val="2"/>
      <w:sz w:val="24"/>
      <w:lang w:val="en-US" w:eastAsia="zh-CN" w:bidi="ar-SA"/>
    </w:rPr>
  </w:style>
  <w:style w:type="character" w:customStyle="1" w:styleId="78">
    <w:name w:val="页脚 Char"/>
    <w:link w:val="31"/>
    <w:autoRedefine/>
    <w:qFormat/>
    <w:uiPriority w:val="0"/>
    <w:rPr>
      <w:rFonts w:eastAsia="宋体"/>
      <w:kern w:val="2"/>
      <w:sz w:val="18"/>
      <w:lang w:val="en-US" w:eastAsia="zh-CN" w:bidi="ar-SA"/>
    </w:rPr>
  </w:style>
  <w:style w:type="character" w:customStyle="1" w:styleId="79">
    <w:name w:val="页眉 Char"/>
    <w:link w:val="32"/>
    <w:autoRedefine/>
    <w:qFormat/>
    <w:uiPriority w:val="0"/>
    <w:rPr>
      <w:rFonts w:eastAsia="宋体"/>
      <w:kern w:val="2"/>
      <w:sz w:val="18"/>
      <w:lang w:val="en-US" w:eastAsia="zh-CN" w:bidi="ar-SA"/>
    </w:rPr>
  </w:style>
  <w:style w:type="character" w:customStyle="1" w:styleId="80">
    <w:name w:val="正文文本缩进 3 Char"/>
    <w:link w:val="38"/>
    <w:autoRedefine/>
    <w:qFormat/>
    <w:uiPriority w:val="0"/>
    <w:rPr>
      <w:rFonts w:ascii="宋体" w:eastAsia="宋体"/>
      <w:kern w:val="2"/>
      <w:sz w:val="24"/>
      <w:lang w:val="en-US" w:eastAsia="zh-CN" w:bidi="ar-SA"/>
    </w:rPr>
  </w:style>
  <w:style w:type="character" w:customStyle="1" w:styleId="81">
    <w:name w:val="正文文本 2 Char"/>
    <w:link w:val="42"/>
    <w:autoRedefine/>
    <w:qFormat/>
    <w:uiPriority w:val="0"/>
    <w:rPr>
      <w:rFonts w:eastAsia="宋体"/>
      <w:sz w:val="24"/>
      <w:szCs w:val="24"/>
      <w:lang w:bidi="ar-SA"/>
    </w:rPr>
  </w:style>
  <w:style w:type="character" w:customStyle="1" w:styleId="82">
    <w:name w:val="HTML 预设格式 Char"/>
    <w:link w:val="43"/>
    <w:autoRedefine/>
    <w:qFormat/>
    <w:uiPriority w:val="0"/>
    <w:rPr>
      <w:rFonts w:ascii="Courier New" w:hAnsi="Courier New" w:cs="Courier New"/>
      <w:kern w:val="2"/>
    </w:rPr>
  </w:style>
  <w:style w:type="character" w:customStyle="1" w:styleId="83">
    <w:name w:val="普通(网站) Char"/>
    <w:link w:val="44"/>
    <w:autoRedefine/>
    <w:qFormat/>
    <w:uiPriority w:val="0"/>
    <w:rPr>
      <w:rFonts w:ascii="宋体" w:hAnsi="宋体" w:cs="宋体"/>
      <w:sz w:val="24"/>
      <w:szCs w:val="24"/>
    </w:rPr>
  </w:style>
  <w:style w:type="character" w:customStyle="1" w:styleId="84">
    <w:name w:val="批注主题 Char"/>
    <w:link w:val="46"/>
    <w:autoRedefine/>
    <w:qFormat/>
    <w:uiPriority w:val="0"/>
    <w:rPr>
      <w:b/>
      <w:bCs/>
      <w:kern w:val="2"/>
      <w:sz w:val="21"/>
    </w:rPr>
  </w:style>
  <w:style w:type="character" w:customStyle="1" w:styleId="85">
    <w:name w:val="正文首行缩进 Char"/>
    <w:link w:val="47"/>
    <w:autoRedefine/>
    <w:qFormat/>
    <w:uiPriority w:val="0"/>
    <w:rPr>
      <w:rFonts w:eastAsia="宋体"/>
      <w:i/>
      <w:kern w:val="2"/>
      <w:sz w:val="21"/>
      <w:szCs w:val="24"/>
      <w:lang w:val="en-US" w:eastAsia="zh-CN" w:bidi="ar-SA"/>
    </w:rPr>
  </w:style>
  <w:style w:type="character" w:customStyle="1" w:styleId="86">
    <w:name w:val="正文首行缩进 2 Char1"/>
    <w:link w:val="48"/>
    <w:autoRedefine/>
    <w:qFormat/>
    <w:uiPriority w:val="0"/>
    <w:rPr>
      <w:kern w:val="2"/>
      <w:sz w:val="21"/>
    </w:rPr>
  </w:style>
  <w:style w:type="character" w:customStyle="1" w:styleId="87">
    <w:name w:val="标题2正文 Char Char Char"/>
    <w:link w:val="88"/>
    <w:autoRedefine/>
    <w:qFormat/>
    <w:uiPriority w:val="0"/>
    <w:rPr>
      <w:rFonts w:eastAsia="宋体"/>
      <w:sz w:val="24"/>
      <w:szCs w:val="24"/>
      <w:lang w:bidi="ar-SA"/>
    </w:rPr>
  </w:style>
  <w:style w:type="paragraph" w:customStyle="1" w:styleId="88">
    <w:name w:val="标题2正文 Char"/>
    <w:basedOn w:val="1"/>
    <w:link w:val="87"/>
    <w:autoRedefine/>
    <w:qFormat/>
    <w:uiPriority w:val="0"/>
    <w:pPr>
      <w:spacing w:beforeLines="50" w:afterLines="50"/>
      <w:ind w:right="38" w:rightChars="18" w:firstLine="420"/>
    </w:pPr>
    <w:rPr>
      <w:kern w:val="0"/>
      <w:sz w:val="24"/>
      <w:szCs w:val="24"/>
    </w:rPr>
  </w:style>
  <w:style w:type="character" w:customStyle="1" w:styleId="89">
    <w:name w:val="列出段落 Char1"/>
    <w:link w:val="90"/>
    <w:autoRedefine/>
    <w:qFormat/>
    <w:locked/>
    <w:uiPriority w:val="34"/>
    <w:rPr>
      <w:kern w:val="2"/>
      <w:sz w:val="24"/>
      <w:szCs w:val="24"/>
    </w:rPr>
  </w:style>
  <w:style w:type="paragraph" w:styleId="90">
    <w:name w:val="List Paragraph"/>
    <w:basedOn w:val="1"/>
    <w:link w:val="89"/>
    <w:autoRedefine/>
    <w:qFormat/>
    <w:uiPriority w:val="34"/>
    <w:pPr>
      <w:spacing w:line="360" w:lineRule="auto"/>
      <w:ind w:firstLine="420" w:firstLineChars="200"/>
    </w:pPr>
    <w:rPr>
      <w:sz w:val="24"/>
      <w:szCs w:val="24"/>
    </w:rPr>
  </w:style>
  <w:style w:type="character" w:customStyle="1" w:styleId="91">
    <w:name w:val="列出段落 Char"/>
    <w:autoRedefine/>
    <w:qFormat/>
    <w:locked/>
    <w:uiPriority w:val="34"/>
    <w:rPr>
      <w:rFonts w:eastAsia="宋体" w:cs="Times New Roman"/>
      <w:kern w:val="2"/>
      <w:sz w:val="24"/>
      <w:szCs w:val="24"/>
      <w:lang w:val="en-US" w:eastAsia="zh-CN" w:bidi="ar-SA"/>
    </w:rPr>
  </w:style>
  <w:style w:type="character" w:customStyle="1" w:styleId="92">
    <w:name w:val="样式2 Char Char"/>
    <w:link w:val="93"/>
    <w:autoRedefine/>
    <w:qFormat/>
    <w:uiPriority w:val="0"/>
    <w:rPr>
      <w:rFonts w:ascii="黑体" w:hAnsi="黑体" w:eastAsia="黑体"/>
      <w:bCs/>
      <w:color w:val="FF0000"/>
      <w:kern w:val="2"/>
      <w:sz w:val="28"/>
      <w:szCs w:val="32"/>
      <w:lang w:val="en-US" w:eastAsia="zh-CN" w:bidi="ar-SA"/>
    </w:rPr>
  </w:style>
  <w:style w:type="paragraph" w:customStyle="1" w:styleId="93">
    <w:name w:val="样式2"/>
    <w:basedOn w:val="7"/>
    <w:link w:val="92"/>
    <w:autoRedefine/>
    <w:qFormat/>
    <w:uiPriority w:val="0"/>
    <w:pPr>
      <w:adjustRightInd w:val="0"/>
      <w:spacing w:beforeLines="0" w:afterLines="0"/>
      <w:ind w:left="0" w:firstLine="0"/>
      <w:textAlignment w:val="baseline"/>
    </w:pPr>
    <w:rPr>
      <w:rFonts w:ascii="黑体" w:hAnsi="黑体" w:cs="Times New Roman"/>
      <w:b w:val="0"/>
      <w:color w:val="FF0000"/>
      <w:sz w:val="28"/>
    </w:rPr>
  </w:style>
  <w:style w:type="character" w:customStyle="1" w:styleId="94">
    <w:name w:val="方案－正文 Char Char"/>
    <w:link w:val="95"/>
    <w:autoRedefine/>
    <w:qFormat/>
    <w:uiPriority w:val="0"/>
    <w:rPr>
      <w:rFonts w:ascii="仿宋_GB2312" w:hAnsi="宋体"/>
      <w:sz w:val="24"/>
      <w:lang w:bidi="ar-SA"/>
    </w:rPr>
  </w:style>
  <w:style w:type="paragraph" w:customStyle="1" w:styleId="95">
    <w:name w:val="方案－正文"/>
    <w:basedOn w:val="1"/>
    <w:link w:val="94"/>
    <w:autoRedefine/>
    <w:qFormat/>
    <w:uiPriority w:val="0"/>
    <w:pPr>
      <w:spacing w:line="360" w:lineRule="auto"/>
      <w:ind w:firstLine="480" w:firstLineChars="200"/>
    </w:pPr>
    <w:rPr>
      <w:rFonts w:ascii="仿宋_GB2312" w:hAnsi="宋体"/>
      <w:kern w:val="0"/>
      <w:sz w:val="24"/>
    </w:rPr>
  </w:style>
  <w:style w:type="character" w:customStyle="1" w:styleId="96">
    <w:name w:val="样式1 Char Char"/>
    <w:link w:val="97"/>
    <w:autoRedefine/>
    <w:qFormat/>
    <w:uiPriority w:val="0"/>
    <w:rPr>
      <w:rFonts w:ascii="黑体" w:hAnsi="黑体" w:eastAsia="黑体"/>
      <w:b/>
      <w:bCs/>
      <w:kern w:val="2"/>
      <w:sz w:val="32"/>
      <w:szCs w:val="32"/>
      <w:lang w:bidi="ar-SA"/>
    </w:rPr>
  </w:style>
  <w:style w:type="paragraph" w:customStyle="1" w:styleId="97">
    <w:name w:val="样式1"/>
    <w:basedOn w:val="6"/>
    <w:link w:val="96"/>
    <w:autoRedefine/>
    <w:qFormat/>
    <w:uiPriority w:val="0"/>
    <w:pPr>
      <w:tabs>
        <w:tab w:val="clear" w:pos="578"/>
      </w:tabs>
      <w:spacing w:beforeLines="0" w:afterLines="0"/>
      <w:ind w:left="0" w:firstLine="0"/>
    </w:pPr>
    <w:rPr>
      <w:rFonts w:ascii="黑体" w:hAnsi="黑体"/>
    </w:rPr>
  </w:style>
  <w:style w:type="character" w:customStyle="1" w:styleId="98">
    <w:name w:val="正文文本缩进 字符1"/>
    <w:autoRedefine/>
    <w:qFormat/>
    <w:uiPriority w:val="0"/>
    <w:rPr>
      <w:rFonts w:eastAsia="方正书宋简体"/>
      <w:kern w:val="2"/>
      <w:sz w:val="24"/>
      <w:lang w:val="en-US" w:eastAsia="zh-CN" w:bidi="ar-SA"/>
    </w:rPr>
  </w:style>
  <w:style w:type="character" w:customStyle="1" w:styleId="99">
    <w:name w:val="正文首行缩进 2 Char"/>
    <w:autoRedefine/>
    <w:qFormat/>
    <w:uiPriority w:val="0"/>
    <w:rPr>
      <w:rFonts w:eastAsia="方正书宋简体"/>
      <w:kern w:val="2"/>
      <w:sz w:val="21"/>
      <w:lang w:val="en-US" w:eastAsia="zh-CN" w:bidi="ar-SA"/>
    </w:rPr>
  </w:style>
  <w:style w:type="character" w:customStyle="1" w:styleId="100">
    <w:name w:val="H2 Char"/>
    <w:autoRedefine/>
    <w:qFormat/>
    <w:uiPriority w:val="0"/>
    <w:rPr>
      <w:rFonts w:ascii="Arial" w:hAnsi="Arial" w:eastAsia="黑体"/>
      <w:b/>
      <w:bCs/>
      <w:kern w:val="2"/>
      <w:sz w:val="32"/>
      <w:szCs w:val="32"/>
      <w:lang w:val="en-US" w:eastAsia="zh-CN" w:bidi="ar-SA"/>
    </w:rPr>
  </w:style>
  <w:style w:type="character" w:customStyle="1" w:styleId="101">
    <w:name w:val="apple-style-span"/>
    <w:basedOn w:val="51"/>
    <w:autoRedefine/>
    <w:qFormat/>
    <w:uiPriority w:val="0"/>
  </w:style>
  <w:style w:type="character" w:customStyle="1" w:styleId="102">
    <w:name w:val="纯文本 字符"/>
    <w:autoRedefine/>
    <w:semiHidden/>
    <w:qFormat/>
    <w:uiPriority w:val="99"/>
    <w:rPr>
      <w:rFonts w:ascii="宋体" w:hAnsi="Courier New" w:cs="宋体"/>
    </w:rPr>
  </w:style>
  <w:style w:type="character" w:customStyle="1" w:styleId="103">
    <w:name w:val="h6 Char"/>
    <w:autoRedefine/>
    <w:qFormat/>
    <w:uiPriority w:val="0"/>
    <w:rPr>
      <w:rFonts w:ascii="Arial" w:hAnsi="Arial" w:eastAsia="宋体"/>
      <w:b/>
      <w:bCs/>
      <w:kern w:val="2"/>
      <w:sz w:val="24"/>
      <w:szCs w:val="24"/>
      <w:lang w:val="en-US" w:eastAsia="zh-CN" w:bidi="ar-SA"/>
    </w:rPr>
  </w:style>
  <w:style w:type="character" w:customStyle="1" w:styleId="104">
    <w:name w:val="bookmark-item"/>
    <w:basedOn w:val="51"/>
    <w:autoRedefine/>
    <w:qFormat/>
    <w:uiPriority w:val="0"/>
  </w:style>
  <w:style w:type="character" w:customStyle="1" w:styleId="105">
    <w:name w:val="正文文本缩进 Char1"/>
    <w:autoRedefine/>
    <w:qFormat/>
    <w:uiPriority w:val="0"/>
    <w:rPr>
      <w:rFonts w:eastAsia="方正书宋简体"/>
      <w:kern w:val="2"/>
      <w:sz w:val="24"/>
      <w:lang w:val="en-US" w:eastAsia="zh-CN" w:bidi="ar-SA"/>
    </w:rPr>
  </w:style>
  <w:style w:type="character" w:customStyle="1" w:styleId="106">
    <w:name w:val="样式5 Char Char"/>
    <w:link w:val="107"/>
    <w:autoRedefine/>
    <w:qFormat/>
    <w:uiPriority w:val="0"/>
    <w:rPr>
      <w:rFonts w:eastAsia="宋体"/>
      <w:b/>
      <w:bCs/>
      <w:kern w:val="2"/>
      <w:sz w:val="28"/>
      <w:szCs w:val="28"/>
      <w:lang w:val="en-US" w:eastAsia="zh-CN" w:bidi="ar-SA"/>
    </w:rPr>
  </w:style>
  <w:style w:type="paragraph" w:customStyle="1" w:styleId="107">
    <w:name w:val="样式5"/>
    <w:basedOn w:val="1"/>
    <w:link w:val="106"/>
    <w:autoRedefine/>
    <w:qFormat/>
    <w:uiPriority w:val="0"/>
    <w:pPr>
      <w:keepNext/>
      <w:keepLines/>
      <w:spacing w:before="280" w:after="290" w:line="376" w:lineRule="auto"/>
      <w:ind w:left="210" w:leftChars="100" w:right="210" w:rightChars="100"/>
      <w:outlineLvl w:val="4"/>
    </w:pPr>
    <w:rPr>
      <w:b/>
      <w:bCs/>
      <w:sz w:val="28"/>
      <w:szCs w:val="28"/>
    </w:rPr>
  </w:style>
  <w:style w:type="character" w:customStyle="1" w:styleId="108">
    <w:name w:val="样式4 Char Char"/>
    <w:link w:val="109"/>
    <w:autoRedefine/>
    <w:qFormat/>
    <w:uiPriority w:val="0"/>
    <w:rPr>
      <w:rFonts w:ascii="黑体" w:hAnsi="黑体" w:eastAsia="黑体"/>
      <w:bCs/>
      <w:kern w:val="44"/>
      <w:sz w:val="44"/>
      <w:szCs w:val="44"/>
      <w:lang w:val="en-US" w:eastAsia="zh-CN" w:bidi="ar-SA"/>
    </w:rPr>
  </w:style>
  <w:style w:type="paragraph" w:customStyle="1" w:styleId="109">
    <w:name w:val="样式4"/>
    <w:basedOn w:val="5"/>
    <w:link w:val="108"/>
    <w:autoRedefine/>
    <w:qFormat/>
    <w:uiPriority w:val="0"/>
    <w:pPr>
      <w:keepLines/>
      <w:spacing w:line="360" w:lineRule="auto"/>
    </w:pPr>
    <w:rPr>
      <w:rFonts w:ascii="黑体" w:hAnsi="黑体" w:eastAsia="黑体"/>
      <w:b w:val="0"/>
      <w:kern w:val="44"/>
      <w:sz w:val="44"/>
      <w:szCs w:val="44"/>
    </w:rPr>
  </w:style>
  <w:style w:type="character" w:customStyle="1" w:styleId="110">
    <w:name w:val="标题 1 Char Char"/>
    <w:autoRedefine/>
    <w:qFormat/>
    <w:uiPriority w:val="0"/>
    <w:rPr>
      <w:rFonts w:eastAsia="宋体"/>
      <w:b/>
      <w:spacing w:val="-2"/>
      <w:sz w:val="24"/>
      <w:lang w:val="en-US" w:eastAsia="zh-CN" w:bidi="ar-SA"/>
    </w:rPr>
  </w:style>
  <w:style w:type="character" w:customStyle="1" w:styleId="111">
    <w:name w:val="哈哈正文 Char Char"/>
    <w:link w:val="112"/>
    <w:autoRedefine/>
    <w:qFormat/>
    <w:uiPriority w:val="0"/>
    <w:rPr>
      <w:rFonts w:ascii="宋体" w:hAnsi="宋体" w:eastAsia="宋体" w:cs="宋体"/>
      <w:kern w:val="2"/>
      <w:sz w:val="24"/>
      <w:lang w:val="en-US" w:eastAsia="zh-CN" w:bidi="ar-SA"/>
    </w:rPr>
  </w:style>
  <w:style w:type="paragraph" w:customStyle="1" w:styleId="112">
    <w:name w:val="哈哈正文"/>
    <w:basedOn w:val="1"/>
    <w:link w:val="111"/>
    <w:autoRedefine/>
    <w:qFormat/>
    <w:uiPriority w:val="0"/>
    <w:pPr>
      <w:spacing w:line="360" w:lineRule="auto"/>
      <w:ind w:firstLine="200" w:firstLineChars="200"/>
    </w:pPr>
    <w:rPr>
      <w:rFonts w:ascii="宋体" w:hAnsi="宋体" w:cs="宋体"/>
      <w:sz w:val="24"/>
    </w:rPr>
  </w:style>
  <w:style w:type="character" w:customStyle="1" w:styleId="113">
    <w:name w:val="hui3"/>
    <w:autoRedefine/>
    <w:qFormat/>
    <w:uiPriority w:val="0"/>
    <w:rPr>
      <w:color w:val="333333"/>
    </w:rPr>
  </w:style>
  <w:style w:type="character" w:customStyle="1" w:styleId="114">
    <w:name w:val="纯文本 Char1"/>
    <w:autoRedefine/>
    <w:qFormat/>
    <w:uiPriority w:val="99"/>
    <w:rPr>
      <w:rFonts w:ascii="宋体" w:hAnsi="宋体" w:eastAsia="宋体" w:cs="宋体"/>
      <w:color w:val="000000"/>
      <w:sz w:val="24"/>
      <w:szCs w:val="24"/>
      <w:lang w:val="en-US" w:eastAsia="zh-CN" w:bidi="ar-SA"/>
    </w:rPr>
  </w:style>
  <w:style w:type="character" w:customStyle="1" w:styleId="115">
    <w:name w:val="正文文本缩进 字符"/>
    <w:autoRedefine/>
    <w:qFormat/>
    <w:uiPriority w:val="99"/>
    <w:rPr>
      <w:rFonts w:ascii="宋体" w:hAnsi="宋体" w:eastAsia="方正书宋简体"/>
      <w:kern w:val="2"/>
      <w:sz w:val="24"/>
      <w:szCs w:val="24"/>
      <w:lang w:val="en-US" w:eastAsia="zh-CN" w:bidi="ar-SA"/>
    </w:rPr>
  </w:style>
  <w:style w:type="paragraph" w:customStyle="1" w:styleId="116">
    <w:name w:val="纯文本1"/>
    <w:basedOn w:val="1"/>
    <w:autoRedefine/>
    <w:qFormat/>
    <w:uiPriority w:val="0"/>
    <w:rPr>
      <w:rFonts w:ascii="宋体" w:hAnsi="Courier New"/>
    </w:rPr>
  </w:style>
  <w:style w:type="paragraph" w:customStyle="1" w:styleId="11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119">
    <w:name w:val="xl28"/>
    <w:basedOn w:val="1"/>
    <w:autoRedefine/>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20">
    <w:name w:val="xl33"/>
    <w:basedOn w:val="1"/>
    <w:autoRedefine/>
    <w:qFormat/>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21">
    <w:name w:val="默认段落字体 Para Char Char Char Char Char Char Char Char Char1 Char Char Char Char"/>
    <w:basedOn w:val="1"/>
    <w:autoRedefine/>
    <w:qFormat/>
    <w:uiPriority w:val="0"/>
    <w:rPr>
      <w:rFonts w:ascii="Tahoma" w:hAnsi="Tahoma"/>
      <w:sz w:val="24"/>
    </w:rPr>
  </w:style>
  <w:style w:type="paragraph" w:customStyle="1" w:styleId="122">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12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4">
    <w:name w:val="默认段落字体 Para Char Char Char Char"/>
    <w:basedOn w:val="1"/>
    <w:autoRedefine/>
    <w:qFormat/>
    <w:uiPriority w:val="0"/>
    <w:pPr>
      <w:adjustRightInd w:val="0"/>
      <w:spacing w:line="360" w:lineRule="auto"/>
    </w:pPr>
    <w:rPr>
      <w:kern w:val="0"/>
      <w:sz w:val="24"/>
    </w:rPr>
  </w:style>
  <w:style w:type="paragraph" w:customStyle="1" w:styleId="125">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27">
    <w:name w:val="Char Char Char1 Char Char Char Char Char Char Char Char Char Char Char Char Char"/>
    <w:basedOn w:val="17"/>
    <w:autoRedefine/>
    <w:qFormat/>
    <w:uiPriority w:val="0"/>
    <w:rPr>
      <w:shd w:val="clear" w:color="auto" w:fill="000080"/>
    </w:rPr>
  </w:style>
  <w:style w:type="paragraph" w:customStyle="1" w:styleId="128">
    <w:name w:val="正文文本缩进 + 四号"/>
    <w:basedOn w:val="21"/>
    <w:autoRedefine/>
    <w:qFormat/>
    <w:uiPriority w:val="0"/>
    <w:pPr>
      <w:spacing w:line="360" w:lineRule="auto"/>
      <w:ind w:firstLine="560" w:firstLineChars="200"/>
    </w:pPr>
    <w:rPr>
      <w:rFonts w:ascii="仿宋_GB2312" w:eastAsia="仿宋_GB2312"/>
      <w:color w:val="000000"/>
      <w:sz w:val="28"/>
      <w:szCs w:val="28"/>
    </w:rPr>
  </w:style>
  <w:style w:type="paragraph" w:customStyle="1" w:styleId="129">
    <w:name w:val="Char Char Char Char Char Char Char"/>
    <w:basedOn w:val="1"/>
    <w:autoRedefine/>
    <w:qFormat/>
    <w:uiPriority w:val="0"/>
    <w:pPr>
      <w:tabs>
        <w:tab w:val="left" w:pos="432"/>
      </w:tabs>
      <w:ind w:left="432" w:hanging="432"/>
    </w:pPr>
    <w:rPr>
      <w:rFonts w:ascii="Tahoma" w:hAnsi="Tahoma"/>
      <w:sz w:val="24"/>
    </w:rPr>
  </w:style>
  <w:style w:type="paragraph" w:customStyle="1" w:styleId="130">
    <w:name w:val="xl24"/>
    <w:basedOn w:val="1"/>
    <w:autoRedefine/>
    <w:qFormat/>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31">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正文编码"/>
    <w:basedOn w:val="47"/>
    <w:autoRedefine/>
    <w:qFormat/>
    <w:uiPriority w:val="0"/>
    <w:pPr>
      <w:numPr>
        <w:ilvl w:val="0"/>
        <w:numId w:val="4"/>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33">
    <w:name w:val="默认段落字体 Para Char Char Char Char Char Char Char Char Char Char"/>
    <w:basedOn w:val="1"/>
    <w:autoRedefine/>
    <w:qFormat/>
    <w:uiPriority w:val="0"/>
    <w:rPr>
      <w:rFonts w:ascii="Tahoma" w:hAnsi="Tahoma"/>
      <w:sz w:val="24"/>
    </w:rPr>
  </w:style>
  <w:style w:type="paragraph" w:customStyle="1" w:styleId="134">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35">
    <w:name w:val="Char Char Char1 Char Char Char Char Char Char Char Char Char Char Char Char Char Char Char Char Char Char Char Char Char Char"/>
    <w:basedOn w:val="1"/>
    <w:autoRedefine/>
    <w:qFormat/>
    <w:uiPriority w:val="0"/>
    <w:pPr>
      <w:spacing w:line="360" w:lineRule="auto"/>
      <w:ind w:firstLine="200" w:firstLineChars="200"/>
    </w:pPr>
  </w:style>
  <w:style w:type="paragraph" w:customStyle="1" w:styleId="136">
    <w:name w:val="报告正文"/>
    <w:basedOn w:val="1"/>
    <w:autoRedefine/>
    <w:qFormat/>
    <w:uiPriority w:val="0"/>
    <w:pPr>
      <w:adjustRightInd w:val="0"/>
      <w:snapToGrid w:val="0"/>
      <w:spacing w:line="288" w:lineRule="auto"/>
      <w:ind w:left="3060" w:leftChars="1700"/>
    </w:pPr>
    <w:rPr>
      <w:rFonts w:ascii="华文细黑" w:hAnsi="华文细黑" w:eastAsia="华文细黑" w:cs="宋体"/>
    </w:rPr>
  </w:style>
  <w:style w:type="paragraph" w:customStyle="1" w:styleId="137">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138">
    <w:name w:val="正文 居中"/>
    <w:basedOn w:val="1"/>
    <w:autoRedefine/>
    <w:qFormat/>
    <w:uiPriority w:val="0"/>
    <w:pPr>
      <w:spacing w:line="360" w:lineRule="auto"/>
      <w:jc w:val="center"/>
    </w:pPr>
    <w:rPr>
      <w:rFonts w:cs="宋体"/>
      <w:sz w:val="24"/>
    </w:rPr>
  </w:style>
  <w:style w:type="paragraph" w:customStyle="1" w:styleId="139">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40">
    <w:name w:val="标题1"/>
    <w:basedOn w:val="5"/>
    <w:autoRedefine/>
    <w:qFormat/>
    <w:uiPriority w:val="0"/>
    <w:pPr>
      <w:keepLines/>
      <w:numPr>
        <w:ilvl w:val="0"/>
        <w:numId w:val="5"/>
      </w:numPr>
      <w:tabs>
        <w:tab w:val="left" w:pos="397"/>
        <w:tab w:val="clear" w:pos="700"/>
      </w:tabs>
      <w:spacing w:before="120" w:after="120" w:line="300" w:lineRule="auto"/>
    </w:pPr>
    <w:rPr>
      <w:rFonts w:ascii="黑体" w:hAnsi="宋体" w:eastAsia="黑体"/>
      <w:b w:val="0"/>
      <w:bCs w:val="0"/>
      <w:spacing w:val="6"/>
      <w:kern w:val="44"/>
      <w:sz w:val="36"/>
    </w:rPr>
  </w:style>
  <w:style w:type="paragraph" w:customStyle="1" w:styleId="141">
    <w:name w:val="Char11"/>
    <w:basedOn w:val="1"/>
    <w:autoRedefine/>
    <w:qFormat/>
    <w:uiPriority w:val="0"/>
    <w:pPr>
      <w:tabs>
        <w:tab w:val="left" w:pos="1200"/>
      </w:tabs>
      <w:ind w:left="1200" w:hanging="720"/>
    </w:pPr>
    <w:rPr>
      <w:sz w:val="24"/>
      <w:szCs w:val="24"/>
    </w:rPr>
  </w:style>
  <w:style w:type="paragraph" w:customStyle="1" w:styleId="14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3">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Char1"/>
    <w:basedOn w:val="1"/>
    <w:autoRedefine/>
    <w:qFormat/>
    <w:uiPriority w:val="0"/>
    <w:rPr>
      <w:rFonts w:ascii="仿宋_GB2312" w:eastAsia="仿宋_GB2312"/>
      <w:b/>
      <w:sz w:val="32"/>
      <w:szCs w:val="32"/>
    </w:rPr>
  </w:style>
  <w:style w:type="paragraph" w:customStyle="1" w:styleId="146">
    <w:name w:val="默认段落字体11"/>
    <w:basedOn w:val="1"/>
    <w:autoRedefine/>
    <w:qFormat/>
    <w:uiPriority w:val="0"/>
    <w:pPr>
      <w:widowControl/>
      <w:spacing w:before="100" w:beforeAutospacing="1" w:after="100" w:afterAutospacing="1"/>
      <w:jc w:val="left"/>
    </w:pPr>
    <w:rPr>
      <w:sz w:val="28"/>
      <w:szCs w:val="28"/>
    </w:rPr>
  </w:style>
  <w:style w:type="paragraph" w:customStyle="1" w:styleId="14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8">
    <w:name w:val="标准正文"/>
    <w:basedOn w:val="1"/>
    <w:autoRedefine/>
    <w:qFormat/>
    <w:uiPriority w:val="0"/>
    <w:pPr>
      <w:adjustRightInd w:val="0"/>
      <w:spacing w:line="360" w:lineRule="auto"/>
      <w:ind w:firstLine="480" w:firstLineChars="200"/>
    </w:pPr>
    <w:rPr>
      <w:kern w:val="0"/>
      <w:sz w:val="24"/>
    </w:rPr>
  </w:style>
  <w:style w:type="paragraph" w:customStyle="1" w:styleId="149">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50">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151">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52">
    <w:name w:val="Char Char1 Char Char Char Char"/>
    <w:basedOn w:val="1"/>
    <w:autoRedefine/>
    <w:qFormat/>
    <w:uiPriority w:val="0"/>
    <w:rPr>
      <w:rFonts w:ascii="Tahoma" w:hAnsi="Tahoma"/>
      <w:sz w:val="24"/>
    </w:rPr>
  </w:style>
  <w:style w:type="paragraph" w:customStyle="1" w:styleId="153">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154">
    <w:name w:val="标题3"/>
    <w:basedOn w:val="7"/>
    <w:autoRedefine/>
    <w:qFormat/>
    <w:uiPriority w:val="0"/>
    <w:pPr>
      <w:numPr>
        <w:ilvl w:val="2"/>
        <w:numId w:val="1"/>
      </w:numPr>
      <w:tabs>
        <w:tab w:val="left" w:pos="113"/>
        <w:tab w:val="left" w:pos="840"/>
        <w:tab w:val="clear" w:pos="126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55">
    <w:name w:val="正文段"/>
    <w:basedOn w:val="1"/>
    <w:autoRedefine/>
    <w:qFormat/>
    <w:uiPriority w:val="0"/>
    <w:pPr>
      <w:widowControl/>
      <w:snapToGrid w:val="0"/>
      <w:spacing w:afterLines="50"/>
      <w:ind w:firstLine="200" w:firstLineChars="200"/>
    </w:pPr>
    <w:rPr>
      <w:kern w:val="0"/>
      <w:sz w:val="24"/>
    </w:rPr>
  </w:style>
  <w:style w:type="paragraph" w:customStyle="1" w:styleId="156">
    <w:name w:val="符号 1"/>
    <w:basedOn w:val="21"/>
    <w:autoRedefine/>
    <w:qFormat/>
    <w:uiPriority w:val="0"/>
    <w:pPr>
      <w:tabs>
        <w:tab w:val="left" w:pos="900"/>
      </w:tabs>
      <w:spacing w:line="360" w:lineRule="auto"/>
      <w:ind w:left="1200" w:hanging="720"/>
    </w:pPr>
    <w:rPr>
      <w:rFonts w:eastAsia="宋体"/>
      <w:kern w:val="28"/>
      <w:szCs w:val="24"/>
    </w:rPr>
  </w:style>
  <w:style w:type="paragraph" w:customStyle="1" w:styleId="157">
    <w:name w:val="Char Char Char Char Char Char Char Char Char Char"/>
    <w:basedOn w:val="1"/>
    <w:autoRedefine/>
    <w:qFormat/>
    <w:uiPriority w:val="0"/>
    <w:pPr>
      <w:widowControl/>
      <w:spacing w:after="160" w:line="240" w:lineRule="exact"/>
      <w:jc w:val="left"/>
    </w:pPr>
  </w:style>
  <w:style w:type="paragraph" w:customStyle="1" w:styleId="158">
    <w:name w:val="标准小四"/>
    <w:basedOn w:val="1"/>
    <w:autoRedefine/>
    <w:qFormat/>
    <w:uiPriority w:val="0"/>
    <w:pPr>
      <w:spacing w:line="360" w:lineRule="auto"/>
      <w:ind w:firstLine="480" w:firstLineChars="200"/>
    </w:pPr>
    <w:rPr>
      <w:rFonts w:ascii="Arial" w:hAnsi="Arial"/>
      <w:sz w:val="24"/>
      <w:szCs w:val="21"/>
    </w:rPr>
  </w:style>
  <w:style w:type="paragraph" w:customStyle="1" w:styleId="159">
    <w:name w:val="Char Char Char1 Char"/>
    <w:basedOn w:val="1"/>
    <w:autoRedefine/>
    <w:qFormat/>
    <w:uiPriority w:val="0"/>
    <w:pPr>
      <w:spacing w:line="360" w:lineRule="auto"/>
      <w:ind w:firstLine="200" w:firstLineChars="200"/>
    </w:pPr>
  </w:style>
  <w:style w:type="paragraph" w:customStyle="1" w:styleId="160">
    <w:name w:val="符号 2"/>
    <w:basedOn w:val="156"/>
    <w:autoRedefine/>
    <w:qFormat/>
    <w:uiPriority w:val="0"/>
    <w:pPr>
      <w:tabs>
        <w:tab w:val="left" w:pos="1320"/>
        <w:tab w:val="clear" w:pos="900"/>
      </w:tabs>
    </w:pPr>
  </w:style>
  <w:style w:type="character" w:customStyle="1" w:styleId="161">
    <w:name w:val="*正文 Char"/>
    <w:link w:val="3"/>
    <w:autoRedefine/>
    <w:qFormat/>
    <w:uiPriority w:val="0"/>
    <w:rPr>
      <w:rFonts w:ascii="仿宋_GB2312" w:eastAsia="仿宋_GB2312"/>
      <w:sz w:val="24"/>
      <w:szCs w:val="28"/>
    </w:rPr>
  </w:style>
  <w:style w:type="paragraph" w:customStyle="1" w:styleId="162">
    <w:name w:val="p0"/>
    <w:basedOn w:val="1"/>
    <w:autoRedefine/>
    <w:qFormat/>
    <w:uiPriority w:val="0"/>
    <w:pPr>
      <w:widowControl/>
    </w:pPr>
    <w:rPr>
      <w:kern w:val="0"/>
      <w:szCs w:val="21"/>
    </w:rPr>
  </w:style>
  <w:style w:type="character" w:customStyle="1" w:styleId="163">
    <w:name w:val="正文缩进 Char1"/>
    <w:autoRedefine/>
    <w:qFormat/>
    <w:locked/>
    <w:uiPriority w:val="0"/>
    <w:rPr>
      <w:rFonts w:ascii="宋体" w:hAnsi="宋体" w:eastAsia="宋体" w:cs="宋体"/>
      <w:spacing w:val="14"/>
      <w:kern w:val="24"/>
      <w:sz w:val="24"/>
      <w:szCs w:val="24"/>
      <w:lang w:val="en-US" w:eastAsia="zh-CN"/>
    </w:rPr>
  </w:style>
  <w:style w:type="character" w:customStyle="1" w:styleId="164">
    <w:name w:val="正文文本缩进 Char"/>
    <w:autoRedefine/>
    <w:qFormat/>
    <w:locked/>
    <w:uiPriority w:val="0"/>
    <w:rPr>
      <w:rFonts w:eastAsia="方正书宋简体"/>
      <w:kern w:val="2"/>
      <w:sz w:val="24"/>
      <w:lang w:val="en-US" w:eastAsia="zh-CN"/>
    </w:rPr>
  </w:style>
  <w:style w:type="paragraph" w:customStyle="1" w:styleId="165">
    <w:name w:val="列出段落1"/>
    <w:basedOn w:val="1"/>
    <w:autoRedefine/>
    <w:qFormat/>
    <w:uiPriority w:val="0"/>
    <w:pPr>
      <w:ind w:firstLine="420" w:firstLineChars="200"/>
    </w:pPr>
    <w:rPr>
      <w:szCs w:val="22"/>
    </w:rPr>
  </w:style>
  <w:style w:type="character" w:customStyle="1" w:styleId="166">
    <w:name w:val="xl29 Char Char"/>
    <w:link w:val="167"/>
    <w:autoRedefine/>
    <w:qFormat/>
    <w:uiPriority w:val="0"/>
    <w:rPr>
      <w:rFonts w:ascii="Arial Unicode MS" w:hAnsi="Arial Unicode MS" w:eastAsia="Arial Unicode MS"/>
      <w:sz w:val="24"/>
      <w:szCs w:val="24"/>
    </w:rPr>
  </w:style>
  <w:style w:type="paragraph" w:customStyle="1" w:styleId="167">
    <w:name w:val="xl29"/>
    <w:basedOn w:val="1"/>
    <w:link w:val="166"/>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character" w:customStyle="1" w:styleId="168">
    <w:name w:val="纯文本 字符1"/>
    <w:autoRedefine/>
    <w:qFormat/>
    <w:uiPriority w:val="0"/>
    <w:rPr>
      <w:rFonts w:ascii="宋体" w:hAnsi="Courier New"/>
      <w:kern w:val="2"/>
      <w:sz w:val="24"/>
      <w:szCs w:val="24"/>
    </w:rPr>
  </w:style>
  <w:style w:type="character" w:customStyle="1" w:styleId="169">
    <w:name w:val="Char Char"/>
    <w:autoRedefine/>
    <w:qFormat/>
    <w:uiPriority w:val="0"/>
    <w:rPr>
      <w:rFonts w:ascii="宋体" w:hAnsi="Courier New" w:eastAsia="宋体"/>
      <w:kern w:val="2"/>
      <w:sz w:val="24"/>
      <w:szCs w:val="24"/>
      <w:lang w:val="en-US" w:eastAsia="zh-CN" w:bidi="ar-SA"/>
    </w:rPr>
  </w:style>
  <w:style w:type="character" w:customStyle="1" w:styleId="170">
    <w:name w:val="无间隔 Char"/>
    <w:link w:val="171"/>
    <w:autoRedefine/>
    <w:qFormat/>
    <w:uiPriority w:val="0"/>
    <w:rPr>
      <w:sz w:val="22"/>
      <w:szCs w:val="22"/>
      <w:lang w:val="en-US" w:eastAsia="zh-CN" w:bidi="ar-SA"/>
    </w:rPr>
  </w:style>
  <w:style w:type="paragraph" w:styleId="171">
    <w:name w:val="No Spacing"/>
    <w:link w:val="170"/>
    <w:autoRedefine/>
    <w:qFormat/>
    <w:uiPriority w:val="0"/>
    <w:rPr>
      <w:rFonts w:ascii="Times New Roman" w:hAnsi="Times New Roman" w:eastAsia="宋体" w:cs="Times New Roman"/>
      <w:sz w:val="22"/>
      <w:szCs w:val="22"/>
      <w:lang w:val="en-US" w:eastAsia="zh-CN" w:bidi="ar-SA"/>
    </w:rPr>
  </w:style>
  <w:style w:type="character" w:customStyle="1" w:styleId="172">
    <w:name w:val="apple-converted-space"/>
    <w:autoRedefine/>
    <w:qFormat/>
    <w:uiPriority w:val="0"/>
  </w:style>
  <w:style w:type="character" w:customStyle="1" w:styleId="173">
    <w:name w:val="批注文字 Char1"/>
    <w:autoRedefine/>
    <w:semiHidden/>
    <w:qFormat/>
    <w:locked/>
    <w:uiPriority w:val="0"/>
    <w:rPr>
      <w:rFonts w:ascii="Times New Roman" w:hAnsi="Times New Roman"/>
      <w:kern w:val="2"/>
      <w:sz w:val="21"/>
      <w:szCs w:val="24"/>
    </w:rPr>
  </w:style>
  <w:style w:type="character" w:customStyle="1" w:styleId="174">
    <w:name w:val="HTML 预设格式 Char1"/>
    <w:autoRedefine/>
    <w:semiHidden/>
    <w:qFormat/>
    <w:uiPriority w:val="99"/>
    <w:rPr>
      <w:rFonts w:ascii="Courier New" w:hAnsi="Courier New" w:cs="Courier New"/>
      <w:kern w:val="2"/>
    </w:rPr>
  </w:style>
  <w:style w:type="character" w:customStyle="1" w:styleId="175">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176">
    <w:name w:val="Char Char1"/>
    <w:autoRedefine/>
    <w:qFormat/>
    <w:uiPriority w:val="0"/>
    <w:rPr>
      <w:rFonts w:eastAsia="黑体"/>
      <w:snapToGrid w:val="0"/>
      <w:sz w:val="18"/>
      <w:szCs w:val="18"/>
      <w:lang w:val="en-US" w:eastAsia="zh-CN" w:bidi="ar-SA"/>
    </w:rPr>
  </w:style>
  <w:style w:type="paragraph" w:customStyle="1" w:styleId="17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7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0">
    <w:name w:val="首行缩进"/>
    <w:basedOn w:val="1"/>
    <w:autoRedefine/>
    <w:qFormat/>
    <w:uiPriority w:val="0"/>
    <w:pPr>
      <w:ind w:firstLine="480" w:firstLineChars="200"/>
    </w:pPr>
    <w:rPr>
      <w:szCs w:val="24"/>
      <w:lang w:val="zh-CN"/>
    </w:rPr>
  </w:style>
  <w:style w:type="paragraph" w:customStyle="1" w:styleId="181">
    <w:name w:val="WPSOffice手动目录 1"/>
    <w:autoRedefine/>
    <w:qFormat/>
    <w:uiPriority w:val="0"/>
    <w:rPr>
      <w:rFonts w:ascii="Times New Roman" w:hAnsi="Times New Roman" w:eastAsia="宋体" w:cs="Times New Roman"/>
      <w:lang w:val="en-US" w:eastAsia="zh-CN" w:bidi="ar-SA"/>
    </w:rPr>
  </w:style>
  <w:style w:type="paragraph" w:customStyle="1" w:styleId="182">
    <w:name w:val="列出段落11"/>
    <w:basedOn w:val="1"/>
    <w:autoRedefine/>
    <w:qFormat/>
    <w:uiPriority w:val="0"/>
    <w:pPr>
      <w:spacing w:line="360" w:lineRule="auto"/>
      <w:ind w:firstLine="420" w:firstLineChars="200"/>
    </w:pPr>
    <w:rPr>
      <w:rFonts w:ascii="Calibri" w:hAnsi="Calibri" w:eastAsia="华文细黑"/>
      <w:szCs w:val="22"/>
    </w:rPr>
  </w:style>
  <w:style w:type="paragraph" w:customStyle="1" w:styleId="183">
    <w:name w:val="默认段落字体 Para Char Char Char Char Char Char Char"/>
    <w:basedOn w:val="32"/>
    <w:next w:val="184"/>
    <w:autoRedefine/>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sz w:val="21"/>
    </w:rPr>
  </w:style>
  <w:style w:type="paragraph" w:customStyle="1" w:styleId="184">
    <w:name w:val="TOC 标题1"/>
    <w:basedOn w:val="5"/>
    <w:next w:val="1"/>
    <w:autoRedefine/>
    <w:qFormat/>
    <w:uiPriority w:val="0"/>
    <w:pPr>
      <w:keepLines/>
      <w:widowControl/>
      <w:spacing w:before="480" w:line="276" w:lineRule="auto"/>
      <w:jc w:val="left"/>
      <w:outlineLvl w:val="9"/>
    </w:pPr>
    <w:rPr>
      <w:rFonts w:ascii="Cambria" w:hAnsi="Cambria"/>
      <w:color w:val="365F91"/>
      <w:kern w:val="0"/>
      <w:szCs w:val="28"/>
    </w:rPr>
  </w:style>
  <w:style w:type="paragraph" w:customStyle="1" w:styleId="185">
    <w:name w:val="正文文本缩进 211"/>
    <w:basedOn w:val="1"/>
    <w:autoRedefine/>
    <w:qFormat/>
    <w:uiPriority w:val="0"/>
    <w:pPr>
      <w:ind w:firstLine="560"/>
    </w:pPr>
    <w:rPr>
      <w:rFonts w:ascii="仿宋_GB2312" w:hAnsi="仿宋_GB2312" w:eastAsia="仿宋_GB2312" w:cs="仿宋_GB2312"/>
      <w:bCs/>
      <w:sz w:val="28"/>
      <w:szCs w:val="44"/>
    </w:rPr>
  </w:style>
  <w:style w:type="paragraph" w:customStyle="1" w:styleId="186">
    <w:name w:val="纯文本11"/>
    <w:basedOn w:val="1"/>
    <w:autoRedefine/>
    <w:qFormat/>
    <w:uiPriority w:val="0"/>
    <w:rPr>
      <w:rFonts w:ascii="宋体" w:hAnsi="宋体" w:cs="Courier New"/>
    </w:rPr>
  </w:style>
  <w:style w:type="paragraph" w:customStyle="1" w:styleId="187">
    <w:name w:val="四号正文"/>
    <w:basedOn w:val="1"/>
    <w:autoRedefine/>
    <w:qFormat/>
    <w:uiPriority w:val="0"/>
    <w:pPr>
      <w:spacing w:line="360" w:lineRule="auto"/>
      <w:ind w:firstLine="560" w:firstLineChars="200"/>
    </w:pPr>
    <w:rPr>
      <w:sz w:val="28"/>
      <w:szCs w:val="28"/>
    </w:rPr>
  </w:style>
  <w:style w:type="paragraph" w:customStyle="1" w:styleId="188">
    <w:name w:val="表格文字"/>
    <w:basedOn w:val="1"/>
    <w:next w:val="20"/>
    <w:autoRedefine/>
    <w:qFormat/>
    <w:uiPriority w:val="0"/>
    <w:pPr>
      <w:adjustRightInd w:val="0"/>
      <w:spacing w:line="420" w:lineRule="atLeast"/>
      <w:textAlignment w:val="baseline"/>
    </w:pPr>
    <w:rPr>
      <w:szCs w:val="24"/>
    </w:rPr>
  </w:style>
  <w:style w:type="character" w:customStyle="1" w:styleId="189">
    <w:name w:val="font61"/>
    <w:basedOn w:val="51"/>
    <w:autoRedefine/>
    <w:qFormat/>
    <w:uiPriority w:val="0"/>
    <w:rPr>
      <w:rFonts w:hint="eastAsia" w:ascii="宋体" w:hAnsi="宋体" w:eastAsia="宋体" w:cs="宋体"/>
      <w:color w:val="000000"/>
      <w:sz w:val="21"/>
      <w:szCs w:val="21"/>
      <w:u w:val="none"/>
    </w:rPr>
  </w:style>
  <w:style w:type="character" w:customStyle="1" w:styleId="190">
    <w:name w:val="font51"/>
    <w:basedOn w:val="51"/>
    <w:autoRedefine/>
    <w:qFormat/>
    <w:uiPriority w:val="0"/>
    <w:rPr>
      <w:rFonts w:hint="default" w:ascii="Times New Roman" w:hAnsi="Times New Roman" w:cs="Times New Roman"/>
      <w:color w:val="000000"/>
      <w:sz w:val="21"/>
      <w:szCs w:val="21"/>
      <w:u w:val="none"/>
    </w:rPr>
  </w:style>
  <w:style w:type="paragraph" w:customStyle="1" w:styleId="191">
    <w:name w:val="表格1"/>
    <w:basedOn w:val="1"/>
    <w:autoRedefine/>
    <w:qFormat/>
    <w:uiPriority w:val="0"/>
    <w:rPr>
      <w:rFonts w:ascii="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12259</Words>
  <Characters>13278</Characters>
  <Lines>196</Lines>
  <Paragraphs>55</Paragraphs>
  <TotalTime>1</TotalTime>
  <ScaleCrop>false</ScaleCrop>
  <LinksUpToDate>false</LinksUpToDate>
  <CharactersWithSpaces>13376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2023-02-02T06:15:00Z</dcterms:created>
  <dc:creator>dyp</dc:creator>
  <cp:lastModifiedBy>...</cp:lastModifiedBy>
  <cp:lastPrinted>2017-07-29T21:10:00Z</cp:lastPrinted>
  <dcterms:modified xsi:type="dcterms:W3CDTF">2025-02-05T04:13:54Z</dcterms:modified>
  <dc:title>第一部分  投标方须知</dc:title>
  <cp:revision>872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A64FE161341A4ABBA9980EAEC3D15498</vt:lpwstr>
  </property>
  <property fmtid="{D5CDD505-2E9C-101B-9397-08002B2CF9AE}" pid="4" name="KSOTemplateDocerSaveRecord">
    <vt:lpwstr>eyJoZGlkIjoiOGU2NmQ0OTI3ODRmMWE2MzA0ZGU1ZTdlMmNiMGZkZjkiLCJ1c2VySWQiOiIyOTgwNjkzOTEifQ==</vt:lpwstr>
  </property>
</Properties>
</file>