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A71F0">
      <w:pPr>
        <w:pStyle w:val="47"/>
        <w:spacing w:before="0" w:beforeAutospacing="0" w:after="0" w:afterAutospacing="0" w:line="400" w:lineRule="exact"/>
        <w:ind w:firstLine="420" w:firstLineChars="200"/>
        <w:rPr>
          <w:rFonts w:hAnsi="宋体"/>
          <w:sz w:val="21"/>
          <w:szCs w:val="21"/>
          <w:highlight w:val="none"/>
        </w:rPr>
      </w:pPr>
    </w:p>
    <w:p w14:paraId="51C1CC3B">
      <w:pPr>
        <w:pStyle w:val="47"/>
        <w:spacing w:before="0" w:beforeAutospacing="0" w:after="0" w:afterAutospacing="0" w:line="400" w:lineRule="exact"/>
        <w:ind w:firstLine="420" w:firstLineChars="200"/>
        <w:rPr>
          <w:rFonts w:hAnsi="宋体"/>
          <w:sz w:val="21"/>
          <w:szCs w:val="21"/>
          <w:highlight w:val="none"/>
        </w:rPr>
      </w:pPr>
    </w:p>
    <w:p w14:paraId="10418D0D">
      <w:pPr>
        <w:spacing w:after="120" w:line="900" w:lineRule="exact"/>
        <w:jc w:val="center"/>
        <w:rPr>
          <w:rFonts w:ascii="宋体" w:hAnsi="宋体" w:cs="宋体"/>
          <w:b/>
          <w:sz w:val="40"/>
          <w:szCs w:val="40"/>
          <w:highlight w:val="none"/>
        </w:rPr>
      </w:pPr>
      <w:r>
        <w:rPr>
          <w:rFonts w:hint="eastAsia" w:ascii="宋体" w:hAnsi="宋体" w:cs="宋体"/>
          <w:b/>
          <w:sz w:val="40"/>
          <w:szCs w:val="40"/>
          <w:highlight w:val="none"/>
        </w:rPr>
        <w:t>2024年宁波市新生代企业家赴欧洲访学活动承接</w:t>
      </w:r>
    </w:p>
    <w:p w14:paraId="75A12738">
      <w:pPr>
        <w:spacing w:after="120" w:line="900" w:lineRule="exact"/>
        <w:jc w:val="center"/>
        <w:rPr>
          <w:rFonts w:ascii="宋体" w:hAnsi="宋体" w:cs="宋体"/>
          <w:b/>
          <w:sz w:val="40"/>
          <w:szCs w:val="40"/>
          <w:highlight w:val="none"/>
        </w:rPr>
      </w:pPr>
      <w:r>
        <w:rPr>
          <w:rFonts w:hint="eastAsia" w:ascii="宋体" w:hAnsi="宋体" w:cs="宋体"/>
          <w:b/>
          <w:sz w:val="40"/>
          <w:szCs w:val="40"/>
          <w:highlight w:val="none"/>
        </w:rPr>
        <w:t>服务采购项目</w:t>
      </w:r>
    </w:p>
    <w:p w14:paraId="3ABF4318">
      <w:pPr>
        <w:pStyle w:val="47"/>
        <w:spacing w:before="0" w:beforeAutospacing="0" w:after="0" w:afterAutospacing="0" w:line="400" w:lineRule="exact"/>
        <w:ind w:firstLine="420" w:firstLineChars="200"/>
        <w:rPr>
          <w:rFonts w:hAnsi="宋体"/>
          <w:sz w:val="21"/>
          <w:szCs w:val="21"/>
          <w:highlight w:val="none"/>
        </w:rPr>
      </w:pPr>
    </w:p>
    <w:p w14:paraId="577485D5">
      <w:pPr>
        <w:pStyle w:val="47"/>
        <w:spacing w:before="0" w:beforeAutospacing="0" w:after="0" w:afterAutospacing="0" w:line="400" w:lineRule="exact"/>
        <w:ind w:firstLine="420" w:firstLineChars="200"/>
        <w:rPr>
          <w:rFonts w:hAnsi="宋体"/>
          <w:sz w:val="21"/>
          <w:szCs w:val="21"/>
          <w:highlight w:val="none"/>
        </w:rPr>
      </w:pPr>
    </w:p>
    <w:p w14:paraId="09A71FC5">
      <w:pPr>
        <w:spacing w:after="120" w:line="900" w:lineRule="exact"/>
        <w:jc w:val="center"/>
        <w:rPr>
          <w:rFonts w:ascii="宋体" w:hAnsi="宋体" w:cs="宋体"/>
          <w:b/>
          <w:sz w:val="40"/>
          <w:szCs w:val="40"/>
          <w:highlight w:val="none"/>
        </w:rPr>
      </w:pPr>
      <w:r>
        <w:rPr>
          <w:rFonts w:hint="eastAsia" w:ascii="宋体" w:hAnsi="宋体" w:cs="宋体"/>
          <w:b/>
          <w:sz w:val="40"/>
          <w:szCs w:val="40"/>
          <w:highlight w:val="none"/>
        </w:rPr>
        <w:t>政府采购</w:t>
      </w:r>
    </w:p>
    <w:p w14:paraId="1A449C28">
      <w:pPr>
        <w:pStyle w:val="47"/>
        <w:spacing w:before="0" w:beforeAutospacing="0" w:after="0" w:afterAutospacing="0" w:line="400" w:lineRule="exact"/>
        <w:ind w:firstLine="800" w:firstLineChars="200"/>
        <w:rPr>
          <w:rFonts w:hAnsi="宋体"/>
          <w:sz w:val="40"/>
          <w:szCs w:val="40"/>
          <w:highlight w:val="none"/>
        </w:rPr>
      </w:pPr>
    </w:p>
    <w:p w14:paraId="609F2379">
      <w:pPr>
        <w:spacing w:after="120" w:line="800" w:lineRule="exact"/>
        <w:jc w:val="center"/>
        <w:rPr>
          <w:rFonts w:ascii="宋体" w:hAnsi="宋体" w:cs="宋体"/>
          <w:b/>
          <w:sz w:val="40"/>
          <w:szCs w:val="40"/>
          <w:highlight w:val="none"/>
        </w:rPr>
      </w:pPr>
      <w:r>
        <w:rPr>
          <w:rFonts w:hint="eastAsia" w:ascii="宋体" w:hAnsi="宋体" w:cs="宋体"/>
          <w:b/>
          <w:sz w:val="40"/>
          <w:szCs w:val="40"/>
          <w:highlight w:val="none"/>
        </w:rPr>
        <w:t>公</w:t>
      </w:r>
    </w:p>
    <w:p w14:paraId="643F32B0">
      <w:pPr>
        <w:spacing w:after="120" w:line="800" w:lineRule="exact"/>
        <w:jc w:val="center"/>
        <w:rPr>
          <w:rFonts w:ascii="宋体" w:hAnsi="宋体" w:cs="宋体"/>
          <w:b/>
          <w:sz w:val="40"/>
          <w:szCs w:val="40"/>
          <w:highlight w:val="none"/>
        </w:rPr>
      </w:pPr>
      <w:r>
        <w:rPr>
          <w:rFonts w:hint="eastAsia" w:ascii="宋体" w:hAnsi="宋体" w:cs="宋体"/>
          <w:b/>
          <w:sz w:val="40"/>
          <w:szCs w:val="40"/>
          <w:highlight w:val="none"/>
        </w:rPr>
        <w:t>开</w:t>
      </w:r>
    </w:p>
    <w:p w14:paraId="4836DFF6">
      <w:pPr>
        <w:spacing w:after="120" w:line="800" w:lineRule="exact"/>
        <w:jc w:val="center"/>
        <w:rPr>
          <w:rFonts w:ascii="宋体" w:hAnsi="宋体" w:cs="宋体"/>
          <w:b/>
          <w:sz w:val="40"/>
          <w:szCs w:val="40"/>
          <w:highlight w:val="none"/>
        </w:rPr>
      </w:pPr>
      <w:r>
        <w:rPr>
          <w:rFonts w:hint="eastAsia" w:ascii="宋体" w:hAnsi="宋体" w:cs="宋体"/>
          <w:b/>
          <w:sz w:val="40"/>
          <w:szCs w:val="40"/>
          <w:highlight w:val="none"/>
        </w:rPr>
        <w:t>招</w:t>
      </w:r>
    </w:p>
    <w:p w14:paraId="26DAED24">
      <w:pPr>
        <w:spacing w:after="120" w:line="800" w:lineRule="exact"/>
        <w:jc w:val="center"/>
        <w:rPr>
          <w:rFonts w:ascii="宋体" w:hAnsi="宋体" w:cs="宋体"/>
          <w:b/>
          <w:sz w:val="40"/>
          <w:szCs w:val="40"/>
          <w:highlight w:val="none"/>
        </w:rPr>
      </w:pPr>
      <w:r>
        <w:rPr>
          <w:rFonts w:hint="eastAsia" w:ascii="宋体" w:hAnsi="宋体" w:cs="宋体"/>
          <w:b/>
          <w:sz w:val="40"/>
          <w:szCs w:val="40"/>
          <w:highlight w:val="none"/>
        </w:rPr>
        <w:t>标</w:t>
      </w:r>
    </w:p>
    <w:p w14:paraId="3FBF4BB9">
      <w:pPr>
        <w:spacing w:after="120" w:line="800" w:lineRule="exact"/>
        <w:jc w:val="center"/>
        <w:rPr>
          <w:rFonts w:ascii="宋体" w:hAnsi="宋体" w:cs="宋体"/>
          <w:b/>
          <w:sz w:val="40"/>
          <w:szCs w:val="40"/>
          <w:highlight w:val="none"/>
        </w:rPr>
      </w:pPr>
      <w:r>
        <w:rPr>
          <w:rFonts w:hint="eastAsia" w:ascii="宋体" w:hAnsi="宋体" w:cs="宋体"/>
          <w:b/>
          <w:sz w:val="40"/>
          <w:szCs w:val="40"/>
          <w:highlight w:val="none"/>
        </w:rPr>
        <w:t>文</w:t>
      </w:r>
    </w:p>
    <w:p w14:paraId="3B5CACA7">
      <w:pPr>
        <w:spacing w:after="120" w:line="800" w:lineRule="exact"/>
        <w:jc w:val="center"/>
        <w:rPr>
          <w:rFonts w:ascii="宋体" w:hAnsi="宋体" w:cs="宋体"/>
          <w:b/>
          <w:sz w:val="48"/>
          <w:szCs w:val="48"/>
          <w:highlight w:val="none"/>
        </w:rPr>
      </w:pPr>
      <w:r>
        <w:rPr>
          <w:rFonts w:hint="eastAsia" w:ascii="宋体" w:hAnsi="宋体" w:cs="宋体"/>
          <w:b/>
          <w:sz w:val="40"/>
          <w:szCs w:val="40"/>
          <w:highlight w:val="none"/>
        </w:rPr>
        <w:t>件</w:t>
      </w:r>
    </w:p>
    <w:p w14:paraId="72112806">
      <w:pPr>
        <w:pStyle w:val="47"/>
        <w:spacing w:before="0" w:beforeAutospacing="0" w:after="0" w:afterAutospacing="0" w:line="400" w:lineRule="exact"/>
        <w:ind w:firstLine="420" w:firstLineChars="200"/>
        <w:rPr>
          <w:rFonts w:hAnsi="宋体"/>
          <w:sz w:val="21"/>
          <w:szCs w:val="21"/>
          <w:highlight w:val="none"/>
        </w:rPr>
      </w:pPr>
    </w:p>
    <w:p w14:paraId="396E5CBE">
      <w:pPr>
        <w:spacing w:line="600" w:lineRule="exact"/>
        <w:rPr>
          <w:rFonts w:ascii="宋体" w:hAnsi="宋体" w:cs="宋体"/>
          <w:b/>
          <w:sz w:val="28"/>
          <w:szCs w:val="28"/>
          <w:highlight w:val="none"/>
        </w:rPr>
      </w:pPr>
      <w:r>
        <w:rPr>
          <w:rFonts w:hint="eastAsia" w:ascii="宋体" w:hAnsi="宋体" w:cs="宋体"/>
          <w:b/>
          <w:sz w:val="28"/>
          <w:szCs w:val="28"/>
          <w:highlight w:val="none"/>
        </w:rPr>
        <w:t>项目编号：NBITC-202430916G</w:t>
      </w:r>
    </w:p>
    <w:p w14:paraId="7AA2063F">
      <w:pPr>
        <w:spacing w:line="600" w:lineRule="exact"/>
        <w:ind w:left="1405" w:hanging="1405" w:hangingChars="500"/>
        <w:rPr>
          <w:rFonts w:ascii="宋体" w:hAnsi="宋体" w:cs="宋体"/>
          <w:b/>
          <w:sz w:val="28"/>
          <w:szCs w:val="28"/>
          <w:highlight w:val="none"/>
        </w:rPr>
      </w:pPr>
      <w:r>
        <w:rPr>
          <w:rFonts w:hint="eastAsia" w:ascii="宋体" w:hAnsi="宋体" w:cs="宋体"/>
          <w:b/>
          <w:sz w:val="28"/>
          <w:szCs w:val="28"/>
          <w:highlight w:val="none"/>
        </w:rPr>
        <w:t>招 标 人：中共宁波市委统一战线工作部</w:t>
      </w:r>
    </w:p>
    <w:p w14:paraId="18958CA8">
      <w:pPr>
        <w:spacing w:line="600" w:lineRule="exact"/>
        <w:rPr>
          <w:rFonts w:ascii="宋体" w:hAnsi="宋体" w:cs="宋体"/>
          <w:b/>
          <w:sz w:val="28"/>
          <w:szCs w:val="28"/>
          <w:highlight w:val="none"/>
        </w:rPr>
      </w:pPr>
      <w:r>
        <w:rPr>
          <w:rFonts w:hint="eastAsia" w:ascii="宋体" w:hAnsi="宋体" w:cs="宋体"/>
          <w:b/>
          <w:sz w:val="28"/>
          <w:szCs w:val="28"/>
          <w:highlight w:val="none"/>
        </w:rPr>
        <w:t>代理机构：宁波市国际招标有限公司</w:t>
      </w:r>
    </w:p>
    <w:p w14:paraId="0322181F">
      <w:pPr>
        <w:spacing w:line="600" w:lineRule="exact"/>
        <w:rPr>
          <w:rFonts w:ascii="宋体" w:hAnsi="宋体" w:cs="宋体"/>
          <w:b/>
          <w:sz w:val="28"/>
          <w:szCs w:val="28"/>
          <w:highlight w:val="none"/>
        </w:rPr>
      </w:pPr>
      <w:r>
        <w:rPr>
          <w:rFonts w:hint="eastAsia" w:ascii="宋体" w:hAnsi="宋体" w:cs="宋体"/>
          <w:b/>
          <w:sz w:val="28"/>
          <w:szCs w:val="28"/>
          <w:highlight w:val="none"/>
        </w:rPr>
        <w:t>编制日期：2024年8月</w:t>
      </w:r>
    </w:p>
    <w:p w14:paraId="7C76B151">
      <w:pPr>
        <w:spacing w:line="400" w:lineRule="exact"/>
        <w:jc w:val="center"/>
        <w:rPr>
          <w:rFonts w:ascii="宋体" w:hAnsi="宋体" w:cs="宋体"/>
          <w:b/>
          <w:sz w:val="28"/>
          <w:szCs w:val="28"/>
          <w:highlight w:val="none"/>
        </w:rPr>
        <w:sectPr>
          <w:headerReference r:id="rId3" w:type="default"/>
          <w:footerReference r:id="rId4" w:type="default"/>
          <w:footerReference r:id="rId5" w:type="even"/>
          <w:type w:val="nextColumn"/>
          <w:pgSz w:w="11905" w:h="16838"/>
          <w:pgMar w:top="1474" w:right="1474" w:bottom="1474" w:left="1474" w:header="907" w:footer="850" w:gutter="0"/>
          <w:pgNumType w:start="1"/>
          <w:cols w:space="0" w:num="1"/>
          <w:docGrid w:type="lines" w:linePitch="289" w:charSpace="0"/>
        </w:sectPr>
      </w:pPr>
    </w:p>
    <w:p w14:paraId="4E4AD6CF">
      <w:pPr>
        <w:spacing w:line="480" w:lineRule="auto"/>
        <w:jc w:val="center"/>
        <w:rPr>
          <w:rFonts w:ascii="宋体" w:hAnsi="宋体" w:cs="宋体"/>
          <w:b/>
          <w:sz w:val="52"/>
          <w:szCs w:val="52"/>
          <w:highlight w:val="none"/>
        </w:rPr>
      </w:pPr>
    </w:p>
    <w:p w14:paraId="5367D9E2">
      <w:pPr>
        <w:spacing w:line="1200" w:lineRule="exact"/>
        <w:jc w:val="center"/>
        <w:rPr>
          <w:rFonts w:ascii="宋体" w:hAnsi="宋体" w:cs="宋体"/>
          <w:b/>
          <w:sz w:val="56"/>
          <w:szCs w:val="56"/>
          <w:highlight w:val="none"/>
        </w:rPr>
      </w:pPr>
      <w:r>
        <w:rPr>
          <w:rFonts w:hint="eastAsia" w:ascii="宋体" w:hAnsi="宋体" w:cs="宋体"/>
          <w:b/>
          <w:sz w:val="56"/>
          <w:szCs w:val="56"/>
          <w:highlight w:val="none"/>
        </w:rPr>
        <w:t>温馨提醒</w:t>
      </w:r>
    </w:p>
    <w:p w14:paraId="31E7EE4E">
      <w:pPr>
        <w:spacing w:line="1000" w:lineRule="exact"/>
        <w:jc w:val="left"/>
        <w:rPr>
          <w:rFonts w:ascii="宋体" w:hAnsi="宋体" w:cs="宋体"/>
          <w:b/>
          <w:sz w:val="30"/>
          <w:szCs w:val="30"/>
          <w:highlight w:val="none"/>
        </w:rPr>
      </w:pPr>
      <w:r>
        <w:rPr>
          <w:rFonts w:hint="eastAsia" w:ascii="宋体" w:hAnsi="宋体" w:cs="宋体"/>
          <w:b/>
          <w:sz w:val="30"/>
          <w:szCs w:val="30"/>
          <w:highlight w:val="none"/>
        </w:rPr>
        <w:t>1.投标文件应按招标文件要求将“资格文件”、“商务和技术文件”、“报价文件”分别编制。</w:t>
      </w:r>
    </w:p>
    <w:p w14:paraId="0630182A">
      <w:pPr>
        <w:spacing w:line="1000" w:lineRule="exact"/>
        <w:jc w:val="left"/>
        <w:rPr>
          <w:rFonts w:ascii="宋体" w:hAnsi="宋体" w:cs="宋体"/>
          <w:b/>
          <w:sz w:val="30"/>
          <w:szCs w:val="30"/>
          <w:highlight w:val="none"/>
        </w:rPr>
      </w:pPr>
      <w:r>
        <w:rPr>
          <w:rFonts w:hint="eastAsia" w:ascii="宋体" w:hAnsi="宋体" w:cs="宋体"/>
          <w:b/>
          <w:sz w:val="30"/>
          <w:szCs w:val="30"/>
          <w:highlight w:val="none"/>
        </w:rPr>
        <w:t>2.招标人可以对已发出的招标文件进行必要的澄清或者修改，将以“更正公告”的形式发布在政采云平台，供应商应及时登录政采云平台，进行浏览并下载，未及时浏览下载的责任自负。</w:t>
      </w:r>
    </w:p>
    <w:p w14:paraId="6755B327">
      <w:pPr>
        <w:pStyle w:val="47"/>
        <w:spacing w:before="0" w:beforeAutospacing="0" w:after="0" w:afterAutospacing="0" w:line="400" w:lineRule="exact"/>
        <w:ind w:firstLine="420" w:firstLineChars="200"/>
        <w:rPr>
          <w:rFonts w:hAnsi="宋体"/>
          <w:sz w:val="21"/>
          <w:szCs w:val="21"/>
          <w:highlight w:val="none"/>
        </w:rPr>
      </w:pPr>
    </w:p>
    <w:p w14:paraId="672CBB69">
      <w:pPr>
        <w:tabs>
          <w:tab w:val="center" w:pos="4365"/>
        </w:tabs>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br w:type="page"/>
      </w:r>
    </w:p>
    <w:p w14:paraId="2462854F">
      <w:pPr>
        <w:tabs>
          <w:tab w:val="center" w:pos="4365"/>
        </w:tabs>
        <w:spacing w:line="480" w:lineRule="auto"/>
        <w:jc w:val="center"/>
        <w:rPr>
          <w:rFonts w:ascii="宋体" w:hAnsi="宋体" w:cs="宋体"/>
          <w:b/>
          <w:sz w:val="48"/>
          <w:szCs w:val="48"/>
          <w:highlight w:val="none"/>
        </w:rPr>
      </w:pPr>
    </w:p>
    <w:p w14:paraId="07FF12B7">
      <w:pPr>
        <w:tabs>
          <w:tab w:val="center" w:pos="4365"/>
        </w:tabs>
        <w:spacing w:line="48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B0CD318">
      <w:pPr>
        <w:pStyle w:val="35"/>
        <w:tabs>
          <w:tab w:val="right" w:leader="dot" w:pos="8957"/>
          <w:tab w:val="clear" w:pos="8721"/>
        </w:tabs>
        <w:rPr>
          <w:highlight w:val="none"/>
        </w:rPr>
      </w:pPr>
      <w:r>
        <w:rPr>
          <w:rFonts w:hint="eastAsia" w:hAnsi="宋体" w:cs="宋体"/>
          <w:color w:val="auto"/>
          <w:highlight w:val="none"/>
        </w:rPr>
        <w:fldChar w:fldCharType="begin"/>
      </w:r>
      <w:r>
        <w:rPr>
          <w:rFonts w:hint="eastAsia" w:hAnsi="宋体" w:cs="宋体"/>
          <w:color w:val="auto"/>
          <w:highlight w:val="none"/>
        </w:rPr>
        <w:instrText xml:space="preserve"> TOC \o "1-3" \h \z \u </w:instrText>
      </w:r>
      <w:r>
        <w:rPr>
          <w:rFonts w:hint="eastAsia" w:hAnsi="宋体" w:cs="宋体"/>
          <w:color w:val="auto"/>
          <w:highlight w:val="none"/>
        </w:rPr>
        <w:fldChar w:fldCharType="separate"/>
      </w:r>
      <w:r>
        <w:rPr>
          <w:highlight w:val="none"/>
        </w:rPr>
        <w:fldChar w:fldCharType="begin"/>
      </w:r>
      <w:r>
        <w:rPr>
          <w:highlight w:val="none"/>
        </w:rPr>
        <w:instrText xml:space="preserve"> HYPERLINK \l "_Toc3259" </w:instrText>
      </w:r>
      <w:r>
        <w:rPr>
          <w:highlight w:val="none"/>
        </w:rPr>
        <w:fldChar w:fldCharType="separate"/>
      </w:r>
      <w:r>
        <w:rPr>
          <w:rFonts w:hint="eastAsia" w:hAnsi="宋体" w:cs="宋体"/>
          <w:highlight w:val="none"/>
        </w:rPr>
        <w:t>第一章  招标公告</w:t>
      </w:r>
      <w:r>
        <w:rPr>
          <w:highlight w:val="none"/>
        </w:rPr>
        <w:tab/>
      </w:r>
      <w:r>
        <w:rPr>
          <w:highlight w:val="none"/>
        </w:rPr>
        <w:fldChar w:fldCharType="begin"/>
      </w:r>
      <w:r>
        <w:rPr>
          <w:highlight w:val="none"/>
        </w:rPr>
        <w:instrText xml:space="preserve"> PAGEREF _Toc3259 \h </w:instrText>
      </w:r>
      <w:r>
        <w:rPr>
          <w:highlight w:val="none"/>
        </w:rPr>
        <w:fldChar w:fldCharType="separate"/>
      </w:r>
      <w:r>
        <w:rPr>
          <w:highlight w:val="none"/>
        </w:rPr>
        <w:t>1</w:t>
      </w:r>
      <w:r>
        <w:rPr>
          <w:highlight w:val="none"/>
        </w:rPr>
        <w:fldChar w:fldCharType="end"/>
      </w:r>
      <w:r>
        <w:rPr>
          <w:highlight w:val="none"/>
        </w:rPr>
        <w:fldChar w:fldCharType="end"/>
      </w:r>
    </w:p>
    <w:p w14:paraId="3ED62DEE">
      <w:pPr>
        <w:pStyle w:val="35"/>
        <w:tabs>
          <w:tab w:val="right" w:leader="dot" w:pos="8957"/>
          <w:tab w:val="clear" w:pos="8721"/>
        </w:tabs>
        <w:rPr>
          <w:highlight w:val="none"/>
        </w:rPr>
      </w:pPr>
      <w:r>
        <w:rPr>
          <w:highlight w:val="none"/>
        </w:rPr>
        <w:fldChar w:fldCharType="begin"/>
      </w:r>
      <w:r>
        <w:rPr>
          <w:highlight w:val="none"/>
        </w:rPr>
        <w:instrText xml:space="preserve"> HYPERLINK \l "_Toc15789" </w:instrText>
      </w:r>
      <w:r>
        <w:rPr>
          <w:highlight w:val="none"/>
        </w:rPr>
        <w:fldChar w:fldCharType="separate"/>
      </w:r>
      <w:r>
        <w:rPr>
          <w:rFonts w:hint="eastAsia" w:hAnsi="宋体" w:cs="宋体"/>
          <w:highlight w:val="none"/>
        </w:rPr>
        <w:t>第二章  投标须知</w:t>
      </w:r>
      <w:r>
        <w:rPr>
          <w:highlight w:val="none"/>
        </w:rPr>
        <w:tab/>
      </w:r>
      <w:r>
        <w:rPr>
          <w:highlight w:val="none"/>
        </w:rPr>
        <w:fldChar w:fldCharType="begin"/>
      </w:r>
      <w:r>
        <w:rPr>
          <w:highlight w:val="none"/>
        </w:rPr>
        <w:instrText xml:space="preserve"> PAGEREF _Toc15789 \h </w:instrText>
      </w:r>
      <w:r>
        <w:rPr>
          <w:highlight w:val="none"/>
        </w:rPr>
        <w:fldChar w:fldCharType="separate"/>
      </w:r>
      <w:r>
        <w:rPr>
          <w:highlight w:val="none"/>
        </w:rPr>
        <w:t>4</w:t>
      </w:r>
      <w:r>
        <w:rPr>
          <w:highlight w:val="none"/>
        </w:rPr>
        <w:fldChar w:fldCharType="end"/>
      </w:r>
      <w:r>
        <w:rPr>
          <w:highlight w:val="none"/>
        </w:rPr>
        <w:fldChar w:fldCharType="end"/>
      </w:r>
    </w:p>
    <w:p w14:paraId="490B72A5">
      <w:pPr>
        <w:pStyle w:val="35"/>
        <w:tabs>
          <w:tab w:val="right" w:leader="dot" w:pos="8957"/>
          <w:tab w:val="clear" w:pos="8721"/>
        </w:tabs>
        <w:rPr>
          <w:highlight w:val="none"/>
        </w:rPr>
      </w:pPr>
      <w:r>
        <w:rPr>
          <w:highlight w:val="none"/>
        </w:rPr>
        <w:fldChar w:fldCharType="begin"/>
      </w:r>
      <w:r>
        <w:rPr>
          <w:highlight w:val="none"/>
        </w:rPr>
        <w:instrText xml:space="preserve"> HYPERLINK \l "_Toc10820" </w:instrText>
      </w:r>
      <w:r>
        <w:rPr>
          <w:highlight w:val="none"/>
        </w:rPr>
        <w:fldChar w:fldCharType="separate"/>
      </w:r>
      <w:r>
        <w:rPr>
          <w:rFonts w:hint="eastAsia" w:hAnsi="宋体" w:cs="宋体"/>
          <w:highlight w:val="none"/>
        </w:rPr>
        <w:t>第三章  招标内容与服务需求</w:t>
      </w:r>
      <w:r>
        <w:rPr>
          <w:highlight w:val="none"/>
        </w:rPr>
        <w:tab/>
      </w:r>
      <w:r>
        <w:rPr>
          <w:highlight w:val="none"/>
        </w:rPr>
        <w:fldChar w:fldCharType="begin"/>
      </w:r>
      <w:r>
        <w:rPr>
          <w:highlight w:val="none"/>
        </w:rPr>
        <w:instrText xml:space="preserve"> PAGEREF _Toc10820 \h </w:instrText>
      </w:r>
      <w:r>
        <w:rPr>
          <w:highlight w:val="none"/>
        </w:rPr>
        <w:fldChar w:fldCharType="separate"/>
      </w:r>
      <w:r>
        <w:rPr>
          <w:highlight w:val="none"/>
        </w:rPr>
        <w:t>17</w:t>
      </w:r>
      <w:r>
        <w:rPr>
          <w:highlight w:val="none"/>
        </w:rPr>
        <w:fldChar w:fldCharType="end"/>
      </w:r>
      <w:r>
        <w:rPr>
          <w:highlight w:val="none"/>
        </w:rPr>
        <w:fldChar w:fldCharType="end"/>
      </w:r>
    </w:p>
    <w:p w14:paraId="12735848">
      <w:pPr>
        <w:pStyle w:val="35"/>
        <w:tabs>
          <w:tab w:val="right" w:leader="dot" w:pos="8957"/>
          <w:tab w:val="clear" w:pos="8721"/>
        </w:tabs>
        <w:rPr>
          <w:highlight w:val="none"/>
        </w:rPr>
      </w:pPr>
      <w:r>
        <w:rPr>
          <w:highlight w:val="none"/>
        </w:rPr>
        <w:fldChar w:fldCharType="begin"/>
      </w:r>
      <w:r>
        <w:rPr>
          <w:highlight w:val="none"/>
        </w:rPr>
        <w:instrText xml:space="preserve"> HYPERLINK \l "_Toc4333" </w:instrText>
      </w:r>
      <w:r>
        <w:rPr>
          <w:highlight w:val="none"/>
        </w:rPr>
        <w:fldChar w:fldCharType="separate"/>
      </w:r>
      <w:r>
        <w:rPr>
          <w:rFonts w:hint="eastAsia" w:hAnsi="宋体" w:cs="宋体"/>
          <w:highlight w:val="none"/>
        </w:rPr>
        <w:t>第四章  商务条款</w:t>
      </w:r>
      <w:r>
        <w:rPr>
          <w:highlight w:val="none"/>
        </w:rPr>
        <w:tab/>
      </w:r>
      <w:r>
        <w:rPr>
          <w:highlight w:val="none"/>
        </w:rPr>
        <w:fldChar w:fldCharType="begin"/>
      </w:r>
      <w:r>
        <w:rPr>
          <w:highlight w:val="none"/>
        </w:rPr>
        <w:instrText xml:space="preserve"> PAGEREF _Toc4333 \h </w:instrText>
      </w:r>
      <w:r>
        <w:rPr>
          <w:highlight w:val="none"/>
        </w:rPr>
        <w:fldChar w:fldCharType="separate"/>
      </w:r>
      <w:r>
        <w:rPr>
          <w:highlight w:val="none"/>
        </w:rPr>
        <w:t>19</w:t>
      </w:r>
      <w:r>
        <w:rPr>
          <w:highlight w:val="none"/>
        </w:rPr>
        <w:fldChar w:fldCharType="end"/>
      </w:r>
      <w:r>
        <w:rPr>
          <w:highlight w:val="none"/>
        </w:rPr>
        <w:fldChar w:fldCharType="end"/>
      </w:r>
    </w:p>
    <w:p w14:paraId="22839115">
      <w:pPr>
        <w:pStyle w:val="35"/>
        <w:tabs>
          <w:tab w:val="right" w:leader="dot" w:pos="8957"/>
          <w:tab w:val="clear" w:pos="8721"/>
        </w:tabs>
        <w:rPr>
          <w:highlight w:val="none"/>
        </w:rPr>
      </w:pPr>
      <w:r>
        <w:rPr>
          <w:highlight w:val="none"/>
        </w:rPr>
        <w:fldChar w:fldCharType="begin"/>
      </w:r>
      <w:r>
        <w:rPr>
          <w:highlight w:val="none"/>
        </w:rPr>
        <w:instrText xml:space="preserve"> HYPERLINK \l "_Toc6037" </w:instrText>
      </w:r>
      <w:r>
        <w:rPr>
          <w:highlight w:val="none"/>
        </w:rPr>
        <w:fldChar w:fldCharType="separate"/>
      </w:r>
      <w:r>
        <w:rPr>
          <w:rFonts w:hint="eastAsia" w:hAnsi="宋体" w:cs="宋体"/>
          <w:highlight w:val="none"/>
        </w:rPr>
        <w:t>第五章  评标办法及标准</w:t>
      </w:r>
      <w:r>
        <w:rPr>
          <w:highlight w:val="none"/>
        </w:rPr>
        <w:tab/>
      </w:r>
      <w:r>
        <w:rPr>
          <w:highlight w:val="none"/>
        </w:rPr>
        <w:fldChar w:fldCharType="begin"/>
      </w:r>
      <w:r>
        <w:rPr>
          <w:highlight w:val="none"/>
        </w:rPr>
        <w:instrText xml:space="preserve"> PAGEREF _Toc6037 \h </w:instrText>
      </w:r>
      <w:r>
        <w:rPr>
          <w:highlight w:val="none"/>
        </w:rPr>
        <w:fldChar w:fldCharType="separate"/>
      </w:r>
      <w:r>
        <w:rPr>
          <w:highlight w:val="none"/>
        </w:rPr>
        <w:t>21</w:t>
      </w:r>
      <w:r>
        <w:rPr>
          <w:highlight w:val="none"/>
        </w:rPr>
        <w:fldChar w:fldCharType="end"/>
      </w:r>
      <w:r>
        <w:rPr>
          <w:highlight w:val="none"/>
        </w:rPr>
        <w:fldChar w:fldCharType="end"/>
      </w:r>
    </w:p>
    <w:p w14:paraId="75BC8F06">
      <w:pPr>
        <w:pStyle w:val="35"/>
        <w:tabs>
          <w:tab w:val="right" w:leader="dot" w:pos="8957"/>
          <w:tab w:val="clear" w:pos="8721"/>
        </w:tabs>
        <w:rPr>
          <w:highlight w:val="none"/>
        </w:rPr>
      </w:pPr>
      <w:r>
        <w:rPr>
          <w:highlight w:val="none"/>
        </w:rPr>
        <w:fldChar w:fldCharType="begin"/>
      </w:r>
      <w:r>
        <w:rPr>
          <w:highlight w:val="none"/>
        </w:rPr>
        <w:instrText xml:space="preserve"> HYPERLINK \l "_Toc21478" </w:instrText>
      </w:r>
      <w:r>
        <w:rPr>
          <w:highlight w:val="none"/>
        </w:rPr>
        <w:fldChar w:fldCharType="separate"/>
      </w:r>
      <w:r>
        <w:rPr>
          <w:rFonts w:hint="eastAsia" w:hAnsi="宋体" w:cs="宋体"/>
          <w:highlight w:val="none"/>
        </w:rPr>
        <w:t>第六章  采购合同样本</w:t>
      </w:r>
      <w:r>
        <w:rPr>
          <w:highlight w:val="none"/>
        </w:rPr>
        <w:tab/>
      </w:r>
      <w:r>
        <w:rPr>
          <w:highlight w:val="none"/>
        </w:rPr>
        <w:fldChar w:fldCharType="begin"/>
      </w:r>
      <w:r>
        <w:rPr>
          <w:highlight w:val="none"/>
        </w:rPr>
        <w:instrText xml:space="preserve"> PAGEREF _Toc21478 \h </w:instrText>
      </w:r>
      <w:r>
        <w:rPr>
          <w:highlight w:val="none"/>
        </w:rPr>
        <w:fldChar w:fldCharType="separate"/>
      </w:r>
      <w:r>
        <w:rPr>
          <w:highlight w:val="none"/>
        </w:rPr>
        <w:t>32</w:t>
      </w:r>
      <w:r>
        <w:rPr>
          <w:highlight w:val="none"/>
        </w:rPr>
        <w:fldChar w:fldCharType="end"/>
      </w:r>
      <w:r>
        <w:rPr>
          <w:highlight w:val="none"/>
        </w:rPr>
        <w:fldChar w:fldCharType="end"/>
      </w:r>
    </w:p>
    <w:p w14:paraId="23B99C2E">
      <w:pPr>
        <w:pStyle w:val="35"/>
        <w:tabs>
          <w:tab w:val="right" w:leader="dot" w:pos="8957"/>
          <w:tab w:val="clear" w:pos="8721"/>
        </w:tabs>
        <w:rPr>
          <w:highlight w:val="none"/>
        </w:rPr>
      </w:pPr>
      <w:r>
        <w:rPr>
          <w:highlight w:val="none"/>
        </w:rPr>
        <w:fldChar w:fldCharType="begin"/>
      </w:r>
      <w:r>
        <w:rPr>
          <w:highlight w:val="none"/>
        </w:rPr>
        <w:instrText xml:space="preserve"> HYPERLINK \l "_Toc28039" </w:instrText>
      </w:r>
      <w:r>
        <w:rPr>
          <w:highlight w:val="none"/>
        </w:rPr>
        <w:fldChar w:fldCharType="separate"/>
      </w:r>
      <w:r>
        <w:rPr>
          <w:rFonts w:hint="eastAsia" w:hAnsi="宋体" w:cs="宋体"/>
          <w:highlight w:val="none"/>
        </w:rPr>
        <w:t>第七章  附件</w:t>
      </w:r>
      <w:r>
        <w:rPr>
          <w:highlight w:val="none"/>
        </w:rPr>
        <w:tab/>
      </w:r>
      <w:r>
        <w:rPr>
          <w:highlight w:val="none"/>
        </w:rPr>
        <w:fldChar w:fldCharType="begin"/>
      </w:r>
      <w:r>
        <w:rPr>
          <w:highlight w:val="none"/>
        </w:rPr>
        <w:instrText xml:space="preserve"> PAGEREF _Toc28039 \h </w:instrText>
      </w:r>
      <w:r>
        <w:rPr>
          <w:highlight w:val="none"/>
        </w:rPr>
        <w:fldChar w:fldCharType="separate"/>
      </w:r>
      <w:r>
        <w:rPr>
          <w:highlight w:val="none"/>
        </w:rPr>
        <w:t>36</w:t>
      </w:r>
      <w:r>
        <w:rPr>
          <w:highlight w:val="none"/>
        </w:rPr>
        <w:fldChar w:fldCharType="end"/>
      </w:r>
      <w:r>
        <w:rPr>
          <w:highlight w:val="none"/>
        </w:rPr>
        <w:fldChar w:fldCharType="end"/>
      </w:r>
    </w:p>
    <w:p w14:paraId="15872D89">
      <w:pPr>
        <w:spacing w:line="1000" w:lineRule="exact"/>
        <w:jc w:val="center"/>
        <w:rPr>
          <w:rFonts w:ascii="宋体" w:hAnsi="宋体" w:cs="宋体"/>
          <w:b/>
          <w:sz w:val="32"/>
          <w:highlight w:val="none"/>
        </w:rPr>
      </w:pPr>
      <w:r>
        <w:rPr>
          <w:rFonts w:hint="eastAsia" w:ascii="宋体" w:hAnsi="宋体" w:cs="宋体"/>
          <w:highlight w:val="none"/>
        </w:rPr>
        <w:fldChar w:fldCharType="end"/>
      </w:r>
    </w:p>
    <w:p w14:paraId="57D53919">
      <w:pPr>
        <w:spacing w:line="400" w:lineRule="exact"/>
        <w:jc w:val="center"/>
        <w:rPr>
          <w:rFonts w:ascii="宋体" w:hAnsi="宋体" w:cs="宋体"/>
          <w:b/>
          <w:sz w:val="32"/>
          <w:highlight w:val="none"/>
        </w:rPr>
        <w:sectPr>
          <w:headerReference r:id="rId6" w:type="default"/>
          <w:type w:val="nextColumn"/>
          <w:pgSz w:w="11905" w:h="16838"/>
          <w:pgMar w:top="1474" w:right="1474" w:bottom="1474" w:left="1474" w:header="907" w:footer="850" w:gutter="0"/>
          <w:cols w:space="0" w:num="1"/>
          <w:docGrid w:type="lines" w:linePitch="289" w:charSpace="0"/>
        </w:sectPr>
      </w:pPr>
    </w:p>
    <w:p w14:paraId="5BA3E42F">
      <w:pPr>
        <w:spacing w:line="400" w:lineRule="exact"/>
        <w:jc w:val="center"/>
        <w:outlineLvl w:val="0"/>
        <w:rPr>
          <w:rFonts w:ascii="宋体" w:hAnsi="宋体" w:cs="宋体"/>
          <w:b/>
          <w:sz w:val="32"/>
          <w:highlight w:val="none"/>
        </w:rPr>
      </w:pPr>
      <w:bookmarkStart w:id="0" w:name="_Toc3259"/>
      <w:r>
        <w:rPr>
          <w:rFonts w:hint="eastAsia" w:ascii="宋体" w:hAnsi="宋体" w:cs="宋体"/>
          <w:b/>
          <w:sz w:val="32"/>
          <w:highlight w:val="none"/>
        </w:rPr>
        <w:t>第一章  招标公告</w:t>
      </w:r>
      <w:bookmarkEnd w:id="0"/>
    </w:p>
    <w:p w14:paraId="5833B79A">
      <w:pPr>
        <w:pStyle w:val="47"/>
        <w:spacing w:before="0" w:beforeAutospacing="0" w:after="0" w:afterAutospacing="0" w:line="400" w:lineRule="exact"/>
        <w:rPr>
          <w:rFonts w:hAnsi="宋体"/>
          <w:sz w:val="21"/>
          <w:szCs w:val="21"/>
          <w:highlight w:val="none"/>
        </w:rPr>
      </w:pPr>
      <w:r>
        <w:rPr>
          <w:rFonts w:hint="eastAsia" w:hAnsi="宋体"/>
          <w:sz w:val="21"/>
          <w:szCs w:val="21"/>
          <w:highlight w:val="none"/>
        </w:rPr>
        <w:t>项目概况</w:t>
      </w:r>
    </w:p>
    <w:p w14:paraId="6CCA77B0">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2024年宁波市新生代企业家赴欧洲访学活动承接服务采购项目的潜在供应商应在政府采购云平台（</w:t>
      </w:r>
      <w:r>
        <w:rPr>
          <w:highlight w:val="none"/>
        </w:rPr>
        <w:fldChar w:fldCharType="begin"/>
      </w:r>
      <w:r>
        <w:rPr>
          <w:highlight w:val="none"/>
        </w:rPr>
        <w:instrText xml:space="preserve"> HYPERLINK "http://www.zcygov.cn）获取（下载）招标文件，并于2022年9月" </w:instrText>
      </w:r>
      <w:r>
        <w:rPr>
          <w:highlight w:val="none"/>
        </w:rPr>
        <w:fldChar w:fldCharType="separate"/>
      </w:r>
      <w:r>
        <w:rPr>
          <w:rFonts w:hint="eastAsia" w:hAnsi="宋体"/>
          <w:sz w:val="21"/>
          <w:szCs w:val="21"/>
          <w:highlight w:val="none"/>
        </w:rPr>
        <w:t>www.zcygov.cn）获取（下载）招标文件，并于2024年9月</w:t>
      </w:r>
      <w:r>
        <w:rPr>
          <w:rFonts w:hint="eastAsia" w:hAnsi="宋体"/>
          <w:sz w:val="21"/>
          <w:szCs w:val="21"/>
          <w:highlight w:val="none"/>
        </w:rPr>
        <w:fldChar w:fldCharType="end"/>
      </w:r>
      <w:r>
        <w:rPr>
          <w:rFonts w:hint="eastAsia" w:hAnsi="宋体"/>
          <w:sz w:val="21"/>
          <w:szCs w:val="21"/>
          <w:highlight w:val="none"/>
          <w:lang w:val="en-US" w:eastAsia="zh-CN"/>
        </w:rPr>
        <w:t>18</w:t>
      </w:r>
      <w:r>
        <w:rPr>
          <w:rFonts w:hint="eastAsia" w:hAnsi="宋体"/>
          <w:sz w:val="21"/>
          <w:szCs w:val="21"/>
          <w:highlight w:val="none"/>
        </w:rPr>
        <w:t>日09:00（北京时间）前递交（上传）投标文件。</w:t>
      </w:r>
    </w:p>
    <w:p w14:paraId="730BF87C">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一、项目基本情况</w:t>
      </w:r>
    </w:p>
    <w:p w14:paraId="22BB1F12">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项目编号：NBITC-202430916G</w:t>
      </w:r>
    </w:p>
    <w:p w14:paraId="0E4E9E59">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项目名称：2024年宁波市新生代企业家赴欧洲访学活动承接服务采购项目</w:t>
      </w:r>
    </w:p>
    <w:p w14:paraId="03A4ED1F">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预算金额（元）：1500000</w:t>
      </w:r>
    </w:p>
    <w:p w14:paraId="5AADFC08">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最高限价（元）：1500000</w:t>
      </w:r>
    </w:p>
    <w:p w14:paraId="67D985AC">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采购需求：详见“第三章  招标内容与服务需求”。</w:t>
      </w:r>
    </w:p>
    <w:p w14:paraId="127F513B">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标项一：</w:t>
      </w:r>
    </w:p>
    <w:p w14:paraId="231060E0">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标项名称：2024年宁波市新生代企业家赴欧洲访学活动承接服务采购</w:t>
      </w:r>
    </w:p>
    <w:p w14:paraId="2615D3D8">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数量：1</w:t>
      </w:r>
    </w:p>
    <w:p w14:paraId="2EBFB91B">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预算金额（元）：1500000</w:t>
      </w:r>
    </w:p>
    <w:p w14:paraId="4E851C85">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简要规格描述或项目基本概况介绍、用途：详见招标文件“第三章  招标内容与服务需求”。</w:t>
      </w:r>
    </w:p>
    <w:p w14:paraId="220F8323">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备注：详细招标内容与服务需求详见“第三章  招标内容与服务需求”。</w:t>
      </w:r>
    </w:p>
    <w:p w14:paraId="39D6D78F">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合同履约期限：合同签订之日起至2024年11月</w:t>
      </w:r>
      <w:r>
        <w:rPr>
          <w:rFonts w:hint="eastAsia" w:hAnsi="宋体"/>
          <w:sz w:val="21"/>
          <w:szCs w:val="21"/>
          <w:highlight w:val="none"/>
          <w:lang w:val="en-US" w:eastAsia="zh-CN"/>
        </w:rPr>
        <w:t>30</w:t>
      </w:r>
      <w:r>
        <w:rPr>
          <w:rFonts w:hint="eastAsia" w:hAnsi="宋体"/>
          <w:sz w:val="21"/>
          <w:szCs w:val="21"/>
          <w:highlight w:val="none"/>
        </w:rPr>
        <w:t>日止。</w:t>
      </w:r>
    </w:p>
    <w:p w14:paraId="592C8A57">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本项目（是）接受联合体投标。</w:t>
      </w:r>
    </w:p>
    <w:p w14:paraId="46B53FBE">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二、申请人的资格要求</w:t>
      </w:r>
    </w:p>
    <w:p w14:paraId="7BD54A6F">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F9B077E">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2.落实政府采购政策需满足的资格要求：无。</w:t>
      </w:r>
    </w:p>
    <w:p w14:paraId="63FF9414">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3.本项目的特定资格要求：无。</w:t>
      </w:r>
    </w:p>
    <w:p w14:paraId="73E41370">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三、获取招标文件</w:t>
      </w:r>
    </w:p>
    <w:p w14:paraId="2EF5DCB5">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时间：2024年8月</w:t>
      </w:r>
      <w:r>
        <w:rPr>
          <w:rFonts w:hint="eastAsia" w:hAnsi="宋体"/>
          <w:sz w:val="21"/>
          <w:szCs w:val="21"/>
          <w:highlight w:val="none"/>
          <w:lang w:val="en-US" w:eastAsia="zh-CN"/>
        </w:rPr>
        <w:t>27</w:t>
      </w:r>
      <w:r>
        <w:rPr>
          <w:rFonts w:hint="eastAsia" w:hAnsi="宋体"/>
          <w:sz w:val="21"/>
          <w:szCs w:val="21"/>
          <w:highlight w:val="none"/>
        </w:rPr>
        <w:t>日至2024年</w:t>
      </w:r>
      <w:r>
        <w:rPr>
          <w:rFonts w:hint="eastAsia" w:hAnsi="宋体"/>
          <w:sz w:val="21"/>
          <w:szCs w:val="21"/>
          <w:highlight w:val="none"/>
          <w:lang w:val="en-US" w:eastAsia="zh-CN"/>
        </w:rPr>
        <w:t>9</w:t>
      </w:r>
      <w:r>
        <w:rPr>
          <w:rFonts w:hint="eastAsia" w:hAnsi="宋体"/>
          <w:sz w:val="21"/>
          <w:szCs w:val="21"/>
          <w:highlight w:val="none"/>
        </w:rPr>
        <w:t>月</w:t>
      </w:r>
      <w:r>
        <w:rPr>
          <w:rFonts w:hint="eastAsia" w:hAnsi="宋体"/>
          <w:sz w:val="21"/>
          <w:szCs w:val="21"/>
          <w:highlight w:val="none"/>
          <w:lang w:val="en-US" w:eastAsia="zh-CN"/>
        </w:rPr>
        <w:t>3</w:t>
      </w:r>
      <w:r>
        <w:rPr>
          <w:rFonts w:hint="eastAsia" w:hAnsi="宋体"/>
          <w:sz w:val="21"/>
          <w:szCs w:val="21"/>
          <w:highlight w:val="none"/>
        </w:rPr>
        <w:t>日，每天上午00:00至12:00，下午12:00至23:59（北京时间，线上获取法定节假日均可，线下获取文件法定节假日除外）</w:t>
      </w:r>
    </w:p>
    <w:p w14:paraId="1401C506">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地点（网址）：政府采购云平台（www.zcygov.cn）</w:t>
      </w:r>
    </w:p>
    <w:p w14:paraId="2A2BE8F2">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方式：供应商登录政府采购云平台（www.zcygov.cn）的注册账号后，进入政采云系统“项目采购”模块“获取招标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74102A86">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售价（元）：0</w:t>
      </w:r>
    </w:p>
    <w:p w14:paraId="53C6F9E9">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四、提交投标文件截止时间、开标时间和地点</w:t>
      </w:r>
    </w:p>
    <w:p w14:paraId="3307D75E">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提交投标文件截止时间：</w:t>
      </w:r>
      <w:r>
        <w:rPr>
          <w:rFonts w:hint="eastAsia" w:hAnsi="宋体"/>
          <w:sz w:val="21"/>
          <w:szCs w:val="21"/>
          <w:highlight w:val="none"/>
          <w:lang w:eastAsia="zh-CN"/>
        </w:rPr>
        <w:t>2024年9月18日09:00</w:t>
      </w:r>
      <w:r>
        <w:rPr>
          <w:rFonts w:hint="eastAsia" w:hAnsi="宋体"/>
          <w:sz w:val="21"/>
          <w:szCs w:val="21"/>
          <w:highlight w:val="none"/>
        </w:rPr>
        <w:t>（北京时间）</w:t>
      </w:r>
    </w:p>
    <w:p w14:paraId="29BF8E57">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投标地点（网址）：政府采购云平台（http://www.zcygov.cn/）</w:t>
      </w:r>
    </w:p>
    <w:p w14:paraId="2B0D14C4">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开标时间：</w:t>
      </w:r>
      <w:r>
        <w:rPr>
          <w:rFonts w:hint="eastAsia" w:hAnsi="宋体"/>
          <w:sz w:val="21"/>
          <w:szCs w:val="21"/>
          <w:highlight w:val="none"/>
          <w:lang w:eastAsia="zh-CN"/>
        </w:rPr>
        <w:t>2024年9月18日09:00</w:t>
      </w:r>
      <w:r>
        <w:rPr>
          <w:rFonts w:hint="eastAsia" w:hAnsi="宋体"/>
          <w:sz w:val="21"/>
          <w:szCs w:val="21"/>
          <w:highlight w:val="none"/>
        </w:rPr>
        <w:t>（北京时间）</w:t>
      </w:r>
    </w:p>
    <w:p w14:paraId="60AA73B8">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开标地点（网址）：政府采购云平台（http://www.zcygov.cn/）</w:t>
      </w:r>
    </w:p>
    <w:p w14:paraId="649B6F73">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五、公告期限</w:t>
      </w:r>
    </w:p>
    <w:p w14:paraId="2F68878F">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自本公告发布之日起5个工作日。</w:t>
      </w:r>
    </w:p>
    <w:p w14:paraId="431380E0">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六、其他补充事宜</w:t>
      </w:r>
    </w:p>
    <w:p w14:paraId="11395822">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1.供应商认为招标文件使自己的权益受到损害的，可以自获取招标文件之日或者招标文件公告期限届满之日（公告期限届满后获取招标文件的，以公告期限届满之日为准）起7个工作日内，对招标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7AFB16F8">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6D321F03">
      <w:pPr>
        <w:pStyle w:val="47"/>
        <w:spacing w:before="0" w:beforeAutospacing="0" w:after="0" w:afterAutospacing="0" w:line="400" w:lineRule="exact"/>
        <w:jc w:val="both"/>
        <w:rPr>
          <w:rFonts w:hAnsi="宋体"/>
          <w:sz w:val="21"/>
          <w:szCs w:val="21"/>
          <w:highlight w:val="none"/>
        </w:rPr>
      </w:pPr>
      <w:r>
        <w:rPr>
          <w:rStyle w:val="56"/>
          <w:rFonts w:hint="eastAsia" w:hAnsi="宋体"/>
          <w:sz w:val="21"/>
          <w:szCs w:val="21"/>
          <w:highlight w:val="none"/>
        </w:rPr>
        <w:t>七、对本次采购提出询问、质疑、投诉，请按以下方式联系</w:t>
      </w:r>
    </w:p>
    <w:p w14:paraId="2809EF61">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1.招标人信息</w:t>
      </w:r>
    </w:p>
    <w:p w14:paraId="646936D5">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名    称：中共宁波市委统一战线工作部</w:t>
      </w:r>
    </w:p>
    <w:p w14:paraId="40B437B4">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地    址：宁波市鄞州区宁东路835号9楼</w:t>
      </w:r>
    </w:p>
    <w:p w14:paraId="105141C6">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传    真：/</w:t>
      </w:r>
    </w:p>
    <w:p w14:paraId="2087DB11">
      <w:pPr>
        <w:pStyle w:val="47"/>
        <w:spacing w:before="0" w:beforeAutospacing="0" w:after="0" w:afterAutospacing="0" w:line="400" w:lineRule="exact"/>
        <w:ind w:firstLine="420" w:firstLineChars="200"/>
        <w:jc w:val="both"/>
        <w:rPr>
          <w:rFonts w:hint="eastAsia" w:hAnsi="宋体" w:eastAsia="宋体"/>
          <w:sz w:val="21"/>
          <w:szCs w:val="21"/>
          <w:highlight w:val="none"/>
          <w:lang w:eastAsia="zh-CN"/>
        </w:rPr>
      </w:pPr>
      <w:r>
        <w:rPr>
          <w:rFonts w:hint="eastAsia" w:hAnsi="宋体"/>
          <w:sz w:val="21"/>
          <w:szCs w:val="21"/>
          <w:highlight w:val="none"/>
        </w:rPr>
        <w:t>项目联系人（询问）：</w:t>
      </w:r>
      <w:r>
        <w:rPr>
          <w:rFonts w:hint="eastAsia" w:hAnsi="宋体"/>
          <w:sz w:val="21"/>
          <w:szCs w:val="21"/>
          <w:highlight w:val="none"/>
          <w:lang w:eastAsia="zh-CN"/>
        </w:rPr>
        <w:t>孙启渊</w:t>
      </w:r>
    </w:p>
    <w:p w14:paraId="6C96B7C5">
      <w:pPr>
        <w:pStyle w:val="47"/>
        <w:spacing w:before="0" w:beforeAutospacing="0" w:after="0" w:afterAutospacing="0" w:line="400" w:lineRule="exact"/>
        <w:ind w:firstLine="420" w:firstLineChars="200"/>
        <w:jc w:val="both"/>
        <w:rPr>
          <w:rFonts w:hint="default" w:hAnsi="宋体" w:eastAsia="宋体"/>
          <w:sz w:val="21"/>
          <w:szCs w:val="21"/>
          <w:highlight w:val="none"/>
          <w:lang w:val="en-US" w:eastAsia="zh-CN"/>
        </w:rPr>
      </w:pPr>
      <w:r>
        <w:rPr>
          <w:rFonts w:hint="eastAsia" w:hAnsi="宋体"/>
          <w:sz w:val="21"/>
          <w:szCs w:val="21"/>
          <w:highlight w:val="none"/>
        </w:rPr>
        <w:t>项目联系方式（询问）：</w:t>
      </w:r>
      <w:r>
        <w:rPr>
          <w:rFonts w:hint="eastAsia" w:hAnsi="宋体"/>
          <w:sz w:val="21"/>
          <w:szCs w:val="21"/>
          <w:highlight w:val="none"/>
          <w:lang w:val="en-US" w:eastAsia="zh-CN"/>
        </w:rPr>
        <w:t>0574-89184364</w:t>
      </w:r>
    </w:p>
    <w:p w14:paraId="313EE645">
      <w:pPr>
        <w:pStyle w:val="47"/>
        <w:spacing w:before="0" w:beforeAutospacing="0" w:after="0" w:afterAutospacing="0" w:line="400" w:lineRule="exact"/>
        <w:ind w:firstLine="420" w:firstLineChars="200"/>
        <w:jc w:val="both"/>
        <w:rPr>
          <w:rFonts w:hint="eastAsia" w:hAnsi="宋体" w:eastAsia="宋体"/>
          <w:sz w:val="21"/>
          <w:szCs w:val="21"/>
          <w:highlight w:val="none"/>
          <w:lang w:eastAsia="zh-CN"/>
        </w:rPr>
      </w:pPr>
      <w:r>
        <w:rPr>
          <w:rFonts w:hint="eastAsia" w:hAnsi="宋体"/>
          <w:sz w:val="21"/>
          <w:szCs w:val="21"/>
          <w:highlight w:val="none"/>
        </w:rPr>
        <w:t>质疑联系人：</w:t>
      </w:r>
      <w:r>
        <w:rPr>
          <w:rFonts w:hint="eastAsia" w:hAnsi="宋体"/>
          <w:sz w:val="21"/>
          <w:szCs w:val="21"/>
          <w:highlight w:val="none"/>
          <w:lang w:eastAsia="zh-CN"/>
        </w:rPr>
        <w:t>陈友清</w:t>
      </w:r>
    </w:p>
    <w:p w14:paraId="5DAD8A8A">
      <w:pPr>
        <w:pStyle w:val="47"/>
        <w:spacing w:before="0" w:beforeAutospacing="0" w:after="0" w:afterAutospacing="0" w:line="400" w:lineRule="exact"/>
        <w:ind w:firstLine="420" w:firstLineChars="200"/>
        <w:jc w:val="both"/>
        <w:rPr>
          <w:rFonts w:hint="default" w:hAnsi="宋体" w:eastAsia="宋体"/>
          <w:sz w:val="21"/>
          <w:szCs w:val="21"/>
          <w:highlight w:val="none"/>
          <w:lang w:val="en-US" w:eastAsia="zh-CN"/>
        </w:rPr>
      </w:pPr>
      <w:r>
        <w:rPr>
          <w:rFonts w:hint="eastAsia" w:hAnsi="宋体"/>
          <w:sz w:val="21"/>
          <w:szCs w:val="21"/>
          <w:highlight w:val="none"/>
        </w:rPr>
        <w:t>质疑联系方式：</w:t>
      </w:r>
      <w:r>
        <w:rPr>
          <w:rFonts w:hint="eastAsia" w:hAnsi="宋体"/>
          <w:sz w:val="21"/>
          <w:szCs w:val="21"/>
          <w:highlight w:val="none"/>
          <w:lang w:val="en-US" w:eastAsia="zh-CN"/>
        </w:rPr>
        <w:t>0574-89184366</w:t>
      </w:r>
    </w:p>
    <w:p w14:paraId="25B3BC46">
      <w:pPr>
        <w:pStyle w:val="47"/>
        <w:spacing w:before="0" w:beforeAutospacing="0" w:after="0" w:afterAutospacing="0" w:line="400" w:lineRule="exact"/>
        <w:jc w:val="both"/>
        <w:rPr>
          <w:rFonts w:hAnsi="宋体"/>
          <w:sz w:val="21"/>
          <w:szCs w:val="21"/>
          <w:highlight w:val="none"/>
        </w:rPr>
      </w:pPr>
      <w:r>
        <w:rPr>
          <w:rFonts w:hint="eastAsia" w:hAnsi="宋体"/>
          <w:sz w:val="21"/>
          <w:szCs w:val="21"/>
          <w:highlight w:val="none"/>
        </w:rPr>
        <w:t xml:space="preserve">   </w:t>
      </w:r>
    </w:p>
    <w:p w14:paraId="54E58D16">
      <w:pPr>
        <w:pStyle w:val="47"/>
        <w:spacing w:before="0" w:beforeAutospacing="0" w:after="0" w:afterAutospacing="0" w:line="400" w:lineRule="exact"/>
        <w:jc w:val="both"/>
        <w:rPr>
          <w:rFonts w:hAnsi="宋体"/>
          <w:sz w:val="21"/>
          <w:szCs w:val="21"/>
          <w:highlight w:val="none"/>
        </w:rPr>
      </w:pPr>
      <w:r>
        <w:rPr>
          <w:rFonts w:hint="eastAsia" w:hAnsi="宋体"/>
          <w:sz w:val="21"/>
          <w:szCs w:val="21"/>
          <w:highlight w:val="none"/>
        </w:rPr>
        <w:t xml:space="preserve">    2.采购代理机构信息            </w:t>
      </w:r>
    </w:p>
    <w:p w14:paraId="3A17C95B">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名    称：宁波市国际招标有限公司</w:t>
      </w:r>
    </w:p>
    <w:p w14:paraId="37E278CF">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地    址：浙江省宁波市江北区环城北路西段207弄19号世茂茂悦商业中心1号楼8楼</w:t>
      </w:r>
    </w:p>
    <w:p w14:paraId="7A362B8C">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传    真：0574-87388460</w:t>
      </w:r>
    </w:p>
    <w:p w14:paraId="37C342C6">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项目联系人（询问）：陈洋、王炫皓、戴承琴、严锋、张敏恒、曹晓琪</w:t>
      </w:r>
    </w:p>
    <w:p w14:paraId="2D14AC5F">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项目联系方式（询问）：0574-87295348</w:t>
      </w:r>
    </w:p>
    <w:p w14:paraId="62FA6DB2">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质疑联系人：夏伟立</w:t>
      </w:r>
    </w:p>
    <w:p w14:paraId="5322227D">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 xml:space="preserve">质疑联系方式：0574-87128864 　　　　　　     </w:t>
      </w:r>
    </w:p>
    <w:p w14:paraId="1CE8A0EA">
      <w:pPr>
        <w:pStyle w:val="47"/>
        <w:spacing w:before="0" w:beforeAutospacing="0" w:after="0" w:afterAutospacing="0" w:line="400" w:lineRule="exact"/>
        <w:jc w:val="both"/>
        <w:rPr>
          <w:rFonts w:hAnsi="宋体"/>
          <w:sz w:val="21"/>
          <w:szCs w:val="21"/>
          <w:highlight w:val="none"/>
        </w:rPr>
      </w:pPr>
      <w:r>
        <w:rPr>
          <w:rFonts w:hint="eastAsia" w:hAnsi="宋体"/>
          <w:sz w:val="21"/>
          <w:szCs w:val="21"/>
          <w:highlight w:val="none"/>
        </w:rPr>
        <w:t xml:space="preserve">   </w:t>
      </w:r>
    </w:p>
    <w:p w14:paraId="794C131C">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 xml:space="preserve">3.同级政府采购监督管理部门            </w:t>
      </w:r>
    </w:p>
    <w:p w14:paraId="1694F8AC">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名     称：宁波市财政局政府采购监管处</w:t>
      </w:r>
    </w:p>
    <w:p w14:paraId="01D442D9">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地     址：宁波市海曙区中山西路19号</w:t>
      </w:r>
    </w:p>
    <w:p w14:paraId="28F28FB3">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传     真：/</w:t>
      </w:r>
    </w:p>
    <w:p w14:paraId="7B505732">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联 系 人 ：李老师</w:t>
      </w:r>
    </w:p>
    <w:p w14:paraId="714A4A5D">
      <w:pPr>
        <w:pStyle w:val="47"/>
        <w:spacing w:before="0" w:beforeAutospacing="0" w:after="0" w:afterAutospacing="0" w:line="400" w:lineRule="exact"/>
        <w:ind w:firstLine="420" w:firstLineChars="200"/>
        <w:jc w:val="both"/>
        <w:rPr>
          <w:rFonts w:hAnsi="宋体"/>
          <w:sz w:val="21"/>
          <w:szCs w:val="21"/>
          <w:highlight w:val="none"/>
        </w:rPr>
      </w:pPr>
      <w:r>
        <w:rPr>
          <w:rFonts w:hint="eastAsia" w:hAnsi="宋体"/>
          <w:sz w:val="21"/>
          <w:szCs w:val="21"/>
          <w:highlight w:val="none"/>
        </w:rPr>
        <w:t>监督投诉电话：0574-89388042</w:t>
      </w:r>
    </w:p>
    <w:p w14:paraId="4240071A">
      <w:pPr>
        <w:widowControl/>
        <w:spacing w:line="400" w:lineRule="exact"/>
        <w:rPr>
          <w:rFonts w:ascii="宋体" w:hAnsi="宋体" w:cs="宋体"/>
          <w:szCs w:val="21"/>
          <w:highlight w:val="none"/>
        </w:rPr>
      </w:pPr>
    </w:p>
    <w:p w14:paraId="32A869C4">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若对项目采购电子交易系统操作有疑问，可登录政采云（https://www.zcygov.cn/），点击右侧咨询小采，获取采小蜜智能服务管家帮助，或拨打政采云服务热线95763获取热线服务帮助。</w:t>
      </w:r>
    </w:p>
    <w:p w14:paraId="7A701E51">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CA问题联系电话（人工）：汇信CA400-888-4636；天谷CA400-087-8198。</w:t>
      </w:r>
    </w:p>
    <w:p w14:paraId="0FBBFE20">
      <w:pPr>
        <w:widowControl/>
        <w:spacing w:line="400" w:lineRule="exact"/>
        <w:ind w:firstLine="420" w:firstLineChars="200"/>
        <w:rPr>
          <w:rFonts w:ascii="宋体" w:hAnsi="宋体" w:cs="宋体"/>
          <w:kern w:val="0"/>
          <w:szCs w:val="21"/>
          <w:highlight w:val="none"/>
        </w:rPr>
      </w:pPr>
    </w:p>
    <w:p w14:paraId="1A5C0DC5">
      <w:pPr>
        <w:widowControl/>
        <w:spacing w:line="400" w:lineRule="exact"/>
        <w:ind w:firstLine="420" w:firstLineChars="200"/>
        <w:rPr>
          <w:rFonts w:ascii="宋体" w:hAnsi="宋体" w:cs="宋体"/>
          <w:kern w:val="0"/>
          <w:szCs w:val="21"/>
          <w:highlight w:val="none"/>
        </w:rPr>
        <w:sectPr>
          <w:footerReference r:id="rId7" w:type="default"/>
          <w:pgSz w:w="11905" w:h="16838"/>
          <w:pgMar w:top="1474" w:right="1474" w:bottom="1474" w:left="1474" w:header="907" w:footer="850" w:gutter="0"/>
          <w:pgNumType w:start="1"/>
          <w:cols w:space="0" w:num="1"/>
          <w:docGrid w:type="lines" w:linePitch="289" w:charSpace="0"/>
        </w:sectPr>
      </w:pPr>
    </w:p>
    <w:p w14:paraId="0C2480C6">
      <w:pPr>
        <w:spacing w:line="400" w:lineRule="exact"/>
        <w:jc w:val="center"/>
        <w:outlineLvl w:val="0"/>
        <w:rPr>
          <w:rFonts w:ascii="宋体" w:hAnsi="宋体" w:cs="宋体"/>
          <w:b/>
          <w:sz w:val="32"/>
          <w:highlight w:val="none"/>
        </w:rPr>
      </w:pPr>
      <w:bookmarkStart w:id="1" w:name="_Toc15789"/>
      <w:r>
        <w:rPr>
          <w:rFonts w:hint="eastAsia" w:ascii="宋体" w:hAnsi="宋体" w:cs="宋体"/>
          <w:b/>
          <w:sz w:val="32"/>
          <w:highlight w:val="none"/>
        </w:rPr>
        <w:t>第二章  投标须知</w:t>
      </w:r>
      <w:bookmarkEnd w:id="1"/>
    </w:p>
    <w:p w14:paraId="2E15F61E">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前附表</w:t>
      </w:r>
    </w:p>
    <w:p w14:paraId="36EC55B4">
      <w:pPr>
        <w:spacing w:line="400" w:lineRule="exact"/>
        <w:rPr>
          <w:rFonts w:ascii="宋体" w:hAnsi="宋体" w:cs="宋体"/>
          <w:b/>
          <w:bCs/>
          <w:sz w:val="24"/>
          <w:szCs w:val="24"/>
          <w:highlight w:val="none"/>
        </w:rPr>
      </w:pPr>
      <w:r>
        <w:rPr>
          <w:rFonts w:hint="eastAsia" w:ascii="宋体" w:hAnsi="宋体" w:cs="宋体"/>
          <w:b/>
          <w:bCs/>
          <w:sz w:val="24"/>
          <w:szCs w:val="24"/>
          <w:highlight w:val="none"/>
        </w:rPr>
        <w:t>本部分各条款是关于本次公开招标的具体说明和要求，如与招标文件其它部分有矛盾的，应以此前附表为准。</w:t>
      </w:r>
    </w:p>
    <w:tbl>
      <w:tblPr>
        <w:tblStyle w:val="53"/>
        <w:tblW w:w="91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241"/>
      </w:tblGrid>
      <w:tr w14:paraId="6510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27FC274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241" w:type="dxa"/>
            <w:vAlign w:val="center"/>
          </w:tcPr>
          <w:p w14:paraId="0FABC25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27E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5B46BCB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241" w:type="dxa"/>
            <w:vAlign w:val="center"/>
          </w:tcPr>
          <w:p w14:paraId="0AB36B65">
            <w:pPr>
              <w:spacing w:line="400" w:lineRule="exact"/>
              <w:rPr>
                <w:rFonts w:ascii="宋体" w:hAnsi="宋体" w:cs="宋体"/>
                <w:color w:val="auto"/>
                <w:szCs w:val="21"/>
                <w:highlight w:val="none"/>
              </w:rPr>
            </w:pPr>
            <w:r>
              <w:rPr>
                <w:rFonts w:hint="eastAsia" w:ascii="宋体" w:hAnsi="宋体" w:cs="宋体"/>
                <w:color w:val="auto"/>
                <w:szCs w:val="21"/>
                <w:highlight w:val="none"/>
              </w:rPr>
              <w:t>招标人信息：</w:t>
            </w:r>
          </w:p>
          <w:p w14:paraId="527465A0">
            <w:pPr>
              <w:spacing w:line="400" w:lineRule="exact"/>
              <w:rPr>
                <w:rFonts w:ascii="宋体" w:hAnsi="宋体" w:cs="宋体"/>
                <w:color w:val="auto"/>
                <w:szCs w:val="21"/>
                <w:highlight w:val="none"/>
              </w:rPr>
            </w:pPr>
            <w:r>
              <w:rPr>
                <w:rFonts w:hint="eastAsia" w:ascii="宋体" w:hAnsi="宋体" w:cs="宋体"/>
                <w:color w:val="auto"/>
                <w:szCs w:val="21"/>
                <w:highlight w:val="none"/>
              </w:rPr>
              <w:t>名    称：中共宁波市委统一战线工作部</w:t>
            </w:r>
          </w:p>
          <w:p w14:paraId="766BC6E6">
            <w:pPr>
              <w:spacing w:line="400" w:lineRule="exact"/>
              <w:rPr>
                <w:rFonts w:ascii="宋体" w:hAnsi="宋体" w:cs="宋体"/>
                <w:color w:val="auto"/>
                <w:szCs w:val="21"/>
                <w:highlight w:val="none"/>
              </w:rPr>
            </w:pPr>
            <w:r>
              <w:rPr>
                <w:rFonts w:hint="eastAsia" w:ascii="宋体" w:hAnsi="宋体" w:cs="宋体"/>
                <w:color w:val="auto"/>
                <w:szCs w:val="21"/>
                <w:highlight w:val="none"/>
              </w:rPr>
              <w:t>地    址：宁波市鄞州区宁东路835号9楼</w:t>
            </w:r>
          </w:p>
          <w:p w14:paraId="33B44D8D">
            <w:pPr>
              <w:spacing w:line="400" w:lineRule="exact"/>
              <w:rPr>
                <w:rFonts w:ascii="宋体" w:hAnsi="宋体" w:cs="宋体"/>
                <w:color w:val="auto"/>
                <w:szCs w:val="21"/>
                <w:highlight w:val="none"/>
              </w:rPr>
            </w:pPr>
            <w:r>
              <w:rPr>
                <w:rFonts w:hint="eastAsia" w:ascii="宋体" w:hAnsi="宋体" w:cs="宋体"/>
                <w:color w:val="auto"/>
                <w:szCs w:val="21"/>
                <w:highlight w:val="none"/>
              </w:rPr>
              <w:t>传    真：/</w:t>
            </w:r>
          </w:p>
          <w:p w14:paraId="6BBFF0B5">
            <w:pPr>
              <w:pStyle w:val="47"/>
              <w:spacing w:before="0" w:beforeAutospacing="0" w:after="0" w:afterAutospacing="0" w:line="400" w:lineRule="exact"/>
              <w:jc w:val="both"/>
              <w:rPr>
                <w:rFonts w:hint="eastAsia" w:hAnsi="宋体" w:eastAsia="宋体"/>
                <w:color w:val="auto"/>
                <w:sz w:val="21"/>
                <w:szCs w:val="21"/>
                <w:highlight w:val="none"/>
                <w:lang w:eastAsia="zh-CN"/>
              </w:rPr>
            </w:pPr>
            <w:r>
              <w:rPr>
                <w:rFonts w:hint="eastAsia" w:ascii="宋体" w:hAnsi="宋体" w:cs="宋体"/>
                <w:color w:val="auto"/>
                <w:szCs w:val="21"/>
                <w:highlight w:val="none"/>
              </w:rPr>
              <w:t>项目联系人（询问）：</w:t>
            </w:r>
            <w:r>
              <w:rPr>
                <w:rFonts w:hint="eastAsia" w:hAnsi="宋体"/>
                <w:color w:val="auto"/>
                <w:sz w:val="21"/>
                <w:szCs w:val="21"/>
                <w:highlight w:val="none"/>
                <w:lang w:eastAsia="zh-CN"/>
              </w:rPr>
              <w:t>孙启渊</w:t>
            </w:r>
          </w:p>
          <w:p w14:paraId="3B36EA68">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0574-89184364</w:t>
            </w:r>
          </w:p>
          <w:p w14:paraId="7212105A">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陈友清</w:t>
            </w:r>
          </w:p>
          <w:p w14:paraId="1BBAD45E">
            <w:pPr>
              <w:spacing w:line="400" w:lineRule="exact"/>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0574-89184366</w:t>
            </w:r>
          </w:p>
        </w:tc>
      </w:tr>
      <w:tr w14:paraId="5E80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69BFD13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241" w:type="dxa"/>
            <w:vAlign w:val="center"/>
          </w:tcPr>
          <w:p w14:paraId="2470A4F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采购代理机构信息：         </w:t>
            </w:r>
          </w:p>
          <w:p w14:paraId="659E96AB">
            <w:pPr>
              <w:spacing w:line="400" w:lineRule="exact"/>
              <w:rPr>
                <w:rFonts w:ascii="宋体" w:hAnsi="宋体" w:cs="宋体"/>
                <w:color w:val="auto"/>
                <w:szCs w:val="21"/>
                <w:highlight w:val="none"/>
              </w:rPr>
            </w:pPr>
            <w:r>
              <w:rPr>
                <w:rFonts w:hint="eastAsia" w:ascii="宋体" w:hAnsi="宋体" w:cs="宋体"/>
                <w:color w:val="auto"/>
                <w:szCs w:val="21"/>
                <w:highlight w:val="none"/>
              </w:rPr>
              <w:t>名    称：宁波市国际招标有限公司</w:t>
            </w:r>
          </w:p>
          <w:p w14:paraId="1568B4FA">
            <w:pPr>
              <w:spacing w:line="400" w:lineRule="exact"/>
              <w:rPr>
                <w:rFonts w:ascii="宋体" w:hAnsi="宋体" w:cs="宋体"/>
                <w:color w:val="auto"/>
                <w:szCs w:val="21"/>
                <w:highlight w:val="none"/>
              </w:rPr>
            </w:pPr>
            <w:r>
              <w:rPr>
                <w:rFonts w:hint="eastAsia" w:ascii="宋体" w:hAnsi="宋体" w:cs="宋体"/>
                <w:color w:val="auto"/>
                <w:szCs w:val="21"/>
                <w:highlight w:val="none"/>
              </w:rPr>
              <w:t>地    址：浙江省宁波市江北区环城北路西段207弄19号世茂茂悦商业中心1号楼8楼</w:t>
            </w:r>
          </w:p>
          <w:p w14:paraId="0326DA7F">
            <w:pPr>
              <w:spacing w:line="400" w:lineRule="exact"/>
              <w:rPr>
                <w:rFonts w:ascii="宋体" w:hAnsi="宋体" w:cs="宋体"/>
                <w:color w:val="auto"/>
                <w:szCs w:val="21"/>
                <w:highlight w:val="none"/>
              </w:rPr>
            </w:pPr>
            <w:r>
              <w:rPr>
                <w:rFonts w:hint="eastAsia" w:ascii="宋体" w:hAnsi="宋体" w:cs="宋体"/>
                <w:color w:val="auto"/>
                <w:szCs w:val="21"/>
                <w:highlight w:val="none"/>
              </w:rPr>
              <w:t>传    真：0574-87388460</w:t>
            </w:r>
          </w:p>
          <w:p w14:paraId="32C0EAC2">
            <w:pPr>
              <w:spacing w:line="400" w:lineRule="exact"/>
              <w:rPr>
                <w:rFonts w:ascii="宋体" w:hAnsi="宋体" w:cs="宋体"/>
                <w:color w:val="auto"/>
                <w:szCs w:val="21"/>
                <w:highlight w:val="none"/>
              </w:rPr>
            </w:pPr>
            <w:r>
              <w:rPr>
                <w:rFonts w:hint="eastAsia" w:ascii="宋体" w:hAnsi="宋体" w:cs="宋体"/>
                <w:color w:val="auto"/>
                <w:szCs w:val="21"/>
                <w:highlight w:val="none"/>
              </w:rPr>
              <w:t>项目联系人（询问）：陈洋、王炫皓、戴承琴、严锋、</w:t>
            </w:r>
            <w:r>
              <w:rPr>
                <w:rFonts w:hint="eastAsia" w:hAnsi="宋体"/>
                <w:color w:val="auto"/>
                <w:szCs w:val="21"/>
                <w:highlight w:val="none"/>
              </w:rPr>
              <w:t>张敏恒、曹晓琪</w:t>
            </w:r>
          </w:p>
          <w:p w14:paraId="5E8338FF">
            <w:pPr>
              <w:spacing w:line="400" w:lineRule="exact"/>
              <w:rPr>
                <w:rFonts w:ascii="宋体" w:hAnsi="宋体" w:cs="宋体"/>
                <w:color w:val="auto"/>
                <w:szCs w:val="21"/>
                <w:highlight w:val="none"/>
              </w:rPr>
            </w:pPr>
            <w:r>
              <w:rPr>
                <w:rFonts w:hint="eastAsia" w:ascii="宋体" w:hAnsi="宋体" w:cs="宋体"/>
                <w:color w:val="auto"/>
                <w:szCs w:val="21"/>
                <w:highlight w:val="none"/>
              </w:rPr>
              <w:t>项目联系方式（询问）：0574-87295348</w:t>
            </w:r>
          </w:p>
          <w:p w14:paraId="330516F8">
            <w:pPr>
              <w:spacing w:line="400" w:lineRule="exact"/>
              <w:rPr>
                <w:rFonts w:ascii="宋体" w:hAnsi="宋体" w:cs="宋体"/>
                <w:color w:val="auto"/>
                <w:szCs w:val="21"/>
                <w:highlight w:val="none"/>
              </w:rPr>
            </w:pPr>
            <w:r>
              <w:rPr>
                <w:rFonts w:hint="eastAsia" w:ascii="宋体" w:hAnsi="宋体" w:cs="宋体"/>
                <w:color w:val="auto"/>
                <w:szCs w:val="21"/>
                <w:highlight w:val="none"/>
              </w:rPr>
              <w:t>质疑联系人：夏伟立</w:t>
            </w:r>
          </w:p>
          <w:p w14:paraId="6613E893">
            <w:pPr>
              <w:spacing w:line="400" w:lineRule="exact"/>
              <w:rPr>
                <w:rFonts w:ascii="宋体" w:hAnsi="宋体" w:cs="宋体"/>
                <w:color w:val="auto"/>
                <w:szCs w:val="21"/>
                <w:highlight w:val="none"/>
              </w:rPr>
            </w:pPr>
            <w:r>
              <w:rPr>
                <w:rFonts w:hint="eastAsia" w:ascii="宋体" w:hAnsi="宋体" w:cs="宋体"/>
                <w:color w:val="auto"/>
                <w:szCs w:val="21"/>
                <w:highlight w:val="none"/>
              </w:rPr>
              <w:t>质疑联系方式：0574-87128864</w:t>
            </w:r>
          </w:p>
        </w:tc>
      </w:tr>
      <w:tr w14:paraId="371B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73695B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41" w:type="dxa"/>
            <w:vAlign w:val="center"/>
          </w:tcPr>
          <w:p w14:paraId="7D642B25">
            <w:pPr>
              <w:spacing w:line="400" w:lineRule="exact"/>
              <w:rPr>
                <w:rFonts w:ascii="宋体" w:hAnsi="宋体" w:cs="宋体"/>
                <w:color w:val="auto"/>
                <w:szCs w:val="21"/>
                <w:highlight w:val="none"/>
              </w:rPr>
            </w:pPr>
            <w:r>
              <w:rPr>
                <w:rFonts w:hint="eastAsia" w:ascii="宋体" w:hAnsi="宋体" w:cs="宋体"/>
                <w:color w:val="auto"/>
                <w:szCs w:val="21"/>
                <w:highlight w:val="none"/>
              </w:rPr>
              <w:t>发布媒体：</w:t>
            </w:r>
          </w:p>
          <w:p w14:paraId="166AE41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浙江政府采购网                    </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Cs w:val="21"/>
                <w:highlight w:val="none"/>
              </w:rPr>
              <w:t>www.zjzfcg.gov.cn</w:t>
            </w:r>
            <w:r>
              <w:rPr>
                <w:rFonts w:hint="eastAsia" w:ascii="宋体" w:hAnsi="宋体" w:cs="宋体"/>
                <w:color w:val="auto"/>
                <w:szCs w:val="21"/>
                <w:highlight w:val="none"/>
              </w:rPr>
              <w:fldChar w:fldCharType="end"/>
            </w:r>
          </w:p>
          <w:p w14:paraId="68C72E6C">
            <w:pPr>
              <w:spacing w:line="400" w:lineRule="exact"/>
              <w:rPr>
                <w:rFonts w:ascii="宋体" w:hAnsi="宋体" w:cs="宋体"/>
                <w:color w:val="auto"/>
                <w:szCs w:val="21"/>
                <w:highlight w:val="none"/>
              </w:rPr>
            </w:pPr>
            <w:r>
              <w:rPr>
                <w:rFonts w:hint="eastAsia" w:ascii="宋体" w:hAnsi="宋体" w:cs="宋体"/>
                <w:color w:val="auto"/>
                <w:szCs w:val="21"/>
                <w:highlight w:val="none"/>
              </w:rPr>
              <w:t>宁波政府采购网                    www.nbzfcg.cn</w:t>
            </w:r>
          </w:p>
          <w:p w14:paraId="51B954ED">
            <w:pPr>
              <w:spacing w:line="400" w:lineRule="exact"/>
              <w:rPr>
                <w:rFonts w:ascii="宋体" w:hAnsi="宋体" w:cs="宋体"/>
                <w:color w:val="auto"/>
                <w:szCs w:val="21"/>
                <w:highlight w:val="none"/>
              </w:rPr>
            </w:pPr>
            <w:r>
              <w:rPr>
                <w:rFonts w:hint="eastAsia" w:ascii="宋体" w:hAnsi="宋体" w:cs="宋体"/>
                <w:color w:val="auto"/>
                <w:szCs w:val="21"/>
                <w:highlight w:val="none"/>
              </w:rPr>
              <w:t>宁波市国际招标有限公司网          www.nbbidding.com</w:t>
            </w:r>
          </w:p>
        </w:tc>
      </w:tr>
      <w:tr w14:paraId="6540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7098C772">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4</w:t>
            </w:r>
          </w:p>
        </w:tc>
        <w:tc>
          <w:tcPr>
            <w:tcW w:w="8241" w:type="dxa"/>
            <w:vAlign w:val="center"/>
          </w:tcPr>
          <w:p w14:paraId="05371C93">
            <w:pPr>
              <w:spacing w:line="400" w:lineRule="exact"/>
              <w:rPr>
                <w:rFonts w:ascii="宋体" w:hAnsi="宋体" w:cs="宋体"/>
                <w:color w:val="auto"/>
                <w:szCs w:val="21"/>
                <w:highlight w:val="none"/>
                <w:u w:val="single"/>
              </w:rPr>
            </w:pPr>
            <w:r>
              <w:rPr>
                <w:rFonts w:hint="eastAsia" w:ascii="宋体" w:hAnsi="宋体" w:cs="宋体"/>
                <w:b/>
                <w:bCs/>
                <w:color w:val="auto"/>
                <w:szCs w:val="21"/>
                <w:highlight w:val="none"/>
              </w:rPr>
              <w:t>合格的投标货物或服务：应该是中国境内生产的货物或提供的服务。</w:t>
            </w:r>
          </w:p>
        </w:tc>
      </w:tr>
      <w:tr w14:paraId="35E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1B10949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241" w:type="dxa"/>
            <w:vAlign w:val="center"/>
          </w:tcPr>
          <w:p w14:paraId="3903C685">
            <w:pPr>
              <w:spacing w:line="400" w:lineRule="exact"/>
              <w:rPr>
                <w:rFonts w:ascii="宋体" w:hAnsi="宋体" w:cs="宋体"/>
                <w:color w:val="auto"/>
                <w:szCs w:val="21"/>
                <w:highlight w:val="none"/>
              </w:rPr>
            </w:pPr>
            <w:r>
              <w:rPr>
                <w:rFonts w:hint="eastAsia" w:ascii="宋体" w:hAnsi="宋体" w:cs="宋体"/>
                <w:color w:val="auto"/>
                <w:szCs w:val="21"/>
                <w:highlight w:val="none"/>
              </w:rPr>
              <w:t>现场考察或开标前答疑会：不组织</w:t>
            </w:r>
          </w:p>
        </w:tc>
      </w:tr>
      <w:tr w14:paraId="3AEB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330C2E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241" w:type="dxa"/>
            <w:vAlign w:val="center"/>
          </w:tcPr>
          <w:p w14:paraId="7DDE73D2">
            <w:pPr>
              <w:spacing w:line="400" w:lineRule="exact"/>
              <w:rPr>
                <w:rFonts w:ascii="宋体" w:hAnsi="宋体" w:cs="宋体"/>
                <w:color w:val="auto"/>
                <w:szCs w:val="21"/>
                <w:highlight w:val="none"/>
              </w:rPr>
            </w:pPr>
            <w:r>
              <w:rPr>
                <w:rFonts w:hint="eastAsia" w:ascii="宋体" w:hAnsi="宋体" w:cs="宋体"/>
                <w:color w:val="auto"/>
                <w:szCs w:val="21"/>
                <w:highlight w:val="none"/>
              </w:rPr>
              <w:t>备选投标方案：</w:t>
            </w:r>
            <w:r>
              <w:rPr>
                <w:rFonts w:hint="eastAsia" w:ascii="宋体" w:hAnsi="宋体" w:cs="宋体"/>
                <w:iCs/>
                <w:color w:val="auto"/>
                <w:szCs w:val="21"/>
                <w:highlight w:val="none"/>
              </w:rPr>
              <w:t>不允许</w:t>
            </w:r>
          </w:p>
        </w:tc>
      </w:tr>
      <w:tr w14:paraId="267A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7F0AC38C">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7</w:t>
            </w:r>
          </w:p>
        </w:tc>
        <w:tc>
          <w:tcPr>
            <w:tcW w:w="8241" w:type="dxa"/>
            <w:vAlign w:val="center"/>
          </w:tcPr>
          <w:p w14:paraId="77ED59A0">
            <w:pPr>
              <w:spacing w:line="400" w:lineRule="exact"/>
              <w:rPr>
                <w:rFonts w:ascii="宋体" w:hAnsi="宋体" w:cs="宋体"/>
                <w:color w:val="auto"/>
                <w:szCs w:val="21"/>
                <w:highlight w:val="none"/>
              </w:rPr>
            </w:pPr>
            <w:r>
              <w:rPr>
                <w:rFonts w:hint="eastAsia" w:ascii="宋体" w:hAnsi="宋体" w:cs="宋体"/>
                <w:color w:val="auto"/>
                <w:szCs w:val="21"/>
                <w:highlight w:val="none"/>
              </w:rPr>
              <w:t>本项目设有最高限价，超过最高限价的投标将作为无效投标。</w:t>
            </w:r>
          </w:p>
          <w:p w14:paraId="1D50D729">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本项目最高限价为人民币1</w:t>
            </w:r>
            <w:r>
              <w:rPr>
                <w:rFonts w:ascii="宋体" w:hAnsi="宋体" w:cs="宋体"/>
                <w:color w:val="auto"/>
                <w:szCs w:val="21"/>
                <w:highlight w:val="none"/>
              </w:rPr>
              <w:t>5</w:t>
            </w:r>
            <w:r>
              <w:rPr>
                <w:rFonts w:hint="eastAsia" w:ascii="宋体" w:hAnsi="宋体" w:cs="宋体"/>
                <w:color w:val="auto"/>
                <w:szCs w:val="21"/>
                <w:highlight w:val="none"/>
              </w:rPr>
              <w:t>00000.00元。</w:t>
            </w:r>
          </w:p>
        </w:tc>
      </w:tr>
      <w:tr w14:paraId="34D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579E6B7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241" w:type="dxa"/>
            <w:vAlign w:val="center"/>
          </w:tcPr>
          <w:p w14:paraId="1CA49720">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投标报价：</w:t>
            </w:r>
          </w:p>
          <w:p w14:paraId="1A64CD1A">
            <w:pPr>
              <w:spacing w:line="400" w:lineRule="exact"/>
              <w:rPr>
                <w:rFonts w:ascii="宋体" w:hAnsi="宋体" w:cs="宋体"/>
                <w:color w:val="auto"/>
                <w:szCs w:val="21"/>
                <w:highlight w:val="none"/>
              </w:rPr>
            </w:pPr>
            <w:r>
              <w:rPr>
                <w:rFonts w:hint="eastAsia" w:ascii="宋体" w:hAnsi="宋体" w:cs="宋体"/>
                <w:color w:val="auto"/>
                <w:szCs w:val="21"/>
                <w:highlight w:val="none"/>
              </w:rPr>
              <w:t>本项目为固定总价方式。</w:t>
            </w:r>
          </w:p>
          <w:p w14:paraId="4F648E3D">
            <w:pPr>
              <w:spacing w:line="400" w:lineRule="exact"/>
              <w:rPr>
                <w:rFonts w:ascii="宋体" w:hAnsi="宋体" w:cs="宋体"/>
                <w:color w:val="auto"/>
                <w:szCs w:val="21"/>
                <w:highlight w:val="none"/>
              </w:rPr>
            </w:pPr>
            <w:r>
              <w:rPr>
                <w:rFonts w:hint="eastAsia" w:ascii="宋体" w:hAnsi="宋体" w:cs="宋体"/>
                <w:color w:val="auto"/>
                <w:szCs w:val="21"/>
                <w:highlight w:val="none"/>
              </w:rPr>
              <w:t>报价应包含按要求完成本项目采购内容的所有费用，包括但不仅限于场地费、专家授课及现场教学费、交通费、餐饮费、其他费用、发票税费等各项应有费用以及中标后向招标代理机构支付的代理服务费等所需的全部费用。</w:t>
            </w:r>
          </w:p>
          <w:p w14:paraId="0A06A98B">
            <w:pPr>
              <w:spacing w:line="400" w:lineRule="exact"/>
              <w:rPr>
                <w:rFonts w:ascii="宋体" w:hAnsi="宋体" w:cs="宋体"/>
                <w:color w:val="auto"/>
                <w:szCs w:val="21"/>
                <w:highlight w:val="none"/>
              </w:rPr>
            </w:pPr>
            <w:r>
              <w:rPr>
                <w:rFonts w:hint="eastAsia" w:ascii="宋体" w:hAnsi="宋体" w:cs="宋体"/>
                <w:color w:val="auto"/>
                <w:szCs w:val="21"/>
                <w:highlight w:val="none"/>
              </w:rPr>
              <w:t>供应商应承担其参加本采购活动自身所发生的费用。</w:t>
            </w:r>
          </w:p>
          <w:p w14:paraId="45CEE5C0">
            <w:pPr>
              <w:spacing w:line="400" w:lineRule="exact"/>
              <w:rPr>
                <w:rFonts w:ascii="宋体" w:hAnsi="宋体" w:cs="宋体"/>
                <w:color w:val="auto"/>
                <w:szCs w:val="21"/>
                <w:highlight w:val="none"/>
              </w:rPr>
            </w:pPr>
            <w:r>
              <w:rPr>
                <w:rFonts w:hint="eastAsia" w:ascii="宋体" w:hAnsi="宋体" w:cs="宋体"/>
                <w:color w:val="auto"/>
                <w:szCs w:val="21"/>
                <w:highlight w:val="none"/>
              </w:rPr>
              <w:t>项目实施过程中可能发生的风险和费用均由中标供应商承担。</w:t>
            </w:r>
          </w:p>
        </w:tc>
      </w:tr>
      <w:tr w14:paraId="22FE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492B969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241" w:type="dxa"/>
            <w:vAlign w:val="center"/>
          </w:tcPr>
          <w:p w14:paraId="1B9E388E">
            <w:pPr>
              <w:spacing w:line="400" w:lineRule="exact"/>
              <w:rPr>
                <w:rFonts w:ascii="宋体" w:hAnsi="宋体" w:cs="宋体"/>
                <w:color w:val="auto"/>
                <w:szCs w:val="21"/>
                <w:highlight w:val="none"/>
              </w:rPr>
            </w:pPr>
            <w:r>
              <w:rPr>
                <w:rFonts w:hint="eastAsia" w:ascii="宋体" w:hAnsi="宋体" w:cs="宋体"/>
                <w:color w:val="auto"/>
                <w:szCs w:val="21"/>
                <w:highlight w:val="none"/>
              </w:rPr>
              <w:t>投标有效期：</w:t>
            </w:r>
          </w:p>
          <w:p w14:paraId="53E3EF74">
            <w:pPr>
              <w:spacing w:line="400" w:lineRule="exact"/>
              <w:rPr>
                <w:rFonts w:ascii="宋体" w:hAnsi="宋体" w:cs="宋体"/>
                <w:color w:val="auto"/>
                <w:szCs w:val="21"/>
                <w:highlight w:val="none"/>
              </w:rPr>
            </w:pPr>
            <w:r>
              <w:rPr>
                <w:rFonts w:hint="eastAsia" w:ascii="宋体" w:hAnsi="宋体" w:cs="宋体"/>
                <w:color w:val="auto"/>
                <w:szCs w:val="21"/>
                <w:highlight w:val="none"/>
              </w:rPr>
              <w:t>▲1.投标文件从开标之日起，投标有效期为90个日历日。投标有效期不能小于招标文件的要求。</w:t>
            </w:r>
          </w:p>
          <w:p w14:paraId="127FBD64">
            <w:pPr>
              <w:spacing w:line="400" w:lineRule="exact"/>
              <w:rPr>
                <w:rFonts w:ascii="宋体" w:hAnsi="宋体" w:cs="宋体"/>
                <w:color w:val="auto"/>
                <w:szCs w:val="21"/>
                <w:highlight w:val="none"/>
              </w:rPr>
            </w:pPr>
            <w:r>
              <w:rPr>
                <w:rFonts w:hint="eastAsia" w:ascii="宋体" w:hAnsi="宋体" w:cs="宋体"/>
                <w:color w:val="auto"/>
                <w:szCs w:val="21"/>
                <w:highlight w:val="none"/>
              </w:rPr>
              <w:t>2.特殊情况下，招标人可与供应商协商延缓投标文件的有效期，这种要求和答复均以书面形式进行。</w:t>
            </w:r>
          </w:p>
          <w:p w14:paraId="2735D9D1">
            <w:pPr>
              <w:spacing w:line="400" w:lineRule="exact"/>
              <w:rPr>
                <w:rFonts w:ascii="宋体" w:hAnsi="宋体" w:cs="宋体"/>
                <w:color w:val="auto"/>
                <w:szCs w:val="21"/>
                <w:highlight w:val="none"/>
              </w:rPr>
            </w:pPr>
            <w:r>
              <w:rPr>
                <w:rFonts w:hint="eastAsia" w:ascii="宋体" w:hAnsi="宋体" w:cs="宋体"/>
                <w:color w:val="auto"/>
                <w:szCs w:val="21"/>
                <w:highlight w:val="none"/>
              </w:rPr>
              <w:t>3.供应商可拒绝接受延期要求。同意延长有效期的供应商不能修改投标文件。</w:t>
            </w:r>
          </w:p>
        </w:tc>
      </w:tr>
      <w:tr w14:paraId="5A88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0A686D4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41" w:type="dxa"/>
            <w:vAlign w:val="center"/>
          </w:tcPr>
          <w:p w14:paraId="0887BB93">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投标文件组成：</w:t>
            </w:r>
          </w:p>
          <w:p w14:paraId="57F136E0">
            <w:pPr>
              <w:spacing w:line="400" w:lineRule="exact"/>
              <w:rPr>
                <w:rFonts w:ascii="宋体" w:hAnsi="宋体" w:cs="宋体"/>
                <w:color w:val="auto"/>
                <w:szCs w:val="21"/>
                <w:highlight w:val="none"/>
              </w:rPr>
            </w:pPr>
            <w:r>
              <w:rPr>
                <w:rFonts w:hint="eastAsia" w:ascii="宋体" w:hAnsi="宋体" w:cs="宋体"/>
                <w:b/>
                <w:bCs/>
                <w:color w:val="auto"/>
                <w:szCs w:val="21"/>
                <w:highlight w:val="none"/>
              </w:rPr>
              <w:t>A、第一册：资格文件</w:t>
            </w:r>
          </w:p>
          <w:p w14:paraId="75C39E14">
            <w:pPr>
              <w:spacing w:line="400" w:lineRule="exact"/>
              <w:rPr>
                <w:rFonts w:ascii="宋体" w:hAnsi="宋体" w:cs="宋体"/>
                <w:color w:val="auto"/>
                <w:szCs w:val="21"/>
                <w:highlight w:val="none"/>
              </w:rPr>
            </w:pPr>
            <w:r>
              <w:rPr>
                <w:rFonts w:hint="eastAsia" w:ascii="宋体" w:hAnsi="宋体" w:cs="宋体"/>
                <w:color w:val="auto"/>
                <w:szCs w:val="21"/>
                <w:highlight w:val="none"/>
              </w:rPr>
              <w:t>▲A1.关于资格的承诺函（格式见附件）（</w:t>
            </w:r>
            <w:r>
              <w:rPr>
                <w:rFonts w:hint="eastAsia" w:ascii="宋体" w:hAnsi="宋体" w:cs="宋体"/>
                <w:b/>
                <w:bCs/>
                <w:color w:val="auto"/>
                <w:szCs w:val="21"/>
                <w:highlight w:val="none"/>
              </w:rPr>
              <w:t>联合体参加时联合体成员均须提供，</w:t>
            </w:r>
            <w:r>
              <w:rPr>
                <w:rFonts w:hint="eastAsia" w:ascii="宋体" w:hAnsi="宋体" w:cs="宋体"/>
                <w:color w:val="auto"/>
                <w:szCs w:val="21"/>
                <w:highlight w:val="none"/>
              </w:rPr>
              <w:t>各成员须在各自承诺函中盖章，联合体成员的可使用盖章后扫描件）；</w:t>
            </w:r>
          </w:p>
          <w:p w14:paraId="2CB5A4C8">
            <w:pPr>
              <w:spacing w:line="400" w:lineRule="exact"/>
              <w:rPr>
                <w:rFonts w:ascii="宋体" w:hAnsi="宋体" w:cs="宋体"/>
                <w:color w:val="auto"/>
                <w:szCs w:val="21"/>
                <w:highlight w:val="none"/>
              </w:rPr>
            </w:pPr>
            <w:r>
              <w:rPr>
                <w:rFonts w:hint="eastAsia" w:ascii="宋体" w:hAnsi="宋体" w:cs="宋体"/>
                <w:color w:val="auto"/>
                <w:szCs w:val="21"/>
                <w:highlight w:val="none"/>
              </w:rPr>
              <w:t>▲A2.营业执照副本（或事业法人登记证副本或其他登记证明材料）复印件并加盖供应商公章（供应商如果有名称变更的，应提供由行政主管部门出具的变更证明文件复印件并加盖供应商公章）（</w:t>
            </w:r>
            <w:r>
              <w:rPr>
                <w:rFonts w:hint="eastAsia" w:ascii="宋体" w:hAnsi="宋体" w:cs="宋体"/>
                <w:b/>
                <w:bCs/>
                <w:color w:val="auto"/>
                <w:szCs w:val="21"/>
                <w:highlight w:val="none"/>
              </w:rPr>
              <w:t>联合体参加时联合体成员均须提供</w:t>
            </w:r>
            <w:r>
              <w:rPr>
                <w:rFonts w:hint="eastAsia" w:ascii="宋体" w:hAnsi="宋体" w:cs="宋体"/>
                <w:color w:val="auto"/>
                <w:szCs w:val="21"/>
                <w:highlight w:val="none"/>
              </w:rPr>
              <w:t>，各成员须在各自营业执照复印件中盖章，联合体成员的可使用盖章后扫描件）；</w:t>
            </w:r>
          </w:p>
          <w:p w14:paraId="1D08AE1B">
            <w:pPr>
              <w:spacing w:line="400" w:lineRule="exact"/>
              <w:rPr>
                <w:rFonts w:ascii="宋体" w:hAnsi="宋体" w:cs="宋体"/>
                <w:color w:val="auto"/>
                <w:szCs w:val="21"/>
                <w:highlight w:val="none"/>
              </w:rPr>
            </w:pPr>
            <w:r>
              <w:rPr>
                <w:rFonts w:hint="eastAsia" w:ascii="宋体" w:hAnsi="宋体" w:cs="宋体"/>
                <w:color w:val="auto"/>
                <w:szCs w:val="21"/>
                <w:highlight w:val="none"/>
              </w:rPr>
              <w:t>A3.联合体协议书（如有，▲联合体投标时必须提供，各成员均须盖章，可使用联合体各成员盖章后扫描件）。</w:t>
            </w:r>
          </w:p>
          <w:p w14:paraId="40998127">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B、第二册：商务和技术文件</w:t>
            </w:r>
          </w:p>
          <w:p w14:paraId="6D5D406C">
            <w:pPr>
              <w:spacing w:line="400" w:lineRule="exact"/>
              <w:rPr>
                <w:rFonts w:ascii="宋体" w:hAnsi="宋体" w:cs="宋体"/>
                <w:color w:val="auto"/>
                <w:szCs w:val="21"/>
                <w:highlight w:val="none"/>
              </w:rPr>
            </w:pPr>
            <w:r>
              <w:rPr>
                <w:rFonts w:hint="eastAsia" w:ascii="宋体" w:hAnsi="宋体" w:cs="宋体"/>
                <w:color w:val="auto"/>
                <w:szCs w:val="21"/>
                <w:highlight w:val="none"/>
              </w:rPr>
              <w:t>▲B1.投标书（格式见附件）；</w:t>
            </w:r>
          </w:p>
          <w:p w14:paraId="01646565">
            <w:pPr>
              <w:spacing w:line="400" w:lineRule="exact"/>
              <w:rPr>
                <w:rFonts w:ascii="宋体" w:hAnsi="宋体" w:cs="宋体"/>
                <w:color w:val="auto"/>
                <w:szCs w:val="21"/>
                <w:highlight w:val="none"/>
              </w:rPr>
            </w:pPr>
            <w:r>
              <w:rPr>
                <w:rFonts w:hint="eastAsia" w:ascii="宋体" w:hAnsi="宋体" w:cs="宋体"/>
                <w:color w:val="auto"/>
                <w:szCs w:val="21"/>
                <w:highlight w:val="none"/>
              </w:rPr>
              <w:t>▲B2.法定代表人身份证明或法定代表人授权书（投标文件由授权代表签字的须提供）</w:t>
            </w:r>
            <w:r>
              <w:rPr>
                <w:rFonts w:hint="eastAsia" w:ascii="宋体" w:hAnsi="宋体" w:cs="宋体"/>
                <w:b/>
                <w:bCs/>
                <w:color w:val="auto"/>
                <w:szCs w:val="21"/>
                <w:highlight w:val="none"/>
              </w:rPr>
              <w:t>（联合体参加时由联合体牵头人提供或委派）</w:t>
            </w:r>
            <w:r>
              <w:rPr>
                <w:rFonts w:hint="eastAsia" w:ascii="宋体" w:hAnsi="宋体" w:cs="宋体"/>
                <w:color w:val="auto"/>
                <w:szCs w:val="21"/>
                <w:highlight w:val="none"/>
              </w:rPr>
              <w:t>；</w:t>
            </w:r>
          </w:p>
          <w:p w14:paraId="36790003">
            <w:pPr>
              <w:spacing w:line="400" w:lineRule="exact"/>
              <w:rPr>
                <w:rFonts w:ascii="宋体" w:hAnsi="宋体" w:cs="宋体"/>
                <w:color w:val="auto"/>
                <w:szCs w:val="21"/>
                <w:highlight w:val="none"/>
              </w:rPr>
            </w:pPr>
            <w:r>
              <w:rPr>
                <w:rFonts w:hint="eastAsia" w:ascii="宋体" w:hAnsi="宋体" w:cs="宋体"/>
                <w:color w:val="auto"/>
                <w:szCs w:val="21"/>
                <w:highlight w:val="none"/>
              </w:rPr>
              <w:t>B3.供应商一般情况表（格式见附件）；</w:t>
            </w:r>
          </w:p>
          <w:p w14:paraId="36BE2ACB">
            <w:pPr>
              <w:spacing w:line="400" w:lineRule="exact"/>
              <w:rPr>
                <w:rFonts w:ascii="宋体" w:hAnsi="宋体" w:cs="宋体"/>
                <w:color w:val="auto"/>
                <w:szCs w:val="21"/>
                <w:highlight w:val="none"/>
              </w:rPr>
            </w:pPr>
            <w:r>
              <w:rPr>
                <w:rFonts w:hint="eastAsia" w:ascii="宋体" w:hAnsi="宋体" w:cs="宋体"/>
                <w:color w:val="auto"/>
                <w:szCs w:val="21"/>
                <w:highlight w:val="none"/>
              </w:rPr>
              <w:t>B4.技术需求响应表（格式见附件）；</w:t>
            </w:r>
          </w:p>
          <w:p w14:paraId="42A8F9D5">
            <w:pPr>
              <w:spacing w:line="400" w:lineRule="exact"/>
              <w:rPr>
                <w:rFonts w:ascii="宋体" w:hAnsi="宋体" w:cs="宋体"/>
                <w:color w:val="auto"/>
                <w:szCs w:val="21"/>
                <w:highlight w:val="none"/>
              </w:rPr>
            </w:pPr>
            <w:r>
              <w:rPr>
                <w:rFonts w:hint="eastAsia" w:ascii="宋体" w:hAnsi="宋体" w:cs="宋体"/>
                <w:color w:val="auto"/>
                <w:szCs w:val="21"/>
                <w:highlight w:val="none"/>
              </w:rPr>
              <w:t>B5.商务条款响应表（格式见附件）；</w:t>
            </w:r>
          </w:p>
          <w:p w14:paraId="0407E9B6">
            <w:pPr>
              <w:spacing w:line="400" w:lineRule="exact"/>
              <w:rPr>
                <w:rFonts w:ascii="宋体" w:hAnsi="宋体" w:cs="宋体"/>
                <w:color w:val="auto"/>
                <w:szCs w:val="21"/>
                <w:highlight w:val="none"/>
              </w:rPr>
            </w:pPr>
            <w:r>
              <w:rPr>
                <w:rFonts w:hint="eastAsia" w:ascii="宋体" w:hAnsi="宋体" w:cs="宋体"/>
                <w:color w:val="auto"/>
                <w:szCs w:val="21"/>
                <w:highlight w:val="none"/>
              </w:rPr>
              <w:t>B6.企业实力的证明文件（自拟）；</w:t>
            </w:r>
          </w:p>
          <w:p w14:paraId="5CD3DD48">
            <w:pPr>
              <w:spacing w:line="400" w:lineRule="exact"/>
              <w:rPr>
                <w:rFonts w:ascii="宋体" w:hAnsi="宋体" w:cs="宋体"/>
                <w:color w:val="auto"/>
                <w:szCs w:val="21"/>
                <w:highlight w:val="none"/>
              </w:rPr>
            </w:pPr>
            <w:r>
              <w:rPr>
                <w:rFonts w:hint="eastAsia" w:ascii="宋体" w:hAnsi="宋体" w:cs="宋体"/>
                <w:color w:val="auto"/>
                <w:szCs w:val="21"/>
                <w:highlight w:val="none"/>
              </w:rPr>
              <w:t>B7.服务方案（自拟）；</w:t>
            </w:r>
          </w:p>
          <w:p w14:paraId="47207286">
            <w:pPr>
              <w:spacing w:line="400" w:lineRule="exact"/>
              <w:rPr>
                <w:rFonts w:ascii="宋体" w:hAnsi="宋体" w:cs="宋体"/>
                <w:color w:val="auto"/>
                <w:szCs w:val="21"/>
                <w:highlight w:val="none"/>
              </w:rPr>
            </w:pPr>
            <w:r>
              <w:rPr>
                <w:rFonts w:hint="eastAsia" w:ascii="宋体" w:hAnsi="宋体" w:cs="宋体"/>
                <w:color w:val="auto"/>
                <w:szCs w:val="21"/>
                <w:highlight w:val="none"/>
              </w:rPr>
              <w:t>B8.拟派项目人员的技术水平和力量及相关证明文件（格式见附件）；</w:t>
            </w:r>
          </w:p>
          <w:p w14:paraId="3C64B0FF">
            <w:pPr>
              <w:spacing w:line="400" w:lineRule="exact"/>
              <w:rPr>
                <w:rFonts w:ascii="宋体" w:hAnsi="宋体" w:cs="宋体"/>
                <w:color w:val="auto"/>
                <w:szCs w:val="21"/>
                <w:highlight w:val="none"/>
              </w:rPr>
            </w:pPr>
            <w:r>
              <w:rPr>
                <w:rFonts w:hint="eastAsia" w:ascii="宋体" w:hAnsi="宋体" w:cs="宋体"/>
                <w:color w:val="auto"/>
                <w:szCs w:val="21"/>
                <w:highlight w:val="none"/>
              </w:rPr>
              <w:t>B9.供应商与本项目类似的业绩情况（如有，自拟）；</w:t>
            </w:r>
          </w:p>
          <w:p w14:paraId="69BA6E3C">
            <w:pPr>
              <w:spacing w:line="400" w:lineRule="exact"/>
              <w:rPr>
                <w:rFonts w:ascii="宋体" w:hAnsi="宋体" w:cs="宋体"/>
                <w:color w:val="auto"/>
                <w:szCs w:val="21"/>
                <w:highlight w:val="none"/>
              </w:rPr>
            </w:pPr>
            <w:r>
              <w:rPr>
                <w:rFonts w:hint="eastAsia" w:ascii="宋体" w:hAnsi="宋体" w:cs="宋体"/>
                <w:color w:val="auto"/>
                <w:szCs w:val="21"/>
                <w:highlight w:val="none"/>
              </w:rPr>
              <w:t>B10.第五章“评标办法及标准”中评分标准（兼评委打分表）要求提供的资料（如有，请提供）；</w:t>
            </w:r>
          </w:p>
          <w:p w14:paraId="6393678E">
            <w:pPr>
              <w:spacing w:line="400" w:lineRule="exact"/>
              <w:rPr>
                <w:rFonts w:ascii="宋体" w:hAnsi="宋体" w:cs="宋体"/>
                <w:color w:val="auto"/>
                <w:szCs w:val="21"/>
                <w:highlight w:val="none"/>
              </w:rPr>
            </w:pPr>
            <w:r>
              <w:rPr>
                <w:rFonts w:hint="eastAsia" w:ascii="宋体" w:hAnsi="宋体" w:cs="宋体"/>
                <w:color w:val="auto"/>
                <w:szCs w:val="21"/>
                <w:highlight w:val="none"/>
              </w:rPr>
              <w:t>B11.招标文件要求提供的和供应商认为需要的其他资料（如有，请提供）。</w:t>
            </w:r>
          </w:p>
          <w:p w14:paraId="4AE80CF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C、第三册：报价文件</w:t>
            </w:r>
          </w:p>
          <w:p w14:paraId="41831A1A">
            <w:pPr>
              <w:spacing w:line="400" w:lineRule="exact"/>
              <w:rPr>
                <w:rFonts w:ascii="宋体" w:hAnsi="宋体" w:cs="宋体"/>
                <w:color w:val="auto"/>
                <w:szCs w:val="21"/>
                <w:highlight w:val="none"/>
              </w:rPr>
            </w:pPr>
            <w:r>
              <w:rPr>
                <w:rFonts w:hint="eastAsia" w:ascii="宋体" w:hAnsi="宋体" w:cs="宋体"/>
                <w:color w:val="auto"/>
                <w:szCs w:val="21"/>
                <w:highlight w:val="none"/>
              </w:rPr>
              <w:t>▲C1.开标一览表（格式见附件）；</w:t>
            </w:r>
          </w:p>
          <w:p w14:paraId="60D1D851">
            <w:pPr>
              <w:spacing w:line="400" w:lineRule="exact"/>
              <w:rPr>
                <w:rFonts w:ascii="宋体" w:hAnsi="宋体" w:cs="宋体"/>
                <w:color w:val="auto"/>
                <w:szCs w:val="21"/>
                <w:highlight w:val="none"/>
              </w:rPr>
            </w:pPr>
            <w:r>
              <w:rPr>
                <w:rFonts w:hint="eastAsia" w:ascii="宋体" w:hAnsi="宋体" w:cs="宋体"/>
                <w:color w:val="auto"/>
                <w:szCs w:val="21"/>
                <w:highlight w:val="none"/>
              </w:rPr>
              <w:t>C2.投标分项报价表（格式见附件）；</w:t>
            </w:r>
          </w:p>
          <w:p w14:paraId="752EA16A">
            <w:pPr>
              <w:spacing w:line="400" w:lineRule="exact"/>
              <w:rPr>
                <w:rFonts w:ascii="宋体" w:hAnsi="宋体" w:cs="宋体"/>
                <w:color w:val="auto"/>
                <w:szCs w:val="21"/>
                <w:highlight w:val="none"/>
              </w:rPr>
            </w:pPr>
            <w:r>
              <w:rPr>
                <w:rFonts w:hint="eastAsia" w:ascii="宋体" w:hAnsi="宋体" w:cs="宋体"/>
                <w:color w:val="auto"/>
                <w:szCs w:val="21"/>
                <w:highlight w:val="none"/>
              </w:rPr>
              <w:t>C3.中小企业声明函（格式见附件）或C4.残疾人福利性单位声明函（如有，请提供）或C5.监狱企业证明文件（如有，请提供）；</w:t>
            </w:r>
          </w:p>
          <w:p w14:paraId="174DA966">
            <w:pPr>
              <w:spacing w:line="400" w:lineRule="exact"/>
              <w:rPr>
                <w:rFonts w:ascii="宋体" w:hAnsi="宋体" w:cs="宋体"/>
                <w:color w:val="auto"/>
                <w:szCs w:val="21"/>
                <w:highlight w:val="none"/>
              </w:rPr>
            </w:pPr>
            <w:r>
              <w:rPr>
                <w:rFonts w:hint="eastAsia" w:ascii="宋体" w:hAnsi="宋体" w:cs="宋体"/>
                <w:color w:val="auto"/>
                <w:szCs w:val="21"/>
                <w:highlight w:val="none"/>
              </w:rPr>
              <w:t>C6.供应商认为需要的其他资料（如有，请提供）。</w:t>
            </w:r>
          </w:p>
          <w:p w14:paraId="15E2E131">
            <w:pPr>
              <w:spacing w:line="400" w:lineRule="exact"/>
              <w:rPr>
                <w:rFonts w:ascii="宋体" w:hAnsi="宋体" w:cs="宋体"/>
                <w:color w:val="auto"/>
                <w:szCs w:val="21"/>
                <w:highlight w:val="none"/>
              </w:rPr>
            </w:pPr>
            <w:r>
              <w:rPr>
                <w:rFonts w:hint="eastAsia" w:ascii="宋体" w:hAnsi="宋体" w:cs="宋体"/>
                <w:b/>
                <w:bCs/>
                <w:color w:val="auto"/>
                <w:szCs w:val="21"/>
                <w:highlight w:val="none"/>
              </w:rPr>
              <w:t>注：供应商应对投标文件编制目录和评分索引表以方便查询。</w:t>
            </w:r>
          </w:p>
        </w:tc>
      </w:tr>
      <w:tr w14:paraId="660C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2589156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241" w:type="dxa"/>
            <w:vAlign w:val="center"/>
          </w:tcPr>
          <w:p w14:paraId="013D82C8">
            <w:pPr>
              <w:spacing w:line="400" w:lineRule="exact"/>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14:paraId="270479A2">
            <w:pPr>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（1）上传到政府采购云平台的电子投标文件（含资格文件、商务和技术文件、报价文件）1份。</w:t>
            </w:r>
          </w:p>
          <w:p w14:paraId="505CB82C">
            <w:pPr>
              <w:spacing w:line="400" w:lineRule="exact"/>
              <w:rPr>
                <w:rFonts w:ascii="宋体" w:hAnsi="宋体" w:cs="宋体"/>
                <w:color w:val="auto"/>
                <w:szCs w:val="21"/>
                <w:highlight w:val="none"/>
              </w:rPr>
            </w:pPr>
            <w:r>
              <w:rPr>
                <w:rFonts w:hint="eastAsia" w:ascii="宋体" w:hAnsi="宋体" w:cs="宋体"/>
                <w:color w:val="auto"/>
                <w:szCs w:val="21"/>
                <w:highlight w:val="none"/>
              </w:rPr>
              <w:t>（2）以U盘存储的电子备份投标文件（含资格文件、商务和技术文件、报价文件）1份</w:t>
            </w:r>
            <w:r>
              <w:rPr>
                <w:rFonts w:hint="eastAsia" w:ascii="宋体" w:hAnsi="宋体" w:cs="宋体"/>
                <w:color w:val="auto"/>
                <w:highlight w:val="none"/>
              </w:rPr>
              <w:t>（自愿提供，用于异常处理）</w:t>
            </w:r>
            <w:r>
              <w:rPr>
                <w:rFonts w:hint="eastAsia" w:ascii="宋体" w:hAnsi="宋体" w:cs="宋体"/>
                <w:color w:val="auto"/>
                <w:szCs w:val="21"/>
                <w:highlight w:val="none"/>
              </w:rPr>
              <w:t>。</w:t>
            </w:r>
          </w:p>
          <w:p w14:paraId="5CD46C8A">
            <w:pPr>
              <w:spacing w:line="400" w:lineRule="exact"/>
              <w:rPr>
                <w:rFonts w:ascii="宋体" w:hAnsi="宋体" w:cs="宋体"/>
                <w:color w:val="auto"/>
                <w:szCs w:val="21"/>
                <w:highlight w:val="none"/>
              </w:rPr>
            </w:pPr>
            <w:r>
              <w:rPr>
                <w:rFonts w:hint="eastAsia" w:ascii="宋体" w:hAnsi="宋体" w:cs="宋体"/>
                <w:color w:val="auto"/>
                <w:szCs w:val="21"/>
                <w:highlight w:val="none"/>
              </w:rPr>
              <w:t>（3）中标供应商在中标结果公示期结束后3天内向代理公司提供投标文件打印装订成册的纸质投标文件一份（须与电子投标文件一致）。中标供应商可采用邮寄（含快递）方式或现场方式递交装订成册的纸质投标文件，送达地址：宁波市国际招标有限公司（宁波市江北区环城北路西段207弄19号世茂茂悦商业中心1号楼八楼012室），联系方式：陈洋，0574-87295348。</w:t>
            </w:r>
          </w:p>
        </w:tc>
      </w:tr>
      <w:tr w14:paraId="5147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622A29F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241" w:type="dxa"/>
            <w:vAlign w:val="center"/>
          </w:tcPr>
          <w:p w14:paraId="33D9E48D">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投标截止时间及地点：</w:t>
            </w:r>
            <w:r>
              <w:rPr>
                <w:rFonts w:hint="eastAsia" w:ascii="宋体" w:hAnsi="宋体" w:cs="宋体"/>
                <w:color w:val="auto"/>
                <w:szCs w:val="21"/>
                <w:highlight w:val="none"/>
                <w:lang w:eastAsia="zh-CN"/>
              </w:rPr>
              <w:t>2024年9月18日09:00</w:t>
            </w:r>
            <w:r>
              <w:rPr>
                <w:rFonts w:hint="eastAsia" w:ascii="宋体" w:hAnsi="宋体" w:cs="宋体"/>
                <w:color w:val="auto"/>
                <w:szCs w:val="21"/>
                <w:highlight w:val="none"/>
              </w:rPr>
              <w:t>（北京时间）</w:t>
            </w:r>
          </w:p>
          <w:p w14:paraId="4B56E3F3">
            <w:pPr>
              <w:spacing w:line="400" w:lineRule="exact"/>
              <w:rPr>
                <w:rFonts w:ascii="宋体" w:hAnsi="宋体" w:cs="宋体"/>
                <w:color w:val="auto"/>
                <w:szCs w:val="21"/>
                <w:highlight w:val="none"/>
                <w:u w:val="single"/>
              </w:rPr>
            </w:pPr>
            <w:r>
              <w:rPr>
                <w:rFonts w:hint="eastAsia" w:ascii="宋体" w:hAnsi="宋体" w:cs="宋体"/>
                <w:color w:val="auto"/>
                <w:szCs w:val="21"/>
                <w:highlight w:val="none"/>
                <w:lang w:eastAsia="zh-CN"/>
              </w:rPr>
              <w:t>宁波市国际招标有限公司开标大厅（一）</w:t>
            </w:r>
            <w:r>
              <w:rPr>
                <w:rFonts w:hint="eastAsia" w:ascii="宋体" w:hAnsi="宋体" w:cs="宋体"/>
                <w:color w:val="auto"/>
                <w:szCs w:val="21"/>
                <w:highlight w:val="none"/>
              </w:rPr>
              <w:t xml:space="preserve">（宁波市江北区环城北路西段207弄19号世茂茂悦商业中心1号楼七楼招投标会议中心），本项目通过“政府采购云平台（www.zcygov.cn）”实行在线制作并提交投标文件（电子投标）。 </w:t>
            </w:r>
          </w:p>
        </w:tc>
      </w:tr>
      <w:tr w14:paraId="6023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1ACFE97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241" w:type="dxa"/>
            <w:vAlign w:val="center"/>
          </w:tcPr>
          <w:p w14:paraId="330B4598">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开标时间及地点：</w:t>
            </w:r>
            <w:r>
              <w:rPr>
                <w:rFonts w:hint="eastAsia" w:ascii="宋体" w:hAnsi="宋体" w:cs="宋体"/>
                <w:color w:val="auto"/>
                <w:szCs w:val="21"/>
                <w:highlight w:val="none"/>
                <w:lang w:eastAsia="zh-CN"/>
              </w:rPr>
              <w:t>2024年9月18日09:00</w:t>
            </w:r>
            <w:r>
              <w:rPr>
                <w:rFonts w:hint="eastAsia" w:ascii="宋体" w:hAnsi="宋体" w:cs="宋体"/>
                <w:color w:val="auto"/>
                <w:szCs w:val="21"/>
                <w:highlight w:val="none"/>
              </w:rPr>
              <w:t>（北京时间）</w:t>
            </w:r>
          </w:p>
          <w:p w14:paraId="7EB8862F">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宁波市国际招标有限公司开标大厅（一）</w:t>
            </w:r>
            <w:r>
              <w:rPr>
                <w:rFonts w:hint="eastAsia" w:ascii="宋体" w:hAnsi="宋体" w:cs="宋体"/>
                <w:color w:val="auto"/>
                <w:szCs w:val="21"/>
                <w:highlight w:val="none"/>
              </w:rPr>
              <w:t xml:space="preserve">（宁波市江北区环城北路西段207弄19号世茂茂悦商业中心1号楼七楼招投标会议中心），本项目通过“政府采购云平台（www.zcygov.cn）”实行在线开标。 </w:t>
            </w:r>
          </w:p>
        </w:tc>
      </w:tr>
      <w:tr w14:paraId="66CB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5F77B73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241" w:type="dxa"/>
            <w:vAlign w:val="center"/>
          </w:tcPr>
          <w:p w14:paraId="1940D809">
            <w:pPr>
              <w:spacing w:line="400" w:lineRule="exact"/>
              <w:rPr>
                <w:rFonts w:ascii="宋体" w:hAnsi="宋体" w:cs="宋体"/>
                <w:color w:val="auto"/>
                <w:szCs w:val="21"/>
                <w:highlight w:val="none"/>
              </w:rPr>
            </w:pPr>
            <w:r>
              <w:rPr>
                <w:rFonts w:hint="eastAsia" w:ascii="宋体" w:hAnsi="宋体" w:cs="宋体"/>
                <w:color w:val="auto"/>
                <w:szCs w:val="21"/>
                <w:highlight w:val="none"/>
              </w:rPr>
              <w:t>服务期限：合同签订之日起至2024年11月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日止。</w:t>
            </w:r>
          </w:p>
        </w:tc>
      </w:tr>
      <w:tr w14:paraId="1A68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27E358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241" w:type="dxa"/>
            <w:vAlign w:val="center"/>
          </w:tcPr>
          <w:p w14:paraId="5B92B285">
            <w:pPr>
              <w:spacing w:line="400" w:lineRule="exact"/>
              <w:rPr>
                <w:rFonts w:ascii="宋体" w:hAnsi="宋体" w:cs="宋体"/>
                <w:color w:val="auto"/>
                <w:szCs w:val="21"/>
                <w:highlight w:val="none"/>
              </w:rPr>
            </w:pPr>
            <w:r>
              <w:rPr>
                <w:rFonts w:hint="eastAsia" w:ascii="宋体" w:hAnsi="宋体" w:cs="宋体"/>
                <w:color w:val="auto"/>
                <w:szCs w:val="21"/>
                <w:highlight w:val="none"/>
              </w:rPr>
              <w:t>服务地点：招标人指定地点。</w:t>
            </w:r>
          </w:p>
        </w:tc>
      </w:tr>
      <w:tr w14:paraId="1885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7C6F2E0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241" w:type="dxa"/>
            <w:vAlign w:val="center"/>
          </w:tcPr>
          <w:p w14:paraId="09B8877B">
            <w:pPr>
              <w:spacing w:line="400" w:lineRule="exact"/>
              <w:rPr>
                <w:rFonts w:ascii="宋体" w:hAnsi="宋体" w:cs="宋体"/>
                <w:color w:val="auto"/>
                <w:szCs w:val="21"/>
                <w:highlight w:val="none"/>
              </w:rPr>
            </w:pPr>
            <w:r>
              <w:rPr>
                <w:rFonts w:ascii="宋体" w:hAnsi="宋体" w:cs="宋体"/>
                <w:color w:val="auto"/>
                <w:szCs w:val="21"/>
                <w:highlight w:val="none"/>
              </w:rPr>
              <w:t>付款方式：</w:t>
            </w:r>
          </w:p>
          <w:p w14:paraId="3F001762">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.合同签订并具备实施条件后</w:t>
            </w:r>
            <w:r>
              <w:rPr>
                <w:rFonts w:hint="eastAsia" w:ascii="宋体" w:hAnsi="宋体" w:cs="宋体"/>
                <w:color w:val="auto"/>
                <w:szCs w:val="21"/>
                <w:highlight w:val="none"/>
              </w:rPr>
              <w:t>7个工作日内支付合同总价的4</w:t>
            </w:r>
            <w:r>
              <w:rPr>
                <w:rFonts w:ascii="宋体" w:hAnsi="宋体" w:cs="宋体"/>
                <w:color w:val="auto"/>
                <w:szCs w:val="21"/>
                <w:highlight w:val="none"/>
              </w:rPr>
              <w:t>0%；</w:t>
            </w:r>
          </w:p>
          <w:p w14:paraId="47650A63">
            <w:pPr>
              <w:spacing w:line="400" w:lineRule="exact"/>
              <w:rPr>
                <w:color w:val="auto"/>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活动结束，递交相关资料（附签到册、学员效果反馈表等）后，</w:t>
            </w:r>
            <w:r>
              <w:rPr>
                <w:rFonts w:hint="eastAsia" w:ascii="宋体" w:hAnsi="宋体" w:cs="宋体"/>
                <w:color w:val="auto"/>
                <w:highlight w:val="none"/>
                <w:lang w:eastAsia="zh-CN"/>
              </w:rPr>
              <w:t>（如大型企业中标）</w:t>
            </w:r>
            <w:r>
              <w:rPr>
                <w:rFonts w:hint="eastAsia" w:ascii="宋体" w:hAnsi="宋体" w:cs="宋体"/>
                <w:color w:val="auto"/>
                <w:highlight w:val="none"/>
              </w:rPr>
              <w:t>并经招标人验收合格后15日内支付余款。</w:t>
            </w:r>
            <w:r>
              <w:rPr>
                <w:rFonts w:hint="eastAsia" w:ascii="宋体" w:hAnsi="宋体" w:cs="宋体"/>
                <w:color w:val="auto"/>
                <w:highlight w:val="none"/>
                <w:lang w:eastAsia="zh-CN"/>
              </w:rPr>
              <w:t>（如中小微企业中标）</w:t>
            </w:r>
            <w:r>
              <w:rPr>
                <w:rFonts w:hint="eastAsia" w:ascii="宋体" w:hAnsi="宋体" w:cs="宋体"/>
                <w:color w:val="auto"/>
                <w:highlight w:val="none"/>
              </w:rPr>
              <w:t>并经招标人验收合格后</w:t>
            </w:r>
            <w:r>
              <w:rPr>
                <w:rFonts w:hint="eastAsia" w:ascii="宋体" w:hAnsi="宋体" w:cs="宋体"/>
                <w:color w:val="auto"/>
                <w:highlight w:val="none"/>
                <w:lang w:val="en-US" w:eastAsia="zh-CN"/>
              </w:rPr>
              <w:t>7个工作</w:t>
            </w:r>
            <w:r>
              <w:rPr>
                <w:rFonts w:hint="eastAsia" w:ascii="宋体" w:hAnsi="宋体" w:cs="宋体"/>
                <w:color w:val="auto"/>
                <w:highlight w:val="none"/>
              </w:rPr>
              <w:t>日内支付余款。</w:t>
            </w:r>
          </w:p>
        </w:tc>
      </w:tr>
      <w:tr w14:paraId="3C28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17D9A7B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241" w:type="dxa"/>
            <w:vAlign w:val="center"/>
          </w:tcPr>
          <w:p w14:paraId="57924538">
            <w:pPr>
              <w:spacing w:line="40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04CF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48FF1E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241" w:type="dxa"/>
            <w:vAlign w:val="center"/>
          </w:tcPr>
          <w:p w14:paraId="04F1393D">
            <w:pPr>
              <w:spacing w:line="400" w:lineRule="exact"/>
              <w:rPr>
                <w:rFonts w:ascii="宋体" w:hAnsi="宋体" w:cs="宋体"/>
                <w:color w:val="auto"/>
                <w:szCs w:val="21"/>
                <w:highlight w:val="none"/>
              </w:rPr>
            </w:pPr>
            <w:r>
              <w:rPr>
                <w:rFonts w:hint="eastAsia" w:ascii="宋体" w:hAnsi="宋体" w:cs="宋体"/>
                <w:color w:val="auto"/>
                <w:szCs w:val="21"/>
                <w:highlight w:val="none"/>
              </w:rPr>
              <w:t>质量要求：</w:t>
            </w:r>
          </w:p>
          <w:p w14:paraId="6BEAA807">
            <w:pPr>
              <w:spacing w:line="400" w:lineRule="exact"/>
              <w:rPr>
                <w:rFonts w:ascii="宋体" w:hAnsi="宋体" w:cs="宋体"/>
                <w:color w:val="auto"/>
                <w:szCs w:val="21"/>
                <w:highlight w:val="none"/>
              </w:rPr>
            </w:pPr>
            <w:r>
              <w:rPr>
                <w:rFonts w:hint="eastAsia" w:ascii="宋体" w:hAnsi="宋体" w:cs="宋体"/>
                <w:color w:val="auto"/>
                <w:szCs w:val="21"/>
                <w:highlight w:val="none"/>
              </w:rPr>
              <w:t>（1）供应商须按照招标人的要求设计课程，制定教学计划、确定活动内容和教材，确保授课老师及工作人员准时到场，并有效组织课程顺利进行，保证活动质量；</w:t>
            </w:r>
          </w:p>
          <w:p w14:paraId="048E6257">
            <w:pPr>
              <w:spacing w:line="400" w:lineRule="exact"/>
              <w:rPr>
                <w:rFonts w:ascii="宋体" w:hAnsi="宋体" w:cs="宋体"/>
                <w:color w:val="auto"/>
                <w:szCs w:val="21"/>
                <w:highlight w:val="none"/>
              </w:rPr>
            </w:pPr>
            <w:r>
              <w:rPr>
                <w:rFonts w:hint="eastAsia" w:ascii="宋体" w:hAnsi="宋体" w:cs="宋体"/>
                <w:color w:val="auto"/>
                <w:szCs w:val="21"/>
                <w:highlight w:val="none"/>
              </w:rPr>
              <w:t>（2）供应商须负责项目的师资选派，所聘请的授课教师均应具有相应的学术背景、专业水准和授课经验；</w:t>
            </w:r>
          </w:p>
          <w:p w14:paraId="06A4E50E">
            <w:pPr>
              <w:spacing w:line="400" w:lineRule="exact"/>
              <w:rPr>
                <w:rFonts w:ascii="宋体" w:hAnsi="宋体" w:cs="宋体"/>
                <w:color w:val="auto"/>
                <w:szCs w:val="21"/>
                <w:highlight w:val="none"/>
              </w:rPr>
            </w:pPr>
            <w:r>
              <w:rPr>
                <w:rFonts w:hint="eastAsia" w:ascii="宋体" w:hAnsi="宋体" w:cs="宋体"/>
                <w:color w:val="auto"/>
                <w:szCs w:val="21"/>
                <w:highlight w:val="none"/>
              </w:rPr>
              <w:t>（3）供应商须负责项目的教学管理与实施，包括授课安排准备；</w:t>
            </w:r>
          </w:p>
          <w:p w14:paraId="53F1C9F0">
            <w:pPr>
              <w:spacing w:line="400" w:lineRule="exact"/>
              <w:rPr>
                <w:rFonts w:ascii="宋体" w:hAnsi="宋体" w:cs="宋体"/>
                <w:color w:val="auto"/>
                <w:szCs w:val="21"/>
                <w:highlight w:val="none"/>
              </w:rPr>
            </w:pPr>
            <w:r>
              <w:rPr>
                <w:rFonts w:hint="eastAsia" w:ascii="宋体" w:hAnsi="宋体" w:cs="宋体"/>
                <w:color w:val="auto"/>
                <w:szCs w:val="21"/>
                <w:highlight w:val="none"/>
              </w:rPr>
              <w:t>（4）供应商须负责提供与教学相关的工作：维护课堂秩序、教学组织、专家答疑、上课考勤、质量监控等工作；</w:t>
            </w:r>
          </w:p>
          <w:p w14:paraId="5565C0F4">
            <w:pPr>
              <w:spacing w:line="400" w:lineRule="exact"/>
              <w:rPr>
                <w:rFonts w:ascii="宋体" w:hAnsi="宋体" w:cs="宋体"/>
                <w:color w:val="auto"/>
                <w:szCs w:val="21"/>
                <w:highlight w:val="none"/>
              </w:rPr>
            </w:pPr>
            <w:r>
              <w:rPr>
                <w:rFonts w:hint="eastAsia" w:ascii="宋体" w:hAnsi="宋体" w:cs="宋体"/>
                <w:color w:val="auto"/>
                <w:szCs w:val="21"/>
                <w:highlight w:val="none"/>
              </w:rPr>
              <w:t>（5）供应商做好活动效果评估，收取学员反馈意见；</w:t>
            </w:r>
          </w:p>
          <w:p w14:paraId="26CB45D6">
            <w:pPr>
              <w:spacing w:line="400" w:lineRule="exact"/>
              <w:rPr>
                <w:rFonts w:ascii="宋体" w:hAnsi="宋体" w:cs="宋体"/>
                <w:color w:val="auto"/>
                <w:szCs w:val="21"/>
                <w:highlight w:val="none"/>
              </w:rPr>
            </w:pPr>
            <w:r>
              <w:rPr>
                <w:rFonts w:hint="eastAsia" w:ascii="宋体" w:hAnsi="宋体" w:cs="宋体"/>
                <w:color w:val="auto"/>
                <w:szCs w:val="21"/>
                <w:highlight w:val="none"/>
              </w:rPr>
              <w:t>（6）供应商负责做好活动期间各项后勤服务工作等；</w:t>
            </w:r>
          </w:p>
          <w:p w14:paraId="7D8C827A">
            <w:pPr>
              <w:spacing w:line="400" w:lineRule="exact"/>
              <w:rPr>
                <w:rFonts w:ascii="宋体" w:hAnsi="宋体" w:cs="宋体"/>
                <w:color w:val="auto"/>
                <w:szCs w:val="21"/>
                <w:highlight w:val="none"/>
              </w:rPr>
            </w:pPr>
            <w:r>
              <w:rPr>
                <w:rFonts w:hint="eastAsia" w:ascii="宋体" w:hAnsi="宋体" w:cs="宋体"/>
                <w:color w:val="auto"/>
                <w:szCs w:val="21"/>
                <w:highlight w:val="none"/>
              </w:rPr>
              <w:t>（7）供应商须积极配合招标人的临时抽检，不得以任何理由拒绝检查或在检查中弄虚作假；</w:t>
            </w:r>
          </w:p>
          <w:p w14:paraId="2B8D6B01">
            <w:pPr>
              <w:spacing w:line="400" w:lineRule="exact"/>
              <w:rPr>
                <w:rFonts w:ascii="宋体" w:hAnsi="宋体" w:cs="宋体"/>
                <w:color w:val="auto"/>
                <w:szCs w:val="21"/>
                <w:highlight w:val="none"/>
              </w:rPr>
            </w:pPr>
            <w:r>
              <w:rPr>
                <w:rFonts w:hint="eastAsia" w:ascii="宋体" w:hAnsi="宋体" w:cs="宋体"/>
                <w:color w:val="auto"/>
                <w:szCs w:val="21"/>
                <w:highlight w:val="none"/>
              </w:rPr>
              <w:t>（8）活动结束后，按要求上报相关资料（签到册、学员效果反馈表等）给招标人。</w:t>
            </w:r>
          </w:p>
        </w:tc>
      </w:tr>
      <w:tr w14:paraId="7F70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328A9B9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241" w:type="dxa"/>
            <w:vAlign w:val="center"/>
          </w:tcPr>
          <w:p w14:paraId="7A170C2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项目验收：</w:t>
            </w:r>
          </w:p>
          <w:p w14:paraId="4E1A816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由招标人负责进行验收考核，供应商协助。招标人在供应商提供相关服务过程中，有权不定期对服务内容和质量进行考核。不达招标人要求或提供虚假材料的，招标人有权解除合同，并由供应商承担一切损失和费用。</w:t>
            </w:r>
          </w:p>
          <w:p w14:paraId="2162804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（2）验收内容包括合同履行情况、活动组织实施情况、日常监督检查情况。学习资料、签到册、学员满意度、问卷调查等，在项目结束后整理成册留档备查。</w:t>
            </w:r>
          </w:p>
          <w:p w14:paraId="44271E1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供应商在提供服务过程中如存在违反合同相关约定情况的，招标人有权要求供应商立即整改，供应商未按招标人要求整改的，招标人可以中止合同履行，供应商将承担因此发生的一切损失、费用与延误责任。</w:t>
            </w:r>
          </w:p>
        </w:tc>
      </w:tr>
      <w:tr w14:paraId="1A52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681CA63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241" w:type="dxa"/>
            <w:vAlign w:val="center"/>
          </w:tcPr>
          <w:p w14:paraId="6A5C5352">
            <w:pPr>
              <w:spacing w:line="400" w:lineRule="exact"/>
              <w:rPr>
                <w:rFonts w:ascii="宋体" w:hAnsi="宋体" w:cs="宋体"/>
                <w:color w:val="auto"/>
                <w:szCs w:val="21"/>
                <w:highlight w:val="none"/>
              </w:rPr>
            </w:pPr>
            <w:r>
              <w:rPr>
                <w:rFonts w:hint="eastAsia" w:ascii="宋体" w:hAnsi="宋体" w:cs="宋体"/>
                <w:color w:val="auto"/>
                <w:szCs w:val="21"/>
                <w:highlight w:val="none"/>
              </w:rPr>
              <w:t>签订合同时间：中标通知书发出之日起</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日内。</w:t>
            </w:r>
          </w:p>
        </w:tc>
      </w:tr>
      <w:tr w14:paraId="2981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Align w:val="center"/>
          </w:tcPr>
          <w:p w14:paraId="712125F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241" w:type="dxa"/>
            <w:vAlign w:val="center"/>
          </w:tcPr>
          <w:p w14:paraId="57E43B83">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招标代理服务费：</w:t>
            </w:r>
          </w:p>
          <w:p w14:paraId="177FB8B0">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本招标代理公司根据国家发改委发改办价格[2003]857号通知和原国家计委计价格[2002]1980号文件规定的招标代理服务收费标准，按照中标通知书确定的中标总金额，向中标供应商收取招标服务费。代理服务费经计算不足4000元的按照4000元收取。本项目收费类型为</w:t>
            </w:r>
            <w:r>
              <w:rPr>
                <w:rFonts w:hint="eastAsia" w:ascii="宋体" w:hAnsi="宋体" w:cs="宋体"/>
                <w:b/>
                <w:bCs/>
                <w:color w:val="auto"/>
                <w:szCs w:val="21"/>
                <w:highlight w:val="none"/>
              </w:rPr>
              <w:t>服务</w:t>
            </w:r>
            <w:r>
              <w:rPr>
                <w:rFonts w:hint="eastAsia" w:ascii="宋体" w:hAnsi="宋体" w:cs="宋体"/>
                <w:color w:val="auto"/>
                <w:szCs w:val="21"/>
                <w:highlight w:val="none"/>
              </w:rPr>
              <w:t>。</w:t>
            </w:r>
          </w:p>
          <w:tbl>
            <w:tblPr>
              <w:tblStyle w:val="53"/>
              <w:tblW w:w="8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91"/>
              <w:gridCol w:w="1891"/>
              <w:gridCol w:w="1892"/>
            </w:tblGrid>
            <w:tr w14:paraId="705F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38" w:type="dxa"/>
                  <w:vAlign w:val="center"/>
                </w:tcPr>
                <w:p w14:paraId="25B04DDC">
                  <w:pPr>
                    <w:spacing w:line="400" w:lineRule="exact"/>
                    <w:jc w:val="right"/>
                    <w:rPr>
                      <w:rFonts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D0pOcI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服务类型费率</w:t>
                  </w:r>
                </w:p>
                <w:p w14:paraId="03737C45">
                  <w:pPr>
                    <w:spacing w:line="400" w:lineRule="exact"/>
                    <w:rPr>
                      <w:rFonts w:ascii="宋体" w:hAnsi="宋体" w:cs="宋体"/>
                      <w:b/>
                      <w:color w:val="auto"/>
                      <w:szCs w:val="21"/>
                      <w:highlight w:val="none"/>
                    </w:rPr>
                  </w:pPr>
                  <w:r>
                    <w:rPr>
                      <w:rFonts w:hint="eastAsia" w:ascii="宋体" w:hAnsi="宋体" w:cs="宋体"/>
                      <w:b/>
                      <w:color w:val="auto"/>
                      <w:szCs w:val="21"/>
                      <w:highlight w:val="none"/>
                    </w:rPr>
                    <w:t>中标金额（万元）</w:t>
                  </w:r>
                </w:p>
              </w:tc>
              <w:tc>
                <w:tcPr>
                  <w:tcW w:w="1891" w:type="dxa"/>
                  <w:vAlign w:val="center"/>
                </w:tcPr>
                <w:p w14:paraId="7D099619">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891" w:type="dxa"/>
                  <w:vAlign w:val="center"/>
                </w:tcPr>
                <w:p w14:paraId="427246F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1892" w:type="dxa"/>
                  <w:vAlign w:val="center"/>
                </w:tcPr>
                <w:p w14:paraId="2524ECE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14:paraId="63FD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8" w:type="dxa"/>
                  <w:vAlign w:val="center"/>
                </w:tcPr>
                <w:p w14:paraId="04734D7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100以下</w:t>
                  </w:r>
                </w:p>
              </w:tc>
              <w:tc>
                <w:tcPr>
                  <w:tcW w:w="1891" w:type="dxa"/>
                  <w:vAlign w:val="center"/>
                </w:tcPr>
                <w:p w14:paraId="2001111B">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1891" w:type="dxa"/>
                  <w:vAlign w:val="center"/>
                </w:tcPr>
                <w:p w14:paraId="7302887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1892" w:type="dxa"/>
                  <w:vAlign w:val="center"/>
                </w:tcPr>
                <w:p w14:paraId="0B804E6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r>
            <w:tr w14:paraId="3A4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62B1C3A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100-500</w:t>
                  </w:r>
                </w:p>
              </w:tc>
              <w:tc>
                <w:tcPr>
                  <w:tcW w:w="1891" w:type="dxa"/>
                  <w:vAlign w:val="center"/>
                </w:tcPr>
                <w:p w14:paraId="5485E796">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891" w:type="dxa"/>
                  <w:vAlign w:val="center"/>
                </w:tcPr>
                <w:p w14:paraId="41D099E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0.8%</w:t>
                  </w:r>
                </w:p>
              </w:tc>
              <w:tc>
                <w:tcPr>
                  <w:tcW w:w="1892" w:type="dxa"/>
                  <w:vAlign w:val="center"/>
                </w:tcPr>
                <w:p w14:paraId="095F845D">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0.7%</w:t>
                  </w:r>
                </w:p>
              </w:tc>
            </w:tr>
            <w:tr w14:paraId="21CC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1C8BDA18">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500-1000</w:t>
                  </w:r>
                </w:p>
              </w:tc>
              <w:tc>
                <w:tcPr>
                  <w:tcW w:w="1891" w:type="dxa"/>
                  <w:vAlign w:val="center"/>
                </w:tcPr>
                <w:p w14:paraId="405561AF">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0.8%</w:t>
                  </w:r>
                </w:p>
              </w:tc>
              <w:tc>
                <w:tcPr>
                  <w:tcW w:w="1891" w:type="dxa"/>
                  <w:vAlign w:val="center"/>
                </w:tcPr>
                <w:p w14:paraId="797F4FE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0.45%</w:t>
                  </w:r>
                </w:p>
              </w:tc>
              <w:tc>
                <w:tcPr>
                  <w:tcW w:w="1892" w:type="dxa"/>
                  <w:vAlign w:val="center"/>
                </w:tcPr>
                <w:p w14:paraId="101D9D84">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0.55%</w:t>
                  </w:r>
                </w:p>
              </w:tc>
            </w:tr>
            <w:tr w14:paraId="55B4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2D7A1128">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1000-5000</w:t>
                  </w:r>
                </w:p>
              </w:tc>
              <w:tc>
                <w:tcPr>
                  <w:tcW w:w="1891" w:type="dxa"/>
                  <w:vAlign w:val="center"/>
                </w:tcPr>
                <w:p w14:paraId="55552A7C">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0.5%</w:t>
                  </w:r>
                </w:p>
              </w:tc>
              <w:tc>
                <w:tcPr>
                  <w:tcW w:w="1891" w:type="dxa"/>
                  <w:vAlign w:val="center"/>
                </w:tcPr>
                <w:p w14:paraId="7B3A2D3D">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0.25%</w:t>
                  </w:r>
                </w:p>
              </w:tc>
              <w:tc>
                <w:tcPr>
                  <w:tcW w:w="1892" w:type="dxa"/>
                  <w:vAlign w:val="center"/>
                </w:tcPr>
                <w:p w14:paraId="759E0F85">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0.35%</w:t>
                  </w:r>
                </w:p>
              </w:tc>
            </w:tr>
            <w:tr w14:paraId="5068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61C9EB5D">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5000-10000</w:t>
                  </w:r>
                </w:p>
              </w:tc>
              <w:tc>
                <w:tcPr>
                  <w:tcW w:w="1891" w:type="dxa"/>
                  <w:vAlign w:val="center"/>
                </w:tcPr>
                <w:p w14:paraId="6FE8F48B">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0.25%</w:t>
                  </w:r>
                </w:p>
              </w:tc>
              <w:tc>
                <w:tcPr>
                  <w:tcW w:w="1891" w:type="dxa"/>
                  <w:vAlign w:val="center"/>
                </w:tcPr>
                <w:p w14:paraId="4423DD67">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0.1%</w:t>
                  </w:r>
                </w:p>
              </w:tc>
              <w:tc>
                <w:tcPr>
                  <w:tcW w:w="1892" w:type="dxa"/>
                  <w:vAlign w:val="center"/>
                </w:tcPr>
                <w:p w14:paraId="12E4369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0.2%</w:t>
                  </w:r>
                </w:p>
              </w:tc>
            </w:tr>
          </w:tbl>
          <w:p w14:paraId="6D5C9BE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收费采用差额定率累进计费方式，以中标金额为计算基数，分段累加。</w:t>
            </w:r>
          </w:p>
          <w:p w14:paraId="28D8F14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2.中标供应商应在代理机构发出中标通知书5个工作日内向本代理机构支付招标代理服务费。</w:t>
            </w:r>
          </w:p>
          <w:p w14:paraId="4AC1BF9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3.招标代理服务费收取银行票汇款、电汇款。</w:t>
            </w:r>
          </w:p>
          <w:p w14:paraId="39A5F0B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账户名称：宁波市国际招标有限公司</w:t>
            </w:r>
          </w:p>
          <w:p w14:paraId="219A7E6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开户银行：上海浦东发展银行宁波分行江北支行</w:t>
            </w:r>
          </w:p>
          <w:p w14:paraId="6E4710E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银行账号：94090154800000191</w:t>
            </w:r>
          </w:p>
        </w:tc>
      </w:tr>
    </w:tbl>
    <w:p w14:paraId="5634C098">
      <w:pPr>
        <w:spacing w:line="400" w:lineRule="exact"/>
        <w:jc w:val="center"/>
        <w:rPr>
          <w:rFonts w:ascii="宋体" w:hAnsi="宋体" w:cs="宋体"/>
          <w:b/>
          <w:sz w:val="30"/>
          <w:szCs w:val="30"/>
          <w:highlight w:val="none"/>
        </w:rPr>
      </w:pPr>
      <w:r>
        <w:rPr>
          <w:rFonts w:hint="eastAsia" w:ascii="宋体" w:hAnsi="宋体" w:cs="宋体"/>
          <w:b/>
          <w:szCs w:val="21"/>
          <w:highlight w:val="none"/>
        </w:rPr>
        <w:br w:type="page"/>
      </w:r>
      <w:r>
        <w:rPr>
          <w:rFonts w:hint="eastAsia" w:ascii="宋体" w:hAnsi="宋体" w:cs="宋体"/>
          <w:b/>
          <w:sz w:val="30"/>
          <w:szCs w:val="30"/>
          <w:highlight w:val="none"/>
        </w:rPr>
        <w:t>供应商须知正文</w:t>
      </w:r>
    </w:p>
    <w:p w14:paraId="74D40919">
      <w:pPr>
        <w:spacing w:line="400" w:lineRule="exact"/>
        <w:rPr>
          <w:rFonts w:ascii="宋体" w:hAnsi="宋体" w:cs="宋体"/>
          <w:b/>
          <w:szCs w:val="21"/>
          <w:highlight w:val="none"/>
        </w:rPr>
      </w:pPr>
      <w:r>
        <w:rPr>
          <w:rFonts w:hint="eastAsia" w:ascii="宋体" w:hAnsi="宋体" w:cs="宋体"/>
          <w:b/>
          <w:szCs w:val="21"/>
          <w:highlight w:val="none"/>
        </w:rPr>
        <w:t>一、适用范围</w:t>
      </w:r>
    </w:p>
    <w:p w14:paraId="42067A6D">
      <w:pPr>
        <w:spacing w:line="400" w:lineRule="exact"/>
        <w:ind w:firstLine="420" w:firstLineChars="200"/>
        <w:rPr>
          <w:rFonts w:ascii="宋体" w:hAnsi="宋体" w:cs="宋体"/>
          <w:szCs w:val="21"/>
          <w:highlight w:val="none"/>
        </w:rPr>
      </w:pPr>
      <w:r>
        <w:rPr>
          <w:rFonts w:hint="eastAsia" w:ascii="宋体" w:hAnsi="宋体" w:cs="宋体"/>
          <w:szCs w:val="21"/>
          <w:highlight w:val="none"/>
        </w:rPr>
        <w:t>本招标文件仅适用于本采购项目所叙述的货物和服务的招标、评标、定标、验收、合同履约、付款等（法律、法规另有规定的，从其规定）。</w:t>
      </w:r>
    </w:p>
    <w:p w14:paraId="1F802B5E">
      <w:pPr>
        <w:spacing w:line="400" w:lineRule="exact"/>
        <w:rPr>
          <w:rFonts w:ascii="宋体" w:hAnsi="宋体" w:cs="宋体"/>
          <w:b/>
          <w:szCs w:val="21"/>
          <w:highlight w:val="none"/>
        </w:rPr>
      </w:pPr>
      <w:r>
        <w:rPr>
          <w:rFonts w:hint="eastAsia" w:ascii="宋体" w:hAnsi="宋体" w:cs="宋体"/>
          <w:b/>
          <w:szCs w:val="21"/>
          <w:highlight w:val="none"/>
        </w:rPr>
        <w:t>二、定义</w:t>
      </w:r>
    </w:p>
    <w:p w14:paraId="5BE33A66">
      <w:pPr>
        <w:spacing w:line="400" w:lineRule="exact"/>
        <w:ind w:firstLine="420" w:firstLineChars="200"/>
        <w:rPr>
          <w:rFonts w:ascii="宋体" w:hAnsi="宋体" w:cs="宋体"/>
          <w:szCs w:val="21"/>
          <w:highlight w:val="none"/>
        </w:rPr>
      </w:pPr>
      <w:r>
        <w:rPr>
          <w:rFonts w:hint="eastAsia" w:ascii="宋体" w:hAnsi="宋体" w:cs="宋体"/>
          <w:szCs w:val="21"/>
          <w:highlight w:val="none"/>
        </w:rPr>
        <w:t>1.“招标人”系指中共宁波市委统一战线工作部。</w:t>
      </w:r>
    </w:p>
    <w:p w14:paraId="17FA03B8">
      <w:pPr>
        <w:spacing w:line="400" w:lineRule="exact"/>
        <w:ind w:firstLine="420" w:firstLineChars="200"/>
        <w:rPr>
          <w:rFonts w:ascii="宋体" w:hAnsi="宋体" w:cs="宋体"/>
          <w:szCs w:val="21"/>
          <w:highlight w:val="none"/>
        </w:rPr>
      </w:pPr>
      <w:r>
        <w:rPr>
          <w:rFonts w:hint="eastAsia" w:ascii="宋体" w:hAnsi="宋体" w:cs="宋体"/>
          <w:szCs w:val="21"/>
          <w:highlight w:val="none"/>
        </w:rPr>
        <w:t>2.“代理机构”系指宁波市国际招标有限公司。</w:t>
      </w:r>
    </w:p>
    <w:p w14:paraId="0038D5D4">
      <w:pPr>
        <w:spacing w:line="400" w:lineRule="exact"/>
        <w:ind w:firstLine="420" w:firstLineChars="200"/>
        <w:rPr>
          <w:rFonts w:ascii="宋体" w:hAnsi="宋体" w:cs="宋体"/>
          <w:szCs w:val="21"/>
          <w:highlight w:val="none"/>
        </w:rPr>
      </w:pPr>
      <w:r>
        <w:rPr>
          <w:rFonts w:hint="eastAsia" w:ascii="宋体" w:hAnsi="宋体" w:cs="宋体"/>
          <w:szCs w:val="21"/>
          <w:highlight w:val="none"/>
        </w:rPr>
        <w:t>3.“供应商”系指向招标人提交投标文件的供应商。</w:t>
      </w:r>
    </w:p>
    <w:p w14:paraId="57FE1110">
      <w:pPr>
        <w:spacing w:line="400" w:lineRule="exact"/>
        <w:ind w:firstLine="420" w:firstLineChars="200"/>
        <w:rPr>
          <w:rFonts w:ascii="宋体" w:hAnsi="宋体" w:cs="宋体"/>
          <w:highlight w:val="none"/>
        </w:rPr>
      </w:pPr>
      <w:r>
        <w:rPr>
          <w:rFonts w:hint="eastAsia" w:ascii="宋体" w:hAnsi="宋体" w:cs="宋体"/>
          <w:szCs w:val="21"/>
          <w:highlight w:val="none"/>
        </w:rPr>
        <w:t>4.“服务”系指招标文件规定供应商</w:t>
      </w:r>
      <w:r>
        <w:rPr>
          <w:rFonts w:hint="eastAsia" w:ascii="宋体" w:hAnsi="宋体" w:cs="宋体"/>
          <w:highlight w:val="none"/>
        </w:rPr>
        <w:t>须承担的2024年宁波市新生代企业家赴欧洲访学活动承接服务采购项目的义务。</w:t>
      </w:r>
    </w:p>
    <w:p w14:paraId="6CAC48B6">
      <w:pPr>
        <w:spacing w:line="400" w:lineRule="exact"/>
        <w:ind w:firstLine="420" w:firstLineChars="200"/>
        <w:rPr>
          <w:rFonts w:ascii="宋体" w:hAnsi="宋体" w:cs="宋体"/>
          <w:szCs w:val="21"/>
          <w:highlight w:val="none"/>
        </w:rPr>
      </w:pPr>
      <w:r>
        <w:rPr>
          <w:rFonts w:hint="eastAsia" w:ascii="宋体" w:hAnsi="宋体" w:cs="宋体"/>
          <w:szCs w:val="21"/>
          <w:highlight w:val="none"/>
        </w:rPr>
        <w:t>5.“同级政府采购监管部门”系指宁波市财政局政府采购监管处</w:t>
      </w:r>
      <w:r>
        <w:rPr>
          <w:rFonts w:hint="eastAsia" w:ascii="宋体" w:hAnsi="宋体" w:cs="宋体"/>
          <w:kern w:val="10"/>
          <w:szCs w:val="21"/>
          <w:highlight w:val="none"/>
          <w:lang w:val="zh-CN"/>
        </w:rPr>
        <w:t>。</w:t>
      </w:r>
    </w:p>
    <w:p w14:paraId="290ABE5A">
      <w:pPr>
        <w:spacing w:line="400" w:lineRule="exact"/>
        <w:ind w:firstLine="420" w:firstLineChars="200"/>
        <w:rPr>
          <w:rFonts w:ascii="宋体" w:hAnsi="宋体" w:cs="宋体"/>
          <w:szCs w:val="21"/>
          <w:highlight w:val="none"/>
        </w:rPr>
      </w:pPr>
      <w:r>
        <w:rPr>
          <w:rFonts w:hint="eastAsia" w:ascii="宋体" w:hAnsi="宋体" w:cs="宋体"/>
          <w:szCs w:val="21"/>
          <w:highlight w:val="none"/>
        </w:rPr>
        <w:t>6.“▲”系指实质性响应条款。</w:t>
      </w:r>
    </w:p>
    <w:p w14:paraId="0F288B25">
      <w:pPr>
        <w:spacing w:line="400" w:lineRule="exact"/>
        <w:ind w:firstLine="420" w:firstLineChars="200"/>
        <w:rPr>
          <w:rFonts w:ascii="宋体" w:hAnsi="宋体" w:cs="宋体"/>
          <w:szCs w:val="21"/>
          <w:highlight w:val="none"/>
        </w:rPr>
      </w:pPr>
      <w:r>
        <w:rPr>
          <w:rFonts w:hint="eastAsia" w:ascii="宋体" w:hAnsi="宋体" w:cs="宋体"/>
          <w:szCs w:val="21"/>
          <w:highlight w:val="none"/>
        </w:rPr>
        <w:t>▲7.合格的投标货物或服务：</w:t>
      </w:r>
    </w:p>
    <w:p w14:paraId="45688D04">
      <w:pPr>
        <w:spacing w:line="400" w:lineRule="exact"/>
        <w:ind w:firstLine="420" w:firstLineChars="200"/>
        <w:rPr>
          <w:rFonts w:ascii="宋体" w:hAnsi="宋体" w:cs="宋体"/>
          <w:szCs w:val="21"/>
          <w:highlight w:val="none"/>
        </w:rPr>
      </w:pPr>
      <w:r>
        <w:rPr>
          <w:rFonts w:hint="eastAsia" w:ascii="宋体" w:hAnsi="宋体" w:cs="宋体"/>
          <w:szCs w:val="21"/>
          <w:highlight w:val="none"/>
        </w:rPr>
        <w:t>（1）应该是中国境内生产的货物或提供的服务。</w:t>
      </w:r>
    </w:p>
    <w:p w14:paraId="28F30B44">
      <w:pPr>
        <w:spacing w:line="400" w:lineRule="exact"/>
        <w:ind w:firstLine="420" w:firstLineChars="200"/>
        <w:rPr>
          <w:rFonts w:ascii="宋体" w:hAnsi="宋体" w:cs="宋体"/>
          <w:szCs w:val="21"/>
          <w:highlight w:val="none"/>
        </w:rPr>
      </w:pPr>
      <w:r>
        <w:rPr>
          <w:rFonts w:hint="eastAsia" w:ascii="宋体" w:hAnsi="宋体" w:cs="宋体"/>
          <w:szCs w:val="21"/>
          <w:highlight w:val="none"/>
        </w:rPr>
        <w:t>若投标货物或服务是国家实行许可证制度或生产注册证制度的产品或服务，则应具备相应有效的证书。</w:t>
      </w:r>
    </w:p>
    <w:p w14:paraId="5033435D">
      <w:pPr>
        <w:spacing w:line="400" w:lineRule="exact"/>
        <w:ind w:firstLine="420" w:firstLineChars="200"/>
        <w:rPr>
          <w:rFonts w:ascii="宋体" w:hAnsi="宋体" w:cs="宋体"/>
          <w:szCs w:val="21"/>
          <w:highlight w:val="none"/>
        </w:rPr>
      </w:pPr>
      <w:r>
        <w:rPr>
          <w:rFonts w:hint="eastAsia" w:ascii="宋体" w:hAnsi="宋体" w:cs="宋体"/>
          <w:szCs w:val="21"/>
          <w:highlight w:val="none"/>
        </w:rPr>
        <w:t>招标文件允许采购进口产品的，若投标货物是进口产品，供应商应保证所投产品为可履行合法报通关手续进入中国关境内、在中国海关完税的可合法销售的货物。</w:t>
      </w:r>
    </w:p>
    <w:p w14:paraId="62FD77D5">
      <w:pPr>
        <w:spacing w:line="400" w:lineRule="exact"/>
        <w:ind w:firstLine="420" w:firstLineChars="200"/>
        <w:rPr>
          <w:rFonts w:ascii="宋体" w:hAnsi="宋体" w:cs="宋体"/>
          <w:szCs w:val="21"/>
          <w:highlight w:val="none"/>
        </w:rPr>
      </w:pPr>
      <w:r>
        <w:rPr>
          <w:rFonts w:hint="eastAsia" w:ascii="宋体" w:hAnsi="宋体" w:cs="宋体"/>
          <w:szCs w:val="21"/>
          <w:highlight w:val="none"/>
        </w:rPr>
        <w:t>（2）国家规定有标准及规范的，投标货物或服务应按有效的标准及规范执行，应符合国家及招标文件提出的有关技术、质量、安全标准。</w:t>
      </w:r>
    </w:p>
    <w:p w14:paraId="7C807C60">
      <w:pPr>
        <w:spacing w:line="400" w:lineRule="exact"/>
        <w:ind w:firstLine="420" w:firstLineChars="200"/>
        <w:rPr>
          <w:rFonts w:ascii="宋体" w:hAnsi="宋体" w:cs="宋体"/>
          <w:szCs w:val="21"/>
          <w:highlight w:val="none"/>
        </w:rPr>
      </w:pPr>
      <w:r>
        <w:rPr>
          <w:rFonts w:hint="eastAsia" w:ascii="宋体" w:hAnsi="宋体" w:cs="宋体"/>
          <w:szCs w:val="21"/>
          <w:highlight w:val="none"/>
        </w:rPr>
        <w:t>（3）供应商应保证所提供的产品或服务免受第三方提出侵犯其知识产权（专利权、商标权、工业设计权及使用权等）的索赔或起诉，否则，由此可能产生的一切法律责任和经济责任均由供应商承担。</w:t>
      </w:r>
    </w:p>
    <w:p w14:paraId="5527A1DF">
      <w:pPr>
        <w:spacing w:line="400" w:lineRule="exact"/>
        <w:rPr>
          <w:rFonts w:ascii="宋体" w:hAnsi="宋体" w:cs="宋体"/>
          <w:b/>
          <w:szCs w:val="21"/>
          <w:highlight w:val="none"/>
        </w:rPr>
      </w:pPr>
      <w:r>
        <w:rPr>
          <w:rFonts w:hint="eastAsia" w:ascii="宋体" w:hAnsi="宋体" w:cs="宋体"/>
          <w:szCs w:val="21"/>
          <w:highlight w:val="none"/>
        </w:rPr>
        <w:t>▲</w:t>
      </w:r>
      <w:r>
        <w:rPr>
          <w:rFonts w:hint="eastAsia" w:ascii="宋体" w:hAnsi="宋体" w:cs="宋体"/>
          <w:b/>
          <w:szCs w:val="21"/>
          <w:highlight w:val="none"/>
        </w:rPr>
        <w:t>三、供应商的资格要求</w:t>
      </w:r>
    </w:p>
    <w:p w14:paraId="09B3D030">
      <w:pPr>
        <w:spacing w:line="400" w:lineRule="exact"/>
        <w:ind w:firstLine="420" w:firstLineChars="200"/>
        <w:rPr>
          <w:rFonts w:ascii="宋体" w:hAnsi="宋体" w:cs="宋体"/>
          <w:szCs w:val="21"/>
          <w:highlight w:val="none"/>
        </w:rPr>
      </w:pPr>
      <w:r>
        <w:rPr>
          <w:rFonts w:hint="eastAsia" w:ascii="宋体" w:hAnsi="宋体" w:cs="宋体"/>
          <w:szCs w:val="21"/>
          <w:highlight w:val="none"/>
        </w:rPr>
        <w:t>详见招标公告。</w:t>
      </w:r>
    </w:p>
    <w:p w14:paraId="20CB0470">
      <w:pPr>
        <w:spacing w:line="400" w:lineRule="exact"/>
        <w:rPr>
          <w:rFonts w:ascii="宋体" w:hAnsi="宋体" w:cs="宋体"/>
          <w:b/>
          <w:szCs w:val="21"/>
          <w:highlight w:val="none"/>
        </w:rPr>
      </w:pPr>
      <w:r>
        <w:rPr>
          <w:rFonts w:hint="eastAsia" w:ascii="宋体" w:hAnsi="宋体" w:cs="宋体"/>
          <w:b/>
          <w:szCs w:val="21"/>
          <w:highlight w:val="none"/>
        </w:rPr>
        <w:t>四、投标费用</w:t>
      </w:r>
    </w:p>
    <w:p w14:paraId="2248E425">
      <w:pPr>
        <w:spacing w:line="400" w:lineRule="exact"/>
        <w:ind w:firstLine="420" w:firstLineChars="200"/>
        <w:rPr>
          <w:rFonts w:ascii="宋体" w:hAnsi="宋体" w:cs="宋体"/>
          <w:szCs w:val="21"/>
          <w:highlight w:val="none"/>
        </w:rPr>
      </w:pPr>
      <w:r>
        <w:rPr>
          <w:rFonts w:hint="eastAsia" w:ascii="宋体" w:hAnsi="宋体" w:cs="宋体"/>
          <w:szCs w:val="21"/>
          <w:highlight w:val="none"/>
        </w:rPr>
        <w:t>无论投标过程和结果如何，供应商自行承担与投标有关的全部费用。</w:t>
      </w:r>
    </w:p>
    <w:p w14:paraId="4A2432DB">
      <w:pPr>
        <w:spacing w:line="400" w:lineRule="exact"/>
        <w:rPr>
          <w:rFonts w:ascii="宋体" w:hAnsi="宋体" w:cs="宋体"/>
          <w:b/>
          <w:szCs w:val="21"/>
          <w:highlight w:val="none"/>
        </w:rPr>
      </w:pPr>
      <w:r>
        <w:rPr>
          <w:rFonts w:hint="eastAsia" w:ascii="宋体" w:hAnsi="宋体" w:cs="宋体"/>
          <w:b/>
          <w:szCs w:val="21"/>
          <w:highlight w:val="none"/>
        </w:rPr>
        <w:t>五、投标报价</w:t>
      </w:r>
    </w:p>
    <w:p w14:paraId="5DAEDA8E">
      <w:pPr>
        <w:spacing w:line="400" w:lineRule="exact"/>
        <w:ind w:firstLine="420" w:firstLineChars="200"/>
        <w:rPr>
          <w:rFonts w:ascii="宋体" w:hAnsi="宋体" w:cs="宋体"/>
          <w:highlight w:val="none"/>
        </w:rPr>
      </w:pPr>
      <w:r>
        <w:rPr>
          <w:rFonts w:hint="eastAsia" w:ascii="宋体" w:hAnsi="宋体" w:cs="宋体"/>
          <w:szCs w:val="21"/>
          <w:highlight w:val="none"/>
        </w:rPr>
        <w:t>1.投标报价以人民币为结算货币，投标报价应包含按要求完成本项目采购内容的所有费用，包括但不仅限于场地费、专家授课及现场教学费、交通费、餐饮费、其他费用、发票税费等各项应有费用以及中标后向招标代理机构支付的代理服务费等所需的全部费用。供应商应承担其参加本采购活动自身所发生的费用。项目实施过程中可能发生的风险和费用均由中标供应商承担。</w:t>
      </w:r>
    </w:p>
    <w:p w14:paraId="7C689B08">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hAnsi="宋体" w:cs="宋体"/>
          <w:b/>
          <w:bCs/>
          <w:szCs w:val="21"/>
          <w:highlight w:val="none"/>
        </w:rPr>
        <w:t>凡影响投标报价的所有相关费用应列入本次报价中。中标后，不得以不完全了解招标文件、建设现场和周围环境等情况为借口，而提出额外补偿或降低服务质量等的要求。</w:t>
      </w:r>
    </w:p>
    <w:p w14:paraId="2C4870BA">
      <w:pPr>
        <w:spacing w:line="400" w:lineRule="exact"/>
        <w:ind w:firstLine="420" w:firstLineChars="200"/>
        <w:rPr>
          <w:rFonts w:ascii="宋体" w:hAnsi="宋体" w:cs="宋体"/>
          <w:szCs w:val="21"/>
          <w:highlight w:val="none"/>
        </w:rPr>
      </w:pPr>
      <w:r>
        <w:rPr>
          <w:rFonts w:hint="eastAsia" w:ascii="宋体" w:hAnsi="宋体" w:cs="宋体"/>
          <w:szCs w:val="21"/>
          <w:highlight w:val="none"/>
        </w:rPr>
        <w:t>2.供应商应按招标文件要求认真填写“开标一览表”和“分项报价表（如有）”。</w:t>
      </w:r>
    </w:p>
    <w:p w14:paraId="60A59FE4">
      <w:pPr>
        <w:spacing w:line="400" w:lineRule="exact"/>
        <w:rPr>
          <w:rFonts w:ascii="宋体" w:hAnsi="宋体" w:cs="宋体"/>
          <w:b/>
          <w:szCs w:val="21"/>
          <w:highlight w:val="none"/>
        </w:rPr>
      </w:pPr>
      <w:r>
        <w:rPr>
          <w:rFonts w:hint="eastAsia" w:ascii="宋体" w:hAnsi="宋体" w:cs="宋体"/>
          <w:b/>
          <w:szCs w:val="21"/>
          <w:highlight w:val="none"/>
        </w:rPr>
        <w:t>六、投标有效期</w:t>
      </w:r>
    </w:p>
    <w:p w14:paraId="117CB00E">
      <w:pPr>
        <w:spacing w:line="400" w:lineRule="exact"/>
        <w:ind w:firstLine="420" w:firstLineChars="200"/>
        <w:rPr>
          <w:rFonts w:ascii="宋体" w:hAnsi="宋体" w:cs="宋体"/>
          <w:szCs w:val="21"/>
          <w:highlight w:val="none"/>
        </w:rPr>
      </w:pPr>
      <w:r>
        <w:rPr>
          <w:rFonts w:hint="eastAsia" w:ascii="宋体" w:hAnsi="宋体" w:cs="宋体"/>
          <w:szCs w:val="21"/>
          <w:highlight w:val="none"/>
        </w:rPr>
        <w:t>▲1.投标文件从开标之日起，投标有效期为90个日历日。投标有效期不能小于招标文件的要求。</w:t>
      </w:r>
    </w:p>
    <w:p w14:paraId="1F1B9C0D">
      <w:pPr>
        <w:spacing w:line="400" w:lineRule="exact"/>
        <w:ind w:firstLine="420" w:firstLineChars="200"/>
        <w:rPr>
          <w:rFonts w:ascii="宋体" w:hAnsi="宋体" w:cs="宋体"/>
          <w:b/>
          <w:szCs w:val="21"/>
          <w:highlight w:val="none"/>
        </w:rPr>
      </w:pPr>
      <w:r>
        <w:rPr>
          <w:rFonts w:hint="eastAsia" w:ascii="宋体" w:hAnsi="宋体" w:cs="宋体"/>
          <w:szCs w:val="21"/>
          <w:highlight w:val="none"/>
        </w:rPr>
        <w:t>2.特殊情况下，招标人可与供应商协商延缓投标文件的有效期，这种要求和答复均以书面形式进行。</w:t>
      </w:r>
    </w:p>
    <w:p w14:paraId="261A28CB">
      <w:pPr>
        <w:spacing w:line="400" w:lineRule="exact"/>
        <w:ind w:firstLine="420" w:firstLineChars="200"/>
        <w:rPr>
          <w:rFonts w:ascii="宋体" w:hAnsi="宋体" w:cs="宋体"/>
          <w:szCs w:val="21"/>
          <w:highlight w:val="none"/>
        </w:rPr>
      </w:pPr>
      <w:r>
        <w:rPr>
          <w:rFonts w:hint="eastAsia" w:ascii="宋体" w:hAnsi="宋体" w:cs="宋体"/>
          <w:szCs w:val="21"/>
          <w:highlight w:val="none"/>
        </w:rPr>
        <w:t>3.供应商可拒绝接受延期要求。同意延长有效期的供应商不能修改投标文件。</w:t>
      </w:r>
    </w:p>
    <w:p w14:paraId="1DD41956">
      <w:pPr>
        <w:spacing w:line="400" w:lineRule="exact"/>
        <w:rPr>
          <w:rFonts w:ascii="宋体" w:hAnsi="宋体" w:cs="宋体"/>
          <w:b/>
          <w:szCs w:val="21"/>
          <w:highlight w:val="none"/>
        </w:rPr>
      </w:pPr>
      <w:r>
        <w:rPr>
          <w:rFonts w:hint="eastAsia" w:ascii="宋体" w:hAnsi="宋体" w:cs="宋体"/>
          <w:b/>
          <w:szCs w:val="21"/>
          <w:highlight w:val="none"/>
        </w:rPr>
        <w:t>七、投标文件的形式和效力</w:t>
      </w:r>
    </w:p>
    <w:p w14:paraId="660491C7">
      <w:pPr>
        <w:spacing w:line="400" w:lineRule="exact"/>
        <w:ind w:firstLine="420" w:firstLineChars="200"/>
        <w:rPr>
          <w:rFonts w:ascii="宋体" w:hAnsi="宋体" w:cs="宋体"/>
          <w:szCs w:val="21"/>
          <w:highlight w:val="none"/>
        </w:rPr>
      </w:pPr>
      <w:r>
        <w:rPr>
          <w:rFonts w:hint="eastAsia" w:ascii="宋体" w:hAnsi="宋体" w:cs="宋体"/>
          <w:szCs w:val="21"/>
          <w:highlight w:val="none"/>
        </w:rPr>
        <w:t>1.投标文件分为电子投标文件以及备份投标文件，备份投标文件为以</w:t>
      </w:r>
      <w:r>
        <w:rPr>
          <w:rFonts w:hint="eastAsia" w:ascii="宋体" w:hAnsi="宋体" w:cs="宋体"/>
          <w:kern w:val="0"/>
          <w:szCs w:val="21"/>
          <w:highlight w:val="none"/>
        </w:rPr>
        <w:t>U盘存储的电子</w:t>
      </w:r>
      <w:r>
        <w:rPr>
          <w:rFonts w:hint="eastAsia" w:ascii="宋体" w:hAnsi="宋体" w:cs="宋体"/>
          <w:szCs w:val="21"/>
          <w:highlight w:val="none"/>
        </w:rPr>
        <w:t>备份投标文件。</w:t>
      </w:r>
    </w:p>
    <w:p w14:paraId="29B9E31F">
      <w:pPr>
        <w:spacing w:line="400" w:lineRule="exact"/>
        <w:ind w:firstLine="420" w:firstLineChars="200"/>
        <w:rPr>
          <w:rFonts w:ascii="宋体" w:hAnsi="宋体" w:cs="宋体"/>
          <w:szCs w:val="21"/>
          <w:highlight w:val="none"/>
        </w:rPr>
      </w:pPr>
      <w:r>
        <w:rPr>
          <w:rFonts w:hint="eastAsia" w:ascii="宋体" w:hAnsi="宋体" w:cs="宋体"/>
          <w:szCs w:val="21"/>
          <w:highlight w:val="none"/>
        </w:rPr>
        <w:t>2.电子投标文件，按“项目采购-电子招投标操作指南”及本招标文件要求制作，并加密。</w:t>
      </w:r>
    </w:p>
    <w:p w14:paraId="6DDFE9C2">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投标文件制作说明：</w:t>
      </w:r>
    </w:p>
    <w:p w14:paraId="5B4A9D22">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53CE6B0A">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（2）供应商通过政府采购云平台电子投标工具制作投标文件。电子投标工具请供应商自行前往浙江政府采购网下载并安装http://zfcg.czt.zj.gov.cn/bidClientTemplate/2019-05-27/12946.html）。</w:t>
      </w:r>
    </w:p>
    <w:p w14:paraId="3E226516">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供应商投标文件制作及电子交易操作指南详见：</w:t>
      </w:r>
    </w:p>
    <w:p w14:paraId="51CCAFCB">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①政府采购项目电子交易管理操作指南（视频）https://service.zcygov.cn/#/knowledges/CW1EtGwBFdiHxlNd6I3m/7GyLXW0BXgMSmLUuYuPM（电脑登录账号观看）；</w:t>
      </w:r>
    </w:p>
    <w:p w14:paraId="2B903C1B">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②政府采购项目电子交易管理操作指南（文本）https://service.zcygov.cn/#/knowledges/CW1EtGwBFdiHxlNd6I3m/6IMVAG0BFdiHxlNdQ8Na（电脑登录账号浏览）。</w:t>
      </w:r>
    </w:p>
    <w:p w14:paraId="535DD2B4">
      <w:pPr>
        <w:spacing w:line="400" w:lineRule="exact"/>
        <w:ind w:firstLine="420" w:firstLineChars="200"/>
        <w:rPr>
          <w:rFonts w:ascii="宋体" w:hAnsi="宋体" w:cs="宋体"/>
          <w:szCs w:val="21"/>
          <w:highlight w:val="none"/>
        </w:rPr>
      </w:pPr>
      <w:r>
        <w:rPr>
          <w:rFonts w:hint="eastAsia" w:ascii="宋体" w:hAnsi="宋体" w:cs="宋体"/>
          <w:szCs w:val="21"/>
          <w:highlight w:val="none"/>
        </w:rPr>
        <w:t>（3）以U盘存储的电子备份投标文件1份，即按“项目采购-电子招投标操作指南”制作的电子备份文件，以用于异常情况处理。</w:t>
      </w:r>
    </w:p>
    <w:p w14:paraId="743F4955">
      <w:pPr>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3.投标文件填写字迹必须清楚、工整，对不同文字文本投标文件的解释发生异议的，以中文文本为准。</w:t>
      </w:r>
    </w:p>
    <w:p w14:paraId="3C5041E6">
      <w:pPr>
        <w:spacing w:line="400" w:lineRule="exact"/>
        <w:ind w:firstLine="420" w:firstLineChars="200"/>
        <w:rPr>
          <w:rFonts w:ascii="宋体" w:hAnsi="宋体" w:cs="宋体"/>
          <w:szCs w:val="21"/>
          <w:highlight w:val="none"/>
        </w:rPr>
      </w:pPr>
      <w:r>
        <w:rPr>
          <w:rFonts w:hint="eastAsia" w:ascii="宋体" w:hAnsi="宋体" w:cs="宋体"/>
          <w:szCs w:val="21"/>
          <w:highlight w:val="none"/>
        </w:rPr>
        <w:t>4.投标文件的效力</w:t>
      </w:r>
    </w:p>
    <w:p w14:paraId="3690A875">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投标文件的启用，按先后顺位分别为电子投标文件、以U盘存储的电子备份投标文件。在下一顺位的投标文件启用时，前一顺位的投标文件自动失效。</w:t>
      </w:r>
    </w:p>
    <w:p w14:paraId="5DD9F8F3">
      <w:pPr>
        <w:spacing w:line="400" w:lineRule="exact"/>
        <w:ind w:firstLine="420" w:firstLineChars="200"/>
        <w:rPr>
          <w:rFonts w:ascii="宋体" w:hAnsi="宋体" w:cs="宋体"/>
          <w:szCs w:val="21"/>
          <w:highlight w:val="none"/>
        </w:rPr>
      </w:pPr>
      <w:r>
        <w:rPr>
          <w:rFonts w:hint="eastAsia" w:ascii="宋体" w:hAnsi="宋体" w:cs="宋体"/>
          <w:szCs w:val="21"/>
          <w:highlight w:val="none"/>
        </w:rPr>
        <w:t>电子投标文件未能按时解密，供应商提供了电子备份投标文件的，以电子备份投标文件作为依据，否则视为投标文件撤回。电子投标文件已按时解密的，电子备份投标文件自动失效。</w:t>
      </w:r>
      <w:bookmarkStart w:id="2" w:name="_Hlk23147633"/>
      <w:bookmarkStart w:id="3" w:name="_Hlk23150950"/>
    </w:p>
    <w:p w14:paraId="0810CB61">
      <w:pPr>
        <w:spacing w:line="400" w:lineRule="exact"/>
        <w:rPr>
          <w:rFonts w:ascii="宋体" w:hAnsi="宋体" w:cs="宋体"/>
          <w:b/>
          <w:bCs/>
          <w:szCs w:val="21"/>
          <w:highlight w:val="none"/>
        </w:rPr>
      </w:pPr>
      <w:r>
        <w:rPr>
          <w:rFonts w:hint="eastAsia" w:ascii="宋体" w:hAnsi="宋体" w:cs="宋体"/>
          <w:b/>
          <w:bCs/>
          <w:szCs w:val="21"/>
          <w:highlight w:val="none"/>
        </w:rPr>
        <w:t>八、投标文件的组成和制作</w:t>
      </w:r>
    </w:p>
    <w:p w14:paraId="0D43411A">
      <w:pPr>
        <w:spacing w:line="400" w:lineRule="exact"/>
        <w:ind w:firstLine="420" w:firstLineChars="200"/>
        <w:rPr>
          <w:rFonts w:ascii="宋体" w:hAnsi="宋体" w:cs="宋体"/>
          <w:szCs w:val="21"/>
          <w:highlight w:val="none"/>
        </w:rPr>
      </w:pPr>
      <w:r>
        <w:rPr>
          <w:rFonts w:hint="eastAsia" w:ascii="宋体" w:hAnsi="宋体" w:cs="宋体"/>
          <w:szCs w:val="21"/>
          <w:highlight w:val="none"/>
        </w:rPr>
        <w:t>1.投标文件的组成：</w:t>
      </w:r>
    </w:p>
    <w:bookmarkEnd w:id="2"/>
    <w:p w14:paraId="722CF68B">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详见投标须知前附表。</w:t>
      </w:r>
    </w:p>
    <w:p w14:paraId="6BF2C225">
      <w:pPr>
        <w:spacing w:line="400" w:lineRule="exact"/>
        <w:ind w:firstLine="420" w:firstLineChars="200"/>
        <w:rPr>
          <w:rFonts w:ascii="宋体" w:hAnsi="宋体" w:cs="宋体"/>
          <w:bCs/>
          <w:szCs w:val="21"/>
          <w:highlight w:val="none"/>
        </w:rPr>
      </w:pPr>
      <w:r>
        <w:rPr>
          <w:rFonts w:hint="eastAsia" w:ascii="宋体" w:hAnsi="宋体" w:cs="宋体"/>
          <w:szCs w:val="21"/>
          <w:highlight w:val="none"/>
        </w:rPr>
        <w:t>2.</w:t>
      </w:r>
      <w:r>
        <w:rPr>
          <w:rFonts w:hint="eastAsia" w:ascii="宋体" w:hAnsi="宋体" w:cs="宋体"/>
          <w:bCs/>
          <w:szCs w:val="21"/>
          <w:highlight w:val="none"/>
        </w:rPr>
        <w:t>投标文件制作：</w:t>
      </w:r>
    </w:p>
    <w:p w14:paraId="2C59E03C">
      <w:pPr>
        <w:spacing w:line="400" w:lineRule="exact"/>
        <w:ind w:firstLine="420" w:firstLineChars="200"/>
        <w:rPr>
          <w:rFonts w:ascii="宋体" w:hAnsi="宋体" w:cs="宋体"/>
          <w:szCs w:val="21"/>
          <w:highlight w:val="none"/>
        </w:rPr>
      </w:pPr>
      <w:r>
        <w:rPr>
          <w:rFonts w:hint="eastAsia" w:ascii="宋体" w:hAnsi="宋体" w:cs="宋体"/>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40E61DEB">
      <w:pPr>
        <w:spacing w:line="400" w:lineRule="exact"/>
        <w:ind w:firstLine="420" w:firstLineChars="200"/>
        <w:rPr>
          <w:rFonts w:ascii="宋体" w:hAnsi="宋体" w:cs="宋体"/>
          <w:szCs w:val="21"/>
          <w:highlight w:val="none"/>
        </w:rPr>
      </w:pPr>
      <w:r>
        <w:rPr>
          <w:rFonts w:hint="eastAsia" w:ascii="宋体" w:hAnsi="宋体" w:cs="宋体"/>
          <w:szCs w:val="21"/>
          <w:highlight w:val="none"/>
        </w:rPr>
        <w:t>（2）供应商通过政府采购云平台电子投标工具制作投标文件。电子投标工具请供应商自行前往浙江政府采购网下载并安装。</w:t>
      </w:r>
    </w:p>
    <w:p w14:paraId="39DC6162">
      <w:pPr>
        <w:spacing w:line="400" w:lineRule="exact"/>
        <w:ind w:firstLine="420" w:firstLineChars="200"/>
        <w:rPr>
          <w:rFonts w:ascii="宋体" w:hAnsi="宋体" w:cs="宋体"/>
          <w:szCs w:val="21"/>
          <w:highlight w:val="none"/>
        </w:rPr>
      </w:pPr>
      <w:r>
        <w:rPr>
          <w:rFonts w:hint="eastAsia" w:ascii="宋体" w:hAnsi="宋体" w:cs="宋体"/>
          <w:szCs w:val="21"/>
          <w:highlight w:val="none"/>
        </w:rPr>
        <w:t>（3）以U盘存储的电子备份投标文件1份，即按“项目采购-电子招投标操作指南”制作的电子备份文件，以用于异常情况处理。</w:t>
      </w:r>
    </w:p>
    <w:p w14:paraId="736C3311">
      <w:pPr>
        <w:spacing w:line="400" w:lineRule="exact"/>
        <w:ind w:firstLine="420" w:firstLineChars="200"/>
        <w:rPr>
          <w:rFonts w:ascii="宋体" w:hAnsi="宋体" w:cs="宋体"/>
          <w:szCs w:val="21"/>
          <w:highlight w:val="none"/>
        </w:rPr>
      </w:pPr>
      <w:r>
        <w:rPr>
          <w:rFonts w:hint="eastAsia" w:ascii="宋体" w:hAnsi="宋体" w:cs="宋体"/>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szCs w:val="21"/>
          <w:highlight w:val="none"/>
        </w:rPr>
        <w:t>完成CA数字证书办理预计一周左右，请供应商自行把握时间。</w:t>
      </w:r>
    </w:p>
    <w:bookmarkEnd w:id="3"/>
    <w:p w14:paraId="75A532D7">
      <w:pPr>
        <w:spacing w:line="400" w:lineRule="exact"/>
        <w:rPr>
          <w:rFonts w:ascii="宋体" w:hAnsi="宋体" w:cs="宋体"/>
          <w:b/>
          <w:szCs w:val="21"/>
          <w:highlight w:val="none"/>
        </w:rPr>
      </w:pPr>
      <w:r>
        <w:rPr>
          <w:rFonts w:hint="eastAsia" w:ascii="宋体" w:hAnsi="宋体" w:cs="宋体"/>
          <w:b/>
          <w:szCs w:val="21"/>
          <w:highlight w:val="none"/>
        </w:rPr>
        <w:t>▲九、投标文件的签署盖章</w:t>
      </w:r>
    </w:p>
    <w:p w14:paraId="6CB81682">
      <w:pPr>
        <w:spacing w:line="400" w:lineRule="exact"/>
        <w:ind w:firstLine="420" w:firstLineChars="200"/>
        <w:rPr>
          <w:rFonts w:ascii="宋体" w:hAnsi="宋体" w:cs="宋体"/>
          <w:szCs w:val="21"/>
          <w:highlight w:val="none"/>
        </w:rPr>
      </w:pPr>
      <w:r>
        <w:rPr>
          <w:rFonts w:hint="eastAsia" w:ascii="宋体" w:hAnsi="宋体" w:cs="宋体"/>
          <w:szCs w:val="21"/>
          <w:highlight w:val="none"/>
        </w:rPr>
        <w:t>招标文件第七章“附件”中标明加盖公章或签字的，加盖公章部分采用CA签章，签字部分由法定代表人或授权代表签字后扫描上传。授权代表签字的，还应附法定代表人签署的法定代表人授权书。</w:t>
      </w:r>
      <w:r>
        <w:rPr>
          <w:rFonts w:hint="eastAsia" w:ascii="宋体" w:hAnsi="宋体" w:cs="宋体"/>
          <w:b/>
          <w:bCs/>
          <w:szCs w:val="21"/>
          <w:highlight w:val="none"/>
        </w:rPr>
        <w:t>注：</w:t>
      </w:r>
      <w:r>
        <w:rPr>
          <w:rFonts w:hint="eastAsia" w:ascii="宋体" w:hAnsi="宋体" w:cs="宋体"/>
          <w:b/>
          <w:highlight w:val="none"/>
        </w:rPr>
        <w:t>联合体投标的，除有特别说明外（如承诺函、营业执照、联合体协议书、中小微企业申明函等），其它均可仅由牵头人盖章。</w:t>
      </w:r>
    </w:p>
    <w:p w14:paraId="6905D21F">
      <w:pPr>
        <w:spacing w:line="400" w:lineRule="exact"/>
        <w:rPr>
          <w:rFonts w:ascii="宋体" w:hAnsi="宋体" w:cs="宋体"/>
          <w:b/>
          <w:szCs w:val="21"/>
          <w:highlight w:val="none"/>
        </w:rPr>
      </w:pPr>
      <w:r>
        <w:rPr>
          <w:rFonts w:hint="eastAsia" w:ascii="宋体" w:hAnsi="宋体" w:cs="宋体"/>
          <w:b/>
          <w:szCs w:val="21"/>
          <w:highlight w:val="none"/>
        </w:rPr>
        <w:t>十、投标文件的密封和标记</w:t>
      </w:r>
    </w:p>
    <w:p w14:paraId="35962FC3">
      <w:pPr>
        <w:spacing w:line="400" w:lineRule="exact"/>
        <w:ind w:firstLine="420" w:firstLineChars="200"/>
        <w:rPr>
          <w:rFonts w:ascii="宋体" w:hAnsi="宋体" w:cs="宋体"/>
          <w:szCs w:val="21"/>
          <w:highlight w:val="none"/>
        </w:rPr>
      </w:pPr>
      <w:r>
        <w:rPr>
          <w:rFonts w:hint="eastAsia" w:ascii="宋体" w:hAnsi="宋体" w:cs="宋体"/>
          <w:szCs w:val="21"/>
          <w:highlight w:val="none"/>
        </w:rPr>
        <w:t>1.电子投标文件：供应商应根据“项目采购-电子招投标操作指南”及本招标文件规定的格式和顺序编制电子投标文件并进行关联定位。</w:t>
      </w:r>
    </w:p>
    <w:p w14:paraId="4EF57762">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以U盘存储的电子备份投标文件</w:t>
      </w:r>
      <w:r>
        <w:rPr>
          <w:rFonts w:hint="eastAsia" w:ascii="宋体" w:hAnsi="宋体" w:cs="宋体"/>
          <w:b/>
          <w:szCs w:val="21"/>
          <w:highlight w:val="none"/>
        </w:rPr>
        <w:t>用封袋密封后递交。</w:t>
      </w:r>
    </w:p>
    <w:p w14:paraId="1DB00F26">
      <w:pPr>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电子备份投标文件须在</w:t>
      </w:r>
      <w:r>
        <w:rPr>
          <w:rFonts w:hint="eastAsia" w:ascii="宋体" w:hAnsi="宋体" w:cs="宋体"/>
          <w:szCs w:val="21"/>
          <w:highlight w:val="none"/>
        </w:rPr>
        <w:t>封袋上分别注明：</w:t>
      </w:r>
    </w:p>
    <w:p w14:paraId="1AFFC75C">
      <w:pPr>
        <w:tabs>
          <w:tab w:val="left" w:pos="900"/>
        </w:tabs>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（1）注    明：</w:t>
      </w:r>
      <w:r>
        <w:rPr>
          <w:rFonts w:hint="eastAsia" w:ascii="宋体" w:hAnsi="宋体" w:cs="宋体"/>
          <w:szCs w:val="21"/>
          <w:highlight w:val="none"/>
          <w:u w:val="single"/>
        </w:rPr>
        <w:t xml:space="preserve"> “电子备份投标文件” </w:t>
      </w:r>
      <w:r>
        <w:rPr>
          <w:rFonts w:hint="eastAsia" w:ascii="宋体" w:hAnsi="宋体" w:cs="宋体"/>
          <w:szCs w:val="21"/>
          <w:highlight w:val="none"/>
        </w:rPr>
        <w:t>；</w:t>
      </w:r>
    </w:p>
    <w:p w14:paraId="46416149">
      <w:pPr>
        <w:tabs>
          <w:tab w:val="left" w:pos="900"/>
        </w:tabs>
        <w:spacing w:line="400" w:lineRule="exact"/>
        <w:ind w:firstLine="420" w:firstLineChars="200"/>
        <w:rPr>
          <w:rFonts w:ascii="宋体" w:hAnsi="宋体" w:cs="宋体"/>
          <w:szCs w:val="21"/>
          <w:highlight w:val="none"/>
        </w:rPr>
      </w:pPr>
      <w:r>
        <w:rPr>
          <w:rFonts w:hint="eastAsia" w:ascii="宋体" w:hAnsi="宋体" w:cs="宋体"/>
          <w:szCs w:val="21"/>
          <w:highlight w:val="none"/>
        </w:rPr>
        <w:t>（2）项目编号：</w:t>
      </w:r>
      <w:r>
        <w:rPr>
          <w:rFonts w:hint="eastAsia" w:ascii="宋体" w:hAnsi="宋体" w:cs="宋体"/>
          <w:szCs w:val="21"/>
          <w:highlight w:val="none"/>
          <w:u w:val="single"/>
        </w:rPr>
        <w:t xml:space="preserve"> NBITC-202430916G     </w:t>
      </w:r>
      <w:r>
        <w:rPr>
          <w:rFonts w:hint="eastAsia" w:ascii="宋体" w:hAnsi="宋体" w:cs="宋体"/>
          <w:szCs w:val="21"/>
          <w:highlight w:val="none"/>
        </w:rPr>
        <w:t>；</w:t>
      </w:r>
    </w:p>
    <w:p w14:paraId="4068A862">
      <w:pPr>
        <w:tabs>
          <w:tab w:val="left" w:pos="900"/>
        </w:tabs>
        <w:spacing w:line="400" w:lineRule="exact"/>
        <w:ind w:firstLine="420" w:firstLineChars="200"/>
        <w:rPr>
          <w:rFonts w:ascii="宋体" w:hAnsi="宋体" w:cs="宋体"/>
          <w:szCs w:val="21"/>
          <w:highlight w:val="none"/>
        </w:rPr>
      </w:pPr>
      <w:r>
        <w:rPr>
          <w:rFonts w:hint="eastAsia" w:ascii="宋体" w:hAnsi="宋体" w:cs="宋体"/>
          <w:szCs w:val="21"/>
          <w:highlight w:val="none"/>
        </w:rPr>
        <w:t>（3）项目名称：</w:t>
      </w:r>
      <w:r>
        <w:rPr>
          <w:rFonts w:hint="eastAsia" w:ascii="宋体" w:hAnsi="宋体" w:cs="宋体"/>
          <w:szCs w:val="21"/>
          <w:highlight w:val="none"/>
          <w:u w:val="single"/>
        </w:rPr>
        <w:t xml:space="preserve"> 2024年宁波市新生代企业家赴欧洲访学活动承接服务采购项目 </w:t>
      </w:r>
      <w:r>
        <w:rPr>
          <w:rFonts w:hint="eastAsia" w:ascii="宋体" w:hAnsi="宋体" w:cs="宋体"/>
          <w:szCs w:val="21"/>
          <w:highlight w:val="none"/>
        </w:rPr>
        <w:t>；</w:t>
      </w:r>
    </w:p>
    <w:p w14:paraId="7067ED16">
      <w:pPr>
        <w:tabs>
          <w:tab w:val="left" w:pos="900"/>
        </w:tabs>
        <w:spacing w:line="400" w:lineRule="exact"/>
        <w:ind w:firstLine="420" w:firstLineChars="200"/>
        <w:rPr>
          <w:rFonts w:ascii="宋体" w:hAnsi="宋体" w:cs="宋体"/>
          <w:szCs w:val="21"/>
          <w:highlight w:val="none"/>
        </w:rPr>
      </w:pPr>
      <w:r>
        <w:rPr>
          <w:rFonts w:hint="eastAsia" w:ascii="宋体" w:hAnsi="宋体" w:cs="宋体"/>
          <w:szCs w:val="21"/>
          <w:highlight w:val="none"/>
        </w:rPr>
        <w:t>（4）所投标项（如有多个标项须填写）：</w:t>
      </w:r>
      <w:r>
        <w:rPr>
          <w:rFonts w:hint="eastAsia" w:ascii="宋体" w:hAnsi="宋体" w:cs="宋体"/>
          <w:szCs w:val="21"/>
          <w:highlight w:val="none"/>
          <w:u w:val="single"/>
        </w:rPr>
        <w:t xml:space="preserve">                        </w:t>
      </w:r>
      <w:r>
        <w:rPr>
          <w:rFonts w:hint="eastAsia" w:ascii="宋体" w:hAnsi="宋体" w:cs="宋体"/>
          <w:szCs w:val="21"/>
          <w:highlight w:val="none"/>
        </w:rPr>
        <w:t>；</w:t>
      </w:r>
    </w:p>
    <w:p w14:paraId="550C579C">
      <w:pPr>
        <w:tabs>
          <w:tab w:val="left" w:pos="900"/>
        </w:tabs>
        <w:spacing w:line="400" w:lineRule="exact"/>
        <w:ind w:firstLine="420" w:firstLineChars="200"/>
        <w:rPr>
          <w:rFonts w:ascii="宋体" w:hAnsi="宋体" w:cs="宋体"/>
          <w:szCs w:val="21"/>
          <w:highlight w:val="none"/>
        </w:rPr>
      </w:pPr>
      <w:r>
        <w:rPr>
          <w:rFonts w:hint="eastAsia" w:ascii="宋体" w:hAnsi="宋体" w:cs="宋体"/>
          <w:szCs w:val="21"/>
          <w:highlight w:val="none"/>
        </w:rPr>
        <w:t>（5）在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日（规定的开标日期和时间）前不准启封；</w:t>
      </w:r>
    </w:p>
    <w:p w14:paraId="5EFEB35D">
      <w:pPr>
        <w:tabs>
          <w:tab w:val="left" w:pos="900"/>
        </w:tabs>
        <w:spacing w:line="400" w:lineRule="exact"/>
        <w:ind w:firstLine="420" w:firstLineChars="200"/>
        <w:rPr>
          <w:rFonts w:ascii="宋体" w:hAnsi="宋体" w:cs="宋体"/>
          <w:szCs w:val="21"/>
          <w:highlight w:val="none"/>
        </w:rPr>
      </w:pPr>
      <w:r>
        <w:rPr>
          <w:rFonts w:hint="eastAsia" w:ascii="宋体" w:hAnsi="宋体" w:cs="宋体"/>
          <w:szCs w:val="21"/>
          <w:highlight w:val="none"/>
        </w:rPr>
        <w:t>（6）供应商的名称：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26700342">
      <w:pPr>
        <w:spacing w:line="400" w:lineRule="exact"/>
        <w:ind w:firstLine="420" w:firstLineChars="200"/>
        <w:rPr>
          <w:rFonts w:ascii="宋体" w:hAnsi="宋体" w:cs="宋体"/>
          <w:szCs w:val="21"/>
          <w:highlight w:val="none"/>
        </w:rPr>
      </w:pPr>
      <w:r>
        <w:rPr>
          <w:rFonts w:hint="eastAsia" w:ascii="宋体" w:hAnsi="宋体" w:cs="宋体"/>
          <w:szCs w:val="21"/>
          <w:highlight w:val="none"/>
        </w:rPr>
        <w:t>供应商须在包封上加盖供应商公章或由其法定代表人（或授权代表）签字。</w:t>
      </w:r>
    </w:p>
    <w:p w14:paraId="7A15FFA1">
      <w:pPr>
        <w:spacing w:line="400" w:lineRule="exact"/>
        <w:ind w:firstLine="420" w:firstLineChars="200"/>
        <w:rPr>
          <w:rFonts w:ascii="宋体" w:hAnsi="宋体" w:cs="宋体"/>
          <w:szCs w:val="21"/>
          <w:highlight w:val="none"/>
        </w:rPr>
      </w:pPr>
      <w:r>
        <w:rPr>
          <w:rFonts w:hint="eastAsia" w:ascii="宋体" w:hAnsi="宋体" w:cs="宋体"/>
          <w:szCs w:val="21"/>
          <w:highlight w:val="none"/>
        </w:rPr>
        <w:t>供应商未按上述要求标记的，招标人（代理机构）不承担错放或提前开封的责任。</w:t>
      </w:r>
    </w:p>
    <w:p w14:paraId="1F7020EF">
      <w:pPr>
        <w:spacing w:line="400" w:lineRule="exact"/>
        <w:rPr>
          <w:rFonts w:ascii="宋体" w:hAnsi="宋体" w:cs="宋体"/>
          <w:b/>
          <w:szCs w:val="21"/>
          <w:highlight w:val="none"/>
        </w:rPr>
      </w:pPr>
      <w:r>
        <w:rPr>
          <w:rFonts w:hint="eastAsia" w:ascii="宋体" w:hAnsi="宋体" w:cs="宋体"/>
          <w:b/>
          <w:szCs w:val="21"/>
          <w:highlight w:val="none"/>
        </w:rPr>
        <w:t>十一、投标文件的递交</w:t>
      </w:r>
    </w:p>
    <w:p w14:paraId="6F5BB671">
      <w:pPr>
        <w:spacing w:line="400" w:lineRule="exact"/>
        <w:ind w:firstLine="422" w:firstLineChars="200"/>
        <w:rPr>
          <w:rFonts w:ascii="宋体" w:hAnsi="宋体" w:cs="宋体"/>
          <w:kern w:val="0"/>
          <w:szCs w:val="21"/>
          <w:highlight w:val="none"/>
        </w:rPr>
      </w:pPr>
      <w:r>
        <w:rPr>
          <w:rFonts w:hint="eastAsia" w:ascii="宋体" w:hAnsi="宋体" w:cs="宋体"/>
          <w:b/>
          <w:bCs/>
          <w:szCs w:val="21"/>
          <w:highlight w:val="none"/>
        </w:rPr>
        <w:t>▲1.电子投标文件：</w:t>
      </w:r>
      <w:r>
        <w:rPr>
          <w:rFonts w:hint="eastAsia" w:ascii="宋体" w:hAnsi="宋体" w:cs="宋体"/>
          <w:szCs w:val="21"/>
          <w:highlight w:val="none"/>
        </w:rPr>
        <w:t>供应商应于提交投标文件截止时间前将电子投标文件（含资格文件、商务和技术文件、报价文件）上传到政府采购云平台（www.zcygov.cn）。</w:t>
      </w:r>
    </w:p>
    <w:p w14:paraId="1AEBC62C">
      <w:pPr>
        <w:spacing w:line="400" w:lineRule="exact"/>
        <w:ind w:firstLine="422" w:firstLineChars="200"/>
        <w:rPr>
          <w:rFonts w:ascii="宋体" w:hAnsi="宋体" w:cs="宋体"/>
          <w:kern w:val="0"/>
          <w:szCs w:val="21"/>
          <w:highlight w:val="none"/>
        </w:rPr>
      </w:pPr>
      <w:r>
        <w:rPr>
          <w:rFonts w:hint="eastAsia" w:ascii="宋体" w:hAnsi="宋体" w:cs="宋体"/>
          <w:b/>
          <w:bCs/>
          <w:kern w:val="0"/>
          <w:szCs w:val="21"/>
          <w:highlight w:val="none"/>
        </w:rPr>
        <w:t>2.电子备份投标文件：</w:t>
      </w:r>
      <w:r>
        <w:rPr>
          <w:rFonts w:hint="eastAsia" w:ascii="宋体" w:hAnsi="宋体" w:cs="宋体"/>
          <w:kern w:val="0"/>
          <w:szCs w:val="21"/>
          <w:highlight w:val="none"/>
        </w:rPr>
        <w:t>以U盘存储的电子备份投标文件（含资格文件、商务和技术文件、报价文件）1份（自愿提供，用于异常处理）。</w:t>
      </w:r>
    </w:p>
    <w:p w14:paraId="16C1772D">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供应商可采用邮寄（含快递）方式或现场方式递交电子备份投标文件：</w:t>
      </w:r>
    </w:p>
    <w:p w14:paraId="2D137C76">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供应商于提交投标文件截止时间前，将以U盘存储的电子备份投标文件（1份，含资格文件、商务和技术文件、报价文件）密封后通过EMS等邮寄或现场递交方式送达，送达地址：宁波市国际招标有限公司（宁波市江北区环城北路西段207弄19号世茂茂悦商业中心1号楼八楼012室），联系方式：陈洋，0574-87295348。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14:paraId="302FAA5C">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655E5AAE">
      <w:pPr>
        <w:spacing w:line="400" w:lineRule="exact"/>
        <w:ind w:firstLine="420" w:firstLineChars="200"/>
        <w:rPr>
          <w:rFonts w:ascii="宋体" w:hAnsi="宋体" w:cs="宋体"/>
          <w:b/>
          <w:bCs/>
          <w:kern w:val="0"/>
          <w:szCs w:val="21"/>
          <w:highlight w:val="none"/>
        </w:rPr>
      </w:pPr>
      <w:r>
        <w:rPr>
          <w:rFonts w:hint="eastAsia" w:ascii="宋体" w:hAnsi="宋体" w:cs="宋体"/>
          <w:kern w:val="0"/>
          <w:szCs w:val="21"/>
          <w:highlight w:val="none"/>
        </w:rPr>
        <w:t>电子备份投标文件不强制要求提交，但因电子投标文件未能按时解密或解密失败，供应商又未提交电子备份投标文件的，将被视为投标文件撤回，投标无效。</w:t>
      </w:r>
    </w:p>
    <w:p w14:paraId="688C3363">
      <w:pPr>
        <w:spacing w:line="400" w:lineRule="exact"/>
        <w:ind w:firstLine="420" w:firstLineChars="200"/>
        <w:rPr>
          <w:rFonts w:ascii="宋体" w:hAnsi="宋体" w:cs="宋体"/>
          <w:szCs w:val="21"/>
          <w:highlight w:val="none"/>
        </w:rPr>
      </w:pPr>
      <w:r>
        <w:rPr>
          <w:rFonts w:hint="eastAsia" w:ascii="宋体" w:hAnsi="宋体" w:cs="宋体"/>
          <w:szCs w:val="21"/>
          <w:highlight w:val="none"/>
        </w:rPr>
        <w:t>3.逾期送达的或者未送达指定地点的</w:t>
      </w:r>
      <w:r>
        <w:rPr>
          <w:rFonts w:hint="eastAsia" w:ascii="宋体" w:hAnsi="宋体" w:cs="宋体"/>
          <w:b/>
          <w:bCs/>
          <w:kern w:val="0"/>
          <w:szCs w:val="21"/>
          <w:highlight w:val="none"/>
        </w:rPr>
        <w:t>电子备份投标文件</w:t>
      </w:r>
      <w:r>
        <w:rPr>
          <w:rFonts w:hint="eastAsia" w:ascii="宋体" w:hAnsi="宋体" w:cs="宋体"/>
          <w:szCs w:val="21"/>
          <w:highlight w:val="none"/>
        </w:rPr>
        <w:t>，代理机构不予受理。</w:t>
      </w:r>
    </w:p>
    <w:p w14:paraId="71ACE252">
      <w:pPr>
        <w:spacing w:line="400" w:lineRule="exact"/>
        <w:ind w:firstLine="420" w:firstLineChars="200"/>
        <w:rPr>
          <w:rFonts w:ascii="宋体" w:hAnsi="宋体" w:cs="宋体"/>
          <w:szCs w:val="21"/>
          <w:highlight w:val="none"/>
        </w:rPr>
      </w:pPr>
      <w:r>
        <w:rPr>
          <w:rFonts w:hint="eastAsia" w:ascii="宋体" w:hAnsi="宋体" w:cs="宋体"/>
          <w:szCs w:val="21"/>
          <w:highlight w:val="none"/>
        </w:rPr>
        <w:t>4.投标文件的补充、修改</w:t>
      </w:r>
    </w:p>
    <w:p w14:paraId="5F6D0680">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投标截止时间前，供应商可以对递交的投标文件进行补充、修改，</w:t>
      </w:r>
      <w:r>
        <w:rPr>
          <w:rFonts w:hint="eastAsia" w:ascii="宋体" w:hAnsi="宋体" w:cs="宋体"/>
          <w:szCs w:val="21"/>
          <w:highlight w:val="none"/>
          <w:lang w:val="en"/>
        </w:rPr>
        <w:t>补充、修改</w:t>
      </w:r>
      <w:r>
        <w:rPr>
          <w:rFonts w:hint="eastAsia" w:ascii="宋体" w:hAnsi="宋体" w:cs="宋体"/>
          <w:szCs w:val="21"/>
          <w:highlight w:val="none"/>
        </w:rPr>
        <w:t>电子投标文件</w:t>
      </w:r>
      <w:r>
        <w:rPr>
          <w:rFonts w:hint="eastAsia" w:ascii="宋体" w:hAnsi="宋体" w:cs="宋体"/>
          <w:szCs w:val="21"/>
          <w:highlight w:val="none"/>
          <w:lang w:val="en"/>
        </w:rPr>
        <w:t>的，应当先行撤回原文件，补充、修改后重新上传，电子备份投标文件也应重新制作。</w:t>
      </w:r>
      <w:r>
        <w:rPr>
          <w:rFonts w:hint="eastAsia" w:ascii="宋体" w:hAnsi="宋体" w:cs="宋体"/>
          <w:szCs w:val="21"/>
          <w:highlight w:val="none"/>
        </w:rPr>
        <w:t>在投标截止时间之后，供应商不得对其投标文件进行补充、修改。投标截止时间之后供应商要求撤销投标文件的，应向招标人提交正式文件。</w:t>
      </w:r>
    </w:p>
    <w:p w14:paraId="38FCB179">
      <w:pPr>
        <w:spacing w:line="400" w:lineRule="exact"/>
        <w:rPr>
          <w:rFonts w:ascii="宋体" w:hAnsi="宋体" w:cs="宋体"/>
          <w:b/>
          <w:szCs w:val="21"/>
          <w:highlight w:val="none"/>
        </w:rPr>
      </w:pPr>
      <w:r>
        <w:rPr>
          <w:rFonts w:hint="eastAsia" w:ascii="宋体" w:hAnsi="宋体" w:cs="宋体"/>
          <w:b/>
          <w:szCs w:val="21"/>
          <w:highlight w:val="none"/>
        </w:rPr>
        <w:t>十二、开标</w:t>
      </w:r>
    </w:p>
    <w:p w14:paraId="6FD8E450">
      <w:pPr>
        <w:spacing w:line="400" w:lineRule="exact"/>
        <w:ind w:firstLine="420" w:firstLineChars="200"/>
        <w:rPr>
          <w:rFonts w:ascii="宋体" w:hAnsi="宋体" w:cs="宋体"/>
          <w:szCs w:val="21"/>
          <w:highlight w:val="none"/>
        </w:rPr>
      </w:pPr>
      <w:r>
        <w:rPr>
          <w:rFonts w:hint="eastAsia" w:ascii="宋体" w:hAnsi="宋体" w:cs="宋体"/>
          <w:szCs w:val="21"/>
          <w:highlight w:val="none"/>
        </w:rPr>
        <w:t>1.代理机构在招标文件规定的时间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5ACD8936">
      <w:pPr>
        <w:spacing w:line="400" w:lineRule="exact"/>
        <w:ind w:firstLine="420" w:firstLineChars="200"/>
        <w:rPr>
          <w:rFonts w:ascii="宋体" w:hAnsi="宋体" w:cs="宋体"/>
          <w:szCs w:val="21"/>
          <w:highlight w:val="none"/>
        </w:rPr>
      </w:pPr>
      <w:r>
        <w:rPr>
          <w:rFonts w:hint="eastAsia" w:ascii="宋体" w:hAnsi="宋体" w:cs="宋体"/>
          <w:szCs w:val="21"/>
          <w:highlight w:val="none"/>
        </w:rPr>
        <w:t>2.电子投标开标及评审程序：同时开启所有供应商的“资格文件”、“商务和技术文件”、“报价文件”。</w:t>
      </w:r>
    </w:p>
    <w:p w14:paraId="7DF87235">
      <w:pPr>
        <w:spacing w:line="400" w:lineRule="exact"/>
        <w:ind w:firstLine="420" w:firstLineChars="200"/>
        <w:rPr>
          <w:rFonts w:ascii="宋体" w:hAnsi="宋体" w:cs="宋体"/>
          <w:szCs w:val="21"/>
          <w:highlight w:val="none"/>
        </w:rPr>
      </w:pPr>
      <w:r>
        <w:rPr>
          <w:rFonts w:hint="eastAsia" w:ascii="宋体" w:hAnsi="宋体" w:cs="宋体"/>
          <w:szCs w:val="21"/>
          <w:highlight w:val="none"/>
        </w:rPr>
        <w:t>（1）宣布开标；</w:t>
      </w:r>
    </w:p>
    <w:p w14:paraId="043322AB">
      <w:pPr>
        <w:spacing w:line="400" w:lineRule="exact"/>
        <w:ind w:firstLine="420" w:firstLineChars="200"/>
        <w:rPr>
          <w:rFonts w:ascii="宋体" w:hAnsi="宋体" w:cs="宋体"/>
          <w:szCs w:val="21"/>
          <w:highlight w:val="none"/>
        </w:rPr>
      </w:pPr>
      <w:r>
        <w:rPr>
          <w:rFonts w:hint="eastAsia" w:ascii="宋体" w:hAnsi="宋体" w:cs="宋体"/>
          <w:szCs w:val="21"/>
          <w:highlight w:val="none"/>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15B0925">
      <w:pPr>
        <w:spacing w:line="400" w:lineRule="exact"/>
        <w:ind w:firstLine="420" w:firstLineChars="200"/>
        <w:rPr>
          <w:rFonts w:ascii="宋体" w:hAnsi="宋体" w:cs="宋体"/>
          <w:szCs w:val="21"/>
          <w:highlight w:val="none"/>
        </w:rPr>
      </w:pPr>
      <w:r>
        <w:rPr>
          <w:rFonts w:hint="eastAsia" w:ascii="宋体" w:hAnsi="宋体" w:cs="宋体"/>
          <w:szCs w:val="21"/>
          <w:highlight w:val="none"/>
        </w:rPr>
        <w:t>（3）以下流程针对到达开标现场的供应商（未到现场供应商按政采云流程参与网上开标）</w:t>
      </w:r>
    </w:p>
    <w:p w14:paraId="45E4F175">
      <w:pPr>
        <w:spacing w:line="400" w:lineRule="exact"/>
        <w:ind w:firstLine="420" w:firstLineChars="200"/>
        <w:rPr>
          <w:rFonts w:ascii="宋体" w:hAnsi="宋体" w:cs="宋体"/>
          <w:szCs w:val="21"/>
          <w:highlight w:val="none"/>
        </w:rPr>
      </w:pPr>
      <w:r>
        <w:rPr>
          <w:rFonts w:hint="eastAsia" w:ascii="宋体" w:hAnsi="宋体" w:cs="宋体"/>
          <w:szCs w:val="21"/>
          <w:highlight w:val="none"/>
        </w:rPr>
        <w:t>（3.1）介绍开标现场的人员情况；</w:t>
      </w:r>
    </w:p>
    <w:p w14:paraId="61DA79C0">
      <w:pPr>
        <w:spacing w:line="400" w:lineRule="exact"/>
        <w:ind w:firstLine="420" w:firstLineChars="200"/>
        <w:rPr>
          <w:rFonts w:ascii="宋体" w:hAnsi="宋体" w:cs="宋体"/>
          <w:szCs w:val="21"/>
          <w:highlight w:val="none"/>
        </w:rPr>
      </w:pPr>
      <w:r>
        <w:rPr>
          <w:rFonts w:hint="eastAsia" w:ascii="宋体" w:hAnsi="宋体" w:cs="宋体"/>
          <w:szCs w:val="21"/>
          <w:highlight w:val="none"/>
        </w:rPr>
        <w:t>（3.2）宣读递交投标文件的供应商名单、开标纪律、应当回避的情形等注意事项；</w:t>
      </w:r>
    </w:p>
    <w:p w14:paraId="4D850C42">
      <w:pPr>
        <w:spacing w:line="400" w:lineRule="exact"/>
        <w:ind w:firstLine="420" w:firstLineChars="200"/>
        <w:rPr>
          <w:rFonts w:ascii="宋体" w:hAnsi="宋体" w:cs="宋体"/>
          <w:szCs w:val="21"/>
          <w:highlight w:val="none"/>
        </w:rPr>
      </w:pPr>
      <w:r>
        <w:rPr>
          <w:rFonts w:hint="eastAsia" w:ascii="宋体" w:hAnsi="宋体" w:cs="宋体"/>
          <w:szCs w:val="21"/>
          <w:highlight w:val="none"/>
        </w:rPr>
        <w:t>（3.3）供应商签署不存在影响公平竞争的《政府采购活动现场确认声明书》；</w:t>
      </w:r>
    </w:p>
    <w:p w14:paraId="28053462">
      <w:pPr>
        <w:spacing w:line="400" w:lineRule="exact"/>
        <w:ind w:firstLine="420" w:firstLineChars="200"/>
        <w:rPr>
          <w:rFonts w:ascii="宋体" w:hAnsi="宋体" w:cs="宋体"/>
          <w:szCs w:val="21"/>
          <w:highlight w:val="none"/>
        </w:rPr>
      </w:pPr>
      <w:r>
        <w:rPr>
          <w:rFonts w:hint="eastAsia" w:ascii="宋体" w:hAnsi="宋体" w:cs="宋体"/>
          <w:szCs w:val="21"/>
          <w:highlight w:val="none"/>
        </w:rPr>
        <w:t>（4）在政府采购云平台开启供应商解密后的“资格文件”、“商务和技术文件”、“报价文件”，宣读供应商名称、报价文件中“开标一览表”内容，以及招标人认为必要的其他内容与记录，并做开标记录；</w:t>
      </w:r>
    </w:p>
    <w:p w14:paraId="040C5349">
      <w:pPr>
        <w:spacing w:line="400" w:lineRule="exact"/>
        <w:ind w:firstLine="420" w:firstLineChars="200"/>
        <w:rPr>
          <w:rFonts w:ascii="宋体" w:hAnsi="宋体" w:cs="宋体"/>
          <w:szCs w:val="21"/>
          <w:highlight w:val="none"/>
        </w:rPr>
      </w:pPr>
      <w:r>
        <w:rPr>
          <w:rFonts w:hint="eastAsia" w:ascii="宋体" w:hAnsi="宋体" w:cs="宋体"/>
          <w:szCs w:val="21"/>
          <w:highlight w:val="none"/>
        </w:rPr>
        <w:t>（5）开标记录在政采云网站确认；</w:t>
      </w:r>
    </w:p>
    <w:p w14:paraId="73DF108A">
      <w:pPr>
        <w:spacing w:line="400" w:lineRule="exact"/>
        <w:ind w:firstLine="420" w:firstLineChars="200"/>
        <w:rPr>
          <w:rFonts w:ascii="宋体" w:hAnsi="宋体" w:cs="宋体"/>
          <w:szCs w:val="21"/>
          <w:highlight w:val="none"/>
        </w:rPr>
      </w:pPr>
      <w:r>
        <w:rPr>
          <w:rFonts w:hint="eastAsia" w:ascii="宋体" w:hAnsi="宋体" w:cs="宋体"/>
          <w:szCs w:val="21"/>
          <w:highlight w:val="none"/>
        </w:rPr>
        <w:t>（6）开标结束。休会，评标委员会对“资格文件”、“商务和技术文件”、“报价文件”进行评审；</w:t>
      </w:r>
    </w:p>
    <w:p w14:paraId="3CC5D4D2">
      <w:pPr>
        <w:spacing w:line="400" w:lineRule="exact"/>
        <w:ind w:firstLine="420" w:firstLineChars="200"/>
        <w:rPr>
          <w:rFonts w:ascii="宋体" w:hAnsi="宋体" w:cs="宋体"/>
          <w:szCs w:val="21"/>
          <w:highlight w:val="none"/>
        </w:rPr>
      </w:pPr>
      <w:r>
        <w:rPr>
          <w:rFonts w:hint="eastAsia" w:ascii="宋体" w:hAnsi="宋体" w:cs="宋体"/>
          <w:szCs w:val="21"/>
          <w:highlight w:val="none"/>
        </w:rPr>
        <w:t>（7）在政府采购云平台公布中标候选人名单及招标人最终确定中标供应商名单的时间和公告方式等。</w:t>
      </w:r>
    </w:p>
    <w:p w14:paraId="3643940D">
      <w:pPr>
        <w:spacing w:line="400" w:lineRule="exact"/>
        <w:ind w:firstLine="420" w:firstLineChars="200"/>
        <w:rPr>
          <w:rFonts w:ascii="宋体" w:hAnsi="宋体" w:cs="宋体"/>
          <w:szCs w:val="21"/>
          <w:highlight w:val="none"/>
        </w:rPr>
      </w:pPr>
      <w:r>
        <w:rPr>
          <w:rFonts w:hint="eastAsia" w:ascii="宋体" w:hAnsi="宋体" w:cs="宋体"/>
          <w:szCs w:val="21"/>
          <w:highlight w:val="none"/>
        </w:rPr>
        <w:t>3.特别说明：政府采购云平台如对电子化开标及评审程序有调整的，按调整后的程序操作。</w:t>
      </w:r>
    </w:p>
    <w:p w14:paraId="3FDC6382">
      <w:pPr>
        <w:spacing w:line="400" w:lineRule="exact"/>
        <w:ind w:firstLine="420" w:firstLineChars="200"/>
        <w:rPr>
          <w:rFonts w:ascii="宋体" w:hAnsi="宋体" w:cs="宋体"/>
          <w:szCs w:val="21"/>
          <w:highlight w:val="none"/>
        </w:rPr>
      </w:pPr>
      <w:r>
        <w:rPr>
          <w:rFonts w:hint="eastAsia" w:ascii="宋体" w:hAnsi="宋体" w:cs="宋体"/>
          <w:szCs w:val="21"/>
          <w:highlight w:val="none"/>
        </w:rPr>
        <w:t>本项目原则上采用政采云电子投标开标及评审程序，但有下情形之一的，按以下情况处理：</w:t>
      </w:r>
    </w:p>
    <w:p w14:paraId="1F09FAE6">
      <w:pPr>
        <w:spacing w:line="400" w:lineRule="exact"/>
        <w:ind w:firstLine="420" w:firstLineChars="200"/>
        <w:rPr>
          <w:rFonts w:ascii="宋体" w:hAnsi="宋体" w:cs="宋体"/>
          <w:szCs w:val="21"/>
          <w:highlight w:val="none"/>
        </w:rPr>
      </w:pPr>
      <w:r>
        <w:rPr>
          <w:rFonts w:hint="eastAsia" w:ascii="宋体" w:hAnsi="宋体" w:cs="宋体"/>
          <w:szCs w:val="21"/>
          <w:highlight w:val="none"/>
        </w:rPr>
        <w:t>（1）若供应商在规定时间内无法解密或解密失败，代理机构将开启上述供应商递交的以U盘存储的电子备份投标文件，上传至政采云平台项目采购模块，以完成开标，电子投标文件自动失效。</w:t>
      </w:r>
    </w:p>
    <w:p w14:paraId="4F479945">
      <w:pPr>
        <w:spacing w:line="400" w:lineRule="exact"/>
        <w:ind w:firstLine="420" w:firstLineChars="200"/>
        <w:rPr>
          <w:rFonts w:ascii="宋体" w:hAnsi="宋体" w:cs="宋体"/>
          <w:szCs w:val="21"/>
          <w:highlight w:val="none"/>
        </w:rPr>
      </w:pPr>
      <w:r>
        <w:rPr>
          <w:rFonts w:hint="eastAsia" w:ascii="宋体" w:hAnsi="宋体" w:cs="宋体"/>
          <w:szCs w:val="21"/>
          <w:highlight w:val="none"/>
        </w:rPr>
        <w:t>（2）采购过程中出现以下情形，导致电子交易平台无法正常运行，或者无法保证电子交易的公平、公正和安全时，招标人（或代理机构）可中止电子交易活动：</w:t>
      </w:r>
    </w:p>
    <w:p w14:paraId="137F6A1B">
      <w:pPr>
        <w:spacing w:line="400" w:lineRule="exact"/>
        <w:ind w:firstLine="420" w:firstLineChars="200"/>
        <w:rPr>
          <w:rFonts w:ascii="宋体" w:hAnsi="宋体" w:cs="宋体"/>
          <w:szCs w:val="21"/>
          <w:highlight w:val="none"/>
        </w:rPr>
      </w:pPr>
      <w:r>
        <w:rPr>
          <w:rFonts w:hint="eastAsia" w:ascii="宋体" w:hAnsi="宋体" w:cs="宋体"/>
          <w:szCs w:val="21"/>
          <w:highlight w:val="none"/>
        </w:rPr>
        <w:t>①电子交易平台发生故障而无法登录访问的；</w:t>
      </w:r>
    </w:p>
    <w:p w14:paraId="3FC38341">
      <w:pPr>
        <w:spacing w:line="400" w:lineRule="exact"/>
        <w:ind w:firstLine="420" w:firstLineChars="200"/>
        <w:rPr>
          <w:rFonts w:ascii="宋体" w:hAnsi="宋体" w:cs="宋体"/>
          <w:szCs w:val="21"/>
          <w:highlight w:val="none"/>
        </w:rPr>
      </w:pPr>
      <w:r>
        <w:rPr>
          <w:rFonts w:hint="eastAsia" w:ascii="宋体" w:hAnsi="宋体" w:cs="宋体"/>
          <w:szCs w:val="21"/>
          <w:highlight w:val="none"/>
        </w:rPr>
        <w:t>②电子交易平台应用或数据库出现错误，不能进行正常操作的；</w:t>
      </w:r>
    </w:p>
    <w:p w14:paraId="50869905">
      <w:pPr>
        <w:spacing w:line="400" w:lineRule="exact"/>
        <w:ind w:firstLine="420" w:firstLineChars="200"/>
        <w:rPr>
          <w:rFonts w:ascii="宋体" w:hAnsi="宋体" w:cs="宋体"/>
          <w:szCs w:val="21"/>
          <w:highlight w:val="none"/>
        </w:rPr>
      </w:pPr>
      <w:r>
        <w:rPr>
          <w:rFonts w:hint="eastAsia" w:ascii="宋体" w:hAnsi="宋体" w:cs="宋体"/>
          <w:szCs w:val="21"/>
          <w:highlight w:val="none"/>
        </w:rPr>
        <w:t>③电子交易平台发现严重安全漏洞，有潜在泄密危险的；</w:t>
      </w:r>
    </w:p>
    <w:p w14:paraId="517F58E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④病毒发作导致不能进行正常操作的； </w:t>
      </w:r>
    </w:p>
    <w:p w14:paraId="444525E5">
      <w:pPr>
        <w:spacing w:line="400" w:lineRule="exact"/>
        <w:ind w:firstLine="420" w:firstLineChars="200"/>
        <w:rPr>
          <w:rFonts w:ascii="宋体" w:hAnsi="宋体" w:cs="宋体"/>
          <w:szCs w:val="21"/>
          <w:highlight w:val="none"/>
        </w:rPr>
      </w:pPr>
      <w:r>
        <w:rPr>
          <w:rFonts w:hint="eastAsia" w:ascii="宋体" w:hAnsi="宋体" w:cs="宋体"/>
          <w:szCs w:val="21"/>
          <w:highlight w:val="none"/>
        </w:rPr>
        <w:t>⑤其他无法保证电子交易的公平、公正和安全的情况。</w:t>
      </w:r>
    </w:p>
    <w:p w14:paraId="7F0F4E14">
      <w:pPr>
        <w:spacing w:line="400" w:lineRule="exact"/>
        <w:ind w:firstLine="420" w:firstLineChars="200"/>
        <w:rPr>
          <w:rFonts w:ascii="宋体" w:hAnsi="宋体" w:cs="宋体"/>
          <w:szCs w:val="21"/>
          <w:highlight w:val="none"/>
        </w:rPr>
      </w:pPr>
      <w:r>
        <w:rPr>
          <w:rFonts w:hint="eastAsia" w:ascii="宋体" w:hAnsi="宋体" w:cs="宋体"/>
          <w:szCs w:val="21"/>
          <w:highlight w:val="none"/>
        </w:rPr>
        <w:t>出现前款规定情形，不影响采购公平、公正性的，招标人（或代理机构）可以待上述情形消除后继续组织电子交易活动。</w:t>
      </w:r>
    </w:p>
    <w:p w14:paraId="3C76F904">
      <w:pPr>
        <w:spacing w:line="400" w:lineRule="exact"/>
        <w:rPr>
          <w:rFonts w:ascii="宋体" w:hAnsi="宋体" w:cs="宋体"/>
          <w:b/>
          <w:szCs w:val="21"/>
          <w:highlight w:val="none"/>
        </w:rPr>
      </w:pPr>
      <w:r>
        <w:rPr>
          <w:rFonts w:hint="eastAsia" w:ascii="宋体" w:hAnsi="宋体" w:cs="宋体"/>
          <w:b/>
          <w:szCs w:val="21"/>
          <w:highlight w:val="none"/>
        </w:rPr>
        <w:t>十三、评标</w:t>
      </w:r>
    </w:p>
    <w:p w14:paraId="517243E9">
      <w:pPr>
        <w:spacing w:line="400" w:lineRule="exact"/>
        <w:ind w:firstLine="420" w:firstLineChars="200"/>
        <w:rPr>
          <w:rFonts w:ascii="宋体" w:hAnsi="宋体" w:cs="宋体"/>
          <w:szCs w:val="21"/>
          <w:highlight w:val="none"/>
        </w:rPr>
      </w:pPr>
      <w:r>
        <w:rPr>
          <w:rFonts w:hint="eastAsia" w:ascii="宋体" w:hAnsi="宋体" w:cs="宋体"/>
          <w:szCs w:val="21"/>
          <w:highlight w:val="none"/>
        </w:rPr>
        <w:t>1.招标人依据《中华人民共和国政府采购法》、《中华人民共和国政府采购法实施条例》等有关规定组建评标委员会。评标委员会由招标人代表和专家组成，负责本项目的评标工作。</w:t>
      </w:r>
    </w:p>
    <w:p w14:paraId="53024F8B">
      <w:pPr>
        <w:spacing w:line="400" w:lineRule="exact"/>
        <w:ind w:firstLine="420" w:firstLineChars="200"/>
        <w:rPr>
          <w:rFonts w:ascii="宋体" w:hAnsi="宋体" w:cs="宋体"/>
          <w:szCs w:val="21"/>
          <w:highlight w:val="none"/>
        </w:rPr>
      </w:pPr>
      <w:r>
        <w:rPr>
          <w:rFonts w:hint="eastAsia" w:ascii="宋体" w:hAnsi="宋体" w:cs="宋体"/>
          <w:szCs w:val="21"/>
          <w:highlight w:val="none"/>
        </w:rPr>
        <w:t>2.评标活动遵循公开、公平、公正、科学和择优的原则。</w:t>
      </w:r>
    </w:p>
    <w:p w14:paraId="3B5E3144">
      <w:pPr>
        <w:spacing w:line="400" w:lineRule="exact"/>
        <w:ind w:firstLine="420" w:firstLineChars="200"/>
        <w:rPr>
          <w:rFonts w:ascii="宋体" w:hAnsi="宋体" w:cs="宋体"/>
          <w:szCs w:val="21"/>
          <w:highlight w:val="none"/>
        </w:rPr>
      </w:pPr>
      <w:r>
        <w:rPr>
          <w:rFonts w:hint="eastAsia" w:ascii="宋体" w:hAnsi="宋体" w:cs="宋体"/>
          <w:szCs w:val="21"/>
          <w:highlight w:val="none"/>
        </w:rPr>
        <w:t>3.评标委员会按照第五章“评标办法及标准”对投标文件进行评审。第五章“评标办法及标准”没有规定的方法、评审因素和标准，不作为评标依据。</w:t>
      </w:r>
    </w:p>
    <w:p w14:paraId="6353B226">
      <w:pPr>
        <w:spacing w:line="400" w:lineRule="exact"/>
        <w:rPr>
          <w:rFonts w:ascii="宋体" w:hAnsi="宋体" w:cs="宋体"/>
          <w:b/>
          <w:szCs w:val="21"/>
          <w:highlight w:val="none"/>
        </w:rPr>
      </w:pPr>
      <w:r>
        <w:rPr>
          <w:rFonts w:hint="eastAsia" w:ascii="宋体" w:hAnsi="宋体" w:cs="宋体"/>
          <w:b/>
          <w:szCs w:val="21"/>
          <w:highlight w:val="none"/>
        </w:rPr>
        <w:t>十四、招标文件的澄清和修改</w:t>
      </w:r>
    </w:p>
    <w:p w14:paraId="5AA97277">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
          <w:szCs w:val="21"/>
          <w:highlight w:val="none"/>
        </w:rPr>
        <w:t>招标人可以对已发出的招标文件进行必要的澄清或者修改，将以“更正公告”的形式发布在政采云平台，供应商应及时登录政采云平台，进行浏览并下载，未及时浏览下载的责任自负。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供应商具有约束力。</w:t>
      </w:r>
    </w:p>
    <w:p w14:paraId="705DE40B">
      <w:pPr>
        <w:spacing w:line="400" w:lineRule="exact"/>
        <w:rPr>
          <w:rFonts w:ascii="宋体" w:hAnsi="宋体" w:cs="宋体"/>
          <w:b/>
          <w:szCs w:val="21"/>
          <w:highlight w:val="none"/>
        </w:rPr>
      </w:pPr>
      <w:r>
        <w:rPr>
          <w:rFonts w:hint="eastAsia" w:ascii="宋体" w:hAnsi="宋体" w:cs="宋体"/>
          <w:b/>
          <w:szCs w:val="21"/>
          <w:highlight w:val="none"/>
        </w:rPr>
        <w:t>十五、质疑与投诉</w:t>
      </w:r>
    </w:p>
    <w:p w14:paraId="23610A21">
      <w:pPr>
        <w:spacing w:line="400" w:lineRule="exact"/>
        <w:ind w:firstLine="420" w:firstLineChars="200"/>
        <w:rPr>
          <w:rFonts w:ascii="宋体" w:hAnsi="宋体" w:cs="宋体"/>
          <w:szCs w:val="21"/>
          <w:highlight w:val="none"/>
        </w:rPr>
      </w:pPr>
      <w:r>
        <w:rPr>
          <w:rFonts w:hint="eastAsia" w:ascii="宋体" w:hAnsi="宋体" w:cs="宋体"/>
          <w:szCs w:val="21"/>
          <w:highlight w:val="none"/>
        </w:rPr>
        <w:t>1.供应商认为招标文件、采购过程、中标或者成交结果使自己的权益受到损害的，可以在知道或者应知其权益受到损害之日起7个工作日内，以书面形式向招标人、代理机构提出质疑。供应商应当在法定质疑期内一次性提出针对招标公告、招标文件、开标评标、采购结果等同一采购程序环节的质疑，第二次提出的质疑视为质疑无效，招标人、代理机构将不予受理（对于招标人、代理机构作出的澄清或者修改的内容提出质疑的除外）。</w:t>
      </w:r>
    </w:p>
    <w:p w14:paraId="5C6F4C38">
      <w:pPr>
        <w:spacing w:line="400" w:lineRule="exact"/>
        <w:ind w:firstLine="420" w:firstLineChars="200"/>
        <w:rPr>
          <w:rFonts w:ascii="宋体" w:hAnsi="宋体" w:cs="宋体"/>
          <w:szCs w:val="21"/>
          <w:highlight w:val="none"/>
        </w:rPr>
      </w:pPr>
      <w:r>
        <w:rPr>
          <w:rFonts w:hint="eastAsia" w:ascii="宋体" w:hAnsi="宋体" w:cs="宋体"/>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349A7297">
      <w:pPr>
        <w:spacing w:line="400" w:lineRule="exact"/>
        <w:ind w:firstLine="420" w:firstLineChars="200"/>
        <w:rPr>
          <w:rFonts w:ascii="宋体" w:hAnsi="宋体" w:cs="宋体"/>
          <w:szCs w:val="21"/>
          <w:highlight w:val="none"/>
        </w:rPr>
      </w:pPr>
      <w:r>
        <w:rPr>
          <w:rFonts w:hint="eastAsia" w:ascii="宋体" w:hAnsi="宋体" w:cs="宋体"/>
          <w:szCs w:val="21"/>
          <w:highlight w:val="none"/>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1C5F6D1C">
      <w:pPr>
        <w:spacing w:line="400" w:lineRule="exact"/>
        <w:ind w:firstLine="420" w:firstLineChars="200"/>
        <w:rPr>
          <w:rFonts w:ascii="宋体" w:hAnsi="宋体" w:cs="宋体"/>
          <w:szCs w:val="21"/>
          <w:highlight w:val="none"/>
        </w:rPr>
      </w:pPr>
      <w:r>
        <w:rPr>
          <w:rFonts w:hint="eastAsia" w:ascii="宋体" w:hAnsi="宋体" w:cs="宋体"/>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164FC346">
      <w:pPr>
        <w:spacing w:line="400" w:lineRule="exact"/>
        <w:ind w:firstLine="420" w:firstLineChars="200"/>
        <w:rPr>
          <w:rFonts w:ascii="宋体" w:hAnsi="宋体" w:cs="宋体"/>
          <w:szCs w:val="21"/>
          <w:highlight w:val="none"/>
        </w:rPr>
      </w:pPr>
      <w:r>
        <w:rPr>
          <w:rFonts w:hint="eastAsia" w:ascii="宋体" w:hAnsi="宋体" w:cs="宋体"/>
          <w:szCs w:val="21"/>
          <w:highlight w:val="none"/>
        </w:rPr>
        <w:t>5.招标人、代理机构接收质疑函的方式：只接收供应商以当面递交、邮寄、传真或电子邮件方式提出的质疑函，以其他方式提出的质疑不予接收。</w:t>
      </w:r>
    </w:p>
    <w:p w14:paraId="1293D7B1">
      <w:pPr>
        <w:spacing w:line="400" w:lineRule="exact"/>
        <w:ind w:firstLine="420" w:firstLineChars="200"/>
        <w:rPr>
          <w:rFonts w:ascii="宋体" w:hAnsi="宋体" w:cs="宋体"/>
          <w:szCs w:val="21"/>
          <w:highlight w:val="none"/>
        </w:rPr>
      </w:pPr>
      <w:r>
        <w:rPr>
          <w:rFonts w:hint="eastAsia" w:ascii="宋体" w:hAnsi="宋体" w:cs="宋体"/>
          <w:szCs w:val="21"/>
          <w:highlight w:val="none"/>
        </w:rPr>
        <w:t>采取邮寄方式的，提出质疑的时间为质疑函原件交邮的时间（以邮戳时间或快递收件时间为准）。</w:t>
      </w:r>
    </w:p>
    <w:p w14:paraId="43AFD9B0">
      <w:pPr>
        <w:spacing w:line="400" w:lineRule="exact"/>
        <w:ind w:firstLine="420" w:firstLineChars="200"/>
        <w:rPr>
          <w:rFonts w:ascii="宋体" w:hAnsi="宋体" w:cs="宋体"/>
          <w:szCs w:val="21"/>
          <w:highlight w:val="none"/>
        </w:rPr>
      </w:pPr>
      <w:r>
        <w:rPr>
          <w:rFonts w:hint="eastAsia" w:ascii="宋体" w:hAnsi="宋体" w:cs="宋体"/>
          <w:szCs w:val="21"/>
          <w:highlight w:val="none"/>
        </w:rPr>
        <w:t>采取传真、电子邮件方式的，供应商应当在传真、电子邮件发出后将质疑函原件邮寄给被质疑人，提出质疑的时间为质疑函原件交邮的时间（以邮戳时间或快递收件时间为准）。</w:t>
      </w:r>
    </w:p>
    <w:p w14:paraId="658A10B4">
      <w:pPr>
        <w:spacing w:line="400" w:lineRule="exact"/>
        <w:ind w:firstLine="420" w:firstLineChars="200"/>
        <w:rPr>
          <w:rFonts w:ascii="宋体" w:hAnsi="宋体" w:cs="宋体"/>
          <w:szCs w:val="21"/>
          <w:highlight w:val="none"/>
        </w:rPr>
      </w:pPr>
      <w:r>
        <w:rPr>
          <w:rFonts w:hint="eastAsia" w:ascii="宋体" w:hAnsi="宋体" w:cs="宋体"/>
          <w:szCs w:val="21"/>
          <w:highlight w:val="none"/>
        </w:rPr>
        <w:t>6.招标人、代理机构以实际收到质疑函原件之日作为收到质疑函的日期，将在收到质疑函后7个工作日内作出答复。</w:t>
      </w:r>
    </w:p>
    <w:p w14:paraId="1B3AFBF3">
      <w:pPr>
        <w:spacing w:line="400" w:lineRule="exact"/>
        <w:ind w:firstLine="420" w:firstLineChars="200"/>
        <w:rPr>
          <w:rFonts w:ascii="宋体" w:hAnsi="宋体" w:cs="宋体"/>
          <w:szCs w:val="21"/>
          <w:highlight w:val="none"/>
        </w:rPr>
      </w:pPr>
      <w:r>
        <w:rPr>
          <w:rFonts w:hint="eastAsia" w:ascii="宋体" w:hAnsi="宋体" w:cs="宋体"/>
          <w:szCs w:val="21"/>
          <w:highlight w:val="none"/>
        </w:rPr>
        <w:t>7.招标人、代理机构接收质疑函的联系人、联系电话和通讯地址等信息详见招标公告。</w:t>
      </w:r>
    </w:p>
    <w:p w14:paraId="227A3484">
      <w:pPr>
        <w:spacing w:line="400" w:lineRule="exact"/>
        <w:rPr>
          <w:rFonts w:ascii="宋体" w:hAnsi="宋体" w:cs="宋体"/>
          <w:szCs w:val="21"/>
          <w:highlight w:val="none"/>
        </w:rPr>
      </w:pPr>
      <w:r>
        <w:rPr>
          <w:rFonts w:hint="eastAsia" w:ascii="宋体" w:hAnsi="宋体" w:cs="宋体"/>
          <w:b/>
          <w:szCs w:val="21"/>
          <w:highlight w:val="none"/>
        </w:rPr>
        <w:t>▲十六、预算价（最高限价）</w:t>
      </w:r>
    </w:p>
    <w:p w14:paraId="5C2D1A34">
      <w:pPr>
        <w:spacing w:line="400" w:lineRule="exact"/>
        <w:ind w:firstLine="420" w:firstLineChars="200"/>
        <w:rPr>
          <w:rFonts w:ascii="宋体" w:hAnsi="宋体" w:cs="宋体"/>
          <w:szCs w:val="21"/>
          <w:highlight w:val="none"/>
        </w:rPr>
      </w:pPr>
      <w:bookmarkStart w:id="4" w:name="_Hlk37142004"/>
      <w:r>
        <w:rPr>
          <w:rFonts w:hint="eastAsia" w:ascii="宋体" w:hAnsi="宋体" w:cs="宋体"/>
          <w:szCs w:val="21"/>
          <w:highlight w:val="none"/>
        </w:rPr>
        <w:t>1.本次公开招标设有预算价（最高限价）：人民币1500000.00元。投标报价超出预算价（最高限价）的投标将作为无效投标。</w:t>
      </w:r>
    </w:p>
    <w:p w14:paraId="4FBD2557">
      <w:pPr>
        <w:spacing w:line="400" w:lineRule="exact"/>
        <w:rPr>
          <w:rFonts w:ascii="宋体" w:hAnsi="宋体" w:cs="宋体"/>
          <w:b/>
          <w:szCs w:val="21"/>
          <w:highlight w:val="none"/>
        </w:rPr>
      </w:pPr>
      <w:r>
        <w:rPr>
          <w:rFonts w:hint="eastAsia" w:ascii="宋体" w:hAnsi="宋体" w:cs="宋体"/>
          <w:b/>
          <w:szCs w:val="21"/>
          <w:highlight w:val="none"/>
        </w:rPr>
        <w:t>十七、招标代理服务费</w:t>
      </w:r>
    </w:p>
    <w:p w14:paraId="7A9C4482">
      <w:pPr>
        <w:spacing w:line="400" w:lineRule="exact"/>
        <w:ind w:firstLine="422" w:firstLineChars="200"/>
        <w:rPr>
          <w:rFonts w:ascii="宋体" w:hAnsi="宋体" w:cs="宋体"/>
          <w:szCs w:val="21"/>
          <w:highlight w:val="none"/>
        </w:rPr>
      </w:pPr>
      <w:r>
        <w:rPr>
          <w:rFonts w:hint="eastAsia" w:ascii="宋体" w:hAnsi="宋体" w:cs="宋体"/>
          <w:b/>
          <w:szCs w:val="21"/>
          <w:highlight w:val="none"/>
        </w:rPr>
        <w:t>详见投标须知前附表。</w:t>
      </w:r>
    </w:p>
    <w:bookmarkEnd w:id="4"/>
    <w:p w14:paraId="40D2B5EE">
      <w:pPr>
        <w:spacing w:line="400" w:lineRule="exact"/>
        <w:rPr>
          <w:rFonts w:ascii="宋体" w:hAnsi="宋体" w:cs="宋体"/>
          <w:b/>
          <w:szCs w:val="21"/>
          <w:highlight w:val="none"/>
        </w:rPr>
      </w:pPr>
      <w:r>
        <w:rPr>
          <w:rFonts w:hint="eastAsia" w:ascii="宋体" w:hAnsi="宋体" w:cs="宋体"/>
          <w:b/>
          <w:szCs w:val="21"/>
          <w:highlight w:val="none"/>
        </w:rPr>
        <w:t>十八、特别说明</w:t>
      </w:r>
    </w:p>
    <w:p w14:paraId="4367D183">
      <w:pPr>
        <w:spacing w:line="400" w:lineRule="exact"/>
        <w:ind w:firstLine="420" w:firstLineChars="200"/>
        <w:rPr>
          <w:rFonts w:ascii="宋体" w:hAnsi="宋体" w:cs="宋体"/>
          <w:highlight w:val="none"/>
        </w:rPr>
      </w:pPr>
      <w:bookmarkStart w:id="5" w:name="_Toc25472"/>
      <w:bookmarkStart w:id="6" w:name="_Toc44162140"/>
      <w:bookmarkStart w:id="7" w:name="_Toc436408700"/>
      <w:bookmarkStart w:id="8" w:name="_Toc419729150"/>
      <w:bookmarkStart w:id="9" w:name="_Toc441316546"/>
      <w:bookmarkStart w:id="10" w:name="_Toc21541007"/>
      <w:r>
        <w:rPr>
          <w:rFonts w:hint="eastAsia" w:ascii="宋体" w:hAnsi="宋体" w:cs="宋体"/>
          <w:highlight w:val="none"/>
        </w:rPr>
        <w:t>1.政府采购活动中有关中小企业的相关规定（采购进口产品的项目不适用）：</w:t>
      </w:r>
      <w:bookmarkEnd w:id="5"/>
      <w:bookmarkEnd w:id="6"/>
      <w:bookmarkEnd w:id="7"/>
      <w:bookmarkEnd w:id="8"/>
      <w:bookmarkEnd w:id="9"/>
      <w:bookmarkEnd w:id="10"/>
    </w:p>
    <w:p w14:paraId="07D806C8">
      <w:pPr>
        <w:spacing w:line="400" w:lineRule="exact"/>
        <w:ind w:firstLine="420" w:firstLineChars="200"/>
        <w:rPr>
          <w:rFonts w:ascii="宋体" w:hAnsi="宋体" w:cs="宋体"/>
          <w:highlight w:val="none"/>
        </w:rPr>
      </w:pPr>
      <w:r>
        <w:rPr>
          <w:rFonts w:hint="eastAsia" w:ascii="宋体" w:hAnsi="宋体" w:cs="宋体"/>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29A9C47">
      <w:pPr>
        <w:spacing w:line="400" w:lineRule="exact"/>
        <w:ind w:firstLine="42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21F1A98E">
      <w:pPr>
        <w:spacing w:line="400" w:lineRule="exact"/>
        <w:ind w:firstLine="420" w:firstLineChars="200"/>
        <w:rPr>
          <w:rFonts w:ascii="宋体" w:hAnsi="宋体" w:cs="宋体"/>
          <w:highlight w:val="none"/>
        </w:rPr>
      </w:pPr>
      <w:r>
        <w:rPr>
          <w:rFonts w:hint="eastAsia" w:ascii="宋体" w:hAnsi="宋体" w:cs="宋体"/>
          <w:highlight w:val="none"/>
        </w:rPr>
        <w:t>（2）在政府采购活动中，供应商提供的货物、工程或者服务符合下列情形的，享受《政府采购促进中小企业发展管理办法》规定的中小企业扶持政策：</w:t>
      </w:r>
    </w:p>
    <w:p w14:paraId="2C040EE9">
      <w:pPr>
        <w:spacing w:line="400" w:lineRule="exact"/>
        <w:ind w:firstLine="420" w:firstLineChars="200"/>
        <w:rPr>
          <w:rFonts w:ascii="宋体" w:hAnsi="宋体" w:cs="宋体"/>
          <w:highlight w:val="none"/>
        </w:rPr>
      </w:pPr>
      <w:r>
        <w:rPr>
          <w:rFonts w:hint="eastAsia" w:ascii="宋体" w:hAnsi="宋体" w:cs="宋体"/>
          <w:highlight w:val="none"/>
        </w:rPr>
        <w:t>（2.1）在货物采购项目中，货物由中小企业制造，即货物由中小企业生产且使用该中小企业商号或者注册商标；</w:t>
      </w:r>
    </w:p>
    <w:p w14:paraId="56C42251">
      <w:pPr>
        <w:spacing w:line="400" w:lineRule="exact"/>
        <w:ind w:firstLine="420" w:firstLineChars="200"/>
        <w:rPr>
          <w:rFonts w:ascii="宋体" w:hAnsi="宋体" w:cs="宋体"/>
          <w:highlight w:val="none"/>
        </w:rPr>
      </w:pPr>
      <w:r>
        <w:rPr>
          <w:rFonts w:hint="eastAsia" w:ascii="宋体" w:hAnsi="宋体" w:cs="宋体"/>
          <w:highlight w:val="none"/>
        </w:rPr>
        <w:t>（2.2）在工程采购项目中，工程由中小企业承建，即工程施工单位为中小企业；</w:t>
      </w:r>
    </w:p>
    <w:p w14:paraId="1B784BA8">
      <w:pPr>
        <w:spacing w:line="400" w:lineRule="exact"/>
        <w:ind w:firstLine="420" w:firstLineChars="200"/>
        <w:rPr>
          <w:rFonts w:ascii="宋体" w:hAnsi="宋体" w:cs="宋体"/>
          <w:highlight w:val="none"/>
        </w:rPr>
      </w:pPr>
      <w:r>
        <w:rPr>
          <w:rFonts w:hint="eastAsia" w:ascii="宋体" w:hAnsi="宋体" w:cs="宋体"/>
          <w:highlight w:val="none"/>
        </w:rPr>
        <w:t>（2.3）在服务采购项目中，服务由中小企业承接，即提供服务的人员为中小企业依照《中华人民共和国劳动民法典》订立劳动合同的从业人员。</w:t>
      </w:r>
    </w:p>
    <w:p w14:paraId="74E4C6B0">
      <w:pPr>
        <w:spacing w:line="400" w:lineRule="exact"/>
        <w:ind w:firstLine="420" w:firstLineChars="200"/>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在货物采购项目中，供应商提供的货物既有中小企业制造货物，也有大型企业制造货物的，不享受《政府采购促进中小企业发展管理办法》规定的中小企业扶持政策。</w:t>
      </w:r>
    </w:p>
    <w:p w14:paraId="1AF12F7D">
      <w:pPr>
        <w:spacing w:line="400" w:lineRule="exact"/>
        <w:ind w:firstLine="420" w:firstLineChars="200"/>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26F3F835">
      <w:pPr>
        <w:spacing w:line="400" w:lineRule="exact"/>
        <w:ind w:firstLine="420" w:firstLineChars="200"/>
        <w:rPr>
          <w:rFonts w:ascii="宋体" w:hAnsi="宋体" w:cs="宋体"/>
          <w:highlight w:val="none"/>
        </w:rPr>
      </w:pPr>
      <w:r>
        <w:rPr>
          <w:rFonts w:hint="eastAsia" w:ascii="宋体" w:hAnsi="宋体" w:cs="宋体"/>
          <w:highlight w:val="none"/>
        </w:rPr>
        <w:t>（3）中小企业参加政府采购活动，应当出具《政府采购促进中小企业发展管理办法》规定的《中小企业声明函》（格式见本招标文件附件），否则不得享受相关中小企业扶持政策。</w:t>
      </w:r>
    </w:p>
    <w:p w14:paraId="7D1EA333">
      <w:pPr>
        <w:spacing w:line="400" w:lineRule="exact"/>
        <w:ind w:firstLine="420" w:firstLineChars="200"/>
        <w:rPr>
          <w:rFonts w:ascii="宋体" w:hAnsi="宋体" w:cs="宋体"/>
          <w:highlight w:val="none"/>
        </w:rPr>
      </w:pPr>
      <w:r>
        <w:rPr>
          <w:rFonts w:hint="eastAsia" w:ascii="宋体" w:hAnsi="宋体" w:cs="宋体"/>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5C88C92">
      <w:pPr>
        <w:spacing w:line="400" w:lineRule="exact"/>
        <w:ind w:firstLine="420" w:firstLineChars="200"/>
        <w:rPr>
          <w:rFonts w:ascii="宋体" w:hAnsi="宋体" w:cs="宋体"/>
          <w:highlight w:val="none"/>
        </w:rPr>
      </w:pPr>
      <w:r>
        <w:rPr>
          <w:rFonts w:hint="eastAsia" w:ascii="宋体" w:hAnsi="宋体" w:cs="宋体"/>
          <w:highlight w:val="none"/>
        </w:rPr>
        <w:t>供应商提供声明函内容不实的，属于提供虚假材料谋取中标、成交，依照《中华人民共和国政府采购法》等国家有关规定追究相应责任。</w:t>
      </w:r>
    </w:p>
    <w:p w14:paraId="29FC2249">
      <w:pPr>
        <w:spacing w:line="400" w:lineRule="exact"/>
        <w:ind w:firstLine="420" w:firstLineChars="200"/>
        <w:rPr>
          <w:rFonts w:ascii="宋体" w:hAnsi="宋体" w:cs="宋体"/>
          <w:highlight w:val="none"/>
        </w:rPr>
      </w:pPr>
      <w:r>
        <w:rPr>
          <w:rFonts w:hint="eastAsia" w:ascii="宋体" w:hAnsi="宋体" w:cs="宋体"/>
          <w:highlight w:val="none"/>
        </w:rPr>
        <w:t>适用招标投标法的政府采购工程建设项目，供应商提供声明函内容不实的，属于弄虚作假骗取中标，依照《中华人民共和国招标投标法》等国家有关规定追究相应责任。</w:t>
      </w:r>
    </w:p>
    <w:p w14:paraId="2E83B668">
      <w:pPr>
        <w:spacing w:line="400" w:lineRule="exact"/>
        <w:ind w:firstLine="420" w:firstLineChars="200"/>
        <w:rPr>
          <w:rFonts w:ascii="宋体" w:hAnsi="宋体" w:cs="宋体"/>
          <w:highlight w:val="none"/>
        </w:rPr>
      </w:pPr>
      <w:r>
        <w:rPr>
          <w:rFonts w:hint="eastAsia" w:ascii="宋体" w:hAnsi="宋体" w:cs="宋体"/>
          <w:highlight w:val="none"/>
        </w:rPr>
        <w:t>（5）《中小企业声明函》由参加投标的供应商提交，如供应商为代理商，须自行采集制造商的中小企业划分类型信息填入相应栏目并对其真实性负责。</w:t>
      </w:r>
    </w:p>
    <w:p w14:paraId="32C19B4C">
      <w:pPr>
        <w:spacing w:line="400" w:lineRule="exact"/>
        <w:ind w:firstLine="420" w:firstLineChars="200"/>
        <w:rPr>
          <w:rFonts w:ascii="宋体" w:hAnsi="宋体" w:cs="宋体"/>
          <w:highlight w:val="none"/>
        </w:rPr>
      </w:pPr>
      <w:bookmarkStart w:id="11" w:name="_Toc21541015"/>
      <w:bookmarkStart w:id="12" w:name="_Toc26428"/>
      <w:bookmarkStart w:id="13" w:name="_Toc44162148"/>
      <w:bookmarkStart w:id="14" w:name="_Toc495244277"/>
      <w:r>
        <w:rPr>
          <w:rFonts w:hint="eastAsia" w:ascii="宋体" w:hAnsi="宋体" w:cs="宋体"/>
          <w:highlight w:val="none"/>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14:paraId="09F98759">
      <w:pPr>
        <w:spacing w:line="400" w:lineRule="exact"/>
        <w:ind w:firstLine="420" w:firstLineChars="200"/>
        <w:rPr>
          <w:rFonts w:ascii="宋体" w:hAnsi="宋体" w:cs="宋体"/>
          <w:highlight w:val="none"/>
        </w:rPr>
      </w:pPr>
      <w:bookmarkStart w:id="15" w:name="_Toc22421"/>
      <w:bookmarkStart w:id="16" w:name="_Toc44162149"/>
      <w:bookmarkStart w:id="17" w:name="_Toc21541016"/>
      <w:r>
        <w:rPr>
          <w:rFonts w:hint="eastAsia" w:ascii="宋体" w:hAnsi="宋体" w:cs="宋体"/>
          <w:highlight w:val="none"/>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14:paraId="0F3293BC">
      <w:pPr>
        <w:spacing w:line="400" w:lineRule="exact"/>
        <w:ind w:firstLine="420" w:firstLineChars="200"/>
        <w:rPr>
          <w:rFonts w:ascii="宋体" w:hAnsi="宋体" w:cs="宋体"/>
          <w:highlight w:val="none"/>
        </w:rPr>
      </w:pPr>
      <w:r>
        <w:rPr>
          <w:rFonts w:hint="eastAsia" w:ascii="宋体" w:hAnsi="宋体" w:cs="宋体"/>
          <w:highlight w:val="none"/>
        </w:rPr>
        <w:t>4.联合体规定</w:t>
      </w:r>
    </w:p>
    <w:p w14:paraId="39092E41">
      <w:pPr>
        <w:spacing w:line="400" w:lineRule="exact"/>
        <w:ind w:firstLine="420" w:firstLineChars="200"/>
        <w:rPr>
          <w:rFonts w:ascii="宋体" w:hAnsi="宋体" w:cs="宋体"/>
          <w:highlight w:val="none"/>
        </w:rPr>
      </w:pPr>
      <w:r>
        <w:rPr>
          <w:rFonts w:hint="eastAsia" w:ascii="宋体" w:hAnsi="宋体" w:cs="宋体"/>
          <w:highlight w:val="none"/>
        </w:rPr>
        <w:t>两个以上供应商可以组成一个投标联合体，以一个供应商的身份投标。联合体各方之间应当签订联合体协议，明确约定联合体各方承担的工作和相应的责任。以联合体形式参加投标的，联合体各方均应当符合政府采购法第二十二条第一款规定的条件。采购项目有特定资格条件规定的，联合体各方中至少应当有一方符合特定资格条件要求。</w:t>
      </w:r>
    </w:p>
    <w:p w14:paraId="108078B4">
      <w:pPr>
        <w:spacing w:line="400" w:lineRule="exact"/>
        <w:ind w:firstLine="420" w:firstLineChars="200"/>
        <w:rPr>
          <w:rFonts w:ascii="宋体" w:hAnsi="宋体" w:cs="宋体"/>
          <w:highlight w:val="none"/>
        </w:rPr>
      </w:pPr>
      <w:r>
        <w:rPr>
          <w:rFonts w:hint="eastAsia" w:ascii="宋体" w:hAnsi="宋体" w:cs="宋体"/>
          <w:highlight w:val="none"/>
        </w:rPr>
        <w:t>联合体中有同类资质的供应商按照联合体分工承担相同工作的，按照资质等级较低的供应商认定资质等级。</w:t>
      </w:r>
    </w:p>
    <w:p w14:paraId="46F7226F">
      <w:pPr>
        <w:spacing w:line="400" w:lineRule="exact"/>
        <w:ind w:firstLine="420" w:firstLineChars="200"/>
        <w:rPr>
          <w:rFonts w:ascii="宋体" w:hAnsi="宋体" w:cs="宋体"/>
          <w:highlight w:val="none"/>
        </w:rPr>
      </w:pPr>
      <w:r>
        <w:rPr>
          <w:rFonts w:hint="eastAsia" w:ascii="宋体" w:hAnsi="宋体" w:cs="宋体"/>
          <w:highlight w:val="none"/>
        </w:rPr>
        <w:t>以联合体形式参加政府采购活动的，联合体各方不得再单独参加或者与其他供应商另外组成联合体参加同一标项号的政府采购活动。</w:t>
      </w:r>
    </w:p>
    <w:p w14:paraId="10FC55CE">
      <w:pPr>
        <w:spacing w:line="400" w:lineRule="exact"/>
        <w:ind w:firstLine="420" w:firstLineChars="200"/>
        <w:rPr>
          <w:rFonts w:ascii="宋体" w:hAnsi="宋体" w:cs="宋体"/>
          <w:highlight w:val="none"/>
        </w:rPr>
      </w:pPr>
      <w:bookmarkStart w:id="18" w:name="_Toc21541017"/>
      <w:bookmarkStart w:id="19" w:name="_Toc44162150"/>
      <w:bookmarkStart w:id="20" w:name="_Toc14131"/>
      <w:bookmarkStart w:id="21" w:name="_Toc419729158"/>
      <w:r>
        <w:rPr>
          <w:rFonts w:hint="eastAsia" w:ascii="宋体" w:hAnsi="宋体" w:cs="宋体"/>
          <w:highlight w:val="none"/>
        </w:rPr>
        <w:t>5.本项目不组织潜在供应商现场考察或者召开开标前答疑。</w:t>
      </w:r>
      <w:bookmarkEnd w:id="18"/>
      <w:bookmarkEnd w:id="19"/>
      <w:bookmarkEnd w:id="20"/>
    </w:p>
    <w:p w14:paraId="6E8ADEDA">
      <w:pPr>
        <w:spacing w:line="400" w:lineRule="exact"/>
        <w:ind w:firstLine="420" w:firstLineChars="200"/>
        <w:rPr>
          <w:rFonts w:ascii="宋体" w:hAnsi="宋体" w:cs="宋体"/>
          <w:highlight w:val="none"/>
        </w:rPr>
      </w:pPr>
      <w:bookmarkStart w:id="22" w:name="_Toc44162151"/>
      <w:bookmarkStart w:id="23" w:name="_Toc21897"/>
      <w:bookmarkStart w:id="24" w:name="_Toc21541018"/>
      <w:r>
        <w:rPr>
          <w:rFonts w:hint="eastAsia" w:ascii="宋体" w:hAnsi="宋体" w:cs="宋体"/>
          <w:highlight w:val="none"/>
        </w:rPr>
        <w:t>6.本文件未及事项，在签订合同时供需及使用方友好商定。</w:t>
      </w:r>
      <w:bookmarkEnd w:id="21"/>
      <w:bookmarkEnd w:id="22"/>
      <w:bookmarkEnd w:id="23"/>
      <w:bookmarkEnd w:id="24"/>
    </w:p>
    <w:p w14:paraId="032C0B72">
      <w:pPr>
        <w:spacing w:line="400" w:lineRule="exact"/>
        <w:ind w:firstLine="422" w:firstLineChars="200"/>
        <w:rPr>
          <w:rFonts w:ascii="宋体" w:hAnsi="宋体" w:cs="宋体"/>
          <w:b/>
          <w:highlight w:val="none"/>
        </w:rPr>
      </w:pPr>
      <w:r>
        <w:rPr>
          <w:rFonts w:hint="eastAsia" w:ascii="宋体" w:hAnsi="宋体" w:cs="宋体"/>
          <w:b/>
          <w:highlight w:val="none"/>
        </w:rPr>
        <w:t>7.不同供应商的投标文件出自同一终端设备或在相同Internet主机分配地址（相同IP地址）网上报名投标的作无效标处理。</w:t>
      </w:r>
    </w:p>
    <w:p w14:paraId="2D993C4A">
      <w:pPr>
        <w:spacing w:line="400" w:lineRule="exact"/>
        <w:ind w:firstLine="420" w:firstLineChars="200"/>
        <w:rPr>
          <w:rFonts w:ascii="宋体" w:hAnsi="宋体" w:cs="宋体"/>
          <w:highlight w:val="none"/>
        </w:rPr>
      </w:pPr>
      <w:bookmarkStart w:id="25" w:name="_Toc419729159"/>
      <w:r>
        <w:rPr>
          <w:rFonts w:hint="eastAsia" w:ascii="宋体" w:hAnsi="宋体" w:cs="宋体"/>
          <w:highlight w:val="none"/>
        </w:rPr>
        <w:t>本招标文件解释权归招标人。</w:t>
      </w:r>
      <w:bookmarkEnd w:id="25"/>
    </w:p>
    <w:p w14:paraId="66AE0ACC">
      <w:pPr>
        <w:spacing w:line="400" w:lineRule="exact"/>
        <w:jc w:val="center"/>
        <w:outlineLvl w:val="0"/>
        <w:rPr>
          <w:rFonts w:ascii="宋体" w:hAnsi="宋体" w:cs="宋体"/>
          <w:b/>
          <w:sz w:val="32"/>
          <w:highlight w:val="none"/>
        </w:rPr>
      </w:pPr>
      <w:r>
        <w:rPr>
          <w:rFonts w:hint="eastAsia" w:ascii="宋体" w:hAnsi="宋体" w:cs="宋体"/>
          <w:b/>
          <w:sz w:val="32"/>
          <w:highlight w:val="none"/>
        </w:rPr>
        <w:br w:type="page"/>
      </w:r>
      <w:bookmarkStart w:id="26" w:name="_Toc10820"/>
      <w:r>
        <w:rPr>
          <w:rFonts w:hint="eastAsia" w:ascii="宋体" w:hAnsi="宋体" w:cs="宋体"/>
          <w:b/>
          <w:sz w:val="32"/>
          <w:highlight w:val="none"/>
        </w:rPr>
        <w:t>第三章  招标内容与服务需求</w:t>
      </w:r>
      <w:bookmarkEnd w:id="26"/>
    </w:p>
    <w:p w14:paraId="02AAB35F">
      <w:pPr>
        <w:spacing w:line="400" w:lineRule="exact"/>
        <w:jc w:val="left"/>
        <w:rPr>
          <w:rFonts w:asciiTheme="minorEastAsia" w:hAnsiTheme="minorEastAsia" w:eastAsiaTheme="minorEastAsia" w:cstheme="minorEastAsia"/>
          <w:b/>
          <w:bCs/>
          <w:szCs w:val="21"/>
          <w:highlight w:val="none"/>
        </w:rPr>
      </w:pPr>
      <w:bookmarkStart w:id="27" w:name="_Toc11620"/>
      <w:r>
        <w:rPr>
          <w:rFonts w:hint="eastAsia" w:asciiTheme="minorEastAsia" w:hAnsiTheme="minorEastAsia" w:eastAsiaTheme="minorEastAsia" w:cstheme="minorEastAsia"/>
          <w:b/>
          <w:bCs/>
          <w:szCs w:val="21"/>
          <w:highlight w:val="none"/>
        </w:rPr>
        <w:t>一、项目</w:t>
      </w:r>
      <w:bookmarkEnd w:id="27"/>
      <w:r>
        <w:rPr>
          <w:rFonts w:hint="eastAsia" w:asciiTheme="minorEastAsia" w:hAnsiTheme="minorEastAsia" w:eastAsiaTheme="minorEastAsia" w:cstheme="minorEastAsia"/>
          <w:b/>
          <w:bCs/>
          <w:szCs w:val="21"/>
          <w:highlight w:val="none"/>
        </w:rPr>
        <w:t>背景</w:t>
      </w:r>
    </w:p>
    <w:p w14:paraId="31A09FC5">
      <w:pPr>
        <w:spacing w:line="400" w:lineRule="exact"/>
        <w:ind w:firstLine="420" w:firstLineChars="200"/>
        <w:rPr>
          <w:rFonts w:asciiTheme="minorEastAsia" w:hAnsiTheme="minorEastAsia" w:eastAsiaTheme="minorEastAsia" w:cstheme="minorEastAsia"/>
          <w:kern w:val="0"/>
          <w:szCs w:val="21"/>
          <w:highlight w:val="none"/>
        </w:rPr>
      </w:pPr>
      <w:bookmarkStart w:id="28" w:name="_Toc14746"/>
      <w:r>
        <w:rPr>
          <w:rFonts w:hint="eastAsia" w:asciiTheme="minorEastAsia" w:hAnsiTheme="minorEastAsia" w:eastAsiaTheme="minorEastAsia" w:cstheme="minorEastAsia"/>
          <w:kern w:val="0"/>
          <w:szCs w:val="21"/>
          <w:highlight w:val="none"/>
        </w:rPr>
        <w:t>在全球经济一体化加速发展的背景下，企业家的国际视野、创新能力和管理水平成为企业国际化发展的关键要素。为全面贯彻落实《关于加强宁波市年轻一代民营经济人士培育工作的若干措施》文件精神，宁波市决定组织新生代企业家赴德国与瑞士进行深度访学。拟于11月中下旬拟举办宁波市新生代企业家研修班赴欧洲访学活动。</w:t>
      </w:r>
    </w:p>
    <w:p w14:paraId="553FC3DF">
      <w:pPr>
        <w:spacing w:line="400" w:lineRule="exact"/>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此次访学旨在通过实地考察与学习，拓宽宁波市新生代企业家的国际视野，学习国际先进企业的发展战略和管理模式，提升企业的核心竞争力，加强与国际先进企业的交流与合作，为全市民营企业国际化发展提供有力支持。</w:t>
      </w:r>
    </w:p>
    <w:p w14:paraId="3943C4A6">
      <w:pPr>
        <w:spacing w:line="400" w:lineRule="exact"/>
        <w:jc w:val="left"/>
        <w:outlineLvl w:val="0"/>
        <w:rPr>
          <w:rFonts w:asciiTheme="minorEastAsia" w:hAnsiTheme="minorEastAsia" w:eastAsiaTheme="minorEastAsia" w:cstheme="minorEastAsia"/>
          <w:b/>
          <w:bCs/>
          <w:szCs w:val="21"/>
          <w:highlight w:val="none"/>
        </w:rPr>
      </w:pPr>
    </w:p>
    <w:p w14:paraId="10949A45">
      <w:pPr>
        <w:spacing w:line="400" w:lineRule="exact"/>
        <w:jc w:val="lef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w:t>
      </w:r>
      <w:bookmarkEnd w:id="28"/>
      <w:r>
        <w:rPr>
          <w:rFonts w:hint="eastAsia" w:asciiTheme="minorEastAsia" w:hAnsiTheme="minorEastAsia" w:eastAsiaTheme="minorEastAsia" w:cstheme="minorEastAsia"/>
          <w:b/>
          <w:bCs/>
          <w:szCs w:val="21"/>
          <w:highlight w:val="none"/>
        </w:rPr>
        <w:t>访学活动对象及人数</w:t>
      </w:r>
    </w:p>
    <w:p w14:paraId="1D731071">
      <w:pPr>
        <w:spacing w:line="400" w:lineRule="exact"/>
        <w:ind w:firstLine="420" w:firstLineChars="200"/>
        <w:jc w:val="left"/>
        <w:outlineLvl w:val="0"/>
        <w:rPr>
          <w:rFonts w:asciiTheme="minorEastAsia" w:hAnsiTheme="minorEastAsia" w:eastAsiaTheme="minorEastAsia" w:cstheme="minorEastAsia"/>
          <w:b/>
          <w:bCs/>
          <w:szCs w:val="21"/>
          <w:highlight w:val="none"/>
        </w:rPr>
      </w:pPr>
      <w:bookmarkStart w:id="29" w:name="_Toc105926977"/>
      <w:r>
        <w:rPr>
          <w:rFonts w:hint="eastAsia" w:asciiTheme="minorEastAsia" w:hAnsiTheme="minorEastAsia" w:eastAsiaTheme="minorEastAsia" w:cstheme="minorEastAsia"/>
          <w:szCs w:val="21"/>
          <w:highlight w:val="none"/>
        </w:rPr>
        <w:t>参加对象宁波市新生代企业家联谊会会员40人。</w:t>
      </w:r>
    </w:p>
    <w:p w14:paraId="7FD97261">
      <w:pPr>
        <w:spacing w:line="400" w:lineRule="exact"/>
        <w:jc w:val="left"/>
        <w:rPr>
          <w:rFonts w:ascii="宋体" w:hAnsi="宋体" w:cs="宋体"/>
          <w:b/>
          <w:bCs/>
          <w:szCs w:val="21"/>
          <w:highlight w:val="none"/>
        </w:rPr>
      </w:pPr>
    </w:p>
    <w:p w14:paraId="7D8872EB">
      <w:pPr>
        <w:spacing w:line="400" w:lineRule="exact"/>
        <w:jc w:val="left"/>
        <w:rPr>
          <w:rFonts w:ascii="宋体" w:hAnsi="宋体" w:cs="宋体"/>
          <w:b/>
          <w:bCs/>
          <w:szCs w:val="21"/>
          <w:highlight w:val="none"/>
        </w:rPr>
      </w:pPr>
      <w:r>
        <w:rPr>
          <w:rFonts w:hint="eastAsia" w:ascii="宋体" w:hAnsi="宋体" w:cs="宋体"/>
          <w:b/>
          <w:bCs/>
          <w:szCs w:val="21"/>
          <w:highlight w:val="none"/>
        </w:rPr>
        <w:t>三、项目时间安排及地点</w:t>
      </w:r>
    </w:p>
    <w:p w14:paraId="51A88A82">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访学活动时间：2024年11月中下旬，为期10天（含往返路程和时差时间）。</w:t>
      </w:r>
    </w:p>
    <w:p w14:paraId="7BC2341B">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访学活动地点：德国及瑞士。</w:t>
      </w:r>
    </w:p>
    <w:p w14:paraId="76B73DC4">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访学活动主题：“对标世界一流”宁波市新生代企业家赴欧洲访学活动。</w:t>
      </w:r>
    </w:p>
    <w:p w14:paraId="6BBB702B">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访学人员：参观单位及相关领域的专家学者。</w:t>
      </w:r>
    </w:p>
    <w:p w14:paraId="0EA11CE3">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访学活动内容：</w:t>
      </w:r>
    </w:p>
    <w:p w14:paraId="074A6D24">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（一）主题分享：邀请行业领域知名专家授课至少1场，教授及以上职称，要求包含隐形冠军之父谢尔曼·西蒙教授。</w:t>
      </w:r>
    </w:p>
    <w:p w14:paraId="7D3FE24E">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二）商务参访：组织至少七次核心商务参访和至少一次高端交流会，核心商务参访内容包含实地参观和交流座谈环节，覆盖欧洲标杆企业，包括但不限于博世集团、伍尔特集团、西门子、通快集团、雄克公司、费斯托、巴鲁夫传感器等，重点涵盖智能制造、隐形冠军、科技创新与管理实践等主题。高端交流会至少邀请两位及以上工业领域专家或标杆企业高管。</w:t>
      </w:r>
    </w:p>
    <w:p w14:paraId="28990EF4">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三）名校参访：为感受浓厚的学术氛围，了解前沿科研成果，拓展国际视野，促进产学研深度融合，为企业创新发展注入新的活力。实地考察至少两个国际知名大学校园环境，体验高校氛围，在至少一所大学内组织专题讲座，要求为2024年QS排名前100名以内高校。</w:t>
      </w:r>
    </w:p>
    <w:p w14:paraId="31610147">
      <w:pPr>
        <w:tabs>
          <w:tab w:val="left" w:pos="625"/>
        </w:tabs>
        <w:spacing w:line="400" w:lineRule="exact"/>
        <w:rPr>
          <w:rFonts w:ascii="宋体" w:hAnsi="宋体" w:cs="宋体"/>
          <w:b/>
          <w:szCs w:val="21"/>
          <w:highlight w:val="none"/>
        </w:rPr>
      </w:pPr>
    </w:p>
    <w:p w14:paraId="38BFA47E">
      <w:pPr>
        <w:tabs>
          <w:tab w:val="left" w:pos="625"/>
        </w:tabs>
        <w:spacing w:line="400" w:lineRule="exact"/>
        <w:rPr>
          <w:rFonts w:ascii="宋体" w:hAnsi="宋体" w:cs="宋体"/>
          <w:b/>
          <w:szCs w:val="21"/>
          <w:highlight w:val="none"/>
        </w:rPr>
      </w:pPr>
      <w:r>
        <w:rPr>
          <w:rFonts w:hint="eastAsia" w:ascii="宋体" w:hAnsi="宋体" w:cs="宋体"/>
          <w:b/>
          <w:szCs w:val="21"/>
          <w:highlight w:val="none"/>
        </w:rPr>
        <w:t>四、项目所涉及费用内容如下：</w:t>
      </w:r>
    </w:p>
    <w:p w14:paraId="0E8A4230">
      <w:pPr>
        <w:spacing w:line="400" w:lineRule="exact"/>
        <w:ind w:firstLine="420" w:firstLineChars="200"/>
        <w:rPr>
          <w:rFonts w:ascii="宋体" w:hAnsi="宋体" w:cs="宋体"/>
          <w:szCs w:val="21"/>
          <w:highlight w:val="none"/>
          <w:lang w:val="zh-TW" w:eastAsia="zh-Hans"/>
        </w:rPr>
      </w:pPr>
      <w:r>
        <w:rPr>
          <w:rFonts w:hint="eastAsia" w:ascii="宋体" w:hAnsi="宋体" w:cs="宋体"/>
          <w:szCs w:val="21"/>
          <w:highlight w:val="none"/>
          <w:lang w:val="zh-TW"/>
        </w:rPr>
        <w:t>（一）</w:t>
      </w:r>
      <w:r>
        <w:rPr>
          <w:rFonts w:hint="eastAsia" w:ascii="宋体" w:hAnsi="宋体" w:cs="宋体"/>
          <w:szCs w:val="21"/>
          <w:highlight w:val="none"/>
          <w:lang w:val="zh-TW" w:eastAsia="zh-Hans"/>
        </w:rPr>
        <w:t>场地费；</w:t>
      </w:r>
      <w:r>
        <w:rPr>
          <w:rFonts w:hint="eastAsia" w:ascii="宋体" w:hAnsi="宋体" w:cs="宋体"/>
          <w:szCs w:val="21"/>
          <w:highlight w:val="none"/>
          <w:lang w:val="zh-TW" w:eastAsia="zh-Hans"/>
        </w:rPr>
        <w:tab/>
      </w:r>
    </w:p>
    <w:p w14:paraId="16DF4F9A">
      <w:pPr>
        <w:spacing w:line="400" w:lineRule="exact"/>
        <w:ind w:firstLine="420" w:firstLineChars="200"/>
        <w:rPr>
          <w:rFonts w:ascii="宋体" w:hAnsi="宋体" w:cs="宋体"/>
          <w:szCs w:val="21"/>
          <w:highlight w:val="none"/>
          <w:lang w:val="zh-TW" w:eastAsia="zh-Hans"/>
        </w:rPr>
      </w:pPr>
      <w:r>
        <w:rPr>
          <w:rFonts w:hint="eastAsia" w:ascii="宋体" w:hAnsi="宋体" w:cs="宋体"/>
          <w:szCs w:val="21"/>
          <w:highlight w:val="none"/>
          <w:lang w:val="zh-TW"/>
        </w:rPr>
        <w:t>（二）</w:t>
      </w:r>
      <w:r>
        <w:rPr>
          <w:rFonts w:hint="eastAsia" w:ascii="宋体" w:hAnsi="宋体" w:cs="宋体"/>
          <w:szCs w:val="21"/>
          <w:highlight w:val="none"/>
          <w:lang w:val="zh-TW" w:eastAsia="zh-Hans"/>
        </w:rPr>
        <w:t>专家授课及现场教学费：讲师课酬（按场次计费）、现场教学费含7家商务考察及以上、</w:t>
      </w:r>
      <w:r>
        <w:rPr>
          <w:rFonts w:hint="eastAsia" w:ascii="宋体" w:hAnsi="宋体" w:cs="宋体"/>
          <w:szCs w:val="21"/>
          <w:highlight w:val="none"/>
          <w:lang w:val="zh-TW"/>
        </w:rPr>
        <w:t>1次高端交流会及以上</w:t>
      </w:r>
      <w:r>
        <w:rPr>
          <w:rFonts w:hint="eastAsia" w:ascii="宋体" w:hAnsi="宋体" w:cs="宋体"/>
          <w:szCs w:val="21"/>
          <w:highlight w:val="none"/>
          <w:lang w:val="zh-TW" w:eastAsia="zh-Hans"/>
        </w:rPr>
        <w:t>和2家及以上名校考察对接、嘉宾交流费、随团导师费、助教费、翻译费等；</w:t>
      </w:r>
    </w:p>
    <w:p w14:paraId="0CA183A4">
      <w:pPr>
        <w:spacing w:line="400" w:lineRule="exact"/>
        <w:ind w:firstLine="420" w:firstLineChars="200"/>
        <w:rPr>
          <w:rFonts w:ascii="宋体" w:hAnsi="宋体" w:cs="宋体"/>
          <w:szCs w:val="21"/>
          <w:highlight w:val="none"/>
          <w:lang w:val="zh-TW" w:eastAsia="zh-Hans"/>
        </w:rPr>
      </w:pPr>
      <w:r>
        <w:rPr>
          <w:rFonts w:hint="eastAsia" w:ascii="宋体" w:hAnsi="宋体" w:cs="宋体"/>
          <w:szCs w:val="21"/>
          <w:highlight w:val="none"/>
          <w:lang w:val="zh-TW"/>
        </w:rPr>
        <w:t>（三）</w:t>
      </w:r>
      <w:r>
        <w:rPr>
          <w:rFonts w:hint="eastAsia" w:ascii="宋体" w:hAnsi="宋体" w:cs="宋体"/>
          <w:szCs w:val="21"/>
          <w:highlight w:val="none"/>
          <w:lang w:val="zh-TW" w:eastAsia="zh-Hans"/>
        </w:rPr>
        <w:t>交通费：学员交通费，</w:t>
      </w:r>
      <w:r>
        <w:rPr>
          <w:rFonts w:hint="eastAsia" w:ascii="宋体" w:hAnsi="宋体" w:cs="宋体"/>
          <w:color w:val="FF0000"/>
          <w:szCs w:val="21"/>
          <w:highlight w:val="none"/>
          <w:lang w:val="zh-TW" w:eastAsia="zh-Hans"/>
        </w:rPr>
        <w:t>含宁波至上海往返大巴费，德国和瑞士之间及德国和瑞士境内大巴费（提供不少于45人的交通大巴）</w:t>
      </w:r>
      <w:r>
        <w:rPr>
          <w:rFonts w:hint="eastAsia" w:ascii="宋体" w:hAnsi="宋体" w:cs="宋体"/>
          <w:szCs w:val="21"/>
          <w:highlight w:val="none"/>
          <w:lang w:val="zh-TW" w:eastAsia="zh-Hans"/>
        </w:rPr>
        <w:t>。</w:t>
      </w:r>
    </w:p>
    <w:p w14:paraId="17098AE9">
      <w:pPr>
        <w:spacing w:line="400" w:lineRule="exact"/>
        <w:ind w:firstLine="420" w:firstLineChars="200"/>
        <w:rPr>
          <w:rFonts w:ascii="宋体" w:hAnsi="宋体" w:cs="宋体"/>
          <w:szCs w:val="21"/>
          <w:highlight w:val="none"/>
          <w:lang w:val="zh-TW" w:eastAsia="zh-Hans"/>
        </w:rPr>
      </w:pPr>
      <w:r>
        <w:rPr>
          <w:rFonts w:hint="eastAsia" w:ascii="宋体" w:hAnsi="宋体" w:cs="宋体"/>
          <w:szCs w:val="21"/>
          <w:highlight w:val="none"/>
          <w:lang w:val="zh-TW"/>
        </w:rPr>
        <w:t>（四）</w:t>
      </w:r>
      <w:r>
        <w:rPr>
          <w:rFonts w:hint="eastAsia" w:ascii="宋体" w:hAnsi="宋体" w:cs="宋体"/>
          <w:szCs w:val="21"/>
          <w:highlight w:val="none"/>
          <w:lang w:val="zh-TW" w:eastAsia="zh-Hans"/>
        </w:rPr>
        <w:t>餐饮费：学员餐饮费（16正餐，餐标按照相关规定）。</w:t>
      </w:r>
    </w:p>
    <w:p w14:paraId="24DE9AEC">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（五）</w:t>
      </w:r>
      <w:r>
        <w:rPr>
          <w:rFonts w:hint="eastAsia" w:ascii="宋体" w:hAnsi="宋体" w:cs="宋体"/>
          <w:szCs w:val="21"/>
          <w:highlight w:val="none"/>
          <w:lang w:val="zh-TW" w:eastAsia="zh-Hans"/>
        </w:rPr>
        <w:t>其他费用：司机及领队差旅费、学习资料费、门票费、保险费、教学组织管理费、宣传费等</w:t>
      </w:r>
      <w:r>
        <w:rPr>
          <w:rFonts w:hint="eastAsia" w:ascii="宋体" w:hAnsi="宋体" w:cs="宋体"/>
          <w:szCs w:val="21"/>
          <w:highlight w:val="none"/>
          <w:lang w:val="zh-TW"/>
        </w:rPr>
        <w:t>。</w:t>
      </w:r>
    </w:p>
    <w:p w14:paraId="41B323F6">
      <w:pPr>
        <w:spacing w:line="400" w:lineRule="exact"/>
        <w:ind w:firstLine="420" w:firstLineChars="200"/>
        <w:rPr>
          <w:rFonts w:ascii="宋体" w:hAnsi="宋体" w:cs="仿宋"/>
          <w:szCs w:val="21"/>
          <w:highlight w:val="none"/>
        </w:rPr>
      </w:pPr>
    </w:p>
    <w:p w14:paraId="4F1D5F04">
      <w:pPr>
        <w:tabs>
          <w:tab w:val="left" w:pos="625"/>
          <w:tab w:val="left" w:pos="5853"/>
        </w:tabs>
        <w:spacing w:line="400" w:lineRule="exact"/>
        <w:rPr>
          <w:rFonts w:ascii="宋体" w:hAnsi="宋体" w:cs="宋体"/>
          <w:b/>
          <w:szCs w:val="21"/>
          <w:highlight w:val="none"/>
          <w:lang w:val="zh-TW"/>
        </w:rPr>
      </w:pPr>
      <w:r>
        <w:rPr>
          <w:rFonts w:hint="eastAsia" w:ascii="宋体" w:hAnsi="宋体" w:cs="宋体"/>
          <w:b/>
          <w:szCs w:val="21"/>
          <w:highlight w:val="none"/>
          <w:lang w:val="zh-TW"/>
        </w:rPr>
        <w:t>五、项目进度安排(可根据工作实际情况同招标人按实确定)</w:t>
      </w:r>
      <w:r>
        <w:rPr>
          <w:rFonts w:ascii="宋体" w:hAnsi="宋体" w:cs="宋体"/>
          <w:b/>
          <w:szCs w:val="21"/>
          <w:highlight w:val="none"/>
          <w:lang w:val="zh-TW"/>
        </w:rPr>
        <w:tab/>
      </w:r>
    </w:p>
    <w:p w14:paraId="24655F5B">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（一）制定方案、汇报工作流程、通知发文，与委托方保持沟通畅通，如方案内容有调整，及时告知委托方并协商达成一致，确保访学行程按照双方约定执行交付；</w:t>
      </w:r>
    </w:p>
    <w:p w14:paraId="7135B28E">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（二）制作访学手册、学员证、文具、资料袋等材料；</w:t>
      </w:r>
    </w:p>
    <w:p w14:paraId="2714CC8F">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（三）进行报名、咨询、统计工作；</w:t>
      </w:r>
    </w:p>
    <w:p w14:paraId="3122956A">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（四）对接访学活动用餐、交通、签证等；</w:t>
      </w:r>
    </w:p>
    <w:p w14:paraId="4BC8E2DC">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（五）进行课程沟通、师资邀请、嘉宾邀约、场地确认与布置、随团讲解及翻译对接等；</w:t>
      </w:r>
    </w:p>
    <w:p w14:paraId="7CBFF3B3">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（六）进行访学考察活动主题设计、参观流程及细节内容确认与调整；</w:t>
      </w:r>
    </w:p>
    <w:p w14:paraId="0CE457E9">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（七）进行访学活动行前动员、访学学习复盘、研讨分享、现场服务、后勤保障、教学评估等工作。</w:t>
      </w:r>
    </w:p>
    <w:p w14:paraId="6455A022">
      <w:pPr>
        <w:pStyle w:val="64"/>
        <w:spacing w:line="400" w:lineRule="exact"/>
        <w:ind w:firstLine="420"/>
        <w:rPr>
          <w:highlight w:val="none"/>
          <w:lang w:val="zh-TW" w:eastAsia="zh-TW"/>
        </w:rPr>
      </w:pPr>
      <w:r>
        <w:rPr>
          <w:highlight w:val="none"/>
          <w:lang w:val="zh-TW" w:eastAsia="zh-TW"/>
        </w:rPr>
        <w:t>（八）做好访学活动的宣传工作，包括但不限于摄影摄像、新闻撰写及发布、视频制作等服务。</w:t>
      </w:r>
    </w:p>
    <w:p w14:paraId="074FC12F">
      <w:pPr>
        <w:spacing w:line="400" w:lineRule="exact"/>
        <w:ind w:firstLine="420" w:firstLineChars="200"/>
        <w:rPr>
          <w:rFonts w:ascii="宋体" w:hAnsi="宋体" w:cs="宋体"/>
          <w:szCs w:val="21"/>
          <w:highlight w:val="none"/>
          <w:lang w:val="zh-TW" w:eastAsia="zh-TW"/>
        </w:rPr>
      </w:pPr>
      <w:r>
        <w:rPr>
          <w:rFonts w:hint="eastAsia" w:ascii="宋体" w:hAnsi="宋体" w:cs="宋体"/>
          <w:szCs w:val="21"/>
          <w:highlight w:val="none"/>
          <w:lang w:val="zh-TW" w:eastAsia="zh-TW"/>
        </w:rPr>
        <w:t>（九）完成访学报告。</w:t>
      </w:r>
    </w:p>
    <w:p w14:paraId="45B024C9">
      <w:pPr>
        <w:spacing w:line="400" w:lineRule="exact"/>
        <w:rPr>
          <w:rFonts w:eastAsia="PMingLiU"/>
          <w:highlight w:val="none"/>
          <w:lang w:val="zh-TW" w:eastAsia="zh-TW"/>
        </w:rPr>
      </w:pPr>
      <w:r>
        <w:rPr>
          <w:rFonts w:hint="eastAsia" w:eastAsiaTheme="minorEastAsia"/>
          <w:highlight w:val="none"/>
          <w:lang w:val="zh-TW"/>
        </w:rPr>
        <w:t xml:space="preserve"> </w:t>
      </w:r>
      <w:r>
        <w:rPr>
          <w:rFonts w:eastAsia="PMingLiU"/>
          <w:highlight w:val="none"/>
          <w:lang w:val="zh-TW" w:eastAsia="zh-TW"/>
        </w:rPr>
        <w:t xml:space="preserve">    </w:t>
      </w:r>
    </w:p>
    <w:p w14:paraId="70B78E12">
      <w:pPr>
        <w:spacing w:line="400" w:lineRule="exact"/>
        <w:rPr>
          <w:rFonts w:ascii="宋体" w:hAnsi="宋体" w:cs="宋体"/>
          <w:b/>
          <w:bCs/>
          <w:szCs w:val="21"/>
          <w:highlight w:val="none"/>
          <w:lang w:val="zh-TW"/>
        </w:rPr>
      </w:pPr>
      <w:r>
        <w:rPr>
          <w:rFonts w:hint="eastAsia" w:ascii="宋体" w:hAnsi="宋体" w:cs="宋体"/>
          <w:b/>
          <w:bCs/>
          <w:szCs w:val="21"/>
          <w:highlight w:val="none"/>
          <w:lang w:val="zh-TW"/>
        </w:rPr>
        <w:t>▲六、人员要求</w:t>
      </w:r>
    </w:p>
    <w:p w14:paraId="59B0189C">
      <w:pPr>
        <w:spacing w:line="400" w:lineRule="exact"/>
        <w:ind w:firstLine="420" w:firstLineChars="200"/>
        <w:rPr>
          <w:rFonts w:ascii="宋体" w:hAnsi="宋体" w:cs="宋体"/>
          <w:szCs w:val="21"/>
          <w:highlight w:val="none"/>
          <w:lang w:val="zh-TW"/>
        </w:rPr>
      </w:pPr>
      <w:r>
        <w:rPr>
          <w:rFonts w:hint="eastAsia" w:ascii="宋体" w:hAnsi="宋体" w:cs="宋体"/>
          <w:szCs w:val="21"/>
          <w:highlight w:val="none"/>
          <w:lang w:val="zh-TW"/>
        </w:rPr>
        <w:t>（一）供应商须指定一名项目负责人，全程跟班，专门负责在活动期间与招标人联络与协调，负责在活动现场所有的日常工作，全面做好管理工作，在活动期间不得更换。如遇不可抗力因素更换项目负责人的，需要提前三天向招标人报备，经招标人同意后方可更换。</w:t>
      </w:r>
    </w:p>
    <w:p w14:paraId="346A71C9">
      <w:pPr>
        <w:spacing w:line="400" w:lineRule="exact"/>
        <w:ind w:firstLine="420" w:firstLineChars="200"/>
        <w:rPr>
          <w:rFonts w:ascii="宋体" w:hAnsi="宋体" w:cs="宋体"/>
          <w:szCs w:val="21"/>
          <w:highlight w:val="none"/>
          <w:lang w:val="zh-TW" w:eastAsia="zh-Hans"/>
        </w:rPr>
      </w:pPr>
      <w:r>
        <w:rPr>
          <w:rFonts w:hint="eastAsia" w:ascii="宋体" w:hAnsi="宋体" w:cs="宋体"/>
          <w:szCs w:val="21"/>
          <w:highlight w:val="none"/>
          <w:lang w:val="zh-TW"/>
        </w:rPr>
        <w:t>（二）除项目负责人外，访学团须配置不得少于三名全职全程人员，并提供相应人员的身份证复印件及个人简历。</w:t>
      </w:r>
    </w:p>
    <w:p w14:paraId="01A9B60B">
      <w:pPr>
        <w:rPr>
          <w:rFonts w:ascii="宋体" w:hAnsi="宋体" w:cs="宋体"/>
          <w:b/>
          <w:sz w:val="32"/>
          <w:highlight w:val="none"/>
        </w:rPr>
      </w:pPr>
      <w:bookmarkStart w:id="30" w:name="_Toc4333"/>
      <w:r>
        <w:rPr>
          <w:rFonts w:hint="eastAsia" w:ascii="宋体" w:hAnsi="宋体" w:cs="宋体"/>
          <w:b/>
          <w:sz w:val="32"/>
          <w:highlight w:val="none"/>
        </w:rPr>
        <w:br w:type="page"/>
      </w:r>
    </w:p>
    <w:p w14:paraId="79329E7F">
      <w:pPr>
        <w:spacing w:line="400" w:lineRule="exact"/>
        <w:jc w:val="center"/>
        <w:outlineLvl w:val="0"/>
        <w:rPr>
          <w:rFonts w:ascii="宋体" w:hAnsi="宋体" w:cs="宋体"/>
          <w:b/>
          <w:highlight w:val="none"/>
        </w:rPr>
      </w:pPr>
      <w:r>
        <w:rPr>
          <w:rFonts w:hint="eastAsia" w:ascii="宋体" w:hAnsi="宋体" w:cs="宋体"/>
          <w:b/>
          <w:sz w:val="32"/>
          <w:highlight w:val="none"/>
        </w:rPr>
        <w:t>第四章  商务条款</w:t>
      </w:r>
      <w:bookmarkEnd w:id="29"/>
      <w:bookmarkEnd w:id="30"/>
    </w:p>
    <w:tbl>
      <w:tblPr>
        <w:tblStyle w:val="5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515"/>
        <w:gridCol w:w="5513"/>
        <w:gridCol w:w="1313"/>
      </w:tblGrid>
      <w:tr w14:paraId="221C9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5CB70477">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6" w:type="pct"/>
            <w:tcBorders>
              <w:top w:val="single" w:color="auto" w:sz="4" w:space="0"/>
              <w:left w:val="single" w:color="auto" w:sz="4" w:space="0"/>
              <w:bottom w:val="single" w:color="auto" w:sz="4" w:space="0"/>
              <w:right w:val="single" w:color="auto" w:sz="4" w:space="0"/>
            </w:tcBorders>
            <w:vAlign w:val="center"/>
          </w:tcPr>
          <w:p w14:paraId="4D44E1A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3006" w:type="pct"/>
            <w:tcBorders>
              <w:top w:val="single" w:color="auto" w:sz="4" w:space="0"/>
              <w:left w:val="single" w:color="auto" w:sz="4" w:space="0"/>
              <w:bottom w:val="single" w:color="auto" w:sz="4" w:space="0"/>
              <w:right w:val="single" w:color="auto" w:sz="4" w:space="0"/>
            </w:tcBorders>
            <w:vAlign w:val="center"/>
          </w:tcPr>
          <w:p w14:paraId="2A6E7D0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要求</w:t>
            </w:r>
          </w:p>
        </w:tc>
        <w:tc>
          <w:tcPr>
            <w:tcW w:w="716" w:type="pct"/>
            <w:tcBorders>
              <w:top w:val="single" w:color="auto" w:sz="4" w:space="0"/>
              <w:left w:val="single" w:color="auto" w:sz="4" w:space="0"/>
              <w:bottom w:val="single" w:color="auto" w:sz="4" w:space="0"/>
              <w:right w:val="single" w:color="auto" w:sz="4" w:space="0"/>
            </w:tcBorders>
            <w:vAlign w:val="center"/>
          </w:tcPr>
          <w:p w14:paraId="534C618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14:paraId="2157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4DCA64C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26" w:type="pct"/>
            <w:tcBorders>
              <w:top w:val="single" w:color="auto" w:sz="4" w:space="0"/>
              <w:left w:val="single" w:color="auto" w:sz="4" w:space="0"/>
              <w:bottom w:val="single" w:color="auto" w:sz="4" w:space="0"/>
              <w:right w:val="single" w:color="auto" w:sz="4" w:space="0"/>
            </w:tcBorders>
            <w:vAlign w:val="center"/>
          </w:tcPr>
          <w:p w14:paraId="1000327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006" w:type="pct"/>
            <w:tcBorders>
              <w:top w:val="single" w:color="auto" w:sz="4" w:space="0"/>
              <w:left w:val="single" w:color="auto" w:sz="4" w:space="0"/>
              <w:bottom w:val="single" w:color="auto" w:sz="4" w:space="0"/>
              <w:right w:val="single" w:color="auto" w:sz="4" w:space="0"/>
            </w:tcBorders>
            <w:vAlign w:val="center"/>
          </w:tcPr>
          <w:p w14:paraId="15B4A4D5">
            <w:pPr>
              <w:spacing w:line="400" w:lineRule="exact"/>
              <w:rPr>
                <w:rFonts w:ascii="宋体" w:hAnsi="宋体" w:cs="宋体"/>
                <w:color w:val="auto"/>
                <w:szCs w:val="21"/>
                <w:highlight w:val="none"/>
              </w:rPr>
            </w:pPr>
            <w:r>
              <w:rPr>
                <w:rFonts w:hint="eastAsia" w:ascii="宋体" w:hAnsi="宋体" w:cs="宋体"/>
                <w:color w:val="auto"/>
                <w:szCs w:val="21"/>
                <w:highlight w:val="none"/>
              </w:rPr>
              <w:t>合同签订之日起至2024年11月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日止。</w:t>
            </w:r>
          </w:p>
        </w:tc>
        <w:tc>
          <w:tcPr>
            <w:tcW w:w="716" w:type="pct"/>
            <w:tcBorders>
              <w:top w:val="single" w:color="auto" w:sz="4" w:space="0"/>
              <w:left w:val="single" w:color="auto" w:sz="4" w:space="0"/>
              <w:bottom w:val="single" w:color="auto" w:sz="4" w:space="0"/>
              <w:right w:val="single" w:color="auto" w:sz="4" w:space="0"/>
            </w:tcBorders>
            <w:vAlign w:val="center"/>
          </w:tcPr>
          <w:p w14:paraId="0C86B710">
            <w:pPr>
              <w:spacing w:line="400" w:lineRule="exact"/>
              <w:rPr>
                <w:rFonts w:ascii="宋体" w:hAnsi="宋体" w:cs="宋体"/>
                <w:color w:val="auto"/>
                <w:szCs w:val="21"/>
                <w:highlight w:val="none"/>
              </w:rPr>
            </w:pPr>
          </w:p>
        </w:tc>
      </w:tr>
      <w:tr w14:paraId="7F407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7315E44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26" w:type="pct"/>
            <w:tcBorders>
              <w:top w:val="single" w:color="auto" w:sz="4" w:space="0"/>
              <w:left w:val="single" w:color="auto" w:sz="4" w:space="0"/>
              <w:bottom w:val="single" w:color="auto" w:sz="4" w:space="0"/>
              <w:right w:val="single" w:color="auto" w:sz="4" w:space="0"/>
            </w:tcBorders>
            <w:vAlign w:val="center"/>
          </w:tcPr>
          <w:p w14:paraId="1475188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服务地点</w:t>
            </w:r>
          </w:p>
        </w:tc>
        <w:tc>
          <w:tcPr>
            <w:tcW w:w="3006" w:type="pct"/>
            <w:tcBorders>
              <w:top w:val="single" w:color="auto" w:sz="4" w:space="0"/>
              <w:left w:val="single" w:color="auto" w:sz="4" w:space="0"/>
              <w:bottom w:val="single" w:color="auto" w:sz="4" w:space="0"/>
              <w:right w:val="single" w:color="auto" w:sz="4" w:space="0"/>
            </w:tcBorders>
            <w:vAlign w:val="center"/>
          </w:tcPr>
          <w:p w14:paraId="651A4F03">
            <w:pPr>
              <w:spacing w:line="400" w:lineRule="exact"/>
              <w:rPr>
                <w:rFonts w:ascii="宋体" w:hAnsi="宋体" w:cs="宋体"/>
                <w:color w:val="auto"/>
                <w:szCs w:val="21"/>
                <w:highlight w:val="none"/>
              </w:rPr>
            </w:pPr>
            <w:r>
              <w:rPr>
                <w:rFonts w:hint="eastAsia" w:ascii="宋体" w:hAnsi="宋体" w:cs="宋体"/>
                <w:color w:val="auto"/>
                <w:szCs w:val="21"/>
                <w:highlight w:val="none"/>
              </w:rPr>
              <w:t>招标人指定地点。</w:t>
            </w:r>
          </w:p>
        </w:tc>
        <w:tc>
          <w:tcPr>
            <w:tcW w:w="716" w:type="pct"/>
            <w:tcBorders>
              <w:top w:val="single" w:color="auto" w:sz="4" w:space="0"/>
              <w:left w:val="single" w:color="auto" w:sz="4" w:space="0"/>
              <w:bottom w:val="single" w:color="auto" w:sz="4" w:space="0"/>
              <w:right w:val="single" w:color="auto" w:sz="4" w:space="0"/>
            </w:tcBorders>
            <w:vAlign w:val="center"/>
          </w:tcPr>
          <w:p w14:paraId="6CE83AFA">
            <w:pPr>
              <w:spacing w:line="400" w:lineRule="exact"/>
              <w:rPr>
                <w:rFonts w:ascii="宋体" w:hAnsi="宋体" w:cs="宋体"/>
                <w:color w:val="auto"/>
                <w:szCs w:val="21"/>
                <w:highlight w:val="none"/>
              </w:rPr>
            </w:pPr>
          </w:p>
        </w:tc>
      </w:tr>
      <w:tr w14:paraId="7499B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46ABA97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6" w:type="pct"/>
            <w:tcBorders>
              <w:top w:val="single" w:color="auto" w:sz="4" w:space="0"/>
              <w:left w:val="single" w:color="auto" w:sz="4" w:space="0"/>
              <w:bottom w:val="single" w:color="auto" w:sz="4" w:space="0"/>
              <w:right w:val="single" w:color="auto" w:sz="4" w:space="0"/>
            </w:tcBorders>
            <w:vAlign w:val="center"/>
          </w:tcPr>
          <w:p w14:paraId="6EF746D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3006" w:type="pct"/>
            <w:tcBorders>
              <w:top w:val="single" w:color="auto" w:sz="4" w:space="0"/>
              <w:left w:val="single" w:color="auto" w:sz="4" w:space="0"/>
              <w:bottom w:val="single" w:color="auto" w:sz="4" w:space="0"/>
              <w:right w:val="single" w:color="auto" w:sz="4" w:space="0"/>
            </w:tcBorders>
            <w:vAlign w:val="center"/>
          </w:tcPr>
          <w:p w14:paraId="6FAB2377">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.合同签订并具备实施条件后</w:t>
            </w:r>
            <w:r>
              <w:rPr>
                <w:rFonts w:hint="eastAsia" w:ascii="宋体" w:hAnsi="宋体" w:cs="宋体"/>
                <w:color w:val="auto"/>
                <w:szCs w:val="21"/>
                <w:highlight w:val="none"/>
              </w:rPr>
              <w:t>7个工作日内支付合同总价的4</w:t>
            </w:r>
            <w:r>
              <w:rPr>
                <w:rFonts w:ascii="宋体" w:hAnsi="宋体" w:cs="宋体"/>
                <w:color w:val="auto"/>
                <w:szCs w:val="21"/>
                <w:highlight w:val="none"/>
              </w:rPr>
              <w:t>0%；</w:t>
            </w:r>
          </w:p>
          <w:p w14:paraId="288B3AA8">
            <w:pPr>
              <w:pStyle w:val="2"/>
              <w:spacing w:before="0" w:beforeLines="0" w:after="0" w:afterLines="0" w:line="400" w:lineRule="exact"/>
              <w:ind w:left="0" w:firstLine="0"/>
              <w:rPr>
                <w:color w:val="auto"/>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活动结束，递交相关资料（附签到册、学员效果反馈表等）后，</w:t>
            </w:r>
            <w:r>
              <w:rPr>
                <w:rFonts w:hint="eastAsia" w:ascii="宋体" w:hAnsi="宋体" w:cs="宋体"/>
                <w:color w:val="auto"/>
                <w:highlight w:val="none"/>
                <w:lang w:eastAsia="zh-CN"/>
              </w:rPr>
              <w:t>（如大型企业中标）</w:t>
            </w:r>
            <w:r>
              <w:rPr>
                <w:rFonts w:hint="eastAsia" w:ascii="宋体" w:hAnsi="宋体" w:cs="宋体"/>
                <w:color w:val="auto"/>
                <w:highlight w:val="none"/>
              </w:rPr>
              <w:t>并经招标人验收合格后15日内支付余款。</w:t>
            </w:r>
            <w:r>
              <w:rPr>
                <w:rFonts w:hint="eastAsia" w:ascii="宋体" w:hAnsi="宋体" w:cs="宋体"/>
                <w:color w:val="auto"/>
                <w:highlight w:val="none"/>
                <w:lang w:eastAsia="zh-CN"/>
              </w:rPr>
              <w:t>（如中小微企业中标）</w:t>
            </w:r>
            <w:r>
              <w:rPr>
                <w:rFonts w:hint="eastAsia" w:ascii="宋体" w:hAnsi="宋体" w:cs="宋体"/>
                <w:color w:val="auto"/>
                <w:highlight w:val="none"/>
              </w:rPr>
              <w:t>并经招标人验收合格后</w:t>
            </w:r>
            <w:r>
              <w:rPr>
                <w:rFonts w:hint="eastAsia" w:ascii="宋体" w:hAnsi="宋体" w:cs="宋体"/>
                <w:color w:val="auto"/>
                <w:highlight w:val="none"/>
                <w:lang w:val="en-US" w:eastAsia="zh-CN"/>
              </w:rPr>
              <w:t>7个工作</w:t>
            </w:r>
            <w:r>
              <w:rPr>
                <w:rFonts w:hint="eastAsia" w:ascii="宋体" w:hAnsi="宋体" w:cs="宋体"/>
                <w:color w:val="auto"/>
                <w:highlight w:val="none"/>
              </w:rPr>
              <w:t>日内支付余款。</w:t>
            </w:r>
          </w:p>
        </w:tc>
        <w:tc>
          <w:tcPr>
            <w:tcW w:w="716" w:type="pct"/>
            <w:tcBorders>
              <w:top w:val="single" w:color="auto" w:sz="4" w:space="0"/>
              <w:left w:val="single" w:color="auto" w:sz="4" w:space="0"/>
              <w:bottom w:val="single" w:color="auto" w:sz="4" w:space="0"/>
              <w:right w:val="single" w:color="auto" w:sz="4" w:space="0"/>
            </w:tcBorders>
            <w:vAlign w:val="center"/>
          </w:tcPr>
          <w:p w14:paraId="04BDF93F">
            <w:pPr>
              <w:spacing w:line="400" w:lineRule="exact"/>
              <w:rPr>
                <w:rFonts w:ascii="宋体" w:hAnsi="宋体" w:cs="宋体"/>
                <w:b/>
                <w:bCs/>
                <w:color w:val="auto"/>
                <w:szCs w:val="21"/>
                <w:highlight w:val="none"/>
              </w:rPr>
            </w:pPr>
          </w:p>
        </w:tc>
      </w:tr>
      <w:tr w14:paraId="4DE45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288C40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26" w:type="pct"/>
            <w:tcBorders>
              <w:top w:val="single" w:color="auto" w:sz="4" w:space="0"/>
              <w:left w:val="single" w:color="auto" w:sz="4" w:space="0"/>
              <w:bottom w:val="single" w:color="auto" w:sz="4" w:space="0"/>
              <w:right w:val="single" w:color="auto" w:sz="4" w:space="0"/>
            </w:tcBorders>
            <w:vAlign w:val="center"/>
          </w:tcPr>
          <w:p w14:paraId="6B77416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3006" w:type="pct"/>
            <w:tcBorders>
              <w:top w:val="single" w:color="auto" w:sz="4" w:space="0"/>
              <w:left w:val="single" w:color="auto" w:sz="4" w:space="0"/>
              <w:bottom w:val="single" w:color="auto" w:sz="4" w:space="0"/>
              <w:right w:val="single" w:color="auto" w:sz="4" w:space="0"/>
            </w:tcBorders>
            <w:vAlign w:val="center"/>
          </w:tcPr>
          <w:p w14:paraId="0BD7D9DF">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c>
          <w:tcPr>
            <w:tcW w:w="716" w:type="pct"/>
            <w:tcBorders>
              <w:top w:val="single" w:color="auto" w:sz="4" w:space="0"/>
              <w:left w:val="single" w:color="auto" w:sz="4" w:space="0"/>
              <w:bottom w:val="single" w:color="auto" w:sz="4" w:space="0"/>
              <w:right w:val="single" w:color="auto" w:sz="4" w:space="0"/>
            </w:tcBorders>
            <w:vAlign w:val="center"/>
          </w:tcPr>
          <w:p w14:paraId="70DC04F0">
            <w:pPr>
              <w:spacing w:line="400" w:lineRule="exact"/>
              <w:rPr>
                <w:rFonts w:ascii="宋体" w:hAnsi="宋体" w:cs="宋体"/>
                <w:color w:val="auto"/>
                <w:szCs w:val="21"/>
                <w:highlight w:val="none"/>
              </w:rPr>
            </w:pPr>
          </w:p>
        </w:tc>
      </w:tr>
      <w:tr w14:paraId="6DB4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1E6B1E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26" w:type="pct"/>
            <w:tcBorders>
              <w:top w:val="single" w:color="auto" w:sz="4" w:space="0"/>
              <w:left w:val="single" w:color="auto" w:sz="4" w:space="0"/>
              <w:bottom w:val="single" w:color="auto" w:sz="4" w:space="0"/>
              <w:right w:val="single" w:color="auto" w:sz="4" w:space="0"/>
            </w:tcBorders>
            <w:vAlign w:val="center"/>
          </w:tcPr>
          <w:p w14:paraId="511885A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3006" w:type="pct"/>
            <w:tcBorders>
              <w:top w:val="single" w:color="auto" w:sz="4" w:space="0"/>
              <w:left w:val="single" w:color="auto" w:sz="4" w:space="0"/>
              <w:bottom w:val="single" w:color="auto" w:sz="4" w:space="0"/>
              <w:right w:val="single" w:color="auto" w:sz="4" w:space="0"/>
            </w:tcBorders>
            <w:vAlign w:val="center"/>
          </w:tcPr>
          <w:p w14:paraId="742C4972">
            <w:pPr>
              <w:spacing w:line="400" w:lineRule="exact"/>
              <w:rPr>
                <w:rFonts w:ascii="宋体" w:hAnsi="宋体" w:cs="宋体"/>
                <w:color w:val="auto"/>
                <w:szCs w:val="21"/>
                <w:highlight w:val="none"/>
              </w:rPr>
            </w:pPr>
            <w:r>
              <w:rPr>
                <w:rFonts w:hint="eastAsia" w:ascii="宋体" w:hAnsi="宋体" w:cs="宋体"/>
                <w:color w:val="auto"/>
                <w:szCs w:val="21"/>
                <w:highlight w:val="none"/>
              </w:rPr>
              <w:t>（1）供应商须按照招标人的要求设计课程，制定教学计划、确定活动内容和教材，确保授课老师及工作人员准时到场，并有效组织课程顺利进行，保证活动质量；</w:t>
            </w:r>
          </w:p>
          <w:p w14:paraId="346BE6A8">
            <w:pPr>
              <w:spacing w:line="400" w:lineRule="exact"/>
              <w:rPr>
                <w:rFonts w:ascii="宋体" w:hAnsi="宋体" w:cs="宋体"/>
                <w:color w:val="auto"/>
                <w:szCs w:val="21"/>
                <w:highlight w:val="none"/>
              </w:rPr>
            </w:pPr>
            <w:r>
              <w:rPr>
                <w:rFonts w:hint="eastAsia" w:ascii="宋体" w:hAnsi="宋体" w:cs="宋体"/>
                <w:color w:val="auto"/>
                <w:szCs w:val="21"/>
                <w:highlight w:val="none"/>
              </w:rPr>
              <w:t>（2）供应商须负责项目的师资选派，所聘请的授课教师均应具有相应的学术背景、专业水准和授课经验；</w:t>
            </w:r>
          </w:p>
          <w:p w14:paraId="2426C9DA">
            <w:pPr>
              <w:spacing w:line="400" w:lineRule="exact"/>
              <w:rPr>
                <w:rFonts w:ascii="宋体" w:hAnsi="宋体" w:cs="宋体"/>
                <w:color w:val="auto"/>
                <w:szCs w:val="21"/>
                <w:highlight w:val="none"/>
              </w:rPr>
            </w:pPr>
            <w:r>
              <w:rPr>
                <w:rFonts w:hint="eastAsia" w:ascii="宋体" w:hAnsi="宋体" w:cs="宋体"/>
                <w:color w:val="auto"/>
                <w:szCs w:val="21"/>
                <w:highlight w:val="none"/>
              </w:rPr>
              <w:t>（3）供应商须负责项目的教学管理与实施，包括授课安排准备；</w:t>
            </w:r>
          </w:p>
          <w:p w14:paraId="61CC7CB7">
            <w:pPr>
              <w:spacing w:line="400" w:lineRule="exact"/>
              <w:rPr>
                <w:rFonts w:ascii="宋体" w:hAnsi="宋体" w:cs="宋体"/>
                <w:color w:val="auto"/>
                <w:szCs w:val="21"/>
                <w:highlight w:val="none"/>
              </w:rPr>
            </w:pPr>
            <w:r>
              <w:rPr>
                <w:rFonts w:hint="eastAsia" w:ascii="宋体" w:hAnsi="宋体" w:cs="宋体"/>
                <w:color w:val="auto"/>
                <w:szCs w:val="21"/>
                <w:highlight w:val="none"/>
              </w:rPr>
              <w:t>（4）供应商须负责提供与教学相关的工作：维护课堂秩序、教学组织、专家答疑、上课考勤、质量监控等工作；</w:t>
            </w:r>
          </w:p>
          <w:p w14:paraId="07BCE9B3">
            <w:pPr>
              <w:spacing w:line="400" w:lineRule="exact"/>
              <w:rPr>
                <w:rFonts w:ascii="宋体" w:hAnsi="宋体" w:cs="宋体"/>
                <w:color w:val="auto"/>
                <w:szCs w:val="21"/>
                <w:highlight w:val="none"/>
              </w:rPr>
            </w:pPr>
            <w:r>
              <w:rPr>
                <w:rFonts w:hint="eastAsia" w:ascii="宋体" w:hAnsi="宋体" w:cs="宋体"/>
                <w:color w:val="auto"/>
                <w:szCs w:val="21"/>
                <w:highlight w:val="none"/>
              </w:rPr>
              <w:t>（5）供应商做好活动效果评估，收取学员反馈意见；</w:t>
            </w:r>
          </w:p>
          <w:p w14:paraId="4741649E">
            <w:pPr>
              <w:spacing w:line="400" w:lineRule="exact"/>
              <w:rPr>
                <w:rFonts w:ascii="宋体" w:hAnsi="宋体" w:cs="宋体"/>
                <w:color w:val="auto"/>
                <w:szCs w:val="21"/>
                <w:highlight w:val="none"/>
              </w:rPr>
            </w:pPr>
            <w:r>
              <w:rPr>
                <w:rFonts w:hint="eastAsia" w:ascii="宋体" w:hAnsi="宋体" w:cs="宋体"/>
                <w:color w:val="auto"/>
                <w:szCs w:val="21"/>
                <w:highlight w:val="none"/>
              </w:rPr>
              <w:t>（6）供应商负责做好活动期间各项后勤服务工作等；</w:t>
            </w:r>
          </w:p>
          <w:p w14:paraId="647EAF97">
            <w:pPr>
              <w:spacing w:line="400" w:lineRule="exact"/>
              <w:rPr>
                <w:rFonts w:ascii="宋体" w:hAnsi="宋体" w:cs="宋体"/>
                <w:color w:val="auto"/>
                <w:szCs w:val="21"/>
                <w:highlight w:val="none"/>
              </w:rPr>
            </w:pPr>
            <w:r>
              <w:rPr>
                <w:rFonts w:hint="eastAsia" w:ascii="宋体" w:hAnsi="宋体" w:cs="宋体"/>
                <w:color w:val="auto"/>
                <w:szCs w:val="21"/>
                <w:highlight w:val="none"/>
              </w:rPr>
              <w:t>（7）供应商须积极配合招标人的临时抽检，不得以任何理由拒绝检查或在检查中弄虚作假；</w:t>
            </w:r>
          </w:p>
          <w:p w14:paraId="5B6422CB">
            <w:pPr>
              <w:spacing w:line="400" w:lineRule="exact"/>
              <w:rPr>
                <w:rFonts w:ascii="宋体" w:hAnsi="宋体" w:cs="宋体"/>
                <w:color w:val="auto"/>
                <w:szCs w:val="21"/>
                <w:highlight w:val="none"/>
              </w:rPr>
            </w:pPr>
            <w:r>
              <w:rPr>
                <w:rFonts w:hint="eastAsia" w:ascii="宋体" w:hAnsi="宋体" w:cs="宋体"/>
                <w:color w:val="auto"/>
                <w:szCs w:val="21"/>
                <w:highlight w:val="none"/>
              </w:rPr>
              <w:t>（8）活动结束后，按要求上报相关资料（签到册、学员效果反馈表等）给招标人。</w:t>
            </w:r>
          </w:p>
        </w:tc>
        <w:tc>
          <w:tcPr>
            <w:tcW w:w="716" w:type="pct"/>
            <w:tcBorders>
              <w:top w:val="single" w:color="auto" w:sz="4" w:space="0"/>
              <w:left w:val="single" w:color="auto" w:sz="4" w:space="0"/>
              <w:bottom w:val="single" w:color="auto" w:sz="4" w:space="0"/>
              <w:right w:val="single" w:color="auto" w:sz="4" w:space="0"/>
            </w:tcBorders>
            <w:vAlign w:val="center"/>
          </w:tcPr>
          <w:p w14:paraId="3CFD1882">
            <w:pPr>
              <w:spacing w:line="400" w:lineRule="exact"/>
              <w:rPr>
                <w:rFonts w:ascii="宋体" w:hAnsi="宋体" w:cs="宋体"/>
                <w:color w:val="auto"/>
                <w:szCs w:val="21"/>
                <w:highlight w:val="none"/>
              </w:rPr>
            </w:pPr>
          </w:p>
        </w:tc>
      </w:tr>
      <w:tr w14:paraId="319B9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16E3847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26" w:type="pct"/>
            <w:tcBorders>
              <w:top w:val="single" w:color="auto" w:sz="4" w:space="0"/>
              <w:left w:val="single" w:color="auto" w:sz="4" w:space="0"/>
              <w:bottom w:val="single" w:color="auto" w:sz="4" w:space="0"/>
              <w:right w:val="single" w:color="auto" w:sz="4" w:space="0"/>
            </w:tcBorders>
            <w:vAlign w:val="center"/>
          </w:tcPr>
          <w:p w14:paraId="500067A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项目验收</w:t>
            </w:r>
          </w:p>
        </w:tc>
        <w:tc>
          <w:tcPr>
            <w:tcW w:w="3006" w:type="pct"/>
            <w:tcBorders>
              <w:top w:val="single" w:color="auto" w:sz="4" w:space="0"/>
              <w:left w:val="single" w:color="auto" w:sz="4" w:space="0"/>
              <w:bottom w:val="single" w:color="auto" w:sz="4" w:space="0"/>
              <w:right w:val="single" w:color="auto" w:sz="4" w:space="0"/>
            </w:tcBorders>
            <w:vAlign w:val="center"/>
          </w:tcPr>
          <w:p w14:paraId="5FB5DB3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由招标人负责进行验收考核，供应商协助。招标人在供应商提供相关服务过程中，有权不定期对服务内容和质量进行考核。不达招标人要求或提供虚假材料的，招标人有权解除合同，并由供应商承担一切损失和费用。</w:t>
            </w:r>
          </w:p>
          <w:p w14:paraId="554046F9">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（2）验收内容包括合同履行情况、活动组织实施情况、日常监督检查情况。学习资料、签到册、学员满意度、问卷调查等，在项目结束后整理成册留档备查。</w:t>
            </w:r>
          </w:p>
          <w:p w14:paraId="5072FB4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供应商在提供服务过程中如存在违反合同相关约定情况的，招标人有权要求供应商立即整改，供应商未按招标人要求整改的，招标人可以中止合同履行，供应商将承担因此发生的一切损失、费用与延误责任。</w:t>
            </w:r>
          </w:p>
        </w:tc>
        <w:tc>
          <w:tcPr>
            <w:tcW w:w="716" w:type="pct"/>
            <w:tcBorders>
              <w:top w:val="single" w:color="auto" w:sz="4" w:space="0"/>
              <w:left w:val="single" w:color="auto" w:sz="4" w:space="0"/>
              <w:bottom w:val="single" w:color="auto" w:sz="4" w:space="0"/>
              <w:right w:val="single" w:color="auto" w:sz="4" w:space="0"/>
            </w:tcBorders>
            <w:vAlign w:val="center"/>
          </w:tcPr>
          <w:p w14:paraId="68CFC334">
            <w:pPr>
              <w:spacing w:line="400" w:lineRule="exact"/>
              <w:rPr>
                <w:rFonts w:ascii="宋体" w:hAnsi="宋体" w:cs="宋体"/>
                <w:color w:val="auto"/>
                <w:szCs w:val="21"/>
                <w:highlight w:val="none"/>
              </w:rPr>
            </w:pPr>
          </w:p>
        </w:tc>
      </w:tr>
      <w:tr w14:paraId="0316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0" w:type="pct"/>
            <w:tcBorders>
              <w:top w:val="single" w:color="auto" w:sz="4" w:space="0"/>
              <w:left w:val="single" w:color="auto" w:sz="4" w:space="0"/>
              <w:bottom w:val="single" w:color="auto" w:sz="4" w:space="0"/>
              <w:right w:val="single" w:color="auto" w:sz="4" w:space="0"/>
            </w:tcBorders>
            <w:vAlign w:val="center"/>
          </w:tcPr>
          <w:p w14:paraId="512681D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26" w:type="pct"/>
            <w:tcBorders>
              <w:top w:val="single" w:color="auto" w:sz="4" w:space="0"/>
              <w:left w:val="single" w:color="auto" w:sz="4" w:space="0"/>
              <w:bottom w:val="single" w:color="auto" w:sz="4" w:space="0"/>
              <w:right w:val="single" w:color="auto" w:sz="4" w:space="0"/>
            </w:tcBorders>
            <w:vAlign w:val="center"/>
          </w:tcPr>
          <w:p w14:paraId="5D6538D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3006" w:type="pct"/>
            <w:tcBorders>
              <w:top w:val="single" w:color="auto" w:sz="4" w:space="0"/>
              <w:left w:val="single" w:color="auto" w:sz="4" w:space="0"/>
              <w:bottom w:val="single" w:color="auto" w:sz="4" w:space="0"/>
              <w:right w:val="single" w:color="auto" w:sz="4" w:space="0"/>
            </w:tcBorders>
            <w:vAlign w:val="center"/>
          </w:tcPr>
          <w:p w14:paraId="2966DD23">
            <w:pPr>
              <w:spacing w:line="400" w:lineRule="exact"/>
              <w:rPr>
                <w:rFonts w:ascii="宋体"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日内。</w:t>
            </w:r>
          </w:p>
        </w:tc>
        <w:tc>
          <w:tcPr>
            <w:tcW w:w="716" w:type="pct"/>
            <w:tcBorders>
              <w:top w:val="single" w:color="auto" w:sz="4" w:space="0"/>
              <w:left w:val="single" w:color="auto" w:sz="4" w:space="0"/>
              <w:bottom w:val="single" w:color="auto" w:sz="4" w:space="0"/>
              <w:right w:val="single" w:color="auto" w:sz="4" w:space="0"/>
            </w:tcBorders>
            <w:vAlign w:val="center"/>
          </w:tcPr>
          <w:p w14:paraId="705BCCA0">
            <w:pPr>
              <w:spacing w:line="400" w:lineRule="exact"/>
              <w:rPr>
                <w:rFonts w:ascii="宋体" w:hAnsi="宋体" w:cs="宋体"/>
                <w:color w:val="auto"/>
                <w:szCs w:val="21"/>
                <w:highlight w:val="none"/>
              </w:rPr>
            </w:pPr>
          </w:p>
        </w:tc>
      </w:tr>
    </w:tbl>
    <w:p w14:paraId="505CACEC">
      <w:pPr>
        <w:spacing w:line="400" w:lineRule="exact"/>
        <w:jc w:val="center"/>
        <w:outlineLvl w:val="0"/>
        <w:rPr>
          <w:rFonts w:ascii="宋体" w:hAnsi="宋体" w:cs="宋体"/>
          <w:b/>
          <w:sz w:val="32"/>
          <w:highlight w:val="none"/>
        </w:rPr>
      </w:pPr>
      <w:r>
        <w:rPr>
          <w:rFonts w:hint="eastAsia" w:ascii="宋体" w:hAnsi="宋体" w:cs="宋体"/>
          <w:b/>
          <w:sz w:val="32"/>
          <w:highlight w:val="none"/>
        </w:rPr>
        <w:br w:type="page"/>
      </w:r>
      <w:bookmarkStart w:id="31" w:name="_Toc6037"/>
      <w:r>
        <w:rPr>
          <w:rFonts w:hint="eastAsia" w:ascii="宋体" w:hAnsi="宋体" w:cs="宋体"/>
          <w:b/>
          <w:sz w:val="32"/>
          <w:highlight w:val="none"/>
        </w:rPr>
        <w:t>第五章  评标办法及标准</w:t>
      </w:r>
      <w:bookmarkEnd w:id="31"/>
    </w:p>
    <w:p w14:paraId="471B3FBA">
      <w:pPr>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一、评标办法</w:t>
      </w:r>
    </w:p>
    <w:p w14:paraId="096C4715">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1.1本项目评标采用综合评分法。</w:t>
      </w:r>
    </w:p>
    <w:p w14:paraId="38094916">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综合评分法：采用百分制，总分100分。供应商的综合得分为技术商务得分与价格得分之和。按综合得分由高到低的排序，推荐中标候选供应商。若供应商的综合得分相等，则投标报价低者列前；若投标报价也相同时，采取随机抽签的方式确定排序，先抽出的排序列前。</w:t>
      </w:r>
    </w:p>
    <w:p w14:paraId="0FF2E57B">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1.3</w:t>
      </w:r>
      <w:r>
        <w:rPr>
          <w:rFonts w:hint="eastAsia" w:ascii="宋体" w:hAnsi="宋体" w:cs="宋体"/>
          <w:highlight w:val="none"/>
        </w:rPr>
        <w:t>本项目需要落实的政府采购政策：</w:t>
      </w:r>
      <w:r>
        <w:rPr>
          <w:rFonts w:hint="eastAsia" w:ascii="宋体" w:hAnsi="宋体" w:cs="宋体"/>
          <w:szCs w:val="21"/>
          <w:highlight w:val="none"/>
        </w:rPr>
        <w:t>促进中小企业发展等。</w:t>
      </w:r>
    </w:p>
    <w:p w14:paraId="31BEEB2A">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1.4本次采购为非专门面向中小企业，采购标的对应的中小企业划分标准所属行业为</w:t>
      </w:r>
      <w:r>
        <w:rPr>
          <w:rFonts w:hint="eastAsia" w:ascii="宋体" w:hAnsi="宋体" w:cs="宋体"/>
          <w:b/>
          <w:bCs/>
          <w:szCs w:val="21"/>
          <w:highlight w:val="none"/>
        </w:rPr>
        <w:t>租赁和商务服务业</w:t>
      </w:r>
      <w:r>
        <w:rPr>
          <w:rFonts w:hint="eastAsia" w:ascii="宋体" w:hAnsi="宋体" w:cs="宋体"/>
          <w:szCs w:val="21"/>
          <w:highlight w:val="none"/>
        </w:rPr>
        <w:t>。本次评标将对满足招标文件第二章第十八条第1、2、3款要求的服务承企业为小微企业的价格给予10%的扣除，用扣除后的价格参与评审。</w:t>
      </w:r>
    </w:p>
    <w:p w14:paraId="7D797164">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对于大中型企业与小微企业组成联合体，联合协议约定小微企业的合同份额占到合同总金额30%以上的，对联合体的报价按最高优惠幅度4%给予扣除，用扣除后的价格参加评审。</w:t>
      </w:r>
    </w:p>
    <w:p w14:paraId="0C3A91B6">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价格扣除只用于评审过程，如中标，中标价格仍按照其投标价格进行公示。</w:t>
      </w:r>
    </w:p>
    <w:p w14:paraId="2DE6D7E3">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zCs w:val="21"/>
          <w:highlight w:val="none"/>
        </w:rPr>
        <w:t>www.ccgp.gov.cn</w:t>
      </w:r>
      <w:r>
        <w:rPr>
          <w:rFonts w:hint="eastAsia" w:ascii="宋体" w:hAnsi="宋体" w:cs="宋体"/>
          <w:szCs w:val="21"/>
          <w:highlight w:val="none"/>
        </w:rPr>
        <w:fldChar w:fldCharType="end"/>
      </w:r>
      <w:r>
        <w:rPr>
          <w:rFonts w:hint="eastAsia" w:ascii="宋体" w:hAnsi="宋体" w:cs="宋体"/>
          <w:szCs w:val="21"/>
          <w:highlight w:val="none"/>
        </w:rPr>
        <w:t>）节能产品、环境标志产品查询结果不相符的评标委员会将不予认可，不得享受技术加分。由多个产品集成的项目（标项），必须所有产品符合上述要求才能享受技术加分。（本项目不适用）</w:t>
      </w:r>
    </w:p>
    <w:p w14:paraId="049DCD14">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1.6评标委员会成员对需要共同认定的事项存在争议的，应当按照少数服从多数的原则作出结论。</w:t>
      </w:r>
    </w:p>
    <w:p w14:paraId="417B0513">
      <w:pPr>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二、评标程序</w:t>
      </w:r>
    </w:p>
    <w:p w14:paraId="2331EA06">
      <w:pPr>
        <w:spacing w:line="400" w:lineRule="exact"/>
        <w:ind w:firstLine="420" w:firstLineChars="200"/>
        <w:rPr>
          <w:rFonts w:ascii="宋体" w:hAnsi="宋体" w:cs="宋体"/>
          <w:b/>
          <w:szCs w:val="21"/>
          <w:highlight w:val="none"/>
        </w:rPr>
      </w:pPr>
      <w:r>
        <w:rPr>
          <w:rFonts w:hint="eastAsia" w:ascii="宋体" w:hAnsi="宋体" w:cs="宋体"/>
          <w:szCs w:val="21"/>
          <w:highlight w:val="none"/>
        </w:rPr>
        <w:t>2.1初步审查：包含资格性审查和符合性审查。资格性审查是指招标人或代理机构根据“附表1资格性审查表”的要求对投标文件逐一进行评审。符合性审查是指评标委员会根据“附表2符合性审查表”的要求对投标文件逐一进行评审。</w:t>
      </w:r>
      <w:r>
        <w:rPr>
          <w:rFonts w:hint="eastAsia" w:ascii="宋体" w:hAnsi="宋体" w:cs="宋体"/>
          <w:b/>
          <w:szCs w:val="21"/>
          <w:highlight w:val="none"/>
        </w:rPr>
        <w:t>资格性审查和符合性审查中，有任意一项审查结论不合格的，作无效标处理。</w:t>
      </w:r>
    </w:p>
    <w:p w14:paraId="5F8F3685">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zh-CN"/>
        </w:rPr>
        <w:t>比较与评价：</w:t>
      </w:r>
      <w:r>
        <w:rPr>
          <w:rFonts w:hint="eastAsia" w:ascii="宋体" w:hAnsi="宋体" w:cs="宋体"/>
          <w:szCs w:val="21"/>
          <w:highlight w:val="none"/>
        </w:rPr>
        <w:t>评标委员会根据“附表3评分标准（兼评委打分表）”的要求，</w:t>
      </w:r>
      <w:r>
        <w:rPr>
          <w:rFonts w:hint="eastAsia" w:ascii="宋体" w:hAnsi="宋体" w:cs="宋体"/>
          <w:szCs w:val="21"/>
          <w:highlight w:val="none"/>
          <w:lang w:val="zh-CN"/>
        </w:rPr>
        <w:t>对照投标文件的应答进行比较，判定其偏差性质和程度，</w:t>
      </w:r>
      <w:r>
        <w:rPr>
          <w:rFonts w:hint="eastAsia" w:ascii="宋体" w:hAnsi="宋体" w:cs="宋体"/>
          <w:szCs w:val="21"/>
          <w:highlight w:val="none"/>
        </w:rPr>
        <w:t>由评标委员会成员在分值范围内自行评分。供应商商务和技术得分为各评标委员会成员有效评分的算术平均值（小数点后保留二位数）。</w:t>
      </w:r>
    </w:p>
    <w:p w14:paraId="72DC320C">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2.3在评标过程中，发现的价格计算错误按下述原则修正：</w:t>
      </w:r>
    </w:p>
    <w:p w14:paraId="39825A2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（1）投标文件中开标一览表内容与投标文件中相应内容不一致的，以开标一览表为准；</w:t>
      </w:r>
    </w:p>
    <w:p w14:paraId="46976BE7">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655DFDC0">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（3）单价金额小数点或者百分比有明显错位的，以开标一览表的总价为准，并修改单价；</w:t>
      </w:r>
    </w:p>
    <w:p w14:paraId="0C2F4DF7">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5E0F9304">
      <w:pPr>
        <w:spacing w:line="400" w:lineRule="exact"/>
        <w:ind w:firstLine="420" w:firstLineChars="200"/>
        <w:jc w:val="left"/>
        <w:rPr>
          <w:rFonts w:ascii="宋体" w:hAnsi="宋体" w:cs="宋体"/>
          <w:highlight w:val="none"/>
        </w:rPr>
      </w:pPr>
      <w:r>
        <w:rPr>
          <w:rFonts w:hint="eastAsia" w:ascii="宋体" w:hAnsi="宋体" w:cs="宋体"/>
          <w:szCs w:val="21"/>
          <w:highlight w:val="none"/>
        </w:rPr>
        <w:t>同时出现两种以上不一致的，按照前款规定的顺序修正。修正后的报价经供应商确认后产生约束力，供应商不确认的，其投标无效。</w:t>
      </w:r>
    </w:p>
    <w:p w14:paraId="46F6BAD6">
      <w:pPr>
        <w:spacing w:line="400" w:lineRule="exact"/>
        <w:ind w:firstLine="420" w:firstLineChars="200"/>
        <w:jc w:val="left"/>
        <w:rPr>
          <w:rFonts w:ascii="宋体" w:hAnsi="宋体" w:cs="宋体"/>
          <w:highlight w:val="none"/>
        </w:rPr>
      </w:pPr>
      <w:r>
        <w:rPr>
          <w:rFonts w:hint="eastAsia" w:ascii="宋体" w:hAnsi="宋体" w:cs="宋体"/>
          <w:szCs w:val="21"/>
          <w:highlight w:val="none"/>
        </w:rPr>
        <w:t>2.4</w:t>
      </w:r>
      <w:r>
        <w:rPr>
          <w:rFonts w:hint="eastAsia" w:ascii="宋体" w:hAnsi="宋体" w:cs="宋体"/>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s="宋体"/>
          <w:szCs w:val="21"/>
          <w:highlight w:val="none"/>
        </w:rPr>
        <w:t>候选</w:t>
      </w:r>
      <w:r>
        <w:rPr>
          <w:rFonts w:hint="eastAsia" w:ascii="宋体" w:hAnsi="宋体" w:cs="宋体"/>
          <w:highlight w:val="none"/>
        </w:rPr>
        <w:t>人推荐资格；综合得分相同的，由评标委员会采取随机抽取方式确定，其他同品牌供应商不作为中标候选人。（本项目不适用）</w:t>
      </w:r>
    </w:p>
    <w:p w14:paraId="3A392EA8">
      <w:pPr>
        <w:spacing w:line="400" w:lineRule="exact"/>
        <w:ind w:firstLine="420" w:firstLineChars="200"/>
        <w:jc w:val="left"/>
        <w:rPr>
          <w:rFonts w:ascii="宋体" w:hAnsi="宋体" w:cs="宋体"/>
          <w:szCs w:val="21"/>
          <w:highlight w:val="none"/>
        </w:rPr>
      </w:pPr>
      <w:r>
        <w:rPr>
          <w:rFonts w:hint="eastAsia" w:ascii="宋体" w:hAnsi="宋体" w:cs="宋体"/>
          <w:highlight w:val="none"/>
        </w:rPr>
        <w:t>非单一产品采购项目，多家供应商提供的核心产品品牌相同的，按上述规定处理。（本项目不适用）</w:t>
      </w:r>
    </w:p>
    <w:p w14:paraId="619EE7D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2.5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5F0F8C49">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2.6推荐中标候选人：按综合得分由高到低的排序，推荐中标候选人。若供应商的综合得分相等，则投标报价低者列前；若投标报价也相同时，采取随机抽签的方式确定排序。</w:t>
      </w:r>
    </w:p>
    <w:p w14:paraId="7F01FDC6">
      <w:pPr>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2.3确定中标供应商</w:t>
      </w:r>
    </w:p>
    <w:p w14:paraId="42323E4F">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1名中标供应商。中标供应商因不可抗力或者自身原因不能履行政府采购合同的，招标人可以按照评审报告推荐的下一中标候选人为中标供应商或重新招标。</w:t>
      </w:r>
    </w:p>
    <w:p w14:paraId="3782A7B0">
      <w:pPr>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三、投标的澄清</w:t>
      </w:r>
    </w:p>
    <w:p w14:paraId="0B58799A">
      <w:pPr>
        <w:spacing w:line="400" w:lineRule="exact"/>
        <w:ind w:firstLine="420" w:firstLineChars="200"/>
        <w:rPr>
          <w:rFonts w:ascii="宋体" w:hAnsi="宋体" w:cs="宋体"/>
          <w:highlight w:val="none"/>
        </w:rPr>
      </w:pPr>
      <w:r>
        <w:rPr>
          <w:rFonts w:hint="eastAsia" w:ascii="宋体" w:hAnsi="宋体" w:cs="宋体"/>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7F504A9C">
      <w:pPr>
        <w:spacing w:line="400" w:lineRule="exact"/>
        <w:ind w:firstLine="420" w:firstLineChars="200"/>
        <w:rPr>
          <w:rFonts w:ascii="宋体" w:hAnsi="宋体" w:cs="宋体"/>
          <w:highlight w:val="none"/>
        </w:rPr>
      </w:pPr>
      <w:r>
        <w:rPr>
          <w:rFonts w:hint="eastAsia" w:ascii="宋体" w:hAnsi="宋体" w:cs="宋体"/>
          <w:highlight w:val="none"/>
        </w:rPr>
        <w:t>3.2政采云具体操作如下：</w:t>
      </w:r>
    </w:p>
    <w:p w14:paraId="16EB3971">
      <w:pPr>
        <w:spacing w:line="400" w:lineRule="exact"/>
        <w:ind w:firstLine="420" w:firstLineChars="200"/>
        <w:rPr>
          <w:rFonts w:ascii="宋体" w:hAnsi="宋体" w:cs="宋体"/>
          <w:highlight w:val="none"/>
        </w:rPr>
      </w:pPr>
      <w:r>
        <w:rPr>
          <w:rFonts w:hint="eastAsia" w:ascii="宋体" w:hAnsi="宋体" w:cs="宋体"/>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4B543949">
      <w:pPr>
        <w:spacing w:line="400" w:lineRule="exact"/>
        <w:ind w:firstLine="420" w:firstLineChars="200"/>
        <w:rPr>
          <w:rFonts w:ascii="宋体" w:hAnsi="宋体" w:cs="宋体"/>
          <w:highlight w:val="none"/>
        </w:rPr>
      </w:pPr>
      <w:r>
        <w:rPr>
          <w:rFonts w:hint="eastAsia" w:ascii="宋体" w:hAnsi="宋体" w:cs="宋体"/>
          <w:highlight w:val="none"/>
        </w:rPr>
        <w:t>路径：用户中心—项目采购—询标澄清</w:t>
      </w:r>
    </w:p>
    <w:p w14:paraId="70D14165">
      <w:pPr>
        <w:spacing w:line="400" w:lineRule="exact"/>
        <w:ind w:firstLine="420" w:firstLineChars="200"/>
        <w:rPr>
          <w:rFonts w:ascii="宋体" w:hAnsi="宋体" w:cs="宋体"/>
          <w:highlight w:val="none"/>
        </w:rPr>
      </w:pPr>
      <w:r>
        <w:rPr>
          <w:rFonts w:hint="eastAsia" w:ascii="宋体" w:hAnsi="宋体" w:cs="宋体"/>
          <w:highlight w:val="none"/>
        </w:rPr>
        <w:t>（1）政采云平台通过待办事项和短信提醒供应商在截止时间前完成澄清。</w:t>
      </w:r>
    </w:p>
    <w:p w14:paraId="5D346BC2">
      <w:pPr>
        <w:spacing w:line="400" w:lineRule="exact"/>
        <w:ind w:firstLine="420" w:firstLineChars="200"/>
        <w:rPr>
          <w:rFonts w:ascii="宋体" w:hAnsi="宋体" w:cs="宋体"/>
          <w:highlight w:val="none"/>
        </w:rPr>
      </w:pPr>
      <w:r>
        <w:rPr>
          <w:rFonts w:hint="eastAsia" w:ascii="宋体" w:hAnsi="宋体" w:cs="宋体"/>
          <w:highlight w:val="none"/>
        </w:rPr>
        <w:t>（2）供应商在“询标澄清-待办理”标签页下选择状态为“待澄清”的项目，点击操作栏【澄清】。</w:t>
      </w:r>
    </w:p>
    <w:p w14:paraId="486894E3">
      <w:pPr>
        <w:spacing w:line="400" w:lineRule="exact"/>
        <w:ind w:firstLine="420" w:firstLineChars="200"/>
        <w:rPr>
          <w:rFonts w:ascii="宋体" w:hAnsi="宋体" w:cs="宋体"/>
          <w:highlight w:val="none"/>
        </w:rPr>
      </w:pPr>
      <w:r>
        <w:rPr>
          <w:rFonts w:hint="eastAsia" w:ascii="宋体" w:hAnsi="宋体" w:cs="宋体"/>
          <w:highlight w:val="none"/>
        </w:rPr>
        <w:t>（3）查看函内容，在澄清截止时间前上传澄清文件并对澄清文件进行签章。（注：澄清文件必须以PDF格式上传，文件大小：50M）</w:t>
      </w:r>
    </w:p>
    <w:p w14:paraId="6F7DBEF8">
      <w:pPr>
        <w:spacing w:line="400" w:lineRule="exact"/>
        <w:ind w:firstLine="420" w:firstLineChars="200"/>
        <w:rPr>
          <w:rFonts w:ascii="宋体" w:hAnsi="宋体" w:cs="宋体"/>
          <w:highlight w:val="none"/>
        </w:rPr>
      </w:pPr>
      <w:r>
        <w:rPr>
          <w:rFonts w:hint="eastAsia" w:ascii="宋体" w:hAnsi="宋体" w:cs="宋体"/>
          <w:highlight w:val="none"/>
        </w:rPr>
        <w:t>（4）签章完成，文件名称处显示“已签章”，供应商可“撤回签章”修改澄清函和“查看文件”。</w:t>
      </w:r>
    </w:p>
    <w:p w14:paraId="02AE8E75">
      <w:pPr>
        <w:spacing w:line="400" w:lineRule="exact"/>
        <w:ind w:firstLine="420" w:firstLineChars="200"/>
        <w:rPr>
          <w:rFonts w:ascii="宋体" w:hAnsi="宋体" w:cs="宋体"/>
          <w:highlight w:val="none"/>
        </w:rPr>
      </w:pPr>
      <w:r>
        <w:rPr>
          <w:rFonts w:hint="eastAsia" w:ascii="宋体" w:hAnsi="宋体" w:cs="宋体"/>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170F2A26">
      <w:pPr>
        <w:spacing w:line="400" w:lineRule="exact"/>
        <w:ind w:firstLine="420" w:firstLineChars="200"/>
        <w:rPr>
          <w:rFonts w:ascii="宋体" w:hAnsi="宋体" w:cs="宋体"/>
          <w:highlight w:val="none"/>
        </w:rPr>
      </w:pPr>
      <w:r>
        <w:rPr>
          <w:rFonts w:hint="eastAsia" w:ascii="宋体" w:hAnsi="宋体" w:cs="宋体"/>
          <w:highlight w:val="none"/>
        </w:rPr>
        <w:t>（6）完成状态：供应商澄清文件提交成功后，在“询标澄清-全部”标签页下显示状态为“已澄清”。</w:t>
      </w:r>
    </w:p>
    <w:p w14:paraId="6BCAD92D">
      <w:pPr>
        <w:spacing w:line="400" w:lineRule="exact"/>
        <w:ind w:firstLine="420" w:firstLineChars="200"/>
        <w:rPr>
          <w:rFonts w:ascii="宋体" w:hAnsi="宋体" w:cs="宋体"/>
          <w:highlight w:val="none"/>
        </w:rPr>
      </w:pPr>
      <w:r>
        <w:rPr>
          <w:rFonts w:hint="eastAsia" w:ascii="宋体" w:hAnsi="宋体" w:cs="宋体"/>
          <w:highlight w:val="none"/>
        </w:rPr>
        <w:t>3.3开标现场，供应商安排</w:t>
      </w:r>
      <w:r>
        <w:rPr>
          <w:rFonts w:hint="eastAsia" w:ascii="宋体" w:hAnsi="宋体" w:cs="宋体"/>
          <w:szCs w:val="21"/>
          <w:highlight w:val="none"/>
        </w:rPr>
        <w:t>法定代表人或授权代表到场的，则由</w:t>
      </w:r>
      <w:r>
        <w:rPr>
          <w:rFonts w:hint="eastAsia" w:ascii="宋体" w:hAnsi="宋体" w:cs="宋体"/>
          <w:highlight w:val="none"/>
        </w:rPr>
        <w:t>评标委员会组长将问题汇总后向供应商发出书面“采购响应文件问题澄清通知”，供应商应对需要澄清的问题作书面回答，该书面澄清应当由</w:t>
      </w:r>
      <w:r>
        <w:rPr>
          <w:rFonts w:hint="eastAsia" w:ascii="宋体" w:hAnsi="宋体" w:cs="宋体"/>
          <w:szCs w:val="21"/>
          <w:highlight w:val="none"/>
        </w:rPr>
        <w:t>供应商的法定代表人或授权代表签字</w:t>
      </w:r>
      <w:r>
        <w:rPr>
          <w:rFonts w:hint="eastAsia" w:ascii="宋体" w:hAnsi="宋体" w:cs="宋体"/>
          <w:highlight w:val="none"/>
        </w:rPr>
        <w:t>或者加盖供应商公章。书面澄清将作为投标文件内容的一部分，具有相应的法律效力。</w:t>
      </w:r>
    </w:p>
    <w:p w14:paraId="45ACC717">
      <w:pPr>
        <w:spacing w:line="400" w:lineRule="exact"/>
        <w:ind w:firstLine="420" w:firstLineChars="200"/>
        <w:jc w:val="left"/>
        <w:rPr>
          <w:rFonts w:ascii="宋体" w:hAnsi="宋体" w:cs="宋体"/>
          <w:highlight w:val="none"/>
        </w:rPr>
      </w:pPr>
      <w:r>
        <w:rPr>
          <w:rFonts w:hint="eastAsia" w:ascii="宋体" w:hAnsi="宋体" w:cs="宋体"/>
          <w:highlight w:val="none"/>
        </w:rPr>
        <w:t>3.4供应商未在截止时间前完成澄清，将被视作自动放弃。</w:t>
      </w:r>
    </w:p>
    <w:p w14:paraId="009D3AF5">
      <w:pPr>
        <w:spacing w:line="400" w:lineRule="exact"/>
        <w:ind w:firstLine="422" w:firstLineChars="200"/>
        <w:jc w:val="left"/>
        <w:rPr>
          <w:rFonts w:ascii="宋体" w:hAnsi="宋体" w:cs="宋体"/>
          <w:szCs w:val="21"/>
          <w:highlight w:val="none"/>
        </w:rPr>
      </w:pPr>
      <w:r>
        <w:rPr>
          <w:rFonts w:hint="eastAsia" w:ascii="宋体" w:hAnsi="宋体" w:cs="宋体"/>
          <w:b/>
          <w:szCs w:val="21"/>
          <w:highlight w:val="none"/>
        </w:rPr>
        <w:t>四、特别声明：价格是评标的重要因素之一，但最低价不是中标的唯一依据。</w:t>
      </w:r>
    </w:p>
    <w:p w14:paraId="08C087BE">
      <w:pPr>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五、重新招标</w:t>
      </w:r>
    </w:p>
    <w:p w14:paraId="1B062CBF">
      <w:pPr>
        <w:spacing w:line="400" w:lineRule="exact"/>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14:paraId="3B0CE576">
      <w:pPr>
        <w:spacing w:line="400" w:lineRule="exact"/>
        <w:ind w:firstLine="420" w:firstLineChars="200"/>
        <w:rPr>
          <w:rFonts w:ascii="宋体" w:hAnsi="宋体" w:cs="宋体"/>
          <w:szCs w:val="21"/>
          <w:highlight w:val="none"/>
        </w:rPr>
      </w:pPr>
      <w:r>
        <w:rPr>
          <w:rFonts w:hint="eastAsia" w:ascii="宋体" w:hAnsi="宋体" w:cs="宋体"/>
          <w:szCs w:val="21"/>
          <w:highlight w:val="none"/>
        </w:rPr>
        <w:t>5.1投标截止时间止，供应商少于3个的；</w:t>
      </w:r>
    </w:p>
    <w:p w14:paraId="3AD00C25">
      <w:pPr>
        <w:spacing w:line="400" w:lineRule="exact"/>
        <w:ind w:firstLine="420" w:firstLineChars="200"/>
        <w:rPr>
          <w:rFonts w:ascii="宋体" w:hAnsi="宋体" w:cs="宋体"/>
          <w:szCs w:val="21"/>
          <w:highlight w:val="none"/>
        </w:rPr>
      </w:pPr>
      <w:r>
        <w:rPr>
          <w:rFonts w:hint="eastAsia" w:ascii="宋体" w:hAnsi="宋体" w:cs="宋体"/>
          <w:szCs w:val="21"/>
          <w:highlight w:val="none"/>
        </w:rPr>
        <w:t>5.2评标委员会评标过程中，有效供应商少于3个的；</w:t>
      </w:r>
    </w:p>
    <w:p w14:paraId="7DF457C1">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0390FEC4">
      <w:pPr>
        <w:spacing w:line="400" w:lineRule="exact"/>
        <w:rPr>
          <w:rFonts w:ascii="宋体" w:hAnsi="宋体" w:cs="宋体"/>
          <w:szCs w:val="21"/>
          <w:highlight w:val="none"/>
        </w:rPr>
      </w:pPr>
      <w:r>
        <w:rPr>
          <w:rFonts w:hint="eastAsia" w:ascii="宋体" w:hAnsi="宋体" w:cs="宋体"/>
          <w:sz w:val="24"/>
          <w:szCs w:val="24"/>
          <w:highlight w:val="none"/>
        </w:rPr>
        <w:br w:type="page"/>
      </w:r>
      <w:r>
        <w:rPr>
          <w:rFonts w:hint="eastAsia" w:ascii="宋体" w:hAnsi="宋体" w:cs="宋体"/>
          <w:szCs w:val="21"/>
          <w:highlight w:val="none"/>
        </w:rPr>
        <w:t xml:space="preserve">附表1：                           </w:t>
      </w:r>
    </w:p>
    <w:p w14:paraId="1B613EEA">
      <w:pPr>
        <w:spacing w:line="400" w:lineRule="exact"/>
        <w:jc w:val="center"/>
        <w:rPr>
          <w:rFonts w:ascii="宋体" w:hAnsi="宋体" w:cs="宋体"/>
          <w:b/>
          <w:szCs w:val="21"/>
          <w:highlight w:val="none"/>
        </w:rPr>
      </w:pPr>
      <w:r>
        <w:rPr>
          <w:rFonts w:hint="eastAsia" w:ascii="宋体" w:hAnsi="宋体" w:cs="宋体"/>
          <w:b/>
          <w:szCs w:val="21"/>
          <w:highlight w:val="none"/>
        </w:rPr>
        <w:t>资格性审查表</w:t>
      </w:r>
    </w:p>
    <w:tbl>
      <w:tblPr>
        <w:tblStyle w:val="53"/>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84"/>
        <w:gridCol w:w="5481"/>
      </w:tblGrid>
      <w:tr w14:paraId="6BAC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7B585E9C">
            <w:pPr>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2984" w:type="dxa"/>
            <w:tcBorders>
              <w:tl2br w:val="nil"/>
              <w:tr2bl w:val="nil"/>
            </w:tcBorders>
            <w:vAlign w:val="center"/>
          </w:tcPr>
          <w:p w14:paraId="4CA6A07E">
            <w:pPr>
              <w:spacing w:line="400" w:lineRule="exact"/>
              <w:jc w:val="center"/>
              <w:rPr>
                <w:rFonts w:ascii="宋体" w:hAnsi="宋体" w:cs="宋体"/>
                <w:b/>
                <w:szCs w:val="21"/>
                <w:highlight w:val="none"/>
              </w:rPr>
            </w:pPr>
            <w:r>
              <w:rPr>
                <w:rFonts w:hint="eastAsia" w:ascii="宋体" w:hAnsi="宋体" w:cs="宋体"/>
                <w:b/>
                <w:szCs w:val="21"/>
                <w:highlight w:val="none"/>
              </w:rPr>
              <w:t>要求说明</w:t>
            </w:r>
          </w:p>
        </w:tc>
        <w:tc>
          <w:tcPr>
            <w:tcW w:w="5481" w:type="dxa"/>
            <w:tcBorders>
              <w:tl2br w:val="nil"/>
              <w:tr2bl w:val="nil"/>
            </w:tcBorders>
            <w:vAlign w:val="center"/>
          </w:tcPr>
          <w:p w14:paraId="05AFC020">
            <w:pPr>
              <w:spacing w:line="400" w:lineRule="exact"/>
              <w:jc w:val="center"/>
              <w:rPr>
                <w:rFonts w:ascii="宋体" w:hAnsi="宋体" w:cs="宋体"/>
                <w:b/>
                <w:szCs w:val="21"/>
                <w:highlight w:val="none"/>
              </w:rPr>
            </w:pPr>
            <w:r>
              <w:rPr>
                <w:rFonts w:hint="eastAsia" w:ascii="宋体" w:hAnsi="宋体" w:cs="宋体"/>
                <w:b/>
                <w:szCs w:val="21"/>
                <w:highlight w:val="none"/>
              </w:rPr>
              <w:t>审查要求</w:t>
            </w:r>
          </w:p>
        </w:tc>
      </w:tr>
      <w:tr w14:paraId="40AC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0084EA27">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984" w:type="dxa"/>
            <w:tcBorders>
              <w:tl2br w:val="nil"/>
              <w:tr2bl w:val="nil"/>
            </w:tcBorders>
            <w:vAlign w:val="center"/>
          </w:tcPr>
          <w:p w14:paraId="58D42238">
            <w:pPr>
              <w:spacing w:line="400" w:lineRule="exact"/>
              <w:rPr>
                <w:rFonts w:ascii="宋体" w:hAnsi="宋体" w:cs="宋体"/>
                <w:szCs w:val="21"/>
                <w:highlight w:val="none"/>
              </w:rPr>
            </w:pPr>
            <w:r>
              <w:rPr>
                <w:rFonts w:hint="eastAsia" w:ascii="宋体" w:hAnsi="宋体" w:cs="宋体"/>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5481" w:type="dxa"/>
            <w:tcBorders>
              <w:tl2br w:val="nil"/>
              <w:tr2bl w:val="nil"/>
            </w:tcBorders>
            <w:vAlign w:val="center"/>
          </w:tcPr>
          <w:p w14:paraId="0114F278">
            <w:pPr>
              <w:spacing w:line="400" w:lineRule="exact"/>
              <w:jc w:val="left"/>
              <w:rPr>
                <w:rFonts w:ascii="宋体" w:hAnsi="宋体" w:cs="宋体"/>
                <w:szCs w:val="21"/>
                <w:highlight w:val="none"/>
              </w:rPr>
            </w:pPr>
            <w:r>
              <w:rPr>
                <w:rFonts w:hint="eastAsia" w:ascii="宋体" w:hAnsi="宋体" w:cs="宋体"/>
                <w:szCs w:val="21"/>
                <w:highlight w:val="none"/>
              </w:rPr>
              <w:t>A1.关于资格的承诺函（附件一）</w:t>
            </w:r>
            <w:r>
              <w:rPr>
                <w:rFonts w:hint="eastAsia" w:ascii="宋体" w:hAnsi="宋体" w:cs="宋体"/>
                <w:b/>
                <w:bCs/>
                <w:szCs w:val="21"/>
                <w:highlight w:val="none"/>
              </w:rPr>
              <w:t>（联合体参加时联合体成员均须提供）</w:t>
            </w:r>
            <w:r>
              <w:rPr>
                <w:rFonts w:hint="eastAsia" w:ascii="宋体" w:hAnsi="宋体" w:cs="宋体"/>
                <w:szCs w:val="21"/>
                <w:highlight w:val="none"/>
              </w:rPr>
              <w:t>；</w:t>
            </w:r>
          </w:p>
          <w:p w14:paraId="4324B4AE">
            <w:pPr>
              <w:spacing w:line="400" w:lineRule="exact"/>
              <w:jc w:val="left"/>
              <w:rPr>
                <w:rFonts w:ascii="宋体" w:hAnsi="宋体" w:cs="宋体"/>
                <w:szCs w:val="21"/>
                <w:highlight w:val="none"/>
              </w:rPr>
            </w:pPr>
            <w:r>
              <w:rPr>
                <w:rFonts w:hint="eastAsia" w:ascii="宋体" w:hAnsi="宋体" w:cs="宋体"/>
                <w:szCs w:val="21"/>
                <w:highlight w:val="none"/>
              </w:rPr>
              <w:t>A2.营业执照副本（或事业法人登记证副本或其他登记证明材料）复印件并加盖供应商公章（供应商如果有名称变更的，应提供由行政主管部门出具的变更证明文件复印件并加盖供应商公章）</w:t>
            </w:r>
            <w:r>
              <w:rPr>
                <w:rFonts w:hint="eastAsia" w:ascii="宋体" w:hAnsi="宋体" w:cs="宋体"/>
                <w:b/>
                <w:bCs/>
                <w:szCs w:val="21"/>
                <w:highlight w:val="none"/>
              </w:rPr>
              <w:t>（联合体参加时联合体成员均须提供）</w:t>
            </w:r>
            <w:r>
              <w:rPr>
                <w:rFonts w:hint="eastAsia" w:ascii="宋体" w:hAnsi="宋体" w:cs="宋体"/>
                <w:szCs w:val="21"/>
                <w:highlight w:val="none"/>
              </w:rPr>
              <w:t>；</w:t>
            </w:r>
          </w:p>
          <w:p w14:paraId="3AA4C30F">
            <w:pPr>
              <w:spacing w:line="400" w:lineRule="exact"/>
              <w:jc w:val="left"/>
              <w:rPr>
                <w:rFonts w:ascii="宋体" w:hAnsi="宋体" w:cs="宋体"/>
                <w:b/>
                <w:bCs/>
                <w:szCs w:val="21"/>
                <w:highlight w:val="none"/>
              </w:rPr>
            </w:pPr>
            <w:r>
              <w:rPr>
                <w:rFonts w:hint="eastAsia" w:ascii="宋体" w:hAnsi="宋体" w:cs="宋体"/>
                <w:b/>
                <w:bCs/>
                <w:szCs w:val="21"/>
                <w:highlight w:val="none"/>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F95FD5D">
            <w:pPr>
              <w:spacing w:line="400" w:lineRule="exact"/>
              <w:jc w:val="left"/>
              <w:rPr>
                <w:rFonts w:ascii="宋体" w:hAnsi="宋体" w:cs="宋体"/>
                <w:szCs w:val="21"/>
                <w:highlight w:val="none"/>
              </w:rPr>
            </w:pPr>
            <w:r>
              <w:rPr>
                <w:rFonts w:hint="eastAsia" w:ascii="宋体" w:hAnsi="宋体" w:cs="宋体"/>
                <w:b/>
                <w:bCs/>
                <w:szCs w:val="21"/>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招标人将依法取消其中标资格。</w:t>
            </w:r>
          </w:p>
        </w:tc>
      </w:tr>
      <w:tr w14:paraId="4F52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74A71824">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984" w:type="dxa"/>
            <w:tcBorders>
              <w:tl2br w:val="nil"/>
              <w:tr2bl w:val="nil"/>
            </w:tcBorders>
            <w:vAlign w:val="center"/>
          </w:tcPr>
          <w:p w14:paraId="2FBC8871">
            <w:pPr>
              <w:snapToGrid w:val="0"/>
              <w:spacing w:line="400" w:lineRule="exact"/>
              <w:rPr>
                <w:rFonts w:ascii="宋体" w:hAnsi="宋体" w:cs="宋体"/>
                <w:szCs w:val="21"/>
                <w:highlight w:val="none"/>
              </w:rPr>
            </w:pPr>
            <w:r>
              <w:rPr>
                <w:rFonts w:hint="eastAsia" w:ascii="宋体" w:hAnsi="宋体" w:cs="宋体"/>
                <w:szCs w:val="21"/>
                <w:highlight w:val="none"/>
              </w:rPr>
              <w:t>本项目接受联合体投标。</w:t>
            </w:r>
          </w:p>
        </w:tc>
        <w:tc>
          <w:tcPr>
            <w:tcW w:w="5481" w:type="dxa"/>
            <w:tcBorders>
              <w:tl2br w:val="nil"/>
              <w:tr2bl w:val="nil"/>
            </w:tcBorders>
            <w:vAlign w:val="center"/>
          </w:tcPr>
          <w:p w14:paraId="5AF3D9A2">
            <w:pPr>
              <w:snapToGrid w:val="0"/>
              <w:spacing w:line="400" w:lineRule="exact"/>
              <w:rPr>
                <w:rFonts w:ascii="宋体" w:hAnsi="宋体" w:cs="宋体"/>
                <w:b/>
                <w:bCs/>
                <w:szCs w:val="21"/>
                <w:highlight w:val="none"/>
              </w:rPr>
            </w:pPr>
            <w:r>
              <w:rPr>
                <w:rFonts w:hint="eastAsia" w:ascii="宋体" w:hAnsi="宋体" w:cs="宋体"/>
                <w:szCs w:val="21"/>
                <w:highlight w:val="none"/>
              </w:rPr>
              <w:t>A3.联合体协议书（如有，▲联合体投标时必须提供，各成员均须盖章，可使用联合体各成员盖章后扫描件）。</w:t>
            </w:r>
          </w:p>
        </w:tc>
      </w:tr>
      <w:tr w14:paraId="5177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6" w:type="dxa"/>
            <w:gridSpan w:val="3"/>
            <w:tcBorders>
              <w:tl2br w:val="nil"/>
              <w:tr2bl w:val="nil"/>
            </w:tcBorders>
            <w:vAlign w:val="center"/>
          </w:tcPr>
          <w:p w14:paraId="47F1964E">
            <w:pPr>
              <w:spacing w:line="400" w:lineRule="exact"/>
              <w:jc w:val="center"/>
              <w:rPr>
                <w:rFonts w:ascii="宋体" w:hAnsi="宋体" w:cs="宋体"/>
                <w:szCs w:val="21"/>
                <w:highlight w:val="none"/>
              </w:rPr>
            </w:pPr>
            <w:r>
              <w:rPr>
                <w:rFonts w:hint="eastAsia" w:ascii="宋体" w:hAnsi="宋体" w:cs="宋体"/>
                <w:b/>
                <w:szCs w:val="21"/>
                <w:highlight w:val="none"/>
              </w:rPr>
              <w:t>资格性审查结论</w:t>
            </w:r>
          </w:p>
        </w:tc>
      </w:tr>
    </w:tbl>
    <w:p w14:paraId="5F9F9D5B">
      <w:pPr>
        <w:spacing w:line="400" w:lineRule="exact"/>
        <w:rPr>
          <w:rFonts w:ascii="宋体" w:hAnsi="宋体" w:cs="宋体"/>
          <w:b/>
          <w:highlight w:val="none"/>
        </w:rPr>
      </w:pPr>
      <w:r>
        <w:rPr>
          <w:rFonts w:hint="eastAsia" w:ascii="宋体" w:hAnsi="宋体" w:cs="宋体"/>
          <w:b/>
          <w:highlight w:val="none"/>
        </w:rPr>
        <w:t>注：1.上述资格证明文件未按招标文件要求附入投标文件中的，资格性审查不合格。</w:t>
      </w:r>
    </w:p>
    <w:p w14:paraId="32F7845D">
      <w:pPr>
        <w:spacing w:line="400" w:lineRule="exact"/>
        <w:ind w:firstLine="422" w:firstLineChars="200"/>
        <w:rPr>
          <w:rFonts w:ascii="宋体" w:hAnsi="宋体" w:cs="宋体"/>
          <w:b/>
          <w:highlight w:val="none"/>
        </w:rPr>
      </w:pPr>
      <w:r>
        <w:rPr>
          <w:rFonts w:hint="eastAsia" w:ascii="宋体" w:hAnsi="宋体" w:cs="宋体"/>
          <w:b/>
          <w:highlight w:val="none"/>
        </w:rPr>
        <w:t>2.上述审查项目中，任意一项不符合的，资格性审查不合格。</w:t>
      </w:r>
    </w:p>
    <w:p w14:paraId="0A1730BB">
      <w:pPr>
        <w:spacing w:line="400" w:lineRule="exact"/>
        <w:rPr>
          <w:rFonts w:ascii="宋体" w:hAnsi="宋体" w:cs="宋体"/>
          <w:szCs w:val="21"/>
          <w:highlight w:val="none"/>
        </w:rPr>
      </w:pPr>
    </w:p>
    <w:p w14:paraId="2A1D29EE">
      <w:pPr>
        <w:spacing w:line="400" w:lineRule="exact"/>
        <w:jc w:val="center"/>
        <w:rPr>
          <w:rFonts w:ascii="宋体" w:hAnsi="宋体" w:cs="宋体"/>
          <w:szCs w:val="21"/>
          <w:highlight w:val="none"/>
        </w:rPr>
      </w:pPr>
      <w:r>
        <w:rPr>
          <w:rFonts w:hint="eastAsia" w:ascii="宋体" w:hAnsi="宋体" w:cs="宋体"/>
          <w:b/>
          <w:szCs w:val="21"/>
          <w:highlight w:val="none"/>
        </w:rPr>
        <w:br w:type="page"/>
      </w:r>
    </w:p>
    <w:p w14:paraId="0143B21D">
      <w:pPr>
        <w:spacing w:line="400" w:lineRule="exact"/>
        <w:rPr>
          <w:rFonts w:ascii="宋体" w:hAnsi="宋体" w:cs="宋体"/>
          <w:szCs w:val="21"/>
          <w:highlight w:val="none"/>
        </w:rPr>
      </w:pPr>
      <w:r>
        <w:rPr>
          <w:rFonts w:hint="eastAsia" w:ascii="宋体" w:hAnsi="宋体" w:cs="宋体"/>
          <w:szCs w:val="21"/>
          <w:highlight w:val="none"/>
        </w:rPr>
        <w:t>附表2：</w:t>
      </w:r>
    </w:p>
    <w:p w14:paraId="401264E7">
      <w:pPr>
        <w:widowControl/>
        <w:snapToGrid w:val="0"/>
        <w:spacing w:line="400" w:lineRule="exact"/>
        <w:jc w:val="center"/>
        <w:rPr>
          <w:rFonts w:ascii="宋体" w:hAnsi="宋体" w:cs="宋体"/>
          <w:b/>
          <w:szCs w:val="21"/>
          <w:highlight w:val="none"/>
        </w:rPr>
      </w:pPr>
      <w:r>
        <w:rPr>
          <w:rFonts w:hint="eastAsia" w:ascii="宋体" w:hAnsi="宋体" w:cs="宋体"/>
          <w:b/>
          <w:szCs w:val="21"/>
          <w:highlight w:val="none"/>
        </w:rPr>
        <w:t>符合性审查表</w:t>
      </w:r>
    </w:p>
    <w:tbl>
      <w:tblPr>
        <w:tblStyle w:val="53"/>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135"/>
        <w:gridCol w:w="4335"/>
      </w:tblGrid>
      <w:tr w14:paraId="18D6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tcPr>
          <w:p w14:paraId="652BABFC">
            <w:pPr>
              <w:snapToGrid w:val="0"/>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4135" w:type="dxa"/>
            <w:tcBorders>
              <w:tl2br w:val="nil"/>
              <w:tr2bl w:val="nil"/>
            </w:tcBorders>
            <w:vAlign w:val="center"/>
          </w:tcPr>
          <w:p w14:paraId="2C91D6E8">
            <w:pPr>
              <w:snapToGrid w:val="0"/>
              <w:spacing w:line="400" w:lineRule="exact"/>
              <w:jc w:val="center"/>
              <w:rPr>
                <w:rFonts w:ascii="宋体" w:hAnsi="宋体" w:cs="宋体"/>
                <w:b/>
                <w:szCs w:val="21"/>
                <w:highlight w:val="none"/>
              </w:rPr>
            </w:pPr>
            <w:r>
              <w:rPr>
                <w:rFonts w:hint="eastAsia" w:ascii="宋体" w:hAnsi="宋体" w:cs="宋体"/>
                <w:b/>
                <w:szCs w:val="21"/>
                <w:highlight w:val="none"/>
              </w:rPr>
              <w:t>要求说明</w:t>
            </w:r>
          </w:p>
        </w:tc>
        <w:tc>
          <w:tcPr>
            <w:tcW w:w="4335" w:type="dxa"/>
            <w:tcBorders>
              <w:tl2br w:val="nil"/>
              <w:tr2bl w:val="nil"/>
            </w:tcBorders>
            <w:vAlign w:val="center"/>
          </w:tcPr>
          <w:p w14:paraId="7D629FB5">
            <w:pPr>
              <w:snapToGrid w:val="0"/>
              <w:spacing w:line="400" w:lineRule="exact"/>
              <w:jc w:val="center"/>
              <w:rPr>
                <w:rFonts w:ascii="宋体" w:hAnsi="宋体" w:cs="宋体"/>
                <w:b/>
                <w:szCs w:val="21"/>
                <w:highlight w:val="none"/>
              </w:rPr>
            </w:pPr>
            <w:r>
              <w:rPr>
                <w:rFonts w:hint="eastAsia" w:ascii="宋体" w:hAnsi="宋体" w:cs="宋体"/>
                <w:b/>
                <w:szCs w:val="21"/>
                <w:highlight w:val="none"/>
              </w:rPr>
              <w:t>审查要求</w:t>
            </w:r>
          </w:p>
        </w:tc>
      </w:tr>
      <w:tr w14:paraId="2F61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73043EE6">
            <w:pPr>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4135" w:type="dxa"/>
            <w:tcBorders>
              <w:tl2br w:val="nil"/>
              <w:tr2bl w:val="nil"/>
            </w:tcBorders>
            <w:vAlign w:val="center"/>
          </w:tcPr>
          <w:p w14:paraId="773625DD">
            <w:pPr>
              <w:snapToGrid w:val="0"/>
              <w:spacing w:line="400" w:lineRule="exact"/>
              <w:rPr>
                <w:rFonts w:ascii="宋体" w:hAnsi="宋体" w:cs="宋体"/>
                <w:szCs w:val="21"/>
                <w:highlight w:val="none"/>
              </w:rPr>
            </w:pPr>
            <w:r>
              <w:rPr>
                <w:rFonts w:hint="eastAsia" w:ascii="宋体" w:hAnsi="宋体" w:cs="宋体"/>
                <w:szCs w:val="21"/>
                <w:highlight w:val="none"/>
              </w:rPr>
              <w:t>投标有效期：符合第二章“投标须知”第六、1条的要求。</w:t>
            </w:r>
          </w:p>
        </w:tc>
        <w:tc>
          <w:tcPr>
            <w:tcW w:w="4335" w:type="dxa"/>
            <w:tcBorders>
              <w:tl2br w:val="nil"/>
              <w:tr2bl w:val="nil"/>
            </w:tcBorders>
            <w:vAlign w:val="center"/>
          </w:tcPr>
          <w:p w14:paraId="71C9F7B1">
            <w:pPr>
              <w:snapToGrid w:val="0"/>
              <w:spacing w:line="400" w:lineRule="exact"/>
              <w:rPr>
                <w:rFonts w:ascii="宋体" w:hAnsi="宋体" w:cs="宋体"/>
                <w:szCs w:val="21"/>
                <w:highlight w:val="none"/>
              </w:rPr>
            </w:pPr>
            <w:r>
              <w:rPr>
                <w:rFonts w:hint="eastAsia" w:ascii="宋体" w:hAnsi="宋体" w:cs="宋体"/>
                <w:szCs w:val="21"/>
                <w:highlight w:val="none"/>
              </w:rPr>
              <w:t>提供“投标书”。</w:t>
            </w:r>
          </w:p>
        </w:tc>
      </w:tr>
      <w:tr w14:paraId="66BB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4D8950BC">
            <w:pPr>
              <w:snapToGri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4135" w:type="dxa"/>
            <w:tcBorders>
              <w:tl2br w:val="nil"/>
              <w:tr2bl w:val="nil"/>
            </w:tcBorders>
            <w:vAlign w:val="center"/>
          </w:tcPr>
          <w:p w14:paraId="2ECC8ADB">
            <w:pPr>
              <w:snapToGrid w:val="0"/>
              <w:spacing w:line="400" w:lineRule="exact"/>
              <w:rPr>
                <w:rFonts w:ascii="宋体" w:hAnsi="宋体" w:cs="宋体"/>
                <w:szCs w:val="21"/>
                <w:highlight w:val="none"/>
              </w:rPr>
            </w:pPr>
            <w:r>
              <w:rPr>
                <w:rFonts w:hint="eastAsia" w:ascii="宋体" w:hAnsi="宋体" w:cs="宋体"/>
                <w:szCs w:val="21"/>
                <w:highlight w:val="none"/>
              </w:rPr>
              <w:t>法定代表人身份证明、法定代表人授权书。</w:t>
            </w:r>
          </w:p>
        </w:tc>
        <w:tc>
          <w:tcPr>
            <w:tcW w:w="4335" w:type="dxa"/>
            <w:tcBorders>
              <w:tl2br w:val="nil"/>
              <w:tr2bl w:val="nil"/>
            </w:tcBorders>
            <w:vAlign w:val="center"/>
          </w:tcPr>
          <w:p w14:paraId="78167900">
            <w:pPr>
              <w:snapToGrid w:val="0"/>
              <w:spacing w:line="400" w:lineRule="exact"/>
              <w:rPr>
                <w:rFonts w:ascii="宋体" w:hAnsi="宋体" w:cs="宋体"/>
                <w:szCs w:val="21"/>
                <w:highlight w:val="none"/>
              </w:rPr>
            </w:pPr>
            <w:r>
              <w:rPr>
                <w:rFonts w:hint="eastAsia" w:ascii="宋体" w:hAnsi="宋体" w:cs="宋体"/>
                <w:szCs w:val="21"/>
                <w:highlight w:val="none"/>
              </w:rPr>
              <w:t>（1）投标文件由法定代表人签字的，提供“法定代表人身份证明”。</w:t>
            </w:r>
          </w:p>
          <w:p w14:paraId="07FDD2DA">
            <w:pPr>
              <w:snapToGrid w:val="0"/>
              <w:spacing w:line="400" w:lineRule="exact"/>
              <w:rPr>
                <w:rFonts w:ascii="宋体" w:hAnsi="宋体" w:cs="宋体"/>
                <w:szCs w:val="21"/>
                <w:highlight w:val="none"/>
              </w:rPr>
            </w:pPr>
            <w:r>
              <w:rPr>
                <w:rFonts w:hint="eastAsia" w:ascii="宋体" w:hAnsi="宋体" w:cs="宋体"/>
                <w:szCs w:val="21"/>
                <w:highlight w:val="none"/>
              </w:rPr>
              <w:t>（2）</w:t>
            </w:r>
            <w:r>
              <w:rPr>
                <w:rFonts w:hint="eastAsia" w:ascii="宋体" w:hAnsi="宋体" w:cs="宋体"/>
                <w:b/>
                <w:szCs w:val="21"/>
                <w:highlight w:val="none"/>
                <w:u w:val="single"/>
              </w:rPr>
              <w:t>投标文件由授权代表签字的，提供“法定代表人身份证明”和“法定代表人授权书”。</w:t>
            </w:r>
          </w:p>
        </w:tc>
      </w:tr>
      <w:tr w14:paraId="0EB0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63999F0E">
            <w:pPr>
              <w:snapToGrid w:val="0"/>
              <w:spacing w:line="400" w:lineRule="exact"/>
              <w:jc w:val="center"/>
              <w:rPr>
                <w:rFonts w:ascii="宋体" w:hAnsi="宋体" w:cs="宋体"/>
                <w:szCs w:val="21"/>
                <w:highlight w:val="none"/>
              </w:rPr>
            </w:pPr>
            <w:r>
              <w:rPr>
                <w:rFonts w:hint="eastAsia" w:ascii="宋体" w:hAnsi="宋体" w:cs="宋体"/>
                <w:szCs w:val="21"/>
                <w:highlight w:val="none"/>
              </w:rPr>
              <w:t>3</w:t>
            </w:r>
          </w:p>
        </w:tc>
        <w:tc>
          <w:tcPr>
            <w:tcW w:w="4135" w:type="dxa"/>
            <w:tcBorders>
              <w:tl2br w:val="nil"/>
              <w:tr2bl w:val="nil"/>
            </w:tcBorders>
            <w:vAlign w:val="center"/>
          </w:tcPr>
          <w:p w14:paraId="628D0FAB">
            <w:pPr>
              <w:snapToGrid w:val="0"/>
              <w:spacing w:line="400" w:lineRule="exact"/>
              <w:rPr>
                <w:rFonts w:ascii="宋体" w:hAnsi="宋体" w:cs="宋体"/>
                <w:szCs w:val="21"/>
                <w:highlight w:val="none"/>
              </w:rPr>
            </w:pPr>
            <w:r>
              <w:rPr>
                <w:rFonts w:hint="eastAsia" w:ascii="宋体" w:hAnsi="宋体" w:cs="宋体"/>
                <w:szCs w:val="21"/>
                <w:highlight w:val="none"/>
              </w:rPr>
              <w:t>符合第二章“投标须知”第九、1条的要求。</w:t>
            </w:r>
          </w:p>
        </w:tc>
        <w:tc>
          <w:tcPr>
            <w:tcW w:w="4335" w:type="dxa"/>
            <w:tcBorders>
              <w:tl2br w:val="nil"/>
              <w:tr2bl w:val="nil"/>
            </w:tcBorders>
            <w:vAlign w:val="center"/>
          </w:tcPr>
          <w:p w14:paraId="5BC0CAC8">
            <w:pPr>
              <w:snapToGrid w:val="0"/>
              <w:spacing w:line="400" w:lineRule="exact"/>
              <w:rPr>
                <w:rFonts w:ascii="宋体" w:hAnsi="宋体" w:cs="宋体"/>
                <w:szCs w:val="21"/>
                <w:highlight w:val="none"/>
              </w:rPr>
            </w:pPr>
            <w:r>
              <w:rPr>
                <w:rFonts w:hint="eastAsia" w:ascii="宋体" w:hAnsi="宋体" w:cs="宋体"/>
                <w:szCs w:val="21"/>
                <w:highlight w:val="none"/>
              </w:rPr>
              <w:t>投标文件的签署盖章。</w:t>
            </w:r>
          </w:p>
        </w:tc>
      </w:tr>
      <w:tr w14:paraId="306B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4B339D7F">
            <w:pPr>
              <w:snapToGrid w:val="0"/>
              <w:spacing w:line="400" w:lineRule="exact"/>
              <w:jc w:val="center"/>
              <w:rPr>
                <w:rFonts w:ascii="宋体" w:hAnsi="宋体" w:cs="宋体"/>
                <w:szCs w:val="21"/>
                <w:highlight w:val="none"/>
              </w:rPr>
            </w:pPr>
            <w:r>
              <w:rPr>
                <w:rFonts w:hint="eastAsia" w:ascii="宋体" w:hAnsi="宋体" w:cs="宋体"/>
                <w:szCs w:val="21"/>
                <w:highlight w:val="none"/>
              </w:rPr>
              <w:t>4</w:t>
            </w:r>
          </w:p>
        </w:tc>
        <w:tc>
          <w:tcPr>
            <w:tcW w:w="4135" w:type="dxa"/>
            <w:tcBorders>
              <w:tl2br w:val="nil"/>
              <w:tr2bl w:val="nil"/>
            </w:tcBorders>
            <w:vAlign w:val="center"/>
          </w:tcPr>
          <w:p w14:paraId="44B32182">
            <w:pPr>
              <w:snapToGrid w:val="0"/>
              <w:spacing w:line="400" w:lineRule="exact"/>
              <w:rPr>
                <w:rFonts w:ascii="宋体" w:hAnsi="宋体" w:cs="宋体"/>
                <w:szCs w:val="21"/>
                <w:highlight w:val="none"/>
              </w:rPr>
            </w:pPr>
            <w:r>
              <w:rPr>
                <w:rFonts w:hint="eastAsia" w:ascii="宋体" w:hAnsi="宋体" w:cs="宋体"/>
                <w:szCs w:val="21"/>
                <w:highlight w:val="none"/>
              </w:rPr>
              <w:t>对同个标项不允许提供两个投标方案。</w:t>
            </w:r>
          </w:p>
        </w:tc>
        <w:tc>
          <w:tcPr>
            <w:tcW w:w="4335" w:type="dxa"/>
            <w:tcBorders>
              <w:tl2br w:val="nil"/>
              <w:tr2bl w:val="nil"/>
            </w:tcBorders>
            <w:vAlign w:val="center"/>
          </w:tcPr>
          <w:p w14:paraId="51823818">
            <w:pPr>
              <w:snapToGrid w:val="0"/>
              <w:spacing w:line="400" w:lineRule="exact"/>
              <w:rPr>
                <w:rFonts w:ascii="宋体" w:hAnsi="宋体" w:cs="宋体"/>
                <w:szCs w:val="21"/>
                <w:highlight w:val="none"/>
              </w:rPr>
            </w:pPr>
            <w:r>
              <w:rPr>
                <w:rFonts w:hint="eastAsia" w:ascii="宋体" w:hAnsi="宋体" w:cs="宋体"/>
                <w:szCs w:val="21"/>
                <w:highlight w:val="none"/>
              </w:rPr>
              <w:t>是否有两个投标方案。</w:t>
            </w:r>
          </w:p>
        </w:tc>
      </w:tr>
      <w:tr w14:paraId="1297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4DD1748E">
            <w:pPr>
              <w:snapToGrid w:val="0"/>
              <w:spacing w:line="400" w:lineRule="exact"/>
              <w:jc w:val="center"/>
              <w:rPr>
                <w:rFonts w:ascii="宋体" w:hAnsi="宋体" w:cs="宋体"/>
                <w:szCs w:val="21"/>
                <w:highlight w:val="none"/>
              </w:rPr>
            </w:pPr>
            <w:r>
              <w:rPr>
                <w:rFonts w:hint="eastAsia" w:ascii="宋体" w:hAnsi="宋体" w:cs="宋体"/>
                <w:szCs w:val="21"/>
                <w:highlight w:val="none"/>
              </w:rPr>
              <w:t>5</w:t>
            </w:r>
          </w:p>
        </w:tc>
        <w:tc>
          <w:tcPr>
            <w:tcW w:w="4135" w:type="dxa"/>
            <w:tcBorders>
              <w:tl2br w:val="nil"/>
              <w:tr2bl w:val="nil"/>
            </w:tcBorders>
            <w:vAlign w:val="center"/>
          </w:tcPr>
          <w:p w14:paraId="66449536">
            <w:pPr>
              <w:snapToGrid w:val="0"/>
              <w:spacing w:line="400" w:lineRule="exact"/>
              <w:rPr>
                <w:rFonts w:ascii="宋体" w:hAnsi="宋体" w:cs="宋体"/>
                <w:szCs w:val="21"/>
                <w:highlight w:val="none"/>
              </w:rPr>
            </w:pPr>
            <w:r>
              <w:rPr>
                <w:rFonts w:hint="eastAsia" w:ascii="宋体" w:hAnsi="宋体" w:cs="宋体"/>
                <w:szCs w:val="21"/>
                <w:highlight w:val="none"/>
              </w:rPr>
              <w:t>供应商不得在投标活动中提供任何虚假材料或从事其他违法活动的。</w:t>
            </w:r>
          </w:p>
        </w:tc>
        <w:tc>
          <w:tcPr>
            <w:tcW w:w="4335" w:type="dxa"/>
            <w:tcBorders>
              <w:tl2br w:val="nil"/>
              <w:tr2bl w:val="nil"/>
            </w:tcBorders>
            <w:vAlign w:val="center"/>
          </w:tcPr>
          <w:p w14:paraId="7928D8E9">
            <w:pPr>
              <w:snapToGrid w:val="0"/>
              <w:spacing w:line="400" w:lineRule="exact"/>
              <w:rPr>
                <w:rFonts w:ascii="宋体" w:hAnsi="宋体" w:cs="宋体"/>
                <w:szCs w:val="21"/>
                <w:highlight w:val="none"/>
              </w:rPr>
            </w:pPr>
            <w:r>
              <w:rPr>
                <w:rFonts w:hint="eastAsia" w:ascii="宋体" w:hAnsi="宋体" w:cs="宋体"/>
                <w:szCs w:val="21"/>
                <w:highlight w:val="none"/>
              </w:rPr>
              <w:t>不得提供任何虚假材料或从事其他违法活动。</w:t>
            </w:r>
          </w:p>
        </w:tc>
      </w:tr>
      <w:tr w14:paraId="6128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36D0FDBA">
            <w:pPr>
              <w:snapToGrid w:val="0"/>
              <w:spacing w:line="400" w:lineRule="exact"/>
              <w:jc w:val="center"/>
              <w:rPr>
                <w:rFonts w:ascii="宋体" w:hAnsi="宋体" w:cs="宋体"/>
                <w:szCs w:val="21"/>
                <w:highlight w:val="none"/>
              </w:rPr>
            </w:pPr>
            <w:r>
              <w:rPr>
                <w:rFonts w:hint="eastAsia" w:ascii="宋体" w:hAnsi="宋体" w:cs="宋体"/>
                <w:szCs w:val="21"/>
                <w:highlight w:val="none"/>
              </w:rPr>
              <w:t>6</w:t>
            </w:r>
          </w:p>
        </w:tc>
        <w:tc>
          <w:tcPr>
            <w:tcW w:w="4135" w:type="dxa"/>
            <w:tcBorders>
              <w:tl2br w:val="nil"/>
              <w:tr2bl w:val="nil"/>
            </w:tcBorders>
            <w:vAlign w:val="center"/>
          </w:tcPr>
          <w:p w14:paraId="6E536573">
            <w:pPr>
              <w:snapToGrid w:val="0"/>
              <w:spacing w:line="400" w:lineRule="exact"/>
              <w:rPr>
                <w:rFonts w:ascii="宋体" w:hAnsi="宋体" w:cs="宋体"/>
                <w:highlight w:val="none"/>
              </w:rPr>
            </w:pPr>
            <w:r>
              <w:rPr>
                <w:rFonts w:hint="eastAsia" w:ascii="宋体" w:hAnsi="宋体" w:cs="宋体"/>
                <w:highlight w:val="none"/>
              </w:rPr>
              <w:t>评标委员会经过审查，认定供应商虚假应标、串通投标的，有下列情形之一的，视为供应商串通投标：</w:t>
            </w:r>
          </w:p>
          <w:p w14:paraId="1480480C">
            <w:pPr>
              <w:snapToGrid w:val="0"/>
              <w:spacing w:line="400" w:lineRule="exact"/>
              <w:rPr>
                <w:rFonts w:ascii="宋体" w:hAnsi="宋体" w:cs="宋体"/>
                <w:highlight w:val="none"/>
              </w:rPr>
            </w:pPr>
            <w:r>
              <w:rPr>
                <w:rFonts w:hint="eastAsia" w:ascii="宋体" w:hAnsi="宋体" w:cs="宋体"/>
                <w:highlight w:val="none"/>
              </w:rPr>
              <w:t>（1）不同供应商的投标文件由同一单位或者个人编制；</w:t>
            </w:r>
          </w:p>
          <w:p w14:paraId="227640BD">
            <w:pPr>
              <w:snapToGrid w:val="0"/>
              <w:spacing w:line="400" w:lineRule="exact"/>
              <w:rPr>
                <w:rFonts w:ascii="宋体" w:hAnsi="宋体" w:cs="宋体"/>
                <w:highlight w:val="none"/>
              </w:rPr>
            </w:pPr>
            <w:r>
              <w:rPr>
                <w:rFonts w:hint="eastAsia" w:ascii="宋体" w:hAnsi="宋体" w:cs="宋体"/>
                <w:highlight w:val="none"/>
              </w:rPr>
              <w:t>（2）不同供应商委托同一单位或者个人办理投标事宜；</w:t>
            </w:r>
          </w:p>
          <w:p w14:paraId="4FEDD492">
            <w:pPr>
              <w:snapToGrid w:val="0"/>
              <w:spacing w:line="400" w:lineRule="exact"/>
              <w:rPr>
                <w:rFonts w:ascii="宋体" w:hAnsi="宋体" w:cs="宋体"/>
                <w:highlight w:val="none"/>
              </w:rPr>
            </w:pPr>
            <w:r>
              <w:rPr>
                <w:rFonts w:hint="eastAsia" w:ascii="宋体" w:hAnsi="宋体" w:cs="宋体"/>
                <w:highlight w:val="none"/>
              </w:rPr>
              <w:t>（3）不同供应商的投标文件载明的项目管理成员或者联系人员为同一人；</w:t>
            </w:r>
          </w:p>
          <w:p w14:paraId="7E5A521C">
            <w:pPr>
              <w:snapToGrid w:val="0"/>
              <w:spacing w:line="400" w:lineRule="exact"/>
              <w:rPr>
                <w:rFonts w:ascii="宋体" w:hAnsi="宋体" w:cs="宋体"/>
                <w:highlight w:val="none"/>
              </w:rPr>
            </w:pPr>
            <w:r>
              <w:rPr>
                <w:rFonts w:hint="eastAsia" w:ascii="宋体" w:hAnsi="宋体" w:cs="宋体"/>
                <w:highlight w:val="none"/>
              </w:rPr>
              <w:t>（4）不同供应商的投标文件异常一致或者投标报价呈规律性差异；</w:t>
            </w:r>
          </w:p>
          <w:p w14:paraId="378DEEF3">
            <w:pPr>
              <w:snapToGrid w:val="0"/>
              <w:spacing w:line="400" w:lineRule="exact"/>
              <w:rPr>
                <w:rFonts w:ascii="宋体" w:hAnsi="宋体" w:cs="宋体"/>
                <w:highlight w:val="none"/>
              </w:rPr>
            </w:pPr>
            <w:r>
              <w:rPr>
                <w:rFonts w:hint="eastAsia" w:ascii="宋体" w:hAnsi="宋体" w:cs="宋体"/>
                <w:highlight w:val="none"/>
              </w:rPr>
              <w:t>（5）不同供应商的投标文件相互混装；</w:t>
            </w:r>
          </w:p>
          <w:p w14:paraId="2B54623F">
            <w:pPr>
              <w:snapToGrid w:val="0"/>
              <w:spacing w:line="400" w:lineRule="exact"/>
              <w:rPr>
                <w:rFonts w:ascii="宋体" w:hAnsi="宋体" w:cs="宋体"/>
                <w:highlight w:val="none"/>
              </w:rPr>
            </w:pPr>
            <w:r>
              <w:rPr>
                <w:rFonts w:hint="eastAsia" w:ascii="宋体" w:hAnsi="宋体" w:cs="宋体"/>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335" w:type="dxa"/>
            <w:tcBorders>
              <w:tl2br w:val="nil"/>
              <w:tr2bl w:val="nil"/>
            </w:tcBorders>
            <w:vAlign w:val="center"/>
          </w:tcPr>
          <w:p w14:paraId="48FF1486">
            <w:pPr>
              <w:snapToGrid w:val="0"/>
              <w:spacing w:line="400" w:lineRule="exact"/>
              <w:rPr>
                <w:rFonts w:ascii="宋体" w:hAnsi="宋体" w:cs="宋体"/>
                <w:szCs w:val="21"/>
                <w:highlight w:val="none"/>
              </w:rPr>
            </w:pPr>
            <w:r>
              <w:rPr>
                <w:rFonts w:hint="eastAsia" w:ascii="宋体" w:hAnsi="宋体" w:cs="宋体"/>
                <w:szCs w:val="21"/>
                <w:highlight w:val="none"/>
              </w:rPr>
              <w:t>不得有所述情形。</w:t>
            </w:r>
          </w:p>
        </w:tc>
      </w:tr>
      <w:tr w14:paraId="326A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1D36AA12">
            <w:pPr>
              <w:snapToGrid w:val="0"/>
              <w:spacing w:line="400" w:lineRule="exact"/>
              <w:jc w:val="center"/>
              <w:rPr>
                <w:rFonts w:ascii="宋体" w:hAnsi="宋体" w:cs="宋体"/>
                <w:szCs w:val="21"/>
                <w:highlight w:val="none"/>
              </w:rPr>
            </w:pPr>
            <w:r>
              <w:rPr>
                <w:rFonts w:hint="eastAsia" w:ascii="宋体" w:hAnsi="宋体" w:cs="宋体"/>
                <w:szCs w:val="21"/>
                <w:highlight w:val="none"/>
              </w:rPr>
              <w:t>7</w:t>
            </w:r>
          </w:p>
        </w:tc>
        <w:tc>
          <w:tcPr>
            <w:tcW w:w="4135" w:type="dxa"/>
            <w:tcBorders>
              <w:tl2br w:val="nil"/>
              <w:tr2bl w:val="nil"/>
            </w:tcBorders>
            <w:vAlign w:val="center"/>
          </w:tcPr>
          <w:p w14:paraId="52049279">
            <w:pPr>
              <w:snapToGrid w:val="0"/>
              <w:spacing w:line="400" w:lineRule="exact"/>
              <w:rPr>
                <w:rFonts w:ascii="宋体" w:hAnsi="宋体" w:cs="宋体"/>
                <w:szCs w:val="21"/>
                <w:highlight w:val="none"/>
              </w:rPr>
            </w:pPr>
            <w:r>
              <w:rPr>
                <w:rFonts w:hint="eastAsia" w:ascii="宋体" w:hAnsi="宋体" w:cs="宋体"/>
                <w:szCs w:val="21"/>
                <w:highlight w:val="none"/>
              </w:rPr>
              <w:t>符合法律、法规和招标文件中规定的其他实质性要求（实质性要求招标文件中“</w:t>
            </w:r>
            <w:r>
              <w:rPr>
                <w:rFonts w:hint="eastAsia" w:ascii="宋体" w:hAnsi="宋体" w:cs="宋体"/>
                <w:b/>
                <w:sz w:val="24"/>
                <w:highlight w:val="none"/>
              </w:rPr>
              <w:t>▲</w:t>
            </w:r>
            <w:r>
              <w:rPr>
                <w:rFonts w:hint="eastAsia" w:ascii="宋体" w:hAnsi="宋体" w:cs="宋体"/>
                <w:szCs w:val="21"/>
                <w:highlight w:val="none"/>
              </w:rPr>
              <w:t>”标记）。</w:t>
            </w:r>
          </w:p>
        </w:tc>
        <w:tc>
          <w:tcPr>
            <w:tcW w:w="4335" w:type="dxa"/>
            <w:tcBorders>
              <w:tl2br w:val="nil"/>
              <w:tr2bl w:val="nil"/>
            </w:tcBorders>
            <w:vAlign w:val="center"/>
          </w:tcPr>
          <w:p w14:paraId="4477DAC5">
            <w:pPr>
              <w:snapToGrid w:val="0"/>
              <w:spacing w:line="400" w:lineRule="exact"/>
              <w:rPr>
                <w:rFonts w:ascii="宋体" w:hAnsi="宋体" w:cs="宋体"/>
                <w:szCs w:val="21"/>
                <w:highlight w:val="none"/>
              </w:rPr>
            </w:pPr>
            <w:r>
              <w:rPr>
                <w:rFonts w:hint="eastAsia" w:ascii="宋体" w:hAnsi="宋体" w:cs="宋体"/>
                <w:szCs w:val="21"/>
                <w:highlight w:val="none"/>
              </w:rPr>
              <w:t>符合所述要求。</w:t>
            </w:r>
          </w:p>
        </w:tc>
      </w:tr>
      <w:tr w14:paraId="703F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65D1FD42">
            <w:pPr>
              <w:snapToGrid w:val="0"/>
              <w:spacing w:line="400" w:lineRule="exact"/>
              <w:jc w:val="center"/>
              <w:rPr>
                <w:rFonts w:ascii="宋体" w:hAnsi="宋体" w:cs="宋体"/>
                <w:szCs w:val="21"/>
                <w:highlight w:val="none"/>
              </w:rPr>
            </w:pPr>
            <w:r>
              <w:rPr>
                <w:rFonts w:hint="eastAsia" w:ascii="宋体" w:hAnsi="宋体" w:cs="宋体"/>
                <w:szCs w:val="21"/>
                <w:highlight w:val="none"/>
              </w:rPr>
              <w:t>8</w:t>
            </w:r>
          </w:p>
        </w:tc>
        <w:tc>
          <w:tcPr>
            <w:tcW w:w="4135" w:type="dxa"/>
            <w:tcBorders>
              <w:tl2br w:val="nil"/>
              <w:tr2bl w:val="nil"/>
            </w:tcBorders>
            <w:vAlign w:val="center"/>
          </w:tcPr>
          <w:p w14:paraId="2749E678">
            <w:pPr>
              <w:spacing w:line="400" w:lineRule="exact"/>
              <w:jc w:val="left"/>
              <w:rPr>
                <w:rFonts w:ascii="宋体" w:hAnsi="宋体" w:cs="宋体"/>
                <w:szCs w:val="21"/>
                <w:highlight w:val="none"/>
              </w:rPr>
            </w:pPr>
            <w:r>
              <w:rPr>
                <w:rFonts w:hint="eastAsia" w:ascii="宋体" w:hAnsi="宋体" w:cs="宋体"/>
                <w:szCs w:val="21"/>
                <w:highlight w:val="none"/>
              </w:rPr>
              <w:t>本项目设有最高限价，超过最高限价的投标将作为无效投标。</w:t>
            </w:r>
          </w:p>
          <w:p w14:paraId="00414405">
            <w:pPr>
              <w:spacing w:line="400" w:lineRule="exact"/>
              <w:jc w:val="left"/>
              <w:rPr>
                <w:rFonts w:ascii="宋体" w:hAnsi="宋体" w:cs="宋体"/>
                <w:szCs w:val="21"/>
                <w:highlight w:val="none"/>
              </w:rPr>
            </w:pPr>
            <w:r>
              <w:rPr>
                <w:rFonts w:hint="eastAsia" w:ascii="宋体" w:hAnsi="宋体" w:cs="宋体"/>
                <w:szCs w:val="21"/>
                <w:highlight w:val="none"/>
              </w:rPr>
              <w:t>本项目最高限价为人民币1</w:t>
            </w:r>
            <w:r>
              <w:rPr>
                <w:rFonts w:ascii="宋体" w:hAnsi="宋体" w:cs="宋体"/>
                <w:szCs w:val="21"/>
                <w:highlight w:val="none"/>
              </w:rPr>
              <w:t>5</w:t>
            </w:r>
            <w:r>
              <w:rPr>
                <w:rFonts w:hint="eastAsia" w:ascii="宋体" w:hAnsi="宋体" w:cs="宋体"/>
                <w:szCs w:val="21"/>
                <w:highlight w:val="none"/>
              </w:rPr>
              <w:t>00000.00元。</w:t>
            </w:r>
          </w:p>
        </w:tc>
        <w:tc>
          <w:tcPr>
            <w:tcW w:w="4335" w:type="dxa"/>
            <w:tcBorders>
              <w:tl2br w:val="nil"/>
              <w:tr2bl w:val="nil"/>
            </w:tcBorders>
            <w:vAlign w:val="center"/>
          </w:tcPr>
          <w:p w14:paraId="7B281462">
            <w:pPr>
              <w:spacing w:line="400" w:lineRule="exact"/>
              <w:rPr>
                <w:rFonts w:ascii="宋体" w:hAnsi="宋体" w:cs="宋体"/>
                <w:szCs w:val="21"/>
                <w:highlight w:val="none"/>
              </w:rPr>
            </w:pPr>
            <w:r>
              <w:rPr>
                <w:rFonts w:hint="eastAsia" w:ascii="宋体" w:hAnsi="宋体" w:cs="宋体"/>
                <w:szCs w:val="21"/>
                <w:highlight w:val="none"/>
              </w:rPr>
              <w:t>提供“开标一览表”。</w:t>
            </w:r>
          </w:p>
        </w:tc>
      </w:tr>
      <w:tr w14:paraId="298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tcBorders>
              <w:tl2br w:val="nil"/>
              <w:tr2bl w:val="nil"/>
            </w:tcBorders>
            <w:vAlign w:val="center"/>
          </w:tcPr>
          <w:p w14:paraId="3158C165">
            <w:pPr>
              <w:snapToGrid w:val="0"/>
              <w:spacing w:line="400" w:lineRule="exact"/>
              <w:jc w:val="center"/>
              <w:rPr>
                <w:rFonts w:ascii="宋体" w:hAnsi="宋体" w:cs="宋体"/>
                <w:szCs w:val="21"/>
                <w:highlight w:val="none"/>
              </w:rPr>
            </w:pPr>
            <w:r>
              <w:rPr>
                <w:rFonts w:hint="eastAsia" w:ascii="宋体" w:hAnsi="宋体" w:cs="宋体"/>
                <w:szCs w:val="21"/>
                <w:highlight w:val="none"/>
              </w:rPr>
              <w:t>9</w:t>
            </w:r>
          </w:p>
        </w:tc>
        <w:tc>
          <w:tcPr>
            <w:tcW w:w="4135" w:type="dxa"/>
            <w:tcBorders>
              <w:tl2br w:val="nil"/>
              <w:tr2bl w:val="nil"/>
            </w:tcBorders>
            <w:vAlign w:val="center"/>
          </w:tcPr>
          <w:p w14:paraId="6A1EE1BE">
            <w:pPr>
              <w:spacing w:line="400" w:lineRule="exact"/>
              <w:rPr>
                <w:rFonts w:ascii="宋体" w:hAnsi="宋体" w:cs="宋体"/>
                <w:szCs w:val="21"/>
                <w:highlight w:val="none"/>
              </w:rPr>
            </w:pPr>
            <w:r>
              <w:rPr>
                <w:rFonts w:hint="eastAsia" w:ascii="宋体" w:hAnsi="宋体" w:cs="宋体"/>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335" w:type="dxa"/>
            <w:tcBorders>
              <w:tl2br w:val="nil"/>
              <w:tr2bl w:val="nil"/>
            </w:tcBorders>
            <w:vAlign w:val="center"/>
          </w:tcPr>
          <w:p w14:paraId="160E5820">
            <w:pPr>
              <w:spacing w:line="400" w:lineRule="exact"/>
              <w:rPr>
                <w:rFonts w:ascii="宋体" w:hAnsi="宋体" w:cs="宋体"/>
                <w:szCs w:val="21"/>
                <w:highlight w:val="none"/>
              </w:rPr>
            </w:pPr>
            <w:r>
              <w:rPr>
                <w:rFonts w:hint="eastAsia" w:ascii="宋体" w:hAnsi="宋体" w:cs="宋体"/>
                <w:szCs w:val="21"/>
                <w:highlight w:val="none"/>
              </w:rPr>
              <w:t>符合所述要求。</w:t>
            </w:r>
          </w:p>
        </w:tc>
      </w:tr>
      <w:tr w14:paraId="516A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1" w:type="dxa"/>
            <w:gridSpan w:val="3"/>
            <w:tcBorders>
              <w:tl2br w:val="nil"/>
              <w:tr2bl w:val="nil"/>
            </w:tcBorders>
            <w:vAlign w:val="center"/>
          </w:tcPr>
          <w:p w14:paraId="4C921BD6">
            <w:pPr>
              <w:snapToGrid w:val="0"/>
              <w:spacing w:line="400" w:lineRule="exact"/>
              <w:jc w:val="center"/>
              <w:rPr>
                <w:rFonts w:ascii="宋体" w:hAnsi="宋体" w:cs="宋体"/>
                <w:szCs w:val="21"/>
                <w:highlight w:val="none"/>
              </w:rPr>
            </w:pPr>
            <w:r>
              <w:rPr>
                <w:rFonts w:hint="eastAsia" w:ascii="宋体" w:hAnsi="宋体" w:cs="宋体"/>
                <w:b/>
                <w:szCs w:val="21"/>
                <w:highlight w:val="none"/>
              </w:rPr>
              <w:t>符合性审查结论</w:t>
            </w:r>
          </w:p>
        </w:tc>
      </w:tr>
    </w:tbl>
    <w:p w14:paraId="66A70BC9">
      <w:pPr>
        <w:spacing w:line="400" w:lineRule="exact"/>
        <w:rPr>
          <w:rFonts w:ascii="宋体" w:hAnsi="宋体" w:cs="宋体"/>
          <w:b/>
          <w:highlight w:val="none"/>
        </w:rPr>
      </w:pPr>
      <w:r>
        <w:rPr>
          <w:rFonts w:hint="eastAsia" w:ascii="宋体" w:hAnsi="宋体" w:cs="宋体"/>
          <w:b/>
          <w:highlight w:val="none"/>
        </w:rPr>
        <w:t>注：1.上述审查项目中，任意一项不符合的，符合性审查不合格。</w:t>
      </w:r>
    </w:p>
    <w:p w14:paraId="6714BF3E">
      <w:pPr>
        <w:spacing w:line="400" w:lineRule="exact"/>
        <w:ind w:firstLine="413" w:firstLineChars="196"/>
        <w:rPr>
          <w:rFonts w:ascii="宋体" w:hAnsi="宋体" w:cs="宋体"/>
          <w:szCs w:val="21"/>
          <w:highlight w:val="none"/>
        </w:rPr>
      </w:pPr>
      <w:r>
        <w:rPr>
          <w:rFonts w:hint="eastAsia" w:ascii="宋体" w:hAnsi="宋体" w:cs="宋体"/>
          <w:b/>
          <w:highlight w:val="none"/>
        </w:rPr>
        <w:t>2.序号3-序号7、序号9在政采云上无须添加关联点。</w:t>
      </w:r>
    </w:p>
    <w:p w14:paraId="4409C4B0">
      <w:pPr>
        <w:adjustRightInd w:val="0"/>
        <w:snapToGrid w:val="0"/>
        <w:spacing w:line="400" w:lineRule="exact"/>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附表3：</w:t>
      </w:r>
    </w:p>
    <w:p w14:paraId="47393206">
      <w:pPr>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评分标准（兼评委打分表）</w:t>
      </w:r>
    </w:p>
    <w:p w14:paraId="60D1C4E4">
      <w:pPr>
        <w:adjustRightInd w:val="0"/>
        <w:snapToGrid w:val="0"/>
        <w:spacing w:line="400" w:lineRule="exact"/>
        <w:rPr>
          <w:rFonts w:ascii="宋体" w:hAnsi="宋体" w:cs="宋体"/>
          <w:b/>
          <w:szCs w:val="21"/>
          <w:highlight w:val="none"/>
        </w:rPr>
      </w:pPr>
      <w:r>
        <w:rPr>
          <w:rFonts w:hint="eastAsia" w:ascii="宋体" w:hAnsi="宋体" w:cs="宋体"/>
          <w:b/>
          <w:szCs w:val="21"/>
          <w:highlight w:val="none"/>
        </w:rPr>
        <w:t>项目编号：NBITC-202430916G</w:t>
      </w:r>
    </w:p>
    <w:tbl>
      <w:tblPr>
        <w:tblStyle w:val="5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16"/>
        <w:gridCol w:w="1045"/>
        <w:gridCol w:w="6386"/>
      </w:tblGrid>
      <w:tr w14:paraId="6036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0B1E7C84">
            <w:pPr>
              <w:spacing w:line="40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554" w:type="pct"/>
            <w:vAlign w:val="center"/>
          </w:tcPr>
          <w:p w14:paraId="521ED364">
            <w:pPr>
              <w:spacing w:line="400" w:lineRule="exact"/>
              <w:jc w:val="center"/>
              <w:rPr>
                <w:rFonts w:ascii="宋体" w:hAnsi="宋体" w:cs="宋体"/>
                <w:b/>
                <w:bCs/>
                <w:szCs w:val="21"/>
                <w:highlight w:val="none"/>
              </w:rPr>
            </w:pPr>
            <w:r>
              <w:rPr>
                <w:rFonts w:hint="eastAsia" w:ascii="宋体" w:hAnsi="宋体" w:cs="宋体"/>
                <w:b/>
                <w:bCs/>
                <w:szCs w:val="21"/>
                <w:highlight w:val="none"/>
              </w:rPr>
              <w:t>评审项目</w:t>
            </w:r>
          </w:p>
        </w:tc>
        <w:tc>
          <w:tcPr>
            <w:tcW w:w="570" w:type="pct"/>
            <w:vAlign w:val="center"/>
          </w:tcPr>
          <w:p w14:paraId="21CC0EAB">
            <w:pPr>
              <w:spacing w:line="400" w:lineRule="exact"/>
              <w:jc w:val="center"/>
              <w:rPr>
                <w:rFonts w:ascii="宋体" w:hAnsi="宋体" w:cs="宋体"/>
                <w:b/>
                <w:bCs/>
                <w:szCs w:val="21"/>
                <w:highlight w:val="none"/>
              </w:rPr>
            </w:pPr>
            <w:r>
              <w:rPr>
                <w:rFonts w:hint="eastAsia" w:ascii="宋体" w:hAnsi="宋体" w:cs="宋体"/>
                <w:b/>
                <w:bCs/>
                <w:szCs w:val="21"/>
                <w:highlight w:val="none"/>
              </w:rPr>
              <w:t>分值（分）</w:t>
            </w:r>
          </w:p>
        </w:tc>
        <w:tc>
          <w:tcPr>
            <w:tcW w:w="3483" w:type="pct"/>
            <w:vAlign w:val="center"/>
          </w:tcPr>
          <w:p w14:paraId="1D2E107E">
            <w:pPr>
              <w:spacing w:line="400" w:lineRule="exact"/>
              <w:jc w:val="center"/>
              <w:rPr>
                <w:rFonts w:ascii="宋体" w:hAnsi="宋体" w:cs="宋体"/>
                <w:b/>
                <w:bCs/>
                <w:szCs w:val="21"/>
                <w:highlight w:val="none"/>
              </w:rPr>
            </w:pPr>
            <w:r>
              <w:rPr>
                <w:rFonts w:hint="eastAsia" w:ascii="宋体" w:hAnsi="宋体" w:cs="宋体"/>
                <w:b/>
                <w:bCs/>
                <w:szCs w:val="21"/>
                <w:highlight w:val="none"/>
              </w:rPr>
              <w:t>评分细则</w:t>
            </w:r>
          </w:p>
        </w:tc>
      </w:tr>
      <w:tr w14:paraId="5853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vAlign w:val="center"/>
          </w:tcPr>
          <w:p w14:paraId="64F54F41">
            <w:pPr>
              <w:spacing w:line="400" w:lineRule="exact"/>
              <w:jc w:val="center"/>
              <w:rPr>
                <w:rFonts w:ascii="宋体" w:hAnsi="宋体" w:cs="宋体"/>
                <w:szCs w:val="21"/>
                <w:highlight w:val="none"/>
              </w:rPr>
            </w:pPr>
            <w:r>
              <w:rPr>
                <w:rFonts w:hint="eastAsia" w:ascii="宋体" w:hAnsi="宋体" w:cs="宋体"/>
                <w:b/>
                <w:bCs/>
                <w:szCs w:val="21"/>
                <w:highlight w:val="none"/>
              </w:rPr>
              <w:t>技术商务分（8</w:t>
            </w:r>
            <w:r>
              <w:rPr>
                <w:rFonts w:ascii="宋体" w:hAnsi="宋体" w:cs="宋体"/>
                <w:b/>
                <w:bCs/>
                <w:szCs w:val="21"/>
                <w:highlight w:val="none"/>
              </w:rPr>
              <w:t>8</w:t>
            </w:r>
            <w:r>
              <w:rPr>
                <w:rFonts w:hint="eastAsia" w:ascii="宋体" w:hAnsi="宋体" w:cs="宋体"/>
                <w:b/>
                <w:bCs/>
                <w:szCs w:val="21"/>
                <w:highlight w:val="none"/>
              </w:rPr>
              <w:t>分）</w:t>
            </w:r>
          </w:p>
        </w:tc>
      </w:tr>
      <w:tr w14:paraId="4666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73071833">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1</w:t>
            </w:r>
          </w:p>
        </w:tc>
        <w:tc>
          <w:tcPr>
            <w:tcW w:w="554" w:type="pct"/>
            <w:vAlign w:val="center"/>
          </w:tcPr>
          <w:p w14:paraId="43878202">
            <w:pPr>
              <w:spacing w:line="400" w:lineRule="exact"/>
              <w:jc w:val="center"/>
              <w:rPr>
                <w:rFonts w:ascii="宋体" w:hAnsi="宋体" w:cs="宋体"/>
                <w:szCs w:val="21"/>
                <w:highlight w:val="none"/>
              </w:rPr>
            </w:pPr>
            <w:r>
              <w:rPr>
                <w:rFonts w:hint="eastAsia" w:ascii="宋体" w:hAnsi="宋体" w:cs="宋体"/>
                <w:szCs w:val="21"/>
                <w:highlight w:val="none"/>
              </w:rPr>
              <w:t>项目理解</w:t>
            </w:r>
          </w:p>
        </w:tc>
        <w:tc>
          <w:tcPr>
            <w:tcW w:w="570" w:type="pct"/>
            <w:vAlign w:val="center"/>
          </w:tcPr>
          <w:p w14:paraId="7F9EE3E7">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3483" w:type="pct"/>
            <w:vAlign w:val="center"/>
          </w:tcPr>
          <w:p w14:paraId="5414DD77">
            <w:pPr>
              <w:spacing w:line="400" w:lineRule="exact"/>
              <w:jc w:val="left"/>
              <w:rPr>
                <w:rFonts w:ascii="宋体" w:hAnsi="宋体" w:cs="宋体"/>
                <w:szCs w:val="21"/>
                <w:highlight w:val="none"/>
              </w:rPr>
            </w:pPr>
            <w:r>
              <w:rPr>
                <w:rFonts w:hint="eastAsia" w:ascii="宋体" w:hAnsi="宋体" w:cs="宋体"/>
                <w:szCs w:val="21"/>
                <w:highlight w:val="none"/>
              </w:rPr>
              <w:t>根据供应商提供的针对本项目活动承接服务整体工作的理解（包括但不仅限于企业家的国际视野拓宽、创新能力分析和管理水平成为企业国际化发展等）进行综合评议，满分4分。</w:t>
            </w:r>
          </w:p>
          <w:p w14:paraId="339FF47E">
            <w:pPr>
              <w:spacing w:line="400" w:lineRule="exact"/>
              <w:jc w:val="left"/>
              <w:rPr>
                <w:rFonts w:ascii="宋体" w:hAnsi="宋体" w:cs="宋体"/>
                <w:szCs w:val="21"/>
                <w:highlight w:val="none"/>
              </w:rPr>
            </w:pPr>
            <w:r>
              <w:rPr>
                <w:rFonts w:hint="eastAsia" w:ascii="宋体" w:hAnsi="宋体" w:cs="宋体"/>
                <w:szCs w:val="21"/>
                <w:highlight w:val="none"/>
              </w:rPr>
              <w:t>对企业家的国际视野拓宽分析合理，创新能力突出，国际先进企业的发展战略和管理模式交流方案详细的得4分；</w:t>
            </w:r>
          </w:p>
          <w:p w14:paraId="0337B731">
            <w:pPr>
              <w:spacing w:line="400" w:lineRule="exact"/>
              <w:jc w:val="left"/>
              <w:rPr>
                <w:rFonts w:ascii="宋体" w:hAnsi="宋体" w:cs="宋体"/>
                <w:szCs w:val="21"/>
                <w:highlight w:val="none"/>
              </w:rPr>
            </w:pPr>
            <w:r>
              <w:rPr>
                <w:rFonts w:hint="eastAsia" w:ascii="宋体" w:hAnsi="宋体" w:cs="宋体"/>
                <w:szCs w:val="21"/>
                <w:highlight w:val="none"/>
              </w:rPr>
              <w:t>对企业家的国际视野拓宽分析较合理，创新能力较突出，国际先进企业的发展战略和管理模式交流方案较详细的得2分；</w:t>
            </w:r>
          </w:p>
          <w:p w14:paraId="6F938831">
            <w:pPr>
              <w:spacing w:line="400" w:lineRule="exact"/>
              <w:jc w:val="left"/>
              <w:rPr>
                <w:rFonts w:ascii="宋体" w:hAnsi="宋体" w:cs="宋体"/>
                <w:szCs w:val="21"/>
                <w:highlight w:val="none"/>
              </w:rPr>
            </w:pPr>
            <w:r>
              <w:rPr>
                <w:rFonts w:hint="eastAsia" w:ascii="宋体" w:hAnsi="宋体" w:cs="宋体"/>
                <w:szCs w:val="21"/>
                <w:highlight w:val="none"/>
              </w:rPr>
              <w:t>对企业家的国际视野拓宽分析不合理，创新能力不足，国际先进企业的发展战略和管理模式交流方案笼统的得1分；</w:t>
            </w:r>
          </w:p>
          <w:p w14:paraId="4216E6FF">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03A2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4EFC0E8F">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2</w:t>
            </w:r>
          </w:p>
        </w:tc>
        <w:tc>
          <w:tcPr>
            <w:tcW w:w="554" w:type="pct"/>
            <w:vAlign w:val="center"/>
          </w:tcPr>
          <w:p w14:paraId="45C1FB3F">
            <w:pPr>
              <w:spacing w:line="400" w:lineRule="exact"/>
              <w:jc w:val="center"/>
              <w:rPr>
                <w:rFonts w:ascii="宋体" w:hAnsi="宋体" w:cs="宋体"/>
                <w:szCs w:val="21"/>
                <w:highlight w:val="none"/>
              </w:rPr>
            </w:pPr>
            <w:r>
              <w:rPr>
                <w:rFonts w:hint="eastAsia" w:ascii="宋体" w:hAnsi="宋体" w:cs="宋体"/>
                <w:szCs w:val="21"/>
                <w:highlight w:val="none"/>
              </w:rPr>
              <w:t>整体安排</w:t>
            </w:r>
          </w:p>
        </w:tc>
        <w:tc>
          <w:tcPr>
            <w:tcW w:w="570" w:type="pct"/>
            <w:vAlign w:val="center"/>
          </w:tcPr>
          <w:p w14:paraId="4738B0DF">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314FFAFE">
            <w:pPr>
              <w:spacing w:line="400" w:lineRule="exact"/>
              <w:jc w:val="left"/>
              <w:rPr>
                <w:rFonts w:ascii="宋体" w:hAnsi="宋体" w:cs="宋体"/>
                <w:szCs w:val="21"/>
                <w:highlight w:val="none"/>
              </w:rPr>
            </w:pPr>
            <w:r>
              <w:rPr>
                <w:rFonts w:hint="eastAsia" w:ascii="宋体" w:hAnsi="宋体" w:cs="宋体"/>
                <w:szCs w:val="21"/>
                <w:highlight w:val="none"/>
              </w:rPr>
              <w:t>根据供应商提供的针对本次访学活动的的整体安排工作（包括但不仅限于制定整体访学活动计划、与招标人的沟通方案、物料制作、宣传工作等）进行综合评议，满分8分。</w:t>
            </w:r>
          </w:p>
          <w:p w14:paraId="3A3C01D1">
            <w:pPr>
              <w:spacing w:line="400" w:lineRule="exact"/>
              <w:jc w:val="left"/>
              <w:rPr>
                <w:rFonts w:ascii="宋体" w:hAnsi="宋体" w:cs="宋体"/>
                <w:highlight w:val="none"/>
              </w:rPr>
            </w:pPr>
            <w:r>
              <w:rPr>
                <w:rFonts w:hint="eastAsia" w:ascii="宋体" w:hAnsi="宋体" w:cs="宋体"/>
                <w:szCs w:val="21"/>
                <w:highlight w:val="none"/>
              </w:rPr>
              <w:t>整体访学活动计划缜密，时间安排详细，与招标人沟通方案完善，物料制作准备充分，宣传工作信息传达直观、生动</w:t>
            </w:r>
            <w:r>
              <w:rPr>
                <w:rFonts w:hint="eastAsia" w:ascii="宋体" w:hAnsi="宋体" w:cs="宋体"/>
                <w:highlight w:val="none"/>
                <w:lang w:val="zh-TW"/>
              </w:rPr>
              <w:t>的得</w:t>
            </w:r>
            <w:r>
              <w:rPr>
                <w:rFonts w:hint="eastAsia" w:ascii="宋体" w:hAnsi="宋体" w:cs="宋体"/>
                <w:highlight w:val="none"/>
              </w:rPr>
              <w:t>8分；</w:t>
            </w:r>
          </w:p>
          <w:p w14:paraId="7793781E">
            <w:pPr>
              <w:spacing w:line="400" w:lineRule="exact"/>
              <w:jc w:val="left"/>
              <w:rPr>
                <w:rFonts w:ascii="宋体" w:hAnsi="宋体" w:cs="宋体"/>
                <w:highlight w:val="none"/>
              </w:rPr>
            </w:pPr>
            <w:r>
              <w:rPr>
                <w:rFonts w:hint="eastAsia" w:ascii="宋体" w:hAnsi="宋体" w:cs="宋体"/>
                <w:szCs w:val="21"/>
                <w:highlight w:val="none"/>
              </w:rPr>
              <w:t>整体访学活动计划较缜密，时间安排较详细，与招标人沟通方案较完善，物料制作准备较充分，宣传工作信息传达较直观、较生动</w:t>
            </w:r>
            <w:r>
              <w:rPr>
                <w:rFonts w:hint="eastAsia" w:ascii="宋体" w:hAnsi="宋体" w:cs="宋体"/>
                <w:highlight w:val="none"/>
                <w:lang w:val="zh-TW"/>
              </w:rPr>
              <w:t>的得</w:t>
            </w:r>
            <w:r>
              <w:rPr>
                <w:rFonts w:hint="eastAsia" w:ascii="宋体" w:hAnsi="宋体" w:cs="宋体"/>
                <w:highlight w:val="none"/>
              </w:rPr>
              <w:t>5分；</w:t>
            </w:r>
          </w:p>
          <w:p w14:paraId="55A22EBB">
            <w:pPr>
              <w:spacing w:line="400" w:lineRule="exact"/>
              <w:jc w:val="left"/>
              <w:rPr>
                <w:rFonts w:ascii="宋体" w:hAnsi="宋体" w:cs="宋体"/>
                <w:highlight w:val="none"/>
              </w:rPr>
            </w:pPr>
            <w:r>
              <w:rPr>
                <w:rFonts w:hint="eastAsia" w:ascii="宋体" w:hAnsi="宋体" w:cs="宋体"/>
                <w:szCs w:val="21"/>
                <w:highlight w:val="none"/>
              </w:rPr>
              <w:t>整体访学活动计划不够缜密，时间安排空洞，缺乏与招标人沟通方案，物料制作准备不足，宣传工作信息传达不直观</w:t>
            </w:r>
            <w:r>
              <w:rPr>
                <w:rFonts w:hint="eastAsia" w:ascii="宋体" w:hAnsi="宋体" w:cs="宋体"/>
                <w:highlight w:val="none"/>
                <w:lang w:val="zh-TW"/>
              </w:rPr>
              <w:t>的得</w:t>
            </w:r>
            <w:r>
              <w:rPr>
                <w:rFonts w:hint="eastAsia" w:ascii="宋体" w:hAnsi="宋体" w:cs="宋体"/>
                <w:highlight w:val="none"/>
              </w:rPr>
              <w:t>2分；</w:t>
            </w:r>
          </w:p>
          <w:p w14:paraId="3A44E43B">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57D7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7A48FEFF">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3</w:t>
            </w:r>
          </w:p>
        </w:tc>
        <w:tc>
          <w:tcPr>
            <w:tcW w:w="554" w:type="pct"/>
            <w:vAlign w:val="center"/>
          </w:tcPr>
          <w:p w14:paraId="2C00781C">
            <w:pPr>
              <w:spacing w:line="400" w:lineRule="exact"/>
              <w:jc w:val="center"/>
              <w:rPr>
                <w:rFonts w:ascii="宋体" w:hAnsi="宋体" w:cs="宋体"/>
                <w:szCs w:val="21"/>
                <w:highlight w:val="none"/>
              </w:rPr>
            </w:pPr>
            <w:r>
              <w:rPr>
                <w:rFonts w:hint="eastAsia" w:ascii="宋体" w:hAnsi="宋体" w:cs="宋体"/>
                <w:szCs w:val="21"/>
                <w:highlight w:val="none"/>
              </w:rPr>
              <w:t>活动前期准备方案</w:t>
            </w:r>
          </w:p>
        </w:tc>
        <w:tc>
          <w:tcPr>
            <w:tcW w:w="570" w:type="pct"/>
            <w:vAlign w:val="center"/>
          </w:tcPr>
          <w:p w14:paraId="3D098D19">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2C1FE3EC">
            <w:pPr>
              <w:spacing w:line="400" w:lineRule="exact"/>
              <w:jc w:val="left"/>
              <w:rPr>
                <w:rFonts w:ascii="宋体" w:hAnsi="宋体" w:cs="宋体"/>
                <w:szCs w:val="21"/>
                <w:highlight w:val="none"/>
              </w:rPr>
            </w:pPr>
            <w:r>
              <w:rPr>
                <w:rFonts w:hint="eastAsia" w:ascii="宋体" w:hAnsi="宋体" w:cs="宋体"/>
                <w:szCs w:val="21"/>
                <w:highlight w:val="none"/>
              </w:rPr>
              <w:t>根据供应商提供的针对本项目活动前期的筹备工作（包括但不仅限于出行期间的天气情况预估及应对、接待访学活动对象梳理及特殊需求应对方案等）进行综合评议，满分8分。</w:t>
            </w:r>
          </w:p>
          <w:p w14:paraId="23D3565D">
            <w:pPr>
              <w:spacing w:line="400" w:lineRule="exact"/>
              <w:jc w:val="left"/>
              <w:rPr>
                <w:rFonts w:ascii="宋体" w:hAnsi="宋体" w:cs="宋体"/>
                <w:szCs w:val="21"/>
                <w:highlight w:val="none"/>
              </w:rPr>
            </w:pPr>
            <w:r>
              <w:rPr>
                <w:rFonts w:hint="eastAsia" w:ascii="宋体" w:hAnsi="宋体" w:cs="宋体"/>
                <w:szCs w:val="21"/>
                <w:highlight w:val="none"/>
              </w:rPr>
              <w:t>活动前期的筹备方案详细、应对方案准备充分，工作缜密的得8分；</w:t>
            </w:r>
          </w:p>
          <w:p w14:paraId="75515B91">
            <w:pPr>
              <w:spacing w:line="400" w:lineRule="exact"/>
              <w:jc w:val="left"/>
              <w:rPr>
                <w:rFonts w:ascii="宋体" w:hAnsi="宋体" w:cs="宋体"/>
                <w:szCs w:val="21"/>
                <w:highlight w:val="none"/>
              </w:rPr>
            </w:pPr>
            <w:r>
              <w:rPr>
                <w:rFonts w:hint="eastAsia" w:ascii="宋体" w:hAnsi="宋体" w:cs="宋体"/>
                <w:szCs w:val="21"/>
                <w:highlight w:val="none"/>
              </w:rPr>
              <w:t xml:space="preserve">活动前期的筹备方案较详细、应对方案准备较充分、工作较有序的得5分； </w:t>
            </w:r>
          </w:p>
          <w:p w14:paraId="277BFA93">
            <w:pPr>
              <w:spacing w:line="400" w:lineRule="exact"/>
              <w:jc w:val="left"/>
              <w:rPr>
                <w:rFonts w:ascii="宋体" w:hAnsi="宋体" w:cs="宋体"/>
                <w:szCs w:val="21"/>
                <w:highlight w:val="none"/>
              </w:rPr>
            </w:pPr>
            <w:r>
              <w:rPr>
                <w:rFonts w:hint="eastAsia" w:ascii="宋体" w:hAnsi="宋体" w:cs="宋体"/>
                <w:szCs w:val="21"/>
                <w:highlight w:val="none"/>
              </w:rPr>
              <w:t>活动前期的筹备方案简单、应对方案准备考虑不周、工作开展缺乏计划的得2分；</w:t>
            </w:r>
          </w:p>
          <w:p w14:paraId="76C2A8E5">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74BD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2" w:type="pct"/>
            <w:vAlign w:val="center"/>
          </w:tcPr>
          <w:p w14:paraId="62396571">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4</w:t>
            </w:r>
          </w:p>
        </w:tc>
        <w:tc>
          <w:tcPr>
            <w:tcW w:w="554" w:type="pct"/>
            <w:vAlign w:val="center"/>
          </w:tcPr>
          <w:p w14:paraId="1BE040CF">
            <w:pPr>
              <w:spacing w:line="400" w:lineRule="exact"/>
              <w:jc w:val="center"/>
              <w:rPr>
                <w:rFonts w:ascii="宋体" w:hAnsi="宋体" w:cs="宋体"/>
                <w:szCs w:val="21"/>
                <w:highlight w:val="none"/>
              </w:rPr>
            </w:pPr>
            <w:r>
              <w:rPr>
                <w:rFonts w:hint="eastAsia" w:ascii="宋体" w:hAnsi="宋体" w:cs="宋体"/>
                <w:szCs w:val="21"/>
                <w:highlight w:val="none"/>
              </w:rPr>
              <w:t>专家授课筹备工作</w:t>
            </w:r>
          </w:p>
        </w:tc>
        <w:tc>
          <w:tcPr>
            <w:tcW w:w="570" w:type="pct"/>
            <w:vAlign w:val="center"/>
          </w:tcPr>
          <w:p w14:paraId="731B1FE7">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06CC474C">
            <w:pPr>
              <w:spacing w:line="400" w:lineRule="exact"/>
              <w:jc w:val="left"/>
              <w:rPr>
                <w:rFonts w:ascii="宋体" w:hAnsi="宋体" w:cs="宋体"/>
                <w:szCs w:val="21"/>
                <w:highlight w:val="none"/>
              </w:rPr>
            </w:pPr>
            <w:r>
              <w:rPr>
                <w:rFonts w:hint="eastAsia" w:ascii="宋体" w:hAnsi="宋体" w:cs="宋体"/>
                <w:szCs w:val="21"/>
                <w:highlight w:val="none"/>
              </w:rPr>
              <w:t>根据供应商提供的针对本项目的专家授课筹备工作（包括但不仅限于课程主题和内容、专家数量和级别、专家邀约及接待方案梳理、特殊需求应对方案等）进行综合评议，满分8分。</w:t>
            </w:r>
          </w:p>
          <w:p w14:paraId="662ABE4F">
            <w:pPr>
              <w:spacing w:line="400" w:lineRule="exact"/>
              <w:jc w:val="left"/>
              <w:rPr>
                <w:rFonts w:ascii="宋体" w:hAnsi="宋体" w:cs="宋体"/>
                <w:szCs w:val="21"/>
                <w:highlight w:val="none"/>
              </w:rPr>
            </w:pPr>
            <w:r>
              <w:rPr>
                <w:rFonts w:hint="eastAsia" w:ascii="宋体" w:hAnsi="宋体" w:cs="宋体"/>
                <w:szCs w:val="21"/>
                <w:highlight w:val="none"/>
              </w:rPr>
              <w:t>专家授课筹备工作安排方案详细、课程主题符合要求、内容适合、专家邀约级别教授及以上、应对方案准备充分，工作缜密的得8分；</w:t>
            </w:r>
          </w:p>
          <w:p w14:paraId="277B600D">
            <w:pPr>
              <w:spacing w:line="400" w:lineRule="exact"/>
              <w:jc w:val="left"/>
              <w:rPr>
                <w:rFonts w:ascii="宋体" w:hAnsi="宋体" w:cs="宋体"/>
                <w:szCs w:val="21"/>
                <w:highlight w:val="none"/>
              </w:rPr>
            </w:pPr>
            <w:r>
              <w:rPr>
                <w:rFonts w:hint="eastAsia" w:ascii="宋体" w:hAnsi="宋体" w:cs="宋体"/>
                <w:szCs w:val="21"/>
                <w:highlight w:val="none"/>
              </w:rPr>
              <w:t xml:space="preserve">专家授课筹备工作安排方案较详细、课程主题较符合要求、内容较适合、专家邀约仅教授级别、应对方案准备较充分、工作较有序的得5分； </w:t>
            </w:r>
          </w:p>
          <w:p w14:paraId="7F75DCE0">
            <w:pPr>
              <w:spacing w:line="400" w:lineRule="exact"/>
              <w:jc w:val="left"/>
              <w:rPr>
                <w:rFonts w:ascii="宋体" w:hAnsi="宋体" w:cs="宋体"/>
                <w:szCs w:val="21"/>
                <w:highlight w:val="none"/>
              </w:rPr>
            </w:pPr>
            <w:r>
              <w:rPr>
                <w:rFonts w:hint="eastAsia" w:ascii="宋体" w:hAnsi="宋体" w:cs="宋体"/>
                <w:szCs w:val="21"/>
                <w:highlight w:val="none"/>
              </w:rPr>
              <w:t>专家授课筹备工作安排方案简单、课程主题不符合要求、内容不适合、专家邀约未达到教授级级别、应对方案准备考虑不周、工作开展缺乏计划的得2分；</w:t>
            </w:r>
          </w:p>
          <w:p w14:paraId="2F3A790F">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36BA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57EFCBB2">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5</w:t>
            </w:r>
          </w:p>
        </w:tc>
        <w:tc>
          <w:tcPr>
            <w:tcW w:w="554" w:type="pct"/>
            <w:vAlign w:val="center"/>
          </w:tcPr>
          <w:p w14:paraId="716D9AE3">
            <w:pPr>
              <w:spacing w:line="400" w:lineRule="exact"/>
              <w:jc w:val="center"/>
              <w:rPr>
                <w:rFonts w:ascii="宋体" w:hAnsi="宋体" w:cs="宋体"/>
                <w:szCs w:val="21"/>
                <w:highlight w:val="none"/>
              </w:rPr>
            </w:pPr>
            <w:r>
              <w:rPr>
                <w:rFonts w:hint="eastAsia" w:ascii="宋体" w:hAnsi="宋体" w:cs="宋体"/>
                <w:szCs w:val="21"/>
                <w:highlight w:val="none"/>
              </w:rPr>
              <w:t>商务参访</w:t>
            </w:r>
          </w:p>
        </w:tc>
        <w:tc>
          <w:tcPr>
            <w:tcW w:w="570" w:type="pct"/>
            <w:vAlign w:val="center"/>
          </w:tcPr>
          <w:p w14:paraId="6A169274">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5F41439A">
            <w:pPr>
              <w:spacing w:line="400" w:lineRule="exact"/>
              <w:jc w:val="left"/>
              <w:rPr>
                <w:rFonts w:ascii="宋体" w:hAnsi="宋体" w:cs="宋体"/>
                <w:szCs w:val="21"/>
                <w:highlight w:val="none"/>
              </w:rPr>
            </w:pPr>
            <w:r>
              <w:rPr>
                <w:rFonts w:hint="eastAsia" w:ascii="宋体" w:hAnsi="宋体" w:cs="宋体"/>
                <w:szCs w:val="21"/>
                <w:highlight w:val="none"/>
              </w:rPr>
              <w:t>根据供应商提供的商务参访方案（包括但不仅限于商务参访会场主题内容、商务参访场次、交流嘉宾的邀约方案、会场确认与布置、随团讲解及翻译对接方案等）进行综合评议，满分8分。</w:t>
            </w:r>
          </w:p>
          <w:p w14:paraId="2C0DA336">
            <w:pPr>
              <w:spacing w:line="400" w:lineRule="exact"/>
              <w:jc w:val="left"/>
              <w:rPr>
                <w:rFonts w:ascii="宋体" w:hAnsi="宋体" w:cs="宋体"/>
                <w:szCs w:val="21"/>
                <w:highlight w:val="none"/>
              </w:rPr>
            </w:pPr>
            <w:r>
              <w:rPr>
                <w:rFonts w:hint="eastAsia" w:ascii="宋体" w:hAnsi="宋体" w:cs="宋体"/>
                <w:szCs w:val="21"/>
                <w:highlight w:val="none"/>
              </w:rPr>
              <w:t>商务参访主题内容充实、商务参访场次达八次及以上、交流嘉宾对口、会场确认方案详细、布置雅致，随团讲解及翻译对接方案详细完整的得8分；</w:t>
            </w:r>
          </w:p>
          <w:p w14:paraId="5306DBB4">
            <w:pPr>
              <w:spacing w:line="400" w:lineRule="exact"/>
              <w:jc w:val="left"/>
              <w:rPr>
                <w:rFonts w:ascii="宋体" w:hAnsi="宋体" w:cs="宋体"/>
                <w:szCs w:val="21"/>
                <w:highlight w:val="none"/>
              </w:rPr>
            </w:pPr>
            <w:r>
              <w:rPr>
                <w:rFonts w:hint="eastAsia" w:ascii="宋体" w:hAnsi="宋体" w:cs="宋体"/>
                <w:szCs w:val="21"/>
                <w:highlight w:val="none"/>
              </w:rPr>
              <w:t>商务参访主题内容较充实、商务参访场次达七次及以上、交流嘉宾较对口、会场确认方案较详细、布置较雅致，随团讲解及翻译对接方案较详细、较完整的得5分；</w:t>
            </w:r>
          </w:p>
          <w:p w14:paraId="65542465">
            <w:pPr>
              <w:spacing w:line="400" w:lineRule="exact"/>
              <w:jc w:val="left"/>
              <w:rPr>
                <w:rFonts w:ascii="宋体" w:hAnsi="宋体" w:cs="宋体"/>
                <w:szCs w:val="21"/>
                <w:highlight w:val="none"/>
              </w:rPr>
            </w:pPr>
            <w:r>
              <w:rPr>
                <w:rFonts w:hint="eastAsia" w:ascii="宋体" w:hAnsi="宋体" w:cs="宋体"/>
                <w:szCs w:val="21"/>
                <w:highlight w:val="none"/>
              </w:rPr>
              <w:t>商务参访主题内容单一、商务参访场次达七次、交流嘉宾模糊、会场确认方案笼统、布置粗糙，随团讲解及翻译对接方案笼统的得2分；</w:t>
            </w:r>
          </w:p>
          <w:p w14:paraId="0F61C60A">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14B3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7AEBB3CA">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6</w:t>
            </w:r>
          </w:p>
        </w:tc>
        <w:tc>
          <w:tcPr>
            <w:tcW w:w="554" w:type="pct"/>
            <w:vAlign w:val="center"/>
          </w:tcPr>
          <w:p w14:paraId="18F817F9">
            <w:pPr>
              <w:spacing w:line="400" w:lineRule="exact"/>
              <w:jc w:val="center"/>
              <w:rPr>
                <w:rFonts w:ascii="宋体" w:hAnsi="宋体" w:cs="宋体"/>
                <w:szCs w:val="21"/>
                <w:highlight w:val="none"/>
              </w:rPr>
            </w:pPr>
            <w:r>
              <w:rPr>
                <w:rFonts w:hint="eastAsia" w:ascii="宋体" w:hAnsi="宋体" w:cs="宋体"/>
                <w:szCs w:val="21"/>
                <w:highlight w:val="none"/>
              </w:rPr>
              <w:t>高端交流会</w:t>
            </w:r>
          </w:p>
        </w:tc>
        <w:tc>
          <w:tcPr>
            <w:tcW w:w="570" w:type="pct"/>
            <w:vAlign w:val="center"/>
          </w:tcPr>
          <w:p w14:paraId="45B00CDD">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57FC7895">
            <w:pPr>
              <w:spacing w:line="400" w:lineRule="exact"/>
              <w:jc w:val="left"/>
              <w:rPr>
                <w:rFonts w:ascii="宋体" w:hAnsi="宋体" w:cs="宋体"/>
                <w:szCs w:val="21"/>
                <w:highlight w:val="none"/>
              </w:rPr>
            </w:pPr>
            <w:r>
              <w:rPr>
                <w:rFonts w:hint="eastAsia" w:ascii="宋体" w:hAnsi="宋体" w:cs="宋体"/>
                <w:szCs w:val="21"/>
                <w:highlight w:val="none"/>
              </w:rPr>
              <w:t>根据供应商提供的高端交流会方案（包括但不仅限于高端交流会主题内容、交流嘉宾的邀约方案、会场确认与布置、随团讲解及翻译对接方案等）进行综合评议，满分8分。</w:t>
            </w:r>
          </w:p>
          <w:p w14:paraId="6EDE9DB0">
            <w:pPr>
              <w:spacing w:line="400" w:lineRule="exact"/>
              <w:jc w:val="left"/>
              <w:rPr>
                <w:rFonts w:ascii="宋体" w:hAnsi="宋体" w:cs="宋体"/>
                <w:szCs w:val="21"/>
                <w:highlight w:val="none"/>
              </w:rPr>
            </w:pPr>
            <w:r>
              <w:rPr>
                <w:rFonts w:hint="eastAsia" w:ascii="宋体" w:hAnsi="宋体" w:cs="宋体"/>
                <w:szCs w:val="21"/>
                <w:highlight w:val="none"/>
              </w:rPr>
              <w:t>高端交流会主题内容适合、交流嘉宾对口、会场确认方案详细、布置雅致，随团讲解及翻译对接方案详细完整的得8分；</w:t>
            </w:r>
          </w:p>
          <w:p w14:paraId="60417762">
            <w:pPr>
              <w:spacing w:line="400" w:lineRule="exact"/>
              <w:jc w:val="left"/>
              <w:rPr>
                <w:rFonts w:ascii="宋体" w:hAnsi="宋体" w:cs="宋体"/>
                <w:szCs w:val="21"/>
                <w:highlight w:val="none"/>
              </w:rPr>
            </w:pPr>
            <w:r>
              <w:rPr>
                <w:rFonts w:hint="eastAsia" w:ascii="宋体" w:hAnsi="宋体" w:cs="宋体"/>
                <w:szCs w:val="21"/>
                <w:highlight w:val="none"/>
              </w:rPr>
              <w:t>高端交流会主题内容较适合、交流嘉宾较对口、会场确认方案较详细、布置较雅致，随团讲解及翻译对接方案较详细、较完整的得5分；</w:t>
            </w:r>
          </w:p>
          <w:p w14:paraId="55B9A4F2">
            <w:pPr>
              <w:spacing w:line="400" w:lineRule="exact"/>
              <w:jc w:val="left"/>
              <w:rPr>
                <w:rFonts w:ascii="宋体" w:hAnsi="宋体" w:cs="宋体"/>
                <w:szCs w:val="21"/>
                <w:highlight w:val="none"/>
              </w:rPr>
            </w:pPr>
            <w:r>
              <w:rPr>
                <w:rFonts w:hint="eastAsia" w:ascii="宋体" w:hAnsi="宋体" w:cs="宋体"/>
                <w:szCs w:val="21"/>
                <w:highlight w:val="none"/>
              </w:rPr>
              <w:t>高端交流会主题内容宽泛、交流嘉宾模糊、会场确认方案笼统、布置粗糙，随团讲解及翻译对接方案笼统的得2分；</w:t>
            </w:r>
          </w:p>
          <w:p w14:paraId="78322EEB">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558B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0A1581B0">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7</w:t>
            </w:r>
          </w:p>
        </w:tc>
        <w:tc>
          <w:tcPr>
            <w:tcW w:w="554" w:type="pct"/>
            <w:vAlign w:val="center"/>
          </w:tcPr>
          <w:p w14:paraId="0D10965A">
            <w:pPr>
              <w:spacing w:line="400" w:lineRule="exact"/>
              <w:jc w:val="center"/>
              <w:rPr>
                <w:rFonts w:ascii="宋体" w:hAnsi="宋体" w:cs="宋体"/>
                <w:szCs w:val="21"/>
                <w:highlight w:val="none"/>
              </w:rPr>
            </w:pPr>
            <w:r>
              <w:rPr>
                <w:rFonts w:hint="eastAsia" w:ascii="宋体" w:hAnsi="宋体" w:cs="宋体"/>
                <w:szCs w:val="21"/>
                <w:highlight w:val="none"/>
              </w:rPr>
              <w:t>名校参访</w:t>
            </w:r>
          </w:p>
        </w:tc>
        <w:tc>
          <w:tcPr>
            <w:tcW w:w="570" w:type="pct"/>
            <w:vAlign w:val="center"/>
          </w:tcPr>
          <w:p w14:paraId="7BA5D1C8">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649BFDA9">
            <w:pPr>
              <w:spacing w:line="400" w:lineRule="exact"/>
              <w:jc w:val="left"/>
              <w:rPr>
                <w:rFonts w:ascii="宋体" w:hAnsi="宋体" w:cs="宋体"/>
                <w:szCs w:val="21"/>
                <w:highlight w:val="none"/>
              </w:rPr>
            </w:pPr>
            <w:r>
              <w:rPr>
                <w:rFonts w:hint="eastAsia" w:ascii="宋体" w:hAnsi="宋体" w:cs="宋体"/>
                <w:szCs w:val="21"/>
                <w:highlight w:val="none"/>
              </w:rPr>
              <w:t>根据供应商提供的名校参访方案（包括但不仅限于名校参访行程、随团讲解及翻译对接方案等）进行综合评议，满分8分。</w:t>
            </w:r>
          </w:p>
          <w:p w14:paraId="0211AB6E">
            <w:pPr>
              <w:spacing w:line="400" w:lineRule="exact"/>
              <w:jc w:val="left"/>
              <w:rPr>
                <w:rFonts w:ascii="宋体" w:hAnsi="宋体" w:cs="宋体"/>
                <w:szCs w:val="21"/>
                <w:highlight w:val="none"/>
              </w:rPr>
            </w:pPr>
            <w:r>
              <w:rPr>
                <w:rFonts w:hint="eastAsia" w:ascii="宋体" w:hAnsi="宋体" w:cs="宋体"/>
                <w:szCs w:val="21"/>
                <w:highlight w:val="none"/>
              </w:rPr>
              <w:t>名校参访行程确认方案详细、合理，随团讲解及翻译对接方案详细完整的得8分；</w:t>
            </w:r>
          </w:p>
          <w:p w14:paraId="4A9E8A01">
            <w:pPr>
              <w:spacing w:line="400" w:lineRule="exact"/>
              <w:jc w:val="left"/>
              <w:rPr>
                <w:rFonts w:ascii="宋体" w:hAnsi="宋体" w:cs="宋体"/>
                <w:szCs w:val="21"/>
                <w:highlight w:val="none"/>
              </w:rPr>
            </w:pPr>
            <w:r>
              <w:rPr>
                <w:rFonts w:hint="eastAsia" w:ascii="宋体" w:hAnsi="宋体" w:cs="宋体"/>
                <w:szCs w:val="21"/>
                <w:highlight w:val="none"/>
              </w:rPr>
              <w:t>名校参访行程确认方案较详细、较合理，随团讲解及翻译对接方案较详细、较完整的得5分；</w:t>
            </w:r>
          </w:p>
          <w:p w14:paraId="0D1D4FD9">
            <w:pPr>
              <w:spacing w:line="400" w:lineRule="exact"/>
              <w:jc w:val="left"/>
              <w:rPr>
                <w:rFonts w:ascii="宋体" w:hAnsi="宋体" w:cs="宋体"/>
                <w:szCs w:val="21"/>
                <w:highlight w:val="none"/>
              </w:rPr>
            </w:pPr>
            <w:r>
              <w:rPr>
                <w:rFonts w:hint="eastAsia" w:ascii="宋体" w:hAnsi="宋体" w:cs="宋体"/>
                <w:szCs w:val="21"/>
                <w:highlight w:val="none"/>
              </w:rPr>
              <w:t>名校参访行程确认方案笼统、粗糙，随团讲解及翻译对接方案笼统的得2分；</w:t>
            </w:r>
          </w:p>
          <w:p w14:paraId="354CCE05">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31AD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565B6637">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8</w:t>
            </w:r>
          </w:p>
        </w:tc>
        <w:tc>
          <w:tcPr>
            <w:tcW w:w="554" w:type="pct"/>
            <w:vAlign w:val="center"/>
          </w:tcPr>
          <w:p w14:paraId="08E78100">
            <w:pPr>
              <w:spacing w:line="400" w:lineRule="exact"/>
              <w:jc w:val="center"/>
              <w:rPr>
                <w:rFonts w:ascii="宋体" w:hAnsi="宋体" w:cs="宋体"/>
                <w:szCs w:val="21"/>
                <w:highlight w:val="none"/>
              </w:rPr>
            </w:pPr>
            <w:r>
              <w:rPr>
                <w:rFonts w:hint="eastAsia" w:ascii="宋体" w:hAnsi="宋体" w:cs="宋体"/>
                <w:szCs w:val="21"/>
                <w:highlight w:val="none"/>
              </w:rPr>
              <w:t>交通安排</w:t>
            </w:r>
          </w:p>
        </w:tc>
        <w:tc>
          <w:tcPr>
            <w:tcW w:w="570" w:type="pct"/>
            <w:vAlign w:val="center"/>
          </w:tcPr>
          <w:p w14:paraId="3D968EAE">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3483" w:type="pct"/>
            <w:vAlign w:val="center"/>
          </w:tcPr>
          <w:p w14:paraId="1BC97609">
            <w:pPr>
              <w:spacing w:line="400" w:lineRule="exact"/>
              <w:jc w:val="left"/>
              <w:rPr>
                <w:rFonts w:ascii="宋体" w:hAnsi="宋体" w:cs="宋体"/>
                <w:szCs w:val="21"/>
                <w:highlight w:val="none"/>
              </w:rPr>
            </w:pPr>
            <w:r>
              <w:rPr>
                <w:rFonts w:hint="eastAsia" w:ascii="宋体" w:hAnsi="宋体" w:cs="宋体"/>
                <w:szCs w:val="21"/>
                <w:highlight w:val="none"/>
              </w:rPr>
              <w:t>根据供应商提供的针对本项目的交通安排（包括但不仅限于空运信息、用车信息、服务流程等）进行综合评议，满分6分。</w:t>
            </w:r>
          </w:p>
          <w:p w14:paraId="32AED6D8">
            <w:pPr>
              <w:spacing w:line="400" w:lineRule="exact"/>
              <w:jc w:val="left"/>
              <w:rPr>
                <w:rFonts w:ascii="宋体" w:hAnsi="宋体" w:cs="宋体"/>
                <w:szCs w:val="21"/>
                <w:highlight w:val="none"/>
              </w:rPr>
            </w:pPr>
            <w:r>
              <w:rPr>
                <w:rFonts w:hint="eastAsia" w:ascii="宋体" w:hAnsi="宋体" w:cs="宋体"/>
                <w:szCs w:val="21"/>
                <w:highlight w:val="none"/>
              </w:rPr>
              <w:t>空运信息、用车信息安排妥当，服务流程清晰的得6分；</w:t>
            </w:r>
          </w:p>
          <w:p w14:paraId="6309EA87">
            <w:pPr>
              <w:spacing w:line="400" w:lineRule="exact"/>
              <w:jc w:val="left"/>
              <w:rPr>
                <w:rFonts w:ascii="宋体" w:hAnsi="宋体" w:cs="宋体"/>
                <w:szCs w:val="21"/>
                <w:highlight w:val="none"/>
              </w:rPr>
            </w:pPr>
            <w:r>
              <w:rPr>
                <w:rFonts w:hint="eastAsia" w:ascii="宋体" w:hAnsi="宋体" w:cs="宋体"/>
                <w:szCs w:val="21"/>
                <w:highlight w:val="none"/>
              </w:rPr>
              <w:t>空运信息、用车信息安排较妥当，服务流程较清晰的得4分；</w:t>
            </w:r>
          </w:p>
          <w:p w14:paraId="2F5A3302">
            <w:pPr>
              <w:spacing w:line="400" w:lineRule="exact"/>
              <w:jc w:val="left"/>
              <w:rPr>
                <w:rFonts w:ascii="宋体" w:hAnsi="宋体" w:cs="宋体"/>
                <w:szCs w:val="21"/>
                <w:highlight w:val="none"/>
              </w:rPr>
            </w:pPr>
            <w:r>
              <w:rPr>
                <w:rFonts w:hint="eastAsia" w:ascii="宋体" w:hAnsi="宋体" w:cs="宋体"/>
                <w:szCs w:val="21"/>
                <w:highlight w:val="none"/>
              </w:rPr>
              <w:t>空运信息、用车信息安排存在不足，服务流程模糊的得2分；</w:t>
            </w:r>
          </w:p>
          <w:p w14:paraId="57A6D41A">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365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42E46F5C">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9</w:t>
            </w:r>
          </w:p>
        </w:tc>
        <w:tc>
          <w:tcPr>
            <w:tcW w:w="554" w:type="pct"/>
            <w:vAlign w:val="center"/>
          </w:tcPr>
          <w:p w14:paraId="20400988">
            <w:pPr>
              <w:spacing w:line="400" w:lineRule="exact"/>
              <w:jc w:val="center"/>
              <w:rPr>
                <w:rFonts w:ascii="宋体" w:hAnsi="宋体" w:cs="宋体"/>
                <w:szCs w:val="21"/>
                <w:highlight w:val="none"/>
              </w:rPr>
            </w:pPr>
            <w:r>
              <w:rPr>
                <w:rFonts w:hint="eastAsia" w:ascii="宋体" w:hAnsi="宋体" w:cs="宋体"/>
                <w:szCs w:val="21"/>
                <w:highlight w:val="none"/>
              </w:rPr>
              <w:t>餐饮安排</w:t>
            </w:r>
          </w:p>
        </w:tc>
        <w:tc>
          <w:tcPr>
            <w:tcW w:w="570" w:type="pct"/>
            <w:vAlign w:val="center"/>
          </w:tcPr>
          <w:p w14:paraId="6D8981E3">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3483" w:type="pct"/>
            <w:vAlign w:val="center"/>
          </w:tcPr>
          <w:p w14:paraId="36FBEE19">
            <w:pPr>
              <w:spacing w:line="400" w:lineRule="exact"/>
              <w:jc w:val="left"/>
              <w:rPr>
                <w:rFonts w:ascii="宋体" w:hAnsi="宋体" w:cs="宋体"/>
                <w:szCs w:val="21"/>
                <w:highlight w:val="none"/>
              </w:rPr>
            </w:pPr>
            <w:r>
              <w:rPr>
                <w:rFonts w:hint="eastAsia" w:ascii="宋体" w:hAnsi="宋体" w:cs="宋体"/>
                <w:szCs w:val="21"/>
                <w:highlight w:val="none"/>
              </w:rPr>
              <w:t>根据供应商提供的针对本项目的餐饮安排（包括但不仅限于餐饮种类、菜品数量、菜品口味等）进行综合评议，满分6分。</w:t>
            </w:r>
          </w:p>
          <w:p w14:paraId="37469CEF">
            <w:pPr>
              <w:spacing w:line="400" w:lineRule="exact"/>
              <w:jc w:val="left"/>
              <w:rPr>
                <w:rFonts w:ascii="宋体" w:hAnsi="宋体" w:cs="宋体"/>
                <w:szCs w:val="21"/>
                <w:highlight w:val="none"/>
              </w:rPr>
            </w:pPr>
            <w:r>
              <w:rPr>
                <w:rFonts w:hint="eastAsia" w:ascii="宋体" w:hAnsi="宋体" w:cs="宋体"/>
                <w:szCs w:val="21"/>
                <w:highlight w:val="none"/>
              </w:rPr>
              <w:t>餐饮安排详细、整个行程重复上菜数量少、符合国人口味的得6分；</w:t>
            </w:r>
          </w:p>
          <w:p w14:paraId="602AC6D3">
            <w:pPr>
              <w:spacing w:line="400" w:lineRule="exact"/>
              <w:jc w:val="left"/>
              <w:rPr>
                <w:rFonts w:ascii="宋体" w:hAnsi="宋体" w:cs="宋体"/>
                <w:szCs w:val="21"/>
                <w:highlight w:val="none"/>
              </w:rPr>
            </w:pPr>
            <w:r>
              <w:rPr>
                <w:rFonts w:hint="eastAsia" w:ascii="宋体" w:hAnsi="宋体" w:cs="宋体"/>
                <w:szCs w:val="21"/>
                <w:highlight w:val="none"/>
              </w:rPr>
              <w:t>餐饮安排详细但整个行程重复上菜较多、符合国人口味的得4分；</w:t>
            </w:r>
          </w:p>
          <w:p w14:paraId="00158E42">
            <w:pPr>
              <w:spacing w:line="400" w:lineRule="exact"/>
              <w:jc w:val="left"/>
              <w:rPr>
                <w:rFonts w:ascii="宋体" w:hAnsi="宋体" w:cs="宋体"/>
                <w:szCs w:val="21"/>
                <w:highlight w:val="none"/>
              </w:rPr>
            </w:pPr>
            <w:r>
              <w:rPr>
                <w:rFonts w:hint="eastAsia" w:ascii="宋体" w:hAnsi="宋体" w:cs="宋体"/>
                <w:szCs w:val="21"/>
                <w:highlight w:val="none"/>
              </w:rPr>
              <w:t>餐饮安排存在不足、不符合国人口味的得2分；</w:t>
            </w:r>
          </w:p>
          <w:p w14:paraId="3881EE4B">
            <w:pPr>
              <w:spacing w:line="400" w:lineRule="exact"/>
              <w:jc w:val="left"/>
              <w:rPr>
                <w:rFonts w:ascii="宋体" w:hAnsi="宋体" w:cs="宋体"/>
                <w:szCs w:val="21"/>
                <w:highlight w:val="none"/>
              </w:rPr>
            </w:pPr>
            <w:r>
              <w:rPr>
                <w:rFonts w:hint="eastAsia" w:ascii="宋体" w:hAnsi="宋体" w:cs="宋体"/>
                <w:szCs w:val="21"/>
                <w:highlight w:val="none"/>
              </w:rPr>
              <w:t>未提供本项的不得分。</w:t>
            </w:r>
          </w:p>
        </w:tc>
      </w:tr>
      <w:tr w14:paraId="16C3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19B64FF2">
            <w:pPr>
              <w:widowControl/>
              <w:spacing w:line="400" w:lineRule="exact"/>
              <w:jc w:val="center"/>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10</w:t>
            </w:r>
          </w:p>
        </w:tc>
        <w:tc>
          <w:tcPr>
            <w:tcW w:w="554" w:type="pct"/>
            <w:vAlign w:val="center"/>
          </w:tcPr>
          <w:p w14:paraId="788B1CDF">
            <w:pPr>
              <w:spacing w:line="400" w:lineRule="exact"/>
              <w:jc w:val="center"/>
              <w:rPr>
                <w:rFonts w:ascii="宋体" w:hAnsi="宋体" w:cs="宋体"/>
                <w:szCs w:val="21"/>
                <w:highlight w:val="none"/>
              </w:rPr>
            </w:pPr>
            <w:r>
              <w:rPr>
                <w:rFonts w:hint="eastAsia" w:ascii="宋体" w:hAnsi="宋体" w:cs="宋体"/>
                <w:szCs w:val="21"/>
                <w:highlight w:val="none"/>
                <w:lang w:val="zh-CN"/>
              </w:rPr>
              <w:t>应急预案</w:t>
            </w:r>
          </w:p>
        </w:tc>
        <w:tc>
          <w:tcPr>
            <w:tcW w:w="570" w:type="pct"/>
            <w:vAlign w:val="center"/>
          </w:tcPr>
          <w:p w14:paraId="6E247A88">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3483" w:type="pct"/>
            <w:vAlign w:val="center"/>
          </w:tcPr>
          <w:p w14:paraId="4701A01F">
            <w:pPr>
              <w:spacing w:line="400" w:lineRule="exact"/>
              <w:rPr>
                <w:rFonts w:ascii="宋体" w:hAnsi="宋体" w:cs="宋体"/>
                <w:szCs w:val="21"/>
                <w:highlight w:val="none"/>
              </w:rPr>
            </w:pPr>
            <w:r>
              <w:rPr>
                <w:rFonts w:hint="eastAsia" w:ascii="宋体" w:hAnsi="宋体" w:cs="宋体"/>
                <w:szCs w:val="21"/>
                <w:highlight w:val="none"/>
              </w:rPr>
              <w:t>根据供应商提供的针对本项目在活动期间，如遇突发事件时相应的的应急方案（包括但不仅限于空运晚点、用车晚点、语言不通等）进行综合评议，满分8分。</w:t>
            </w:r>
          </w:p>
          <w:p w14:paraId="64CBDC4B">
            <w:pPr>
              <w:spacing w:line="400" w:lineRule="exact"/>
              <w:rPr>
                <w:rFonts w:ascii="宋体" w:hAnsi="宋体" w:cs="宋体"/>
                <w:bCs/>
                <w:szCs w:val="21"/>
                <w:highlight w:val="none"/>
              </w:rPr>
            </w:pPr>
            <w:r>
              <w:rPr>
                <w:rFonts w:hint="eastAsia" w:ascii="宋体" w:hAnsi="宋体" w:cs="宋体"/>
                <w:szCs w:val="21"/>
                <w:highlight w:val="none"/>
              </w:rPr>
              <w:t>应急方案详细完整</w:t>
            </w:r>
            <w:r>
              <w:rPr>
                <w:rFonts w:hint="eastAsia" w:ascii="宋体" w:hAnsi="宋体" w:cs="宋体"/>
                <w:bCs/>
                <w:szCs w:val="21"/>
                <w:highlight w:val="none"/>
              </w:rPr>
              <w:t>，应急人员配备充足，现场管理有序的得8分；</w:t>
            </w:r>
          </w:p>
          <w:p w14:paraId="72946675">
            <w:pPr>
              <w:spacing w:line="400" w:lineRule="exact"/>
              <w:rPr>
                <w:rFonts w:ascii="宋体" w:hAnsi="宋体" w:cs="宋体"/>
                <w:bCs/>
                <w:szCs w:val="21"/>
                <w:highlight w:val="none"/>
              </w:rPr>
            </w:pPr>
            <w:r>
              <w:rPr>
                <w:rFonts w:hint="eastAsia" w:ascii="宋体" w:hAnsi="宋体" w:cs="宋体"/>
                <w:szCs w:val="21"/>
                <w:highlight w:val="none"/>
              </w:rPr>
              <w:t>应急方案较详细、较完整</w:t>
            </w:r>
            <w:r>
              <w:rPr>
                <w:rFonts w:hint="eastAsia" w:ascii="宋体" w:hAnsi="宋体" w:cs="宋体"/>
                <w:bCs/>
                <w:szCs w:val="21"/>
                <w:highlight w:val="none"/>
              </w:rPr>
              <w:t>，应急人员配备较充足，现场管理较有序的得5分；</w:t>
            </w:r>
          </w:p>
          <w:p w14:paraId="5F4BA3B5">
            <w:pPr>
              <w:spacing w:line="400" w:lineRule="exact"/>
              <w:rPr>
                <w:rFonts w:ascii="宋体" w:hAnsi="宋体" w:cs="宋体"/>
                <w:bCs/>
                <w:szCs w:val="21"/>
                <w:highlight w:val="none"/>
              </w:rPr>
            </w:pPr>
            <w:r>
              <w:rPr>
                <w:rFonts w:hint="eastAsia" w:ascii="宋体" w:hAnsi="宋体" w:cs="宋体"/>
                <w:szCs w:val="21"/>
                <w:highlight w:val="none"/>
              </w:rPr>
              <w:t>应急方案简单</w:t>
            </w:r>
            <w:r>
              <w:rPr>
                <w:rFonts w:hint="eastAsia" w:ascii="宋体" w:hAnsi="宋体" w:cs="宋体"/>
                <w:bCs/>
                <w:szCs w:val="21"/>
                <w:highlight w:val="none"/>
              </w:rPr>
              <w:t>，针对不可预见的应急事件缺乏应对方案，现场管理无序的得2分；</w:t>
            </w:r>
          </w:p>
          <w:p w14:paraId="7ACF7F3F">
            <w:pPr>
              <w:spacing w:line="400" w:lineRule="exact"/>
              <w:jc w:val="left"/>
              <w:rPr>
                <w:rFonts w:ascii="宋体" w:hAnsi="宋体" w:cs="宋体"/>
                <w:szCs w:val="21"/>
                <w:highlight w:val="none"/>
              </w:rPr>
            </w:pPr>
            <w:r>
              <w:rPr>
                <w:rFonts w:hint="eastAsia" w:ascii="宋体" w:hAnsi="宋体"/>
                <w:highlight w:val="none"/>
              </w:rPr>
              <w:t>未提供本项的不得分。</w:t>
            </w:r>
          </w:p>
        </w:tc>
      </w:tr>
      <w:tr w14:paraId="60CD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Merge w:val="restart"/>
            <w:vAlign w:val="center"/>
          </w:tcPr>
          <w:p w14:paraId="24C3BED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554" w:type="pct"/>
            <w:vMerge w:val="restart"/>
            <w:vAlign w:val="center"/>
          </w:tcPr>
          <w:p w14:paraId="5A1BFC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拟派团队人员</w:t>
            </w:r>
          </w:p>
        </w:tc>
        <w:tc>
          <w:tcPr>
            <w:tcW w:w="570" w:type="pct"/>
            <w:vAlign w:val="center"/>
          </w:tcPr>
          <w:p w14:paraId="3DD81437">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3483" w:type="pct"/>
            <w:vAlign w:val="center"/>
          </w:tcPr>
          <w:p w14:paraId="6AC4697B">
            <w:pPr>
              <w:spacing w:line="400" w:lineRule="exact"/>
              <w:rPr>
                <w:rFonts w:ascii="宋体" w:hAnsi="宋体" w:cs="宋体"/>
                <w:color w:val="auto"/>
                <w:szCs w:val="21"/>
                <w:highlight w:val="none"/>
              </w:rPr>
            </w:pPr>
            <w:r>
              <w:rPr>
                <w:rFonts w:hint="eastAsia" w:ascii="宋体" w:hAnsi="宋体" w:cs="宋体"/>
                <w:color w:val="auto"/>
                <w:szCs w:val="21"/>
                <w:highlight w:val="none"/>
              </w:rPr>
              <w:t>拟派项目负责人具有</w:t>
            </w:r>
            <w:r>
              <w:rPr>
                <w:rFonts w:hint="eastAsia" w:ascii="宋体" w:hAnsi="宋体" w:cs="宋体"/>
                <w:color w:val="auto"/>
                <w:highlight w:val="none"/>
              </w:rPr>
              <w:t>硕士及以上学历的得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szCs w:val="21"/>
                <w:highlight w:val="none"/>
              </w:rPr>
              <w:t>本科学历的得1分。</w:t>
            </w:r>
          </w:p>
          <w:p w14:paraId="268308B9">
            <w:pPr>
              <w:spacing w:line="400" w:lineRule="exact"/>
              <w:rPr>
                <w:rFonts w:ascii="宋体" w:hAnsi="宋体" w:cs="宋体"/>
                <w:color w:val="auto"/>
                <w:szCs w:val="21"/>
                <w:highlight w:val="none"/>
              </w:rPr>
            </w:pPr>
            <w:r>
              <w:rPr>
                <w:rFonts w:hint="eastAsia" w:ascii="宋体" w:hAnsi="宋体" w:cs="宋体"/>
                <w:b/>
                <w:bCs/>
                <w:color w:val="auto"/>
                <w:kern w:val="0"/>
                <w:szCs w:val="21"/>
                <w:highlight w:val="none"/>
              </w:rPr>
              <w:t>注：要求提供项目负责人学历证书、</w:t>
            </w:r>
            <w:r>
              <w:rPr>
                <w:rFonts w:hint="eastAsia" w:ascii="宋体" w:hAnsi="宋体" w:cs="宋体"/>
                <w:b/>
                <w:bCs/>
                <w:color w:val="auto"/>
                <w:szCs w:val="21"/>
                <w:highlight w:val="none"/>
              </w:rPr>
              <w:t>与联合体供应商单位任意一家的关联关系的证明材料（如社保或合同或协议等）的复印件</w:t>
            </w:r>
            <w:r>
              <w:rPr>
                <w:rFonts w:hint="eastAsia" w:ascii="宋体" w:hAnsi="宋体" w:cs="宋体"/>
                <w:b/>
                <w:bCs/>
                <w:color w:val="auto"/>
                <w:kern w:val="0"/>
                <w:szCs w:val="21"/>
                <w:highlight w:val="none"/>
              </w:rPr>
              <w:t>，并加盖供应商公章，未提供或未能证明本项各要素的不得分。</w:t>
            </w:r>
          </w:p>
        </w:tc>
      </w:tr>
      <w:tr w14:paraId="6A8B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Merge w:val="continue"/>
            <w:vAlign w:val="center"/>
          </w:tcPr>
          <w:p w14:paraId="7928C439">
            <w:pPr>
              <w:widowControl/>
              <w:spacing w:line="400" w:lineRule="exact"/>
              <w:jc w:val="center"/>
              <w:rPr>
                <w:rFonts w:ascii="宋体" w:hAnsi="宋体" w:cs="宋体"/>
                <w:kern w:val="0"/>
                <w:szCs w:val="21"/>
                <w:highlight w:val="none"/>
              </w:rPr>
            </w:pPr>
          </w:p>
        </w:tc>
        <w:tc>
          <w:tcPr>
            <w:tcW w:w="554" w:type="pct"/>
            <w:vMerge w:val="continue"/>
            <w:vAlign w:val="center"/>
          </w:tcPr>
          <w:p w14:paraId="56EEB2FB">
            <w:pPr>
              <w:spacing w:line="400" w:lineRule="exact"/>
              <w:jc w:val="center"/>
              <w:rPr>
                <w:rFonts w:ascii="宋体" w:hAnsi="宋体" w:cs="宋体"/>
                <w:color w:val="auto"/>
                <w:szCs w:val="21"/>
                <w:highlight w:val="none"/>
              </w:rPr>
            </w:pPr>
          </w:p>
        </w:tc>
        <w:tc>
          <w:tcPr>
            <w:tcW w:w="570" w:type="pct"/>
            <w:vAlign w:val="center"/>
          </w:tcPr>
          <w:p w14:paraId="4FCE440F">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3483" w:type="pct"/>
            <w:vAlign w:val="center"/>
          </w:tcPr>
          <w:p w14:paraId="39002694">
            <w:pPr>
              <w:spacing w:line="400" w:lineRule="exact"/>
              <w:rPr>
                <w:rFonts w:ascii="宋体" w:hAnsi="宋体" w:cs="宋体"/>
                <w:color w:val="auto"/>
                <w:szCs w:val="21"/>
                <w:highlight w:val="none"/>
              </w:rPr>
            </w:pPr>
            <w:r>
              <w:rPr>
                <w:rFonts w:hint="eastAsia" w:ascii="宋体" w:hAnsi="宋体" w:cs="宋体"/>
                <w:color w:val="auto"/>
                <w:szCs w:val="21"/>
                <w:highlight w:val="none"/>
              </w:rPr>
              <w:t>根据项目负责人的类似项目经验进行综合评议，满分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360F7C4">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项目负责人从事活动承接服务工作年限5年，得3分，</w:t>
            </w:r>
            <w:r>
              <w:rPr>
                <w:rFonts w:hint="eastAsia" w:ascii="宋体" w:hAnsi="宋体" w:cs="宋体"/>
                <w:color w:val="auto"/>
                <w:highlight w:val="none"/>
              </w:rPr>
              <w:t>从事活动承接服务工作年限3年，</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p>
          <w:p w14:paraId="55969F2B">
            <w:pPr>
              <w:pStyle w:val="64"/>
              <w:spacing w:line="400" w:lineRule="exact"/>
              <w:ind w:firstLine="0" w:firstLineChars="0"/>
              <w:rPr>
                <w:rFonts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2</w:t>
            </w:r>
            <w:r>
              <w:rPr>
                <w:rFonts w:hint="eastAsia" w:hAnsi="宋体" w:cs="宋体"/>
                <w:color w:val="auto"/>
                <w:highlight w:val="none"/>
                <w:lang w:eastAsia="zh-CN"/>
              </w:rPr>
              <w:t>）</w:t>
            </w:r>
            <w:r>
              <w:rPr>
                <w:rFonts w:hint="eastAsia" w:hAnsi="宋体" w:cs="宋体"/>
                <w:color w:val="auto"/>
                <w:highlight w:val="none"/>
              </w:rPr>
              <w:t>有组织一次以上宁波企业家境外访学经历的，得1分。</w:t>
            </w:r>
          </w:p>
          <w:p w14:paraId="78893162">
            <w:pPr>
              <w:spacing w:line="400" w:lineRule="exact"/>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有英语或德语相关资格证书的，得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73FB2C30">
            <w:pPr>
              <w:spacing w:line="400" w:lineRule="exact"/>
              <w:rPr>
                <w:rFonts w:ascii="宋体" w:hAnsi="宋体" w:cs="宋体"/>
                <w:color w:val="auto"/>
                <w:szCs w:val="21"/>
                <w:highlight w:val="none"/>
              </w:rPr>
            </w:pPr>
            <w:r>
              <w:rPr>
                <w:rFonts w:hint="eastAsia" w:ascii="宋体" w:hAnsi="宋体" w:cs="宋体"/>
                <w:b/>
                <w:bCs/>
                <w:color w:val="auto"/>
                <w:kern w:val="0"/>
                <w:szCs w:val="21"/>
                <w:highlight w:val="none"/>
              </w:rPr>
              <w:t>注：以上评分项目的相关证明材料复印件，并加盖供应商公章。</w:t>
            </w:r>
          </w:p>
        </w:tc>
      </w:tr>
      <w:tr w14:paraId="747E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Merge w:val="continue"/>
            <w:vAlign w:val="center"/>
          </w:tcPr>
          <w:p w14:paraId="123890FC">
            <w:pPr>
              <w:widowControl/>
              <w:spacing w:line="400" w:lineRule="exact"/>
              <w:jc w:val="center"/>
              <w:rPr>
                <w:rFonts w:ascii="宋体" w:hAnsi="宋体" w:cs="宋体"/>
                <w:kern w:val="0"/>
                <w:szCs w:val="21"/>
                <w:highlight w:val="none"/>
              </w:rPr>
            </w:pPr>
          </w:p>
        </w:tc>
        <w:tc>
          <w:tcPr>
            <w:tcW w:w="554" w:type="pct"/>
            <w:vMerge w:val="continue"/>
            <w:vAlign w:val="center"/>
          </w:tcPr>
          <w:p w14:paraId="07063F10">
            <w:pPr>
              <w:spacing w:line="400" w:lineRule="exact"/>
              <w:jc w:val="center"/>
              <w:rPr>
                <w:rFonts w:ascii="宋体" w:hAnsi="宋体" w:cs="宋体"/>
                <w:color w:val="auto"/>
                <w:szCs w:val="21"/>
                <w:highlight w:val="none"/>
              </w:rPr>
            </w:pPr>
          </w:p>
        </w:tc>
        <w:tc>
          <w:tcPr>
            <w:tcW w:w="570" w:type="pct"/>
            <w:vAlign w:val="center"/>
          </w:tcPr>
          <w:p w14:paraId="1F1EEDB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3483" w:type="pct"/>
            <w:vAlign w:val="center"/>
          </w:tcPr>
          <w:p w14:paraId="5309EC01">
            <w:pPr>
              <w:spacing w:line="400" w:lineRule="exact"/>
              <w:rPr>
                <w:rFonts w:ascii="宋体" w:hAnsi="宋体" w:cs="宋体"/>
                <w:color w:val="auto"/>
                <w:szCs w:val="21"/>
                <w:highlight w:val="none"/>
              </w:rPr>
            </w:pPr>
            <w:r>
              <w:rPr>
                <w:rFonts w:hint="eastAsia" w:ascii="宋体" w:hAnsi="宋体" w:cs="宋体"/>
                <w:color w:val="auto"/>
                <w:szCs w:val="21"/>
                <w:highlight w:val="none"/>
              </w:rPr>
              <w:t>根据项目团队其他成员（除项目负责人外）人员配置数量、职称学历、搭配情况以及类似项目经验等进行综合评议，满分7分。</w:t>
            </w:r>
          </w:p>
          <w:p w14:paraId="7F545A03">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）项目团队其他成员</w:t>
            </w:r>
            <w:r>
              <w:rPr>
                <w:rFonts w:hint="eastAsia" w:ascii="宋体" w:hAnsi="宋体" w:cs="宋体"/>
                <w:color w:val="auto"/>
                <w:szCs w:val="21"/>
                <w:highlight w:val="none"/>
              </w:rPr>
              <w:t>具有海外留学经历的，每</w:t>
            </w:r>
            <w:r>
              <w:rPr>
                <w:rFonts w:hint="eastAsia" w:ascii="宋体" w:hAnsi="宋体" w:cs="宋体"/>
                <w:color w:val="auto"/>
                <w:szCs w:val="21"/>
                <w:highlight w:val="none"/>
                <w:lang w:eastAsia="zh-CN"/>
              </w:rPr>
              <w:t>有</w:t>
            </w:r>
            <w:r>
              <w:rPr>
                <w:rFonts w:hint="eastAsia" w:ascii="宋体" w:hAnsi="宋体" w:cs="宋体"/>
                <w:color w:val="auto"/>
                <w:szCs w:val="21"/>
                <w:highlight w:val="none"/>
              </w:rPr>
              <w:t>1人得1分，满分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4B3CE2A2">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根据项目团队其他成员职责分工情况以及类似项目经验等进行综合评议，满分4分。</w:t>
            </w:r>
          </w:p>
          <w:p w14:paraId="5ACAF002">
            <w:pPr>
              <w:spacing w:line="400" w:lineRule="exact"/>
              <w:rPr>
                <w:rFonts w:ascii="宋体" w:hAnsi="宋体" w:cs="宋体"/>
                <w:color w:val="auto"/>
                <w:szCs w:val="21"/>
                <w:highlight w:val="none"/>
              </w:rPr>
            </w:pPr>
            <w:r>
              <w:rPr>
                <w:rFonts w:hint="eastAsia" w:ascii="宋体" w:hAnsi="宋体" w:cs="宋体"/>
                <w:color w:val="auto"/>
                <w:szCs w:val="21"/>
                <w:highlight w:val="none"/>
              </w:rPr>
              <w:t>项目团队其他成员有三人及以上具有硕士研究生及以上学历的，且平均从事活动承接服务工作年限达4年及以上的，得4分；</w:t>
            </w:r>
          </w:p>
          <w:p w14:paraId="3C6DE34E">
            <w:pPr>
              <w:spacing w:line="400" w:lineRule="exact"/>
              <w:rPr>
                <w:rFonts w:ascii="宋体" w:hAnsi="宋体" w:cs="宋体"/>
                <w:color w:val="auto"/>
                <w:szCs w:val="21"/>
                <w:highlight w:val="none"/>
              </w:rPr>
            </w:pPr>
            <w:r>
              <w:rPr>
                <w:rFonts w:hint="eastAsia" w:ascii="宋体" w:hAnsi="宋体" w:cs="宋体"/>
                <w:color w:val="auto"/>
                <w:szCs w:val="21"/>
                <w:highlight w:val="none"/>
              </w:rPr>
              <w:t>项目团队其他成员有两人具有硕士研究生及以上学历的，且平均从事活动承接服务工作年限达2年及以上的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得2分；</w:t>
            </w:r>
          </w:p>
          <w:p w14:paraId="285635F6">
            <w:pPr>
              <w:spacing w:line="400" w:lineRule="exact"/>
              <w:rPr>
                <w:rFonts w:ascii="宋体" w:hAnsi="宋体" w:cs="宋体"/>
                <w:color w:val="auto"/>
                <w:szCs w:val="21"/>
                <w:highlight w:val="none"/>
              </w:rPr>
            </w:pPr>
            <w:r>
              <w:rPr>
                <w:rFonts w:hint="eastAsia" w:ascii="宋体" w:hAnsi="宋体" w:cs="宋体"/>
                <w:color w:val="auto"/>
                <w:szCs w:val="21"/>
                <w:highlight w:val="none"/>
              </w:rPr>
              <w:t>项目团队其他成员有一人具有硕士研究生及以上学历的，且从事活动承接服务工作年限达1年及以上的，得1分；</w:t>
            </w:r>
          </w:p>
          <w:p w14:paraId="0E415D50">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其他不得分。</w:t>
            </w:r>
          </w:p>
          <w:p w14:paraId="3A30EB19">
            <w:pPr>
              <w:spacing w:line="400" w:lineRule="exact"/>
              <w:rPr>
                <w:rFonts w:ascii="宋体" w:hAnsi="宋体" w:cs="宋体"/>
                <w:color w:val="auto"/>
                <w:szCs w:val="21"/>
                <w:highlight w:val="none"/>
              </w:rPr>
            </w:pPr>
            <w:r>
              <w:rPr>
                <w:rFonts w:hint="eastAsia" w:ascii="宋体" w:hAnsi="宋体" w:cs="宋体"/>
                <w:b/>
                <w:bCs/>
                <w:color w:val="auto"/>
                <w:szCs w:val="21"/>
                <w:highlight w:val="none"/>
              </w:rPr>
              <w:t>注：要求提供项目团队其他成员（除项目负责人外）与联合体供应商单位任意一家的关联关系的证明材料（如社保或合同或协议等）的复印件以及</w:t>
            </w:r>
            <w:r>
              <w:rPr>
                <w:rFonts w:hint="eastAsia" w:ascii="宋体" w:hAnsi="宋体" w:cs="宋体"/>
                <w:b/>
                <w:bCs/>
                <w:color w:val="auto"/>
                <w:kern w:val="0"/>
                <w:szCs w:val="21"/>
                <w:highlight w:val="none"/>
              </w:rPr>
              <w:t>从事活动承接服务工作年限的相关证明材料复印件并加盖供应商公章，未提供或未能证明本项各要素的不得分。</w:t>
            </w:r>
          </w:p>
        </w:tc>
      </w:tr>
      <w:tr w14:paraId="140F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55AE9409">
            <w:pPr>
              <w:spacing w:line="400" w:lineRule="exact"/>
              <w:jc w:val="center"/>
              <w:rPr>
                <w:rFonts w:ascii="宋体" w:hAnsi="宋体" w:cs="宋体"/>
                <w:szCs w:val="21"/>
                <w:highlight w:val="none"/>
              </w:rPr>
            </w:pPr>
            <w:r>
              <w:rPr>
                <w:rFonts w:hint="eastAsia" w:ascii="宋体" w:hAnsi="宋体" w:cs="宋体"/>
                <w:szCs w:val="21"/>
                <w:highlight w:val="none"/>
              </w:rPr>
              <w:t>12</w:t>
            </w:r>
          </w:p>
        </w:tc>
        <w:tc>
          <w:tcPr>
            <w:tcW w:w="554" w:type="pct"/>
            <w:vAlign w:val="center"/>
          </w:tcPr>
          <w:p w14:paraId="6392350D">
            <w:pPr>
              <w:spacing w:line="400" w:lineRule="exact"/>
              <w:jc w:val="center"/>
              <w:rPr>
                <w:rFonts w:ascii="宋体" w:hAnsi="宋体" w:cs="宋体"/>
                <w:szCs w:val="21"/>
                <w:highlight w:val="none"/>
              </w:rPr>
            </w:pPr>
            <w:r>
              <w:rPr>
                <w:rFonts w:hint="eastAsia" w:ascii="宋体" w:hAnsi="宋体" w:cs="宋体"/>
                <w:szCs w:val="21"/>
                <w:highlight w:val="none"/>
              </w:rPr>
              <w:t>类似业绩</w:t>
            </w:r>
          </w:p>
        </w:tc>
        <w:tc>
          <w:tcPr>
            <w:tcW w:w="570" w:type="pct"/>
            <w:vAlign w:val="center"/>
          </w:tcPr>
          <w:p w14:paraId="353A44E1">
            <w:pPr>
              <w:spacing w:line="400" w:lineRule="exact"/>
              <w:jc w:val="center"/>
              <w:rPr>
                <w:highlight w:val="none"/>
              </w:rPr>
            </w:pPr>
            <w:r>
              <w:rPr>
                <w:rFonts w:ascii="宋体" w:hAnsi="宋体" w:cs="宋体"/>
                <w:szCs w:val="21"/>
                <w:highlight w:val="none"/>
              </w:rPr>
              <w:t>1</w:t>
            </w:r>
          </w:p>
        </w:tc>
        <w:tc>
          <w:tcPr>
            <w:tcW w:w="3483" w:type="pct"/>
            <w:vAlign w:val="center"/>
          </w:tcPr>
          <w:p w14:paraId="71B2FE56">
            <w:pPr>
              <w:spacing w:line="400" w:lineRule="exact"/>
              <w:jc w:val="left"/>
              <w:rPr>
                <w:rFonts w:ascii="宋体" w:hAnsi="宋体" w:cs="宋体"/>
                <w:szCs w:val="21"/>
                <w:highlight w:val="none"/>
              </w:rPr>
            </w:pPr>
            <w:r>
              <w:rPr>
                <w:rFonts w:hint="eastAsia" w:ascii="宋体" w:hAnsi="宋体" w:cs="宋体"/>
                <w:szCs w:val="21"/>
                <w:highlight w:val="none"/>
              </w:rPr>
              <w:t>供应商（联合体参与投标的指联合体成员之一）自20</w:t>
            </w:r>
            <w:r>
              <w:rPr>
                <w:rFonts w:ascii="宋体" w:hAnsi="宋体" w:cs="宋体"/>
                <w:szCs w:val="21"/>
                <w:highlight w:val="none"/>
              </w:rPr>
              <w:t>19</w:t>
            </w:r>
            <w:r>
              <w:rPr>
                <w:rFonts w:hint="eastAsia" w:ascii="宋体" w:hAnsi="宋体" w:cs="宋体"/>
                <w:szCs w:val="21"/>
                <w:highlight w:val="none"/>
              </w:rPr>
              <w:t>年1月1日（以合同签订日期为准）以来，完成过类似活动承接服务的，每提供1个业绩得</w:t>
            </w:r>
            <w:r>
              <w:rPr>
                <w:rFonts w:ascii="宋体" w:hAnsi="宋体" w:cs="宋体"/>
                <w:szCs w:val="21"/>
                <w:highlight w:val="none"/>
              </w:rPr>
              <w:t>0.5</w:t>
            </w:r>
            <w:r>
              <w:rPr>
                <w:rFonts w:hint="eastAsia" w:ascii="宋体" w:hAnsi="宋体" w:cs="宋体"/>
                <w:szCs w:val="21"/>
                <w:highlight w:val="none"/>
              </w:rPr>
              <w:t>分，满分1分。</w:t>
            </w:r>
          </w:p>
          <w:p w14:paraId="74EE0A40">
            <w:pPr>
              <w:spacing w:line="400" w:lineRule="exact"/>
              <w:jc w:val="left"/>
              <w:rPr>
                <w:rFonts w:ascii="宋体" w:hAnsi="宋体" w:cs="宋体"/>
                <w:szCs w:val="21"/>
                <w:highlight w:val="none"/>
              </w:rPr>
            </w:pPr>
            <w:r>
              <w:rPr>
                <w:rFonts w:hint="eastAsia" w:ascii="宋体" w:hAnsi="宋体" w:cs="宋体"/>
                <w:b/>
                <w:bCs/>
                <w:szCs w:val="21"/>
                <w:highlight w:val="none"/>
              </w:rPr>
              <w:t>注：投标文件中须提供合同复印件并加盖供应商公章（须包含合同的关键页、签字盖章页，并能清晰反映同类业绩相关信息）。</w:t>
            </w:r>
          </w:p>
        </w:tc>
      </w:tr>
      <w:tr w14:paraId="365C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vAlign w:val="center"/>
          </w:tcPr>
          <w:p w14:paraId="254623BB">
            <w:pPr>
              <w:spacing w:line="400" w:lineRule="exact"/>
              <w:jc w:val="center"/>
              <w:rPr>
                <w:rFonts w:ascii="宋体" w:hAnsi="宋体" w:cs="宋体"/>
                <w:szCs w:val="21"/>
                <w:highlight w:val="none"/>
              </w:rPr>
            </w:pPr>
            <w:r>
              <w:rPr>
                <w:rFonts w:hint="eastAsia" w:ascii="宋体" w:hAnsi="宋体" w:cs="宋体"/>
                <w:b/>
                <w:bCs/>
                <w:szCs w:val="21"/>
                <w:highlight w:val="none"/>
              </w:rPr>
              <w:t>价格分（</w:t>
            </w:r>
            <w:r>
              <w:rPr>
                <w:rFonts w:ascii="宋体" w:hAnsi="宋体" w:cs="宋体"/>
                <w:b/>
                <w:bCs/>
                <w:szCs w:val="21"/>
                <w:highlight w:val="none"/>
              </w:rPr>
              <w:t>12</w:t>
            </w:r>
            <w:r>
              <w:rPr>
                <w:rFonts w:hint="eastAsia" w:ascii="宋体" w:hAnsi="宋体" w:cs="宋体"/>
                <w:b/>
                <w:bCs/>
                <w:szCs w:val="21"/>
                <w:highlight w:val="none"/>
              </w:rPr>
              <w:t>分）</w:t>
            </w:r>
          </w:p>
        </w:tc>
      </w:tr>
      <w:tr w14:paraId="706B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Align w:val="center"/>
          </w:tcPr>
          <w:p w14:paraId="2A684E9F">
            <w:pPr>
              <w:spacing w:line="400" w:lineRule="exact"/>
              <w:jc w:val="center"/>
              <w:rPr>
                <w:rFonts w:cs="仿宋" w:asciiTheme="minorEastAsia" w:hAnsiTheme="minorEastAsia" w:eastAsiaTheme="minorEastAsia"/>
                <w:kern w:val="0"/>
                <w:szCs w:val="21"/>
                <w:highlight w:val="none"/>
              </w:rPr>
            </w:pPr>
            <w:r>
              <w:rPr>
                <w:rFonts w:hint="eastAsia" w:ascii="宋体" w:hAnsi="宋体" w:cs="宋体" w:eastAsiaTheme="minorEastAsia"/>
                <w:szCs w:val="21"/>
                <w:highlight w:val="none"/>
              </w:rPr>
              <w:t>13</w:t>
            </w:r>
          </w:p>
        </w:tc>
        <w:tc>
          <w:tcPr>
            <w:tcW w:w="554" w:type="pct"/>
            <w:vAlign w:val="center"/>
          </w:tcPr>
          <w:p w14:paraId="064D22A7">
            <w:pPr>
              <w:spacing w:line="400" w:lineRule="exact"/>
              <w:jc w:val="center"/>
              <w:rPr>
                <w:rFonts w:ascii="宋体" w:hAnsi="宋体" w:cs="宋体"/>
                <w:szCs w:val="21"/>
                <w:highlight w:val="none"/>
              </w:rPr>
            </w:pPr>
            <w:r>
              <w:rPr>
                <w:rFonts w:hint="eastAsia" w:ascii="宋体" w:hAnsi="宋体" w:cs="宋体"/>
                <w:szCs w:val="21"/>
                <w:highlight w:val="none"/>
              </w:rPr>
              <w:t>价格分</w:t>
            </w:r>
          </w:p>
        </w:tc>
        <w:tc>
          <w:tcPr>
            <w:tcW w:w="570" w:type="pct"/>
            <w:vAlign w:val="center"/>
          </w:tcPr>
          <w:p w14:paraId="4E14B650">
            <w:pPr>
              <w:spacing w:line="400" w:lineRule="exact"/>
              <w:jc w:val="center"/>
              <w:rPr>
                <w:rFonts w:ascii="宋体" w:hAnsi="宋体" w:cs="宋体"/>
                <w:szCs w:val="21"/>
                <w:highlight w:val="none"/>
              </w:rPr>
            </w:pPr>
            <w:r>
              <w:rPr>
                <w:rFonts w:ascii="宋体" w:hAnsi="宋体" w:cs="宋体"/>
                <w:szCs w:val="21"/>
                <w:highlight w:val="none"/>
              </w:rPr>
              <w:t>12</w:t>
            </w:r>
          </w:p>
        </w:tc>
        <w:tc>
          <w:tcPr>
            <w:tcW w:w="3483" w:type="pct"/>
            <w:vAlign w:val="center"/>
          </w:tcPr>
          <w:p w14:paraId="44DB42B9">
            <w:pPr>
              <w:spacing w:line="400" w:lineRule="exact"/>
              <w:rPr>
                <w:rFonts w:ascii="宋体" w:hAnsi="宋体" w:cs="宋体"/>
                <w:szCs w:val="21"/>
                <w:highlight w:val="none"/>
              </w:rPr>
            </w:pPr>
            <w:r>
              <w:rPr>
                <w:rFonts w:hint="eastAsia" w:ascii="宋体" w:hAnsi="宋体" w:cs="宋体"/>
                <w:szCs w:val="21"/>
                <w:highlight w:val="none"/>
              </w:rPr>
              <w:t>参与评审的价格=投标报价-小微企业的价格扣除优惠值</w:t>
            </w:r>
          </w:p>
          <w:p w14:paraId="793AAC9E">
            <w:pPr>
              <w:spacing w:line="400" w:lineRule="exact"/>
              <w:rPr>
                <w:rFonts w:ascii="宋体" w:hAnsi="宋体" w:cs="宋体"/>
                <w:szCs w:val="21"/>
                <w:highlight w:val="none"/>
              </w:rPr>
            </w:pPr>
            <w:r>
              <w:rPr>
                <w:rFonts w:hint="eastAsia" w:ascii="宋体" w:hAnsi="宋体" w:cs="宋体"/>
                <w:szCs w:val="21"/>
                <w:highlight w:val="none"/>
              </w:rPr>
              <w:t>评标基准价=满足招标文件要求且“参与评审的价格”中最低的投标报价为评标基准价</w:t>
            </w:r>
          </w:p>
          <w:p w14:paraId="67CD49F1">
            <w:pPr>
              <w:spacing w:line="400" w:lineRule="exact"/>
              <w:rPr>
                <w:rFonts w:ascii="宋体" w:hAnsi="宋体" w:cs="宋体"/>
                <w:szCs w:val="21"/>
                <w:highlight w:val="none"/>
              </w:rPr>
            </w:pPr>
            <w:r>
              <w:rPr>
                <w:rFonts w:hint="eastAsia" w:ascii="宋体" w:hAnsi="宋体" w:cs="宋体"/>
                <w:szCs w:val="21"/>
                <w:highlight w:val="none"/>
              </w:rPr>
              <w:t>基准价得分为满分</w:t>
            </w:r>
            <w:r>
              <w:rPr>
                <w:rFonts w:ascii="宋体" w:hAnsi="宋体" w:cs="宋体"/>
                <w:szCs w:val="21"/>
                <w:highlight w:val="none"/>
              </w:rPr>
              <w:t>12</w:t>
            </w:r>
            <w:r>
              <w:rPr>
                <w:rFonts w:hint="eastAsia" w:ascii="宋体" w:hAnsi="宋体" w:cs="宋体"/>
                <w:szCs w:val="21"/>
                <w:highlight w:val="none"/>
              </w:rPr>
              <w:t>分，其他供应商投标报价得分计算公式如下：</w:t>
            </w:r>
          </w:p>
          <w:p w14:paraId="496910EE">
            <w:pPr>
              <w:spacing w:line="400" w:lineRule="exact"/>
              <w:rPr>
                <w:rFonts w:ascii="宋体" w:hAnsi="宋体" w:cs="宋体"/>
                <w:szCs w:val="21"/>
                <w:highlight w:val="none"/>
              </w:rPr>
            </w:pPr>
            <w:r>
              <w:rPr>
                <w:rFonts w:hint="eastAsia" w:ascii="宋体" w:hAnsi="宋体" w:cs="宋体"/>
                <w:szCs w:val="21"/>
                <w:highlight w:val="none"/>
              </w:rPr>
              <w:t>其他供应商投标报价得分=（评标基准价/参与评审的价格）×</w:t>
            </w:r>
            <w:r>
              <w:rPr>
                <w:rFonts w:ascii="宋体" w:hAnsi="宋体" w:cs="宋体"/>
                <w:szCs w:val="21"/>
                <w:highlight w:val="none"/>
              </w:rPr>
              <w:t>12</w:t>
            </w:r>
            <w:r>
              <w:rPr>
                <w:rFonts w:hint="eastAsia" w:ascii="宋体" w:hAnsi="宋体" w:cs="宋体"/>
                <w:szCs w:val="21"/>
                <w:highlight w:val="none"/>
              </w:rPr>
              <w:t>%×100（保留二位小数）</w:t>
            </w:r>
          </w:p>
        </w:tc>
      </w:tr>
      <w:tr w14:paraId="62EA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vAlign w:val="center"/>
          </w:tcPr>
          <w:p w14:paraId="124BB0FC">
            <w:pPr>
              <w:spacing w:line="400" w:lineRule="exact"/>
              <w:jc w:val="center"/>
              <w:rPr>
                <w:rFonts w:ascii="宋体" w:hAnsi="宋体" w:cs="宋体"/>
                <w:szCs w:val="21"/>
                <w:highlight w:val="none"/>
              </w:rPr>
            </w:pPr>
            <w:r>
              <w:rPr>
                <w:rFonts w:hint="eastAsia" w:ascii="宋体" w:hAnsi="宋体" w:cs="宋体"/>
                <w:b/>
                <w:bCs/>
                <w:szCs w:val="21"/>
                <w:highlight w:val="none"/>
              </w:rPr>
              <w:t>综合得分（满分100分）</w:t>
            </w:r>
          </w:p>
        </w:tc>
      </w:tr>
    </w:tbl>
    <w:p w14:paraId="04B09641">
      <w:pPr>
        <w:adjustRightInd w:val="0"/>
        <w:snapToGrid w:val="0"/>
        <w:spacing w:line="400" w:lineRule="exact"/>
        <w:rPr>
          <w:rFonts w:ascii="宋体" w:hAnsi="宋体" w:cs="宋体"/>
          <w:sz w:val="24"/>
          <w:szCs w:val="24"/>
          <w:highlight w:val="none"/>
        </w:rPr>
      </w:pPr>
      <w:r>
        <w:rPr>
          <w:rFonts w:hint="eastAsia" w:ascii="宋体" w:hAnsi="宋体" w:cs="宋体"/>
          <w:b/>
          <w:bCs/>
          <w:szCs w:val="21"/>
          <w:highlight w:val="none"/>
        </w:rPr>
        <w:t>注：该评分标准由评标委员会根据评标情况在分值范围内独立打分（具体分值详见评分标准）。对明显畸高、畸低的评分（主观分偏离平均分30%及以上的），评标委员会组长应提醒相关评标人员进行复核或书面说明理由。</w:t>
      </w:r>
    </w:p>
    <w:p w14:paraId="63DF0A84">
      <w:pPr>
        <w:spacing w:line="400" w:lineRule="exact"/>
        <w:jc w:val="center"/>
        <w:outlineLvl w:val="0"/>
        <w:rPr>
          <w:rFonts w:ascii="宋体" w:hAnsi="宋体" w:cs="宋体"/>
          <w:b/>
          <w:sz w:val="32"/>
          <w:highlight w:val="none"/>
        </w:rPr>
      </w:pPr>
      <w:r>
        <w:rPr>
          <w:rFonts w:hint="eastAsia" w:ascii="宋体" w:hAnsi="宋体" w:cs="宋体"/>
          <w:b/>
          <w:sz w:val="32"/>
          <w:highlight w:val="none"/>
        </w:rPr>
        <w:br w:type="page"/>
      </w:r>
      <w:bookmarkStart w:id="32" w:name="_Toc21478"/>
      <w:r>
        <w:rPr>
          <w:rFonts w:hint="eastAsia" w:ascii="宋体" w:hAnsi="宋体" w:cs="宋体"/>
          <w:b/>
          <w:sz w:val="32"/>
          <w:highlight w:val="none"/>
        </w:rPr>
        <w:t>第六章  采购合同样本</w:t>
      </w:r>
      <w:bookmarkEnd w:id="32"/>
    </w:p>
    <w:p w14:paraId="2FB690AC">
      <w:pPr>
        <w:pStyle w:val="28"/>
        <w:snapToGrid w:val="0"/>
        <w:spacing w:before="0" w:beforeAutospacing="0" w:after="0" w:afterAutospacing="0" w:line="400" w:lineRule="exact"/>
        <w:jc w:val="center"/>
        <w:rPr>
          <w:rFonts w:hAnsi="宋体" w:cs="宋体"/>
          <w:b/>
          <w:sz w:val="21"/>
          <w:szCs w:val="21"/>
          <w:highlight w:val="none"/>
        </w:rPr>
      </w:pPr>
      <w:bookmarkStart w:id="33" w:name="_Toc216662965"/>
      <w:r>
        <w:rPr>
          <w:rFonts w:hint="eastAsia" w:hAnsi="宋体" w:cs="宋体"/>
          <w:b/>
          <w:sz w:val="21"/>
          <w:szCs w:val="21"/>
          <w:highlight w:val="none"/>
        </w:rPr>
        <w:t>（本合同为合同样稿，最终稿由甲乙双方协商后确定）</w:t>
      </w:r>
    </w:p>
    <w:p w14:paraId="072A016A">
      <w:pPr>
        <w:spacing w:line="400" w:lineRule="exact"/>
        <w:rPr>
          <w:rFonts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w:t>
      </w:r>
    </w:p>
    <w:p w14:paraId="5CE54F9C">
      <w:pPr>
        <w:spacing w:line="400" w:lineRule="exact"/>
        <w:rPr>
          <w:rFonts w:ascii="宋体" w:hAnsi="宋体" w:cs="宋体"/>
          <w:highlight w:val="none"/>
          <w:u w:val="single"/>
        </w:rPr>
      </w:pPr>
      <w:r>
        <w:rPr>
          <w:rFonts w:hint="eastAsia" w:ascii="宋体" w:hAnsi="宋体" w:cs="宋体"/>
          <w:highlight w:val="none"/>
        </w:rPr>
        <w:t>乙方：</w:t>
      </w:r>
      <w:r>
        <w:rPr>
          <w:rFonts w:hint="eastAsia" w:ascii="宋体" w:hAnsi="宋体" w:cs="宋体"/>
          <w:highlight w:val="none"/>
          <w:u w:val="single"/>
        </w:rPr>
        <w:t xml:space="preserve">                    </w:t>
      </w:r>
    </w:p>
    <w:p w14:paraId="0E1DB00E">
      <w:pPr>
        <w:spacing w:line="400" w:lineRule="exact"/>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p>
    <w:p w14:paraId="0939ABB1">
      <w:pPr>
        <w:spacing w:line="400" w:lineRule="exact"/>
        <w:rPr>
          <w:rFonts w:ascii="宋体" w:hAnsi="宋体" w:cs="宋体"/>
          <w:highlight w:val="none"/>
          <w:u w:val="single"/>
        </w:rPr>
      </w:pPr>
      <w:r>
        <w:rPr>
          <w:rFonts w:hint="eastAsia" w:ascii="宋体" w:hAnsi="宋体" w:cs="宋体"/>
          <w:highlight w:val="none"/>
        </w:rPr>
        <w:t>项目名称：</w:t>
      </w:r>
      <w:r>
        <w:rPr>
          <w:rFonts w:hint="eastAsia" w:ascii="宋体" w:hAnsi="宋体" w:cs="宋体"/>
          <w:highlight w:val="none"/>
          <w:u w:val="single"/>
        </w:rPr>
        <w:t xml:space="preserve">                </w:t>
      </w:r>
    </w:p>
    <w:p w14:paraId="50D587A2">
      <w:pPr>
        <w:spacing w:line="400" w:lineRule="exact"/>
        <w:rPr>
          <w:rFonts w:ascii="宋体" w:hAnsi="宋体" w:cs="宋体"/>
          <w:highlight w:val="none"/>
          <w:u w:val="single"/>
        </w:rPr>
      </w:pPr>
      <w:r>
        <w:rPr>
          <w:rFonts w:hint="eastAsia" w:ascii="宋体" w:hAnsi="宋体" w:cs="宋体"/>
          <w:highlight w:val="none"/>
        </w:rPr>
        <w:t>合同编号：</w:t>
      </w:r>
      <w:r>
        <w:rPr>
          <w:rFonts w:hint="eastAsia" w:ascii="宋体" w:hAnsi="宋体" w:cs="宋体"/>
          <w:highlight w:val="none"/>
          <w:u w:val="single"/>
        </w:rPr>
        <w:t xml:space="preserve">                </w:t>
      </w:r>
    </w:p>
    <w:p w14:paraId="30A75199">
      <w:pPr>
        <w:spacing w:line="400" w:lineRule="exact"/>
        <w:rPr>
          <w:rFonts w:ascii="宋体" w:hAnsi="宋体" w:cs="宋体"/>
          <w:highlight w:val="none"/>
        </w:rPr>
      </w:pPr>
      <w:r>
        <w:rPr>
          <w:rFonts w:hint="eastAsia" w:ascii="宋体" w:hAnsi="宋体" w:cs="宋体"/>
          <w:highlight w:val="none"/>
        </w:rPr>
        <w:t>签约日期和地点：</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 于</w:t>
      </w:r>
      <w:r>
        <w:rPr>
          <w:rFonts w:hint="eastAsia" w:ascii="宋体" w:hAnsi="宋体" w:cs="宋体"/>
          <w:highlight w:val="none"/>
          <w:u w:val="single"/>
        </w:rPr>
        <w:t xml:space="preserve">                 </w:t>
      </w:r>
      <w:r>
        <w:rPr>
          <w:rFonts w:hint="eastAsia" w:ascii="宋体" w:hAnsi="宋体" w:cs="宋体"/>
          <w:highlight w:val="none"/>
        </w:rPr>
        <w:t xml:space="preserve">       </w:t>
      </w:r>
    </w:p>
    <w:p w14:paraId="4D112074">
      <w:pPr>
        <w:spacing w:line="400" w:lineRule="exact"/>
        <w:ind w:firstLine="480"/>
        <w:rPr>
          <w:rFonts w:ascii="宋体" w:hAnsi="宋体" w:cs="宋体"/>
          <w:highlight w:val="none"/>
        </w:rPr>
      </w:pPr>
    </w:p>
    <w:p w14:paraId="34F9DC71">
      <w:pPr>
        <w:spacing w:line="400" w:lineRule="exact"/>
        <w:ind w:firstLine="480"/>
        <w:rPr>
          <w:rFonts w:ascii="宋体" w:hAnsi="宋体" w:cs="宋体"/>
          <w:highlight w:val="none"/>
        </w:rPr>
      </w:pPr>
      <w:r>
        <w:rPr>
          <w:rFonts w:hint="eastAsia" w:ascii="宋体" w:hAnsi="宋体" w:cs="宋体"/>
          <w:highlight w:val="none"/>
        </w:rPr>
        <w:t xml:space="preserve">鉴于甲方为获得 </w:t>
      </w:r>
      <w:r>
        <w:rPr>
          <w:rFonts w:hint="eastAsia" w:ascii="宋体" w:hAnsi="宋体" w:cs="宋体"/>
          <w:highlight w:val="none"/>
          <w:u w:val="single"/>
        </w:rPr>
        <w:t xml:space="preserve">    （服务名称）    </w:t>
      </w:r>
      <w:r>
        <w:rPr>
          <w:rFonts w:hint="eastAsia" w:ascii="宋体" w:hAnsi="宋体" w:cs="宋体"/>
          <w:highlight w:val="none"/>
        </w:rPr>
        <w:t xml:space="preserve"> 而进行公开招标，并选定由乙方以总金额</w:t>
      </w:r>
      <w:r>
        <w:rPr>
          <w:rFonts w:hint="eastAsia" w:ascii="宋体" w:hAnsi="宋体" w:cs="宋体"/>
          <w:highlight w:val="none"/>
          <w:u w:val="single"/>
        </w:rPr>
        <w:t xml:space="preserve">  （币种、用文字表示的合同总价） </w:t>
      </w:r>
      <w:r>
        <w:rPr>
          <w:rFonts w:hint="eastAsia" w:ascii="宋体" w:hAnsi="宋体" w:cs="宋体"/>
          <w:highlight w:val="none"/>
        </w:rPr>
        <w:t xml:space="preserve"> （以下简称合同价）提供的服务项目的投标。本合同由</w:t>
      </w:r>
      <w:r>
        <w:rPr>
          <w:rFonts w:hint="eastAsia" w:ascii="宋体" w:hAnsi="宋体" w:cs="宋体"/>
          <w:highlight w:val="none"/>
          <w:u w:val="single"/>
        </w:rPr>
        <w:t xml:space="preserve">          </w:t>
      </w:r>
      <w:r>
        <w:rPr>
          <w:rFonts w:hint="eastAsia" w:ascii="宋体" w:hAnsi="宋体" w:cs="宋体"/>
          <w:highlight w:val="none"/>
        </w:rPr>
        <w:t>（简称甲方）为一方和</w:t>
      </w:r>
      <w:r>
        <w:rPr>
          <w:rFonts w:hint="eastAsia" w:ascii="宋体" w:hAnsi="宋体" w:cs="宋体"/>
          <w:highlight w:val="none"/>
          <w:u w:val="single"/>
        </w:rPr>
        <w:t xml:space="preserve">        </w:t>
      </w:r>
      <w:r>
        <w:rPr>
          <w:rFonts w:hint="eastAsia" w:ascii="宋体" w:hAnsi="宋体" w:cs="宋体"/>
          <w:highlight w:val="none"/>
        </w:rPr>
        <w:t>（简称乙方）为另一方按以下条款和条件签署。</w:t>
      </w:r>
    </w:p>
    <w:p w14:paraId="58CAE196">
      <w:pPr>
        <w:spacing w:line="400" w:lineRule="exact"/>
        <w:rPr>
          <w:rFonts w:ascii="宋体" w:hAnsi="宋体" w:cs="宋体"/>
          <w:highlight w:val="none"/>
          <w:u w:val="single"/>
        </w:rPr>
      </w:pPr>
      <w:r>
        <w:rPr>
          <w:rFonts w:hint="eastAsia" w:ascii="宋体" w:hAnsi="宋体" w:cs="宋体"/>
          <w:highlight w:val="none"/>
        </w:rPr>
        <w:t xml:space="preserve">    本合同声明，作为附件，下述文件是合同的一部分，并与本合同一起阅读和解释：</w:t>
      </w:r>
    </w:p>
    <w:p w14:paraId="7FE2E12E">
      <w:pPr>
        <w:spacing w:line="400" w:lineRule="exact"/>
        <w:ind w:firstLine="420" w:firstLineChars="200"/>
        <w:rPr>
          <w:rFonts w:ascii="宋体" w:hAnsi="宋体" w:cs="宋体"/>
          <w:highlight w:val="none"/>
        </w:rPr>
      </w:pPr>
      <w:r>
        <w:rPr>
          <w:rFonts w:hint="eastAsia" w:ascii="宋体" w:hAnsi="宋体" w:cs="宋体"/>
          <w:highlight w:val="none"/>
        </w:rPr>
        <w:t>a.招标文件；</w:t>
      </w:r>
    </w:p>
    <w:p w14:paraId="3935DD28">
      <w:pPr>
        <w:spacing w:line="400" w:lineRule="exact"/>
        <w:ind w:firstLine="420" w:firstLineChars="200"/>
        <w:rPr>
          <w:rFonts w:ascii="宋体" w:hAnsi="宋体" w:cs="宋体"/>
          <w:highlight w:val="none"/>
        </w:rPr>
      </w:pPr>
      <w:r>
        <w:rPr>
          <w:rFonts w:hint="eastAsia" w:ascii="宋体" w:hAnsi="宋体" w:cs="宋体"/>
          <w:highlight w:val="none"/>
        </w:rPr>
        <w:t>b.乙方的投标文件、乙方在招投标中提供的澄清文件；</w:t>
      </w:r>
    </w:p>
    <w:p w14:paraId="0F0A9024">
      <w:pPr>
        <w:spacing w:line="400" w:lineRule="exact"/>
        <w:ind w:firstLine="420" w:firstLineChars="200"/>
        <w:rPr>
          <w:rFonts w:ascii="宋体" w:hAnsi="宋体" w:cs="宋体"/>
          <w:highlight w:val="none"/>
        </w:rPr>
      </w:pPr>
      <w:r>
        <w:rPr>
          <w:rFonts w:hint="eastAsia" w:ascii="宋体" w:hAnsi="宋体" w:cs="宋体"/>
          <w:highlight w:val="none"/>
        </w:rPr>
        <w:t>c.中标通知书；</w:t>
      </w:r>
    </w:p>
    <w:p w14:paraId="19CDFB7A">
      <w:pPr>
        <w:spacing w:line="400" w:lineRule="exact"/>
        <w:ind w:firstLine="420" w:firstLineChars="200"/>
        <w:rPr>
          <w:rFonts w:ascii="宋体" w:hAnsi="宋体" w:cs="宋体"/>
          <w:highlight w:val="none"/>
        </w:rPr>
      </w:pPr>
      <w:r>
        <w:rPr>
          <w:rFonts w:hint="eastAsia" w:ascii="宋体" w:hAnsi="宋体" w:cs="宋体"/>
          <w:highlight w:val="none"/>
        </w:rPr>
        <w:t>上述文件与合同若有不一致之处，文件的优先次序应为第一合同、第二附件。</w:t>
      </w:r>
    </w:p>
    <w:p w14:paraId="2E470AFA">
      <w:pPr>
        <w:tabs>
          <w:tab w:val="left" w:pos="669"/>
          <w:tab w:val="left" w:pos="720"/>
        </w:tabs>
        <w:spacing w:line="400" w:lineRule="exact"/>
        <w:ind w:firstLine="422" w:firstLineChars="200"/>
        <w:rPr>
          <w:rFonts w:ascii="宋体" w:hAnsi="宋体" w:cs="宋体"/>
          <w:b/>
          <w:bCs/>
          <w:highlight w:val="none"/>
        </w:rPr>
      </w:pPr>
      <w:r>
        <w:rPr>
          <w:rFonts w:hint="eastAsia" w:ascii="宋体" w:hAnsi="宋体" w:cs="宋体"/>
          <w:b/>
          <w:bCs/>
          <w:highlight w:val="none"/>
        </w:rPr>
        <w:t>1.合同服务项目的名称、内容、数量及价格</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890"/>
        <w:gridCol w:w="2568"/>
        <w:gridCol w:w="1625"/>
      </w:tblGrid>
      <w:tr w14:paraId="1B16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79D07983">
            <w:pPr>
              <w:spacing w:line="400" w:lineRule="exact"/>
              <w:jc w:val="center"/>
              <w:rPr>
                <w:rFonts w:ascii="宋体" w:hAnsi="宋体" w:cs="宋体"/>
                <w:highlight w:val="none"/>
              </w:rPr>
            </w:pPr>
            <w:r>
              <w:rPr>
                <w:rFonts w:hint="eastAsia" w:ascii="宋体" w:hAnsi="宋体" w:cs="宋体"/>
                <w:highlight w:val="none"/>
              </w:rPr>
              <w:t>服务项目名称</w:t>
            </w:r>
          </w:p>
        </w:tc>
        <w:tc>
          <w:tcPr>
            <w:tcW w:w="2890" w:type="dxa"/>
            <w:vAlign w:val="center"/>
          </w:tcPr>
          <w:p w14:paraId="6AB77072">
            <w:pPr>
              <w:spacing w:line="400" w:lineRule="exact"/>
              <w:jc w:val="center"/>
              <w:rPr>
                <w:rFonts w:ascii="宋体" w:hAnsi="宋体" w:cs="宋体"/>
                <w:highlight w:val="none"/>
              </w:rPr>
            </w:pPr>
            <w:r>
              <w:rPr>
                <w:rFonts w:hint="eastAsia" w:ascii="宋体" w:hAnsi="宋体" w:cs="宋体"/>
                <w:highlight w:val="none"/>
              </w:rPr>
              <w:t>内   容</w:t>
            </w:r>
          </w:p>
        </w:tc>
        <w:tc>
          <w:tcPr>
            <w:tcW w:w="2568" w:type="dxa"/>
            <w:vAlign w:val="center"/>
          </w:tcPr>
          <w:p w14:paraId="5BF0E4B4">
            <w:pPr>
              <w:spacing w:line="400" w:lineRule="exact"/>
              <w:jc w:val="center"/>
              <w:rPr>
                <w:rFonts w:ascii="宋体" w:hAnsi="宋体" w:cs="宋体"/>
                <w:highlight w:val="none"/>
              </w:rPr>
            </w:pPr>
            <w:r>
              <w:rPr>
                <w:rFonts w:hint="eastAsia" w:ascii="宋体" w:hAnsi="宋体" w:cs="宋体"/>
                <w:highlight w:val="none"/>
              </w:rPr>
              <w:t>数 量</w:t>
            </w:r>
          </w:p>
        </w:tc>
        <w:tc>
          <w:tcPr>
            <w:tcW w:w="1625" w:type="dxa"/>
            <w:vAlign w:val="center"/>
          </w:tcPr>
          <w:p w14:paraId="4FCEB36B">
            <w:pPr>
              <w:spacing w:line="400" w:lineRule="exact"/>
              <w:jc w:val="center"/>
              <w:rPr>
                <w:rFonts w:ascii="宋体" w:hAnsi="宋体" w:cs="宋体"/>
                <w:highlight w:val="none"/>
              </w:rPr>
            </w:pPr>
            <w:r>
              <w:rPr>
                <w:rFonts w:hint="eastAsia" w:ascii="宋体" w:hAnsi="宋体" w:cs="宋体"/>
                <w:highlight w:val="none"/>
              </w:rPr>
              <w:t>价格（元）</w:t>
            </w:r>
          </w:p>
        </w:tc>
      </w:tr>
      <w:tr w14:paraId="1404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14:paraId="5254ED1D">
            <w:pPr>
              <w:spacing w:line="400" w:lineRule="exact"/>
              <w:rPr>
                <w:rFonts w:ascii="宋体" w:hAnsi="宋体" w:cs="宋体"/>
                <w:highlight w:val="none"/>
              </w:rPr>
            </w:pPr>
          </w:p>
        </w:tc>
        <w:tc>
          <w:tcPr>
            <w:tcW w:w="2890" w:type="dxa"/>
          </w:tcPr>
          <w:p w14:paraId="07A478A7">
            <w:pPr>
              <w:spacing w:line="400" w:lineRule="exact"/>
              <w:rPr>
                <w:rFonts w:ascii="宋体" w:hAnsi="宋体" w:cs="宋体"/>
                <w:highlight w:val="none"/>
              </w:rPr>
            </w:pPr>
          </w:p>
        </w:tc>
        <w:tc>
          <w:tcPr>
            <w:tcW w:w="2568" w:type="dxa"/>
          </w:tcPr>
          <w:p w14:paraId="38802445">
            <w:pPr>
              <w:spacing w:line="400" w:lineRule="exact"/>
              <w:rPr>
                <w:rFonts w:ascii="宋体" w:hAnsi="宋体" w:cs="宋体"/>
                <w:highlight w:val="none"/>
              </w:rPr>
            </w:pPr>
          </w:p>
        </w:tc>
        <w:tc>
          <w:tcPr>
            <w:tcW w:w="1625" w:type="dxa"/>
          </w:tcPr>
          <w:p w14:paraId="24EB9D82">
            <w:pPr>
              <w:spacing w:line="400" w:lineRule="exact"/>
              <w:rPr>
                <w:rFonts w:ascii="宋体" w:hAnsi="宋体" w:cs="宋体"/>
                <w:highlight w:val="none"/>
              </w:rPr>
            </w:pPr>
          </w:p>
        </w:tc>
      </w:tr>
      <w:tr w14:paraId="6F15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14:paraId="650C1869">
            <w:pPr>
              <w:spacing w:line="400" w:lineRule="exact"/>
              <w:rPr>
                <w:rFonts w:ascii="宋体" w:hAnsi="宋体" w:cs="宋体"/>
                <w:highlight w:val="none"/>
              </w:rPr>
            </w:pPr>
          </w:p>
        </w:tc>
        <w:tc>
          <w:tcPr>
            <w:tcW w:w="2890" w:type="dxa"/>
          </w:tcPr>
          <w:p w14:paraId="10BCBC08">
            <w:pPr>
              <w:spacing w:line="400" w:lineRule="exact"/>
              <w:rPr>
                <w:rFonts w:ascii="宋体" w:hAnsi="宋体" w:cs="宋体"/>
                <w:highlight w:val="none"/>
              </w:rPr>
            </w:pPr>
          </w:p>
        </w:tc>
        <w:tc>
          <w:tcPr>
            <w:tcW w:w="2568" w:type="dxa"/>
          </w:tcPr>
          <w:p w14:paraId="1A591D18">
            <w:pPr>
              <w:spacing w:line="400" w:lineRule="exact"/>
              <w:rPr>
                <w:rFonts w:ascii="宋体" w:hAnsi="宋体" w:cs="宋体"/>
                <w:highlight w:val="none"/>
              </w:rPr>
            </w:pPr>
          </w:p>
        </w:tc>
        <w:tc>
          <w:tcPr>
            <w:tcW w:w="1625" w:type="dxa"/>
          </w:tcPr>
          <w:p w14:paraId="48158031">
            <w:pPr>
              <w:spacing w:line="400" w:lineRule="exact"/>
              <w:rPr>
                <w:rFonts w:ascii="宋体" w:hAnsi="宋体" w:cs="宋体"/>
                <w:highlight w:val="none"/>
              </w:rPr>
            </w:pPr>
          </w:p>
        </w:tc>
      </w:tr>
      <w:tr w14:paraId="063B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14:paraId="651E3A74">
            <w:pPr>
              <w:spacing w:line="400" w:lineRule="exact"/>
              <w:rPr>
                <w:rFonts w:ascii="宋体" w:hAnsi="宋体" w:cs="宋体"/>
                <w:highlight w:val="none"/>
              </w:rPr>
            </w:pPr>
          </w:p>
        </w:tc>
        <w:tc>
          <w:tcPr>
            <w:tcW w:w="2890" w:type="dxa"/>
          </w:tcPr>
          <w:p w14:paraId="0FF9D821">
            <w:pPr>
              <w:spacing w:line="400" w:lineRule="exact"/>
              <w:rPr>
                <w:rFonts w:ascii="宋体" w:hAnsi="宋体" w:cs="宋体"/>
                <w:highlight w:val="none"/>
              </w:rPr>
            </w:pPr>
          </w:p>
        </w:tc>
        <w:tc>
          <w:tcPr>
            <w:tcW w:w="2568" w:type="dxa"/>
          </w:tcPr>
          <w:p w14:paraId="57483ABB">
            <w:pPr>
              <w:spacing w:line="400" w:lineRule="exact"/>
              <w:rPr>
                <w:rFonts w:ascii="宋体" w:hAnsi="宋体" w:cs="宋体"/>
                <w:highlight w:val="none"/>
              </w:rPr>
            </w:pPr>
          </w:p>
        </w:tc>
        <w:tc>
          <w:tcPr>
            <w:tcW w:w="1625" w:type="dxa"/>
          </w:tcPr>
          <w:p w14:paraId="30BEA218">
            <w:pPr>
              <w:spacing w:line="400" w:lineRule="exact"/>
              <w:rPr>
                <w:rFonts w:ascii="宋体" w:hAnsi="宋体" w:cs="宋体"/>
                <w:highlight w:val="none"/>
              </w:rPr>
            </w:pPr>
          </w:p>
        </w:tc>
      </w:tr>
      <w:tr w14:paraId="41F5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gridSpan w:val="2"/>
            <w:vAlign w:val="center"/>
          </w:tcPr>
          <w:p w14:paraId="4C70C4A5">
            <w:pPr>
              <w:spacing w:line="400" w:lineRule="exact"/>
              <w:jc w:val="center"/>
              <w:rPr>
                <w:rFonts w:ascii="宋体" w:hAnsi="宋体" w:cs="宋体"/>
                <w:highlight w:val="none"/>
              </w:rPr>
            </w:pPr>
            <w:r>
              <w:rPr>
                <w:rFonts w:hint="eastAsia" w:ascii="宋体" w:hAnsi="宋体" w:cs="宋体"/>
                <w:highlight w:val="none"/>
              </w:rPr>
              <w:t>合同价（大写金额）</w:t>
            </w:r>
          </w:p>
        </w:tc>
        <w:tc>
          <w:tcPr>
            <w:tcW w:w="4193" w:type="dxa"/>
            <w:gridSpan w:val="2"/>
          </w:tcPr>
          <w:p w14:paraId="6954CA0A">
            <w:pPr>
              <w:spacing w:line="400" w:lineRule="exact"/>
              <w:rPr>
                <w:rFonts w:ascii="宋体" w:hAnsi="宋体" w:cs="宋体"/>
                <w:highlight w:val="none"/>
              </w:rPr>
            </w:pPr>
          </w:p>
        </w:tc>
      </w:tr>
    </w:tbl>
    <w:p w14:paraId="259ADCB4">
      <w:pPr>
        <w:spacing w:line="400" w:lineRule="exact"/>
        <w:ind w:firstLine="420" w:firstLineChars="200"/>
        <w:rPr>
          <w:rFonts w:ascii="宋体" w:hAnsi="宋体" w:cs="宋体"/>
          <w:highlight w:val="none"/>
        </w:rPr>
      </w:pPr>
      <w:r>
        <w:rPr>
          <w:rFonts w:hint="eastAsia" w:ascii="宋体" w:hAnsi="宋体" w:cs="宋体"/>
          <w:highlight w:val="none"/>
        </w:rPr>
        <w:t>本合同总价内包含的服务内容：</w:t>
      </w:r>
    </w:p>
    <w:p w14:paraId="7C7A231D">
      <w:pPr>
        <w:spacing w:line="400" w:lineRule="exact"/>
        <w:ind w:firstLine="422" w:firstLineChars="200"/>
        <w:rPr>
          <w:rFonts w:ascii="宋体" w:hAnsi="宋体" w:cs="宋体"/>
          <w:b/>
          <w:highlight w:val="none"/>
        </w:rPr>
      </w:pPr>
    </w:p>
    <w:p w14:paraId="64CE79F9">
      <w:pPr>
        <w:spacing w:line="400" w:lineRule="exact"/>
        <w:ind w:firstLine="422" w:firstLineChars="200"/>
        <w:rPr>
          <w:rFonts w:ascii="宋体" w:hAnsi="宋体" w:cs="宋体"/>
          <w:b/>
          <w:highlight w:val="none"/>
        </w:rPr>
      </w:pPr>
      <w:r>
        <w:rPr>
          <w:rFonts w:hint="eastAsia" w:ascii="宋体" w:hAnsi="宋体" w:cs="宋体"/>
          <w:b/>
          <w:highlight w:val="none"/>
        </w:rPr>
        <w:t>2.服务期限：</w:t>
      </w:r>
    </w:p>
    <w:p w14:paraId="53019CA8">
      <w:pPr>
        <w:spacing w:line="400" w:lineRule="exact"/>
        <w:ind w:firstLine="422" w:firstLineChars="200"/>
        <w:rPr>
          <w:rFonts w:ascii="宋体" w:hAnsi="宋体" w:cs="宋体"/>
          <w:b/>
          <w:highlight w:val="none"/>
        </w:rPr>
      </w:pPr>
    </w:p>
    <w:p w14:paraId="52AE4D52">
      <w:pPr>
        <w:spacing w:line="400" w:lineRule="exact"/>
        <w:ind w:firstLine="422" w:firstLineChars="200"/>
        <w:rPr>
          <w:rFonts w:ascii="宋体" w:hAnsi="宋体" w:cs="宋体"/>
          <w:highlight w:val="none"/>
        </w:rPr>
      </w:pPr>
      <w:r>
        <w:rPr>
          <w:rFonts w:hint="eastAsia" w:ascii="宋体" w:hAnsi="宋体" w:cs="宋体"/>
          <w:b/>
          <w:highlight w:val="none"/>
        </w:rPr>
        <w:t>3.付款方式</w:t>
      </w:r>
      <w:r>
        <w:rPr>
          <w:rFonts w:hint="eastAsia" w:ascii="宋体" w:hAnsi="宋体" w:cs="宋体"/>
          <w:highlight w:val="none"/>
        </w:rPr>
        <w:t>：</w:t>
      </w:r>
      <w:r>
        <w:rPr>
          <w:rFonts w:ascii="宋体" w:hAnsi="宋体" w:cs="宋体"/>
          <w:highlight w:val="none"/>
        </w:rPr>
        <w:t xml:space="preserve"> </w:t>
      </w:r>
    </w:p>
    <w:p w14:paraId="5B688B94">
      <w:pPr>
        <w:spacing w:line="400" w:lineRule="exact"/>
        <w:ind w:firstLine="422" w:firstLineChars="200"/>
        <w:rPr>
          <w:rFonts w:ascii="宋体" w:hAnsi="宋体" w:cs="宋体"/>
          <w:b/>
          <w:highlight w:val="none"/>
        </w:rPr>
      </w:pPr>
    </w:p>
    <w:p w14:paraId="6BC4A0C1">
      <w:pPr>
        <w:spacing w:line="400" w:lineRule="exact"/>
        <w:ind w:firstLine="422" w:firstLineChars="200"/>
        <w:rPr>
          <w:rFonts w:ascii="宋体" w:hAnsi="宋体" w:cs="宋体"/>
          <w:b/>
          <w:highlight w:val="none"/>
        </w:rPr>
      </w:pPr>
      <w:r>
        <w:rPr>
          <w:rFonts w:hint="eastAsia" w:ascii="宋体" w:hAnsi="宋体" w:cs="宋体"/>
          <w:b/>
          <w:highlight w:val="none"/>
        </w:rPr>
        <w:t>4.履约保证金：无</w:t>
      </w:r>
    </w:p>
    <w:p w14:paraId="361BFE65">
      <w:pPr>
        <w:spacing w:line="400" w:lineRule="exact"/>
        <w:ind w:firstLine="422" w:firstLineChars="200"/>
        <w:rPr>
          <w:rFonts w:ascii="宋体" w:hAnsi="宋体" w:cs="宋体"/>
          <w:b/>
          <w:highlight w:val="none"/>
        </w:rPr>
      </w:pPr>
    </w:p>
    <w:p w14:paraId="2457E860">
      <w:pPr>
        <w:spacing w:line="400" w:lineRule="exact"/>
        <w:ind w:firstLine="422" w:firstLineChars="200"/>
        <w:rPr>
          <w:rFonts w:ascii="宋体" w:hAnsi="宋体" w:cs="宋体"/>
          <w:b/>
          <w:highlight w:val="none"/>
        </w:rPr>
      </w:pPr>
      <w:r>
        <w:rPr>
          <w:rFonts w:hint="eastAsia" w:ascii="宋体" w:hAnsi="宋体" w:cs="宋体"/>
          <w:b/>
          <w:highlight w:val="none"/>
        </w:rPr>
        <w:t>5.质量要求</w:t>
      </w:r>
    </w:p>
    <w:p w14:paraId="5CF47CE7">
      <w:pPr>
        <w:spacing w:line="400" w:lineRule="exact"/>
        <w:ind w:firstLine="420" w:firstLineChars="200"/>
        <w:rPr>
          <w:rFonts w:ascii="宋体" w:hAnsi="宋体" w:cs="宋体"/>
          <w:bCs/>
          <w:highlight w:val="none"/>
        </w:rPr>
      </w:pPr>
      <w:r>
        <w:rPr>
          <w:rFonts w:hint="eastAsia" w:ascii="宋体" w:hAnsi="宋体" w:cs="宋体"/>
          <w:bCs/>
          <w:highlight w:val="none"/>
        </w:rPr>
        <w:t>5.1乙方须按照甲方的要求设计课程，制定教学计划、确定活动内容和教材，确保授课老师及工作人员准时到场，并有效组织课程顺利进行，保证活动质量；</w:t>
      </w:r>
    </w:p>
    <w:p w14:paraId="032A7907">
      <w:pPr>
        <w:spacing w:line="400" w:lineRule="exact"/>
        <w:ind w:firstLine="420" w:firstLineChars="200"/>
        <w:rPr>
          <w:rFonts w:ascii="宋体" w:hAnsi="宋体" w:cs="宋体"/>
          <w:bCs/>
          <w:highlight w:val="none"/>
        </w:rPr>
      </w:pPr>
      <w:r>
        <w:rPr>
          <w:rFonts w:hint="eastAsia" w:ascii="宋体" w:hAnsi="宋体" w:cs="宋体"/>
          <w:bCs/>
          <w:highlight w:val="none"/>
        </w:rPr>
        <w:t>5.2乙方须负责项目的师资选派，所聘请的授课教师均应具有相应的学术背景、专业水准和授课经验；</w:t>
      </w:r>
    </w:p>
    <w:p w14:paraId="47224647">
      <w:pPr>
        <w:spacing w:line="400" w:lineRule="exact"/>
        <w:ind w:firstLine="420" w:firstLineChars="200"/>
        <w:rPr>
          <w:rFonts w:ascii="宋体" w:hAnsi="宋体" w:cs="宋体"/>
          <w:bCs/>
          <w:highlight w:val="none"/>
        </w:rPr>
      </w:pPr>
      <w:r>
        <w:rPr>
          <w:rFonts w:hint="eastAsia" w:ascii="宋体" w:hAnsi="宋体" w:cs="宋体"/>
          <w:bCs/>
          <w:highlight w:val="none"/>
        </w:rPr>
        <w:t>5.3乙方须负责项目的教学管理与实施，包括授课安排准备；</w:t>
      </w:r>
    </w:p>
    <w:p w14:paraId="580F1ADD">
      <w:pPr>
        <w:spacing w:line="400" w:lineRule="exact"/>
        <w:ind w:firstLine="420" w:firstLineChars="200"/>
        <w:rPr>
          <w:rFonts w:ascii="宋体" w:hAnsi="宋体" w:cs="宋体"/>
          <w:bCs/>
          <w:highlight w:val="none"/>
        </w:rPr>
      </w:pPr>
      <w:r>
        <w:rPr>
          <w:rFonts w:hint="eastAsia" w:ascii="宋体" w:hAnsi="宋体" w:cs="宋体"/>
          <w:bCs/>
          <w:highlight w:val="none"/>
        </w:rPr>
        <w:t>5.4乙方须负责提供与教学相关的工作：维护课堂秩序、教学组织、专家答疑、上课考勤、质量监控等工作；</w:t>
      </w:r>
    </w:p>
    <w:p w14:paraId="4BC721E3">
      <w:pPr>
        <w:spacing w:line="400" w:lineRule="exact"/>
        <w:ind w:firstLine="420" w:firstLineChars="200"/>
        <w:rPr>
          <w:rFonts w:ascii="宋体" w:hAnsi="宋体" w:cs="宋体"/>
          <w:bCs/>
          <w:highlight w:val="none"/>
        </w:rPr>
      </w:pPr>
      <w:r>
        <w:rPr>
          <w:rFonts w:hint="eastAsia" w:ascii="宋体" w:hAnsi="宋体" w:cs="宋体"/>
          <w:bCs/>
          <w:highlight w:val="none"/>
        </w:rPr>
        <w:t>5.5乙方做好活动效果评估，收取学员反馈意见；</w:t>
      </w:r>
    </w:p>
    <w:p w14:paraId="1293C656">
      <w:pPr>
        <w:spacing w:line="400" w:lineRule="exact"/>
        <w:ind w:firstLine="420" w:firstLineChars="200"/>
        <w:rPr>
          <w:rFonts w:ascii="宋体" w:hAnsi="宋体" w:cs="宋体"/>
          <w:bCs/>
          <w:highlight w:val="none"/>
        </w:rPr>
      </w:pPr>
      <w:r>
        <w:rPr>
          <w:rFonts w:hint="eastAsia" w:ascii="宋体" w:hAnsi="宋体" w:cs="宋体"/>
          <w:bCs/>
          <w:highlight w:val="none"/>
        </w:rPr>
        <w:t>5.6乙方负责做好活动期间各项后勤服务工作等；</w:t>
      </w:r>
    </w:p>
    <w:p w14:paraId="671E9ECD">
      <w:pPr>
        <w:spacing w:line="400" w:lineRule="exact"/>
        <w:ind w:firstLine="420" w:firstLineChars="200"/>
        <w:rPr>
          <w:rFonts w:ascii="宋体" w:hAnsi="宋体" w:cs="宋体"/>
          <w:bCs/>
          <w:highlight w:val="none"/>
        </w:rPr>
      </w:pPr>
      <w:r>
        <w:rPr>
          <w:rFonts w:hint="eastAsia" w:ascii="宋体" w:hAnsi="宋体" w:cs="宋体"/>
          <w:bCs/>
          <w:highlight w:val="none"/>
        </w:rPr>
        <w:t>5.7乙方须积极配合甲方的临时抽检，不得以任何理由拒绝检查或在检查中弄虚作假；</w:t>
      </w:r>
    </w:p>
    <w:p w14:paraId="392EEED1">
      <w:pPr>
        <w:spacing w:line="400" w:lineRule="exact"/>
        <w:ind w:firstLine="420" w:firstLineChars="200"/>
        <w:rPr>
          <w:rFonts w:ascii="宋体" w:hAnsi="宋体" w:cs="宋体"/>
          <w:b/>
          <w:highlight w:val="none"/>
        </w:rPr>
      </w:pPr>
      <w:r>
        <w:rPr>
          <w:rFonts w:hint="eastAsia" w:ascii="宋体" w:hAnsi="宋体" w:cs="宋体"/>
          <w:bCs/>
          <w:highlight w:val="none"/>
        </w:rPr>
        <w:t>5.8活动结束后，按要求上报相关资料（签到册、学员效果反馈表等）给甲方。</w:t>
      </w:r>
    </w:p>
    <w:p w14:paraId="5F552D2E">
      <w:pPr>
        <w:spacing w:line="400" w:lineRule="exact"/>
        <w:ind w:firstLine="422" w:firstLineChars="200"/>
        <w:rPr>
          <w:rFonts w:ascii="宋体" w:hAnsi="宋体" w:cs="宋体"/>
          <w:b/>
          <w:highlight w:val="none"/>
        </w:rPr>
      </w:pPr>
    </w:p>
    <w:p w14:paraId="0FFC4E0A">
      <w:pPr>
        <w:spacing w:line="400" w:lineRule="exact"/>
        <w:ind w:firstLine="422" w:firstLineChars="200"/>
        <w:rPr>
          <w:rFonts w:ascii="宋体" w:hAnsi="宋体" w:cs="宋体"/>
          <w:b/>
          <w:highlight w:val="none"/>
        </w:rPr>
      </w:pPr>
      <w:r>
        <w:rPr>
          <w:rFonts w:hint="eastAsia" w:ascii="宋体" w:hAnsi="宋体" w:cs="宋体"/>
          <w:b/>
          <w:highlight w:val="none"/>
        </w:rPr>
        <w:t>6.项目验收</w:t>
      </w:r>
    </w:p>
    <w:p w14:paraId="28A459F1">
      <w:pPr>
        <w:spacing w:line="400" w:lineRule="exact"/>
        <w:ind w:firstLine="420" w:firstLineChars="200"/>
        <w:rPr>
          <w:rFonts w:ascii="宋体" w:hAnsi="宋体" w:cs="宋体"/>
          <w:bCs/>
          <w:highlight w:val="none"/>
        </w:rPr>
      </w:pPr>
      <w:r>
        <w:rPr>
          <w:rFonts w:hint="eastAsia" w:ascii="宋体" w:hAnsi="宋体" w:cs="宋体"/>
          <w:bCs/>
          <w:highlight w:val="none"/>
        </w:rPr>
        <w:t>6.1由甲方负责进行验收考核，乙方协助。甲方在乙方提供相关服务过程中，有权不定期对服务内容和质量进行考核。不达甲方要求或提供虚假材料的，甲方有权解除合同，并由乙方承担一切损失和费用。</w:t>
      </w:r>
    </w:p>
    <w:p w14:paraId="404DC1D8">
      <w:pPr>
        <w:spacing w:line="400" w:lineRule="exact"/>
        <w:ind w:firstLine="420" w:firstLineChars="200"/>
        <w:rPr>
          <w:rFonts w:ascii="宋体" w:hAnsi="宋体" w:cs="宋体"/>
          <w:bCs/>
          <w:highlight w:val="none"/>
        </w:rPr>
      </w:pPr>
      <w:r>
        <w:rPr>
          <w:rFonts w:hint="eastAsia" w:ascii="宋体" w:hAnsi="宋体" w:cs="宋体"/>
          <w:bCs/>
          <w:highlight w:val="none"/>
        </w:rPr>
        <w:t>6.2验收内容包括合同履行情况、活动组织实施情况、日常监督检查情况。学习资料、签到册、学员满意度、问卷调查等，在项目结束后整理成册留档备查。</w:t>
      </w:r>
    </w:p>
    <w:p w14:paraId="5B63F024">
      <w:pPr>
        <w:spacing w:line="400" w:lineRule="exact"/>
        <w:ind w:firstLine="420" w:firstLineChars="200"/>
        <w:rPr>
          <w:rFonts w:ascii="宋体" w:hAnsi="宋体" w:cs="宋体"/>
          <w:bCs/>
          <w:highlight w:val="none"/>
        </w:rPr>
      </w:pPr>
      <w:r>
        <w:rPr>
          <w:rFonts w:hint="eastAsia" w:ascii="宋体" w:hAnsi="宋体" w:cs="宋体"/>
          <w:bCs/>
          <w:highlight w:val="none"/>
        </w:rPr>
        <w:t>6.3乙方在提供服务过程中如存在违反合同相关约定情况的，甲方有权要求乙方立即整改，乙方未按甲方要求整改的，甲方可以中止合同履行，乙方将承担因此发生的一切损失、费用与延误责任。</w:t>
      </w:r>
    </w:p>
    <w:p w14:paraId="31934062">
      <w:pPr>
        <w:spacing w:line="400" w:lineRule="exact"/>
        <w:ind w:firstLine="422" w:firstLineChars="200"/>
        <w:rPr>
          <w:rFonts w:ascii="宋体" w:hAnsi="宋体" w:cs="宋体"/>
          <w:b/>
          <w:highlight w:val="none"/>
        </w:rPr>
      </w:pPr>
    </w:p>
    <w:p w14:paraId="417A4310">
      <w:pPr>
        <w:spacing w:line="400" w:lineRule="exact"/>
        <w:ind w:firstLine="422" w:firstLineChars="200"/>
        <w:rPr>
          <w:rFonts w:ascii="宋体" w:hAnsi="宋体" w:cs="宋体"/>
          <w:b/>
          <w:highlight w:val="none"/>
        </w:rPr>
      </w:pPr>
      <w:r>
        <w:rPr>
          <w:rFonts w:hint="eastAsia" w:ascii="宋体" w:hAnsi="宋体" w:cs="宋体"/>
          <w:b/>
          <w:highlight w:val="none"/>
        </w:rPr>
        <w:t>7.使用合同文件和资料：</w:t>
      </w:r>
    </w:p>
    <w:p w14:paraId="3214ED62">
      <w:pPr>
        <w:spacing w:line="400" w:lineRule="exact"/>
        <w:ind w:firstLine="422" w:firstLineChars="200"/>
        <w:rPr>
          <w:rFonts w:ascii="宋体" w:hAnsi="宋体" w:cs="宋体"/>
          <w:highlight w:val="none"/>
        </w:rPr>
      </w:pPr>
      <w:r>
        <w:rPr>
          <w:rFonts w:hint="eastAsia" w:ascii="宋体" w:hAnsi="宋体" w:cs="宋体"/>
          <w:b/>
          <w:highlight w:val="none"/>
        </w:rPr>
        <w:t>7.1</w:t>
      </w:r>
      <w:r>
        <w:rPr>
          <w:rFonts w:hint="eastAsia" w:ascii="宋体" w:hAnsi="宋体" w:cs="宋体"/>
          <w:highlight w:val="none"/>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0EE88744">
      <w:pPr>
        <w:spacing w:line="400" w:lineRule="exact"/>
        <w:ind w:firstLine="422" w:firstLineChars="200"/>
        <w:rPr>
          <w:rFonts w:ascii="宋体" w:hAnsi="宋体" w:cs="宋体"/>
          <w:highlight w:val="none"/>
        </w:rPr>
      </w:pPr>
      <w:r>
        <w:rPr>
          <w:rFonts w:hint="eastAsia" w:ascii="宋体" w:hAnsi="宋体" w:cs="宋体"/>
          <w:b/>
          <w:highlight w:val="none"/>
        </w:rPr>
        <w:t>7.2</w:t>
      </w:r>
      <w:r>
        <w:rPr>
          <w:rFonts w:hint="eastAsia" w:ascii="宋体" w:hAnsi="宋体" w:cs="宋体"/>
          <w:highlight w:val="none"/>
        </w:rPr>
        <w:t>没有甲方事先书面同意，除了履行本合同之外，乙方不应使用</w:t>
      </w:r>
      <w:r>
        <w:rPr>
          <w:rFonts w:hint="eastAsia" w:ascii="宋体" w:hAnsi="宋体" w:cs="宋体"/>
          <w:b/>
          <w:highlight w:val="none"/>
        </w:rPr>
        <w:t>7.1</w:t>
      </w:r>
      <w:r>
        <w:rPr>
          <w:rFonts w:hint="eastAsia" w:ascii="宋体" w:hAnsi="宋体" w:cs="宋体"/>
          <w:highlight w:val="none"/>
        </w:rPr>
        <w:t>条款所列举的任何文件和资料。</w:t>
      </w:r>
    </w:p>
    <w:p w14:paraId="46337201">
      <w:pPr>
        <w:spacing w:line="400" w:lineRule="exact"/>
        <w:ind w:firstLine="422" w:firstLineChars="200"/>
        <w:rPr>
          <w:rFonts w:ascii="宋体" w:hAnsi="宋体" w:cs="宋体"/>
          <w:highlight w:val="none"/>
        </w:rPr>
      </w:pPr>
      <w:r>
        <w:rPr>
          <w:rFonts w:hint="eastAsia" w:ascii="宋体" w:hAnsi="宋体" w:cs="宋体"/>
          <w:b/>
          <w:highlight w:val="none"/>
        </w:rPr>
        <w:t>7.3</w:t>
      </w:r>
      <w:r>
        <w:rPr>
          <w:rFonts w:hint="eastAsia" w:ascii="宋体" w:hAnsi="宋体" w:cs="宋体"/>
          <w:highlight w:val="none"/>
        </w:rPr>
        <w:t>除了合同本身外，</w:t>
      </w:r>
      <w:r>
        <w:rPr>
          <w:rFonts w:hint="eastAsia" w:ascii="宋体" w:hAnsi="宋体" w:cs="宋体"/>
          <w:b/>
          <w:highlight w:val="none"/>
        </w:rPr>
        <w:t>7.1</w:t>
      </w:r>
      <w:r>
        <w:rPr>
          <w:rFonts w:hint="eastAsia" w:ascii="宋体" w:hAnsi="宋体" w:cs="宋体"/>
          <w:highlight w:val="none"/>
        </w:rPr>
        <w:t>条款所列举的任何文件是甲方的财产。如果甲方有要求，乙方应在完成合同后将这些文件及全部复制件归还给甲方。</w:t>
      </w:r>
    </w:p>
    <w:p w14:paraId="2CDEE5A6">
      <w:pPr>
        <w:spacing w:line="400" w:lineRule="exact"/>
        <w:ind w:firstLine="422" w:firstLineChars="200"/>
        <w:rPr>
          <w:rFonts w:ascii="宋体" w:hAnsi="宋体" w:cs="宋体"/>
          <w:b/>
          <w:bCs/>
          <w:highlight w:val="none"/>
        </w:rPr>
      </w:pPr>
    </w:p>
    <w:p w14:paraId="0A4E049F">
      <w:pPr>
        <w:spacing w:line="400" w:lineRule="exact"/>
        <w:ind w:firstLine="422" w:firstLineChars="200"/>
        <w:rPr>
          <w:rFonts w:ascii="宋体" w:hAnsi="宋体" w:cs="宋体"/>
          <w:b/>
          <w:bCs/>
          <w:highlight w:val="none"/>
        </w:rPr>
      </w:pPr>
      <w:r>
        <w:rPr>
          <w:rFonts w:hint="eastAsia" w:ascii="宋体" w:hAnsi="宋体" w:cs="宋体"/>
          <w:b/>
          <w:bCs/>
          <w:highlight w:val="none"/>
        </w:rPr>
        <w:t>8.知识产权</w:t>
      </w:r>
    </w:p>
    <w:p w14:paraId="653D9F54">
      <w:pPr>
        <w:spacing w:line="400" w:lineRule="exact"/>
        <w:ind w:firstLine="420" w:firstLineChars="200"/>
        <w:rPr>
          <w:rFonts w:ascii="宋体" w:hAnsi="宋体" w:cs="宋体"/>
          <w:highlight w:val="none"/>
        </w:rPr>
      </w:pPr>
      <w:r>
        <w:rPr>
          <w:rFonts w:hint="eastAsia" w:ascii="宋体" w:hAnsi="宋体" w:cs="宋体"/>
          <w:highlight w:val="none"/>
        </w:rPr>
        <w:t>乙方应保证提供服务过程中不会侵犯任何第三方的知识产权，如果任何第三方提出侵权指控，乙方须与第三方交涉并承担可能发生的一切法律责任和费用。</w:t>
      </w:r>
    </w:p>
    <w:p w14:paraId="4B9FC998">
      <w:pPr>
        <w:spacing w:line="400" w:lineRule="exact"/>
        <w:ind w:firstLine="422" w:firstLineChars="200"/>
        <w:rPr>
          <w:rFonts w:ascii="宋体" w:hAnsi="宋体" w:cs="宋体"/>
          <w:b/>
          <w:highlight w:val="none"/>
        </w:rPr>
      </w:pPr>
    </w:p>
    <w:p w14:paraId="68F3AE80">
      <w:pPr>
        <w:spacing w:line="400" w:lineRule="exact"/>
        <w:ind w:firstLine="422" w:firstLineChars="200"/>
        <w:rPr>
          <w:rFonts w:ascii="宋体" w:hAnsi="宋体" w:cs="宋体"/>
          <w:highlight w:val="none"/>
        </w:rPr>
      </w:pPr>
      <w:r>
        <w:rPr>
          <w:rFonts w:hint="eastAsia" w:ascii="宋体" w:hAnsi="宋体" w:cs="宋体"/>
          <w:b/>
          <w:highlight w:val="none"/>
        </w:rPr>
        <w:t>9.不可抗力</w:t>
      </w:r>
    </w:p>
    <w:p w14:paraId="57DF3C38">
      <w:pPr>
        <w:spacing w:line="400" w:lineRule="exact"/>
        <w:ind w:firstLine="422" w:firstLineChars="200"/>
        <w:rPr>
          <w:rFonts w:ascii="宋体" w:hAnsi="宋体" w:cs="宋体"/>
          <w:highlight w:val="none"/>
        </w:rPr>
      </w:pPr>
      <w:r>
        <w:rPr>
          <w:rFonts w:hint="eastAsia" w:ascii="宋体" w:hAnsi="宋体" w:cs="宋体"/>
          <w:b/>
          <w:highlight w:val="none"/>
        </w:rPr>
        <w:t>9.1</w:t>
      </w:r>
      <w:r>
        <w:rPr>
          <w:rFonts w:hint="eastAsia" w:ascii="宋体" w:hAnsi="宋体" w:cs="宋体"/>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F48C220">
      <w:pPr>
        <w:spacing w:line="400" w:lineRule="exact"/>
        <w:ind w:firstLine="422" w:firstLineChars="200"/>
        <w:rPr>
          <w:rFonts w:ascii="宋体" w:hAnsi="宋体" w:cs="宋体"/>
          <w:highlight w:val="none"/>
        </w:rPr>
      </w:pPr>
      <w:r>
        <w:rPr>
          <w:rFonts w:hint="eastAsia" w:ascii="宋体" w:hAnsi="宋体" w:cs="宋体"/>
          <w:b/>
          <w:highlight w:val="none"/>
        </w:rPr>
        <w:t>9.2</w:t>
      </w:r>
      <w:r>
        <w:rPr>
          <w:rFonts w:hint="eastAsia" w:ascii="宋体" w:hAnsi="宋体" w:cs="宋体"/>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14E7ABD6">
      <w:pPr>
        <w:spacing w:line="400" w:lineRule="exact"/>
        <w:ind w:firstLine="422" w:firstLineChars="200"/>
        <w:rPr>
          <w:rFonts w:ascii="宋体" w:hAnsi="宋体" w:cs="宋体"/>
          <w:b/>
          <w:highlight w:val="none"/>
        </w:rPr>
      </w:pPr>
    </w:p>
    <w:p w14:paraId="28423B63">
      <w:pPr>
        <w:spacing w:line="400" w:lineRule="exact"/>
        <w:ind w:firstLine="422" w:firstLineChars="200"/>
        <w:rPr>
          <w:rFonts w:ascii="宋体" w:hAnsi="宋体" w:cs="宋体"/>
          <w:highlight w:val="none"/>
        </w:rPr>
      </w:pPr>
      <w:r>
        <w:rPr>
          <w:rFonts w:hint="eastAsia" w:ascii="宋体" w:hAnsi="宋体" w:cs="宋体"/>
          <w:b/>
          <w:highlight w:val="none"/>
        </w:rPr>
        <w:t>10.违约责任</w:t>
      </w:r>
    </w:p>
    <w:p w14:paraId="3A0243F0">
      <w:pPr>
        <w:spacing w:line="400" w:lineRule="exact"/>
        <w:ind w:firstLine="420" w:firstLineChars="200"/>
        <w:rPr>
          <w:rFonts w:ascii="宋体" w:hAnsi="宋体" w:cs="宋体"/>
          <w:highlight w:val="none"/>
        </w:rPr>
      </w:pPr>
      <w:r>
        <w:rPr>
          <w:rFonts w:hint="eastAsia" w:ascii="宋体" w:hAnsi="宋体" w:cs="宋体"/>
          <w:highlight w:val="none"/>
        </w:rPr>
        <w:t>除不可抗力外，如乙方发生不能按期提供服务，应及时以书面形式通知甲方。双方应本着友好的态度进行协商，妥善解决。如协商无效，按下列规定处以罚金。</w:t>
      </w:r>
    </w:p>
    <w:p w14:paraId="438F35D1">
      <w:pPr>
        <w:spacing w:line="400" w:lineRule="exact"/>
        <w:ind w:firstLine="420" w:firstLineChars="200"/>
        <w:rPr>
          <w:rFonts w:ascii="宋体" w:hAnsi="宋体" w:cs="宋体"/>
          <w:highlight w:val="none"/>
        </w:rPr>
      </w:pPr>
      <w:r>
        <w:rPr>
          <w:rFonts w:hint="eastAsia" w:ascii="宋体" w:hAnsi="宋体" w:cs="宋体"/>
          <w:highlight w:val="none"/>
        </w:rPr>
        <w:t>10.1甲方无故逾期付款的，应按逾期付款金额的万分之五每日支付违约金。</w:t>
      </w:r>
    </w:p>
    <w:p w14:paraId="6C14BBB2">
      <w:pPr>
        <w:spacing w:line="400" w:lineRule="exact"/>
        <w:ind w:firstLine="420" w:firstLineChars="200"/>
        <w:rPr>
          <w:rFonts w:ascii="宋体" w:hAnsi="宋体" w:cs="宋体"/>
          <w:highlight w:val="none"/>
        </w:rPr>
      </w:pPr>
      <w:r>
        <w:rPr>
          <w:rFonts w:hint="eastAsia" w:ascii="宋体" w:hAnsi="宋体" w:cs="宋体"/>
          <w:highlight w:val="none"/>
        </w:rPr>
        <w:t>10.2因乙方原因造成逾期履行合同义务的，应按合同总价款的千分之六每日支付违约金。乙方逾期10个工作日及以上履行合同义务的，甲方有权解除本合同，并拒付（或要求乙方退还）合同价款，乙方应按合同总价款的20%向甲方支付违约金，造成甲方损失的，乙方应承担赔偿责任。</w:t>
      </w:r>
    </w:p>
    <w:p w14:paraId="50E71C06">
      <w:pPr>
        <w:spacing w:line="400" w:lineRule="exact"/>
        <w:ind w:firstLine="420" w:firstLineChars="200"/>
        <w:rPr>
          <w:rFonts w:ascii="宋体" w:hAnsi="宋体" w:cs="宋体"/>
          <w:highlight w:val="none"/>
        </w:rPr>
      </w:pPr>
      <w:r>
        <w:rPr>
          <w:rFonts w:hint="eastAsia" w:ascii="宋体" w:hAnsi="宋体" w:cs="宋体"/>
          <w:highlight w:val="none"/>
        </w:rPr>
        <w:t>10.3合同履行期间，任何一方因不可抗力事件不能履行合同的，合同履行期限可相应顺延。不可抗力事件发生后，应立即通知对方，并邮寄或送达有关权威机构出具的证明。</w:t>
      </w:r>
    </w:p>
    <w:p w14:paraId="1EFE97E8">
      <w:pPr>
        <w:spacing w:line="400" w:lineRule="exact"/>
        <w:ind w:firstLine="420" w:firstLineChars="200"/>
        <w:rPr>
          <w:rFonts w:ascii="宋体" w:hAnsi="宋体" w:cs="宋体"/>
          <w:highlight w:val="none"/>
        </w:rPr>
      </w:pPr>
      <w:r>
        <w:rPr>
          <w:rFonts w:hint="eastAsia" w:ascii="宋体" w:hAnsi="宋体" w:cs="宋体"/>
          <w:highlight w:val="none"/>
        </w:rPr>
        <w:t>10.4经双方协商同意延期交货和经双方友好协商同意退货且无需罚款者不在此例。</w:t>
      </w:r>
    </w:p>
    <w:p w14:paraId="548DC931">
      <w:pPr>
        <w:spacing w:line="400" w:lineRule="exact"/>
        <w:ind w:firstLine="299" w:firstLineChars="142"/>
        <w:rPr>
          <w:rFonts w:ascii="宋体" w:hAnsi="宋体" w:cs="宋体"/>
          <w:b/>
          <w:highlight w:val="none"/>
        </w:rPr>
      </w:pPr>
    </w:p>
    <w:p w14:paraId="11FCE2DD">
      <w:pPr>
        <w:spacing w:line="400" w:lineRule="exact"/>
        <w:ind w:firstLine="422" w:firstLineChars="200"/>
        <w:rPr>
          <w:rFonts w:ascii="宋体" w:hAnsi="宋体" w:cs="宋体"/>
          <w:b/>
          <w:highlight w:val="none"/>
        </w:rPr>
      </w:pPr>
      <w:r>
        <w:rPr>
          <w:rFonts w:hint="eastAsia" w:ascii="宋体" w:hAnsi="宋体" w:cs="宋体"/>
          <w:b/>
          <w:highlight w:val="none"/>
        </w:rPr>
        <w:t>11.其他情况终止合同</w:t>
      </w:r>
    </w:p>
    <w:p w14:paraId="18CFD75E">
      <w:pPr>
        <w:spacing w:line="400" w:lineRule="exact"/>
        <w:ind w:firstLine="422" w:firstLineChars="200"/>
        <w:rPr>
          <w:rFonts w:ascii="宋体" w:hAnsi="宋体" w:cs="宋体"/>
          <w:highlight w:val="none"/>
        </w:rPr>
      </w:pPr>
      <w:r>
        <w:rPr>
          <w:rFonts w:hint="eastAsia" w:ascii="宋体" w:hAnsi="宋体" w:cs="宋体"/>
          <w:b/>
          <w:highlight w:val="none"/>
        </w:rPr>
        <w:t>11.1</w:t>
      </w:r>
      <w:r>
        <w:rPr>
          <w:rFonts w:hint="eastAsia" w:ascii="宋体" w:hAnsi="宋体" w:cs="宋体"/>
          <w:highlight w:val="none"/>
        </w:rPr>
        <w:t>如果乙方破产或发生资不抵债的情况，甲方可在任何时候以书面通知终止合同，而不给对方补偿。该终止合同将不损害或影响甲方已经采取或将要采取的补救措施的权利。</w:t>
      </w:r>
    </w:p>
    <w:p w14:paraId="605A0571">
      <w:pPr>
        <w:spacing w:line="400" w:lineRule="exact"/>
        <w:ind w:firstLine="422" w:firstLineChars="200"/>
        <w:rPr>
          <w:rFonts w:ascii="宋体" w:hAnsi="宋体" w:cs="宋体"/>
          <w:highlight w:val="none"/>
        </w:rPr>
      </w:pPr>
      <w:r>
        <w:rPr>
          <w:rFonts w:hint="eastAsia" w:ascii="宋体" w:hAnsi="宋体" w:cs="宋体"/>
          <w:b/>
          <w:highlight w:val="none"/>
        </w:rPr>
        <w:t>11.2</w:t>
      </w:r>
      <w:r>
        <w:rPr>
          <w:rFonts w:hint="eastAsia" w:ascii="宋体" w:hAnsi="宋体" w:cs="宋体"/>
          <w:highlight w:val="none"/>
        </w:rPr>
        <w:t>如果甲方认定乙方在竞标、采购和合同执行等过程中有腐败或欺诈行为，甲方有权在任何时候发出书面通知终止合同。</w:t>
      </w:r>
    </w:p>
    <w:p w14:paraId="000CFE4C">
      <w:pPr>
        <w:spacing w:line="400" w:lineRule="exact"/>
        <w:ind w:firstLine="422" w:firstLineChars="200"/>
        <w:rPr>
          <w:rFonts w:ascii="宋体" w:hAnsi="宋体" w:cs="宋体"/>
          <w:highlight w:val="none"/>
        </w:rPr>
      </w:pPr>
      <w:r>
        <w:rPr>
          <w:rFonts w:hint="eastAsia" w:ascii="宋体" w:hAnsi="宋体" w:cs="宋体"/>
          <w:b/>
          <w:highlight w:val="none"/>
        </w:rPr>
        <w:t>11.3</w:t>
      </w:r>
      <w:r>
        <w:rPr>
          <w:rFonts w:hint="eastAsia" w:ascii="宋体" w:hAnsi="宋体" w:cs="宋体"/>
          <w:highlight w:val="none"/>
        </w:rPr>
        <w:t>如果合同履行过程中出现危害国家利益和社会公众利益的，甲方有权在任何时候发出书面通知终止合同。</w:t>
      </w:r>
    </w:p>
    <w:p w14:paraId="3D8AE3F8">
      <w:pPr>
        <w:spacing w:line="400" w:lineRule="exact"/>
        <w:ind w:firstLine="422" w:firstLineChars="200"/>
        <w:rPr>
          <w:rFonts w:ascii="宋体" w:hAnsi="宋体" w:cs="宋体"/>
          <w:b/>
          <w:highlight w:val="none"/>
        </w:rPr>
      </w:pPr>
    </w:p>
    <w:p w14:paraId="4D0664FD">
      <w:pPr>
        <w:spacing w:line="400" w:lineRule="exact"/>
        <w:ind w:firstLine="422" w:firstLineChars="200"/>
        <w:rPr>
          <w:rFonts w:ascii="宋体" w:hAnsi="宋体" w:cs="宋体"/>
          <w:highlight w:val="none"/>
        </w:rPr>
      </w:pPr>
      <w:r>
        <w:rPr>
          <w:rFonts w:hint="eastAsia" w:ascii="宋体" w:hAnsi="宋体" w:cs="宋体"/>
          <w:b/>
          <w:highlight w:val="none"/>
        </w:rPr>
        <w:t>12.转让和分包</w:t>
      </w:r>
    </w:p>
    <w:p w14:paraId="7237EDF7">
      <w:pPr>
        <w:spacing w:line="400" w:lineRule="exact"/>
        <w:ind w:firstLine="422" w:firstLineChars="200"/>
        <w:rPr>
          <w:rFonts w:ascii="宋体" w:hAnsi="宋体" w:cs="宋体"/>
          <w:highlight w:val="none"/>
        </w:rPr>
      </w:pPr>
      <w:r>
        <w:rPr>
          <w:rFonts w:hint="eastAsia" w:ascii="宋体" w:hAnsi="宋体" w:cs="宋体"/>
          <w:b/>
          <w:highlight w:val="none"/>
        </w:rPr>
        <w:t>12.1</w:t>
      </w:r>
      <w:r>
        <w:rPr>
          <w:rFonts w:hint="eastAsia" w:ascii="宋体" w:hAnsi="宋体" w:cs="宋体"/>
          <w:highlight w:val="none"/>
        </w:rPr>
        <w:t>乙方不得部分转让或全部转让其应履行的合同义务。</w:t>
      </w:r>
    </w:p>
    <w:p w14:paraId="30BD45EE">
      <w:pPr>
        <w:spacing w:line="400" w:lineRule="exact"/>
        <w:ind w:firstLine="422" w:firstLineChars="200"/>
        <w:rPr>
          <w:rFonts w:ascii="宋体" w:hAnsi="宋体" w:cs="宋体"/>
          <w:b/>
          <w:highlight w:val="none"/>
        </w:rPr>
      </w:pPr>
    </w:p>
    <w:p w14:paraId="01920C0B">
      <w:pPr>
        <w:spacing w:line="400" w:lineRule="exact"/>
        <w:ind w:firstLine="422" w:firstLineChars="200"/>
        <w:rPr>
          <w:rFonts w:ascii="宋体" w:hAnsi="宋体" w:cs="宋体"/>
          <w:b/>
          <w:highlight w:val="none"/>
        </w:rPr>
      </w:pPr>
      <w:r>
        <w:rPr>
          <w:rFonts w:hint="eastAsia" w:ascii="宋体" w:hAnsi="宋体" w:cs="宋体"/>
          <w:b/>
          <w:highlight w:val="none"/>
        </w:rPr>
        <w:t>13.合同的协商变更与修改</w:t>
      </w:r>
    </w:p>
    <w:p w14:paraId="46842845">
      <w:pPr>
        <w:spacing w:line="400" w:lineRule="exact"/>
        <w:ind w:firstLine="422" w:firstLineChars="200"/>
        <w:rPr>
          <w:rFonts w:ascii="宋体" w:hAnsi="宋体" w:cs="宋体"/>
          <w:highlight w:val="none"/>
        </w:rPr>
      </w:pPr>
      <w:r>
        <w:rPr>
          <w:rFonts w:hint="eastAsia" w:ascii="宋体" w:hAnsi="宋体" w:cs="宋体"/>
          <w:b/>
          <w:highlight w:val="none"/>
        </w:rPr>
        <w:t>13.1</w:t>
      </w:r>
      <w:r>
        <w:rPr>
          <w:rFonts w:hint="eastAsia" w:ascii="宋体" w:hAnsi="宋体" w:cs="宋体"/>
          <w:highlight w:val="none"/>
        </w:rPr>
        <w:t>甲方可以以书面方式向乙方发出变更要求，协商在本合同的一般范围内变更事项，合同修改书应由双方授权代表签字，具有合同的法律效力。</w:t>
      </w:r>
    </w:p>
    <w:p w14:paraId="7E9DC62F">
      <w:pPr>
        <w:pStyle w:val="51"/>
        <w:spacing w:after="0" w:line="400" w:lineRule="exact"/>
        <w:ind w:firstLine="240"/>
        <w:rPr>
          <w:rFonts w:hAnsi="宋体" w:cs="宋体"/>
          <w:highlight w:val="none"/>
        </w:rPr>
      </w:pPr>
    </w:p>
    <w:p w14:paraId="54A29D86">
      <w:pPr>
        <w:spacing w:line="400" w:lineRule="exact"/>
        <w:ind w:firstLine="422" w:firstLineChars="200"/>
        <w:rPr>
          <w:rFonts w:ascii="宋体" w:hAnsi="宋体" w:cs="宋体"/>
          <w:highlight w:val="none"/>
        </w:rPr>
      </w:pPr>
      <w:r>
        <w:rPr>
          <w:rFonts w:hint="eastAsia" w:ascii="宋体" w:hAnsi="宋体" w:cs="宋体"/>
          <w:b/>
          <w:highlight w:val="none"/>
        </w:rPr>
        <w:t>14.争端的解决</w:t>
      </w:r>
    </w:p>
    <w:p w14:paraId="56C9DD0E">
      <w:pPr>
        <w:spacing w:line="400" w:lineRule="exact"/>
        <w:ind w:firstLine="422" w:firstLineChars="200"/>
        <w:rPr>
          <w:rFonts w:ascii="宋体" w:hAnsi="宋体" w:cs="宋体"/>
          <w:highlight w:val="none"/>
        </w:rPr>
      </w:pPr>
      <w:r>
        <w:rPr>
          <w:rFonts w:hint="eastAsia" w:ascii="宋体" w:hAnsi="宋体" w:cs="宋体"/>
          <w:b/>
          <w:highlight w:val="none"/>
        </w:rPr>
        <w:t>14.1</w:t>
      </w:r>
      <w:r>
        <w:rPr>
          <w:rFonts w:hint="eastAsia" w:ascii="宋体" w:hAnsi="宋体" w:cs="宋体"/>
          <w:highlight w:val="none"/>
        </w:rPr>
        <w:t>合同实施或与合同有关的一切争端应依据《中华人民共和国民法典》并通过双方协商解决。如果协商开始后六十天还不能解决，争端应提交仲裁或诉讼，仲裁和诉讼应在甲方所在地进行。</w:t>
      </w:r>
    </w:p>
    <w:p w14:paraId="5C931017">
      <w:pPr>
        <w:spacing w:line="400" w:lineRule="exact"/>
        <w:ind w:firstLine="422" w:firstLineChars="200"/>
        <w:rPr>
          <w:rFonts w:ascii="宋体" w:hAnsi="宋体" w:cs="宋体"/>
          <w:highlight w:val="none"/>
        </w:rPr>
      </w:pPr>
      <w:r>
        <w:rPr>
          <w:rFonts w:hint="eastAsia" w:ascii="宋体" w:hAnsi="宋体" w:cs="宋体"/>
          <w:b/>
          <w:highlight w:val="none"/>
        </w:rPr>
        <w:t>14.2</w:t>
      </w:r>
      <w:r>
        <w:rPr>
          <w:rFonts w:hint="eastAsia" w:ascii="宋体" w:hAnsi="宋体" w:cs="宋体"/>
          <w:highlight w:val="none"/>
        </w:rPr>
        <w:t>在仲裁或诉讼期间，除正在进行仲裁或诉讼的部分外，合同其他部分应继续执行。</w:t>
      </w:r>
    </w:p>
    <w:p w14:paraId="0C861527">
      <w:pPr>
        <w:spacing w:line="400" w:lineRule="exact"/>
        <w:rPr>
          <w:rFonts w:ascii="宋体" w:hAnsi="宋体" w:cs="宋体"/>
          <w:b/>
          <w:highlight w:val="none"/>
        </w:rPr>
      </w:pPr>
    </w:p>
    <w:p w14:paraId="6D3B720F">
      <w:pPr>
        <w:spacing w:line="400" w:lineRule="exact"/>
        <w:ind w:firstLine="422" w:firstLineChars="200"/>
        <w:rPr>
          <w:rFonts w:ascii="宋体" w:hAnsi="宋体" w:cs="宋体"/>
          <w:highlight w:val="none"/>
        </w:rPr>
      </w:pPr>
      <w:r>
        <w:rPr>
          <w:rFonts w:hint="eastAsia" w:ascii="宋体" w:hAnsi="宋体" w:cs="宋体"/>
          <w:b/>
          <w:highlight w:val="none"/>
        </w:rPr>
        <w:t>15.通知</w:t>
      </w:r>
    </w:p>
    <w:p w14:paraId="28AF1F2E">
      <w:pPr>
        <w:spacing w:line="400" w:lineRule="exact"/>
        <w:ind w:firstLine="422" w:firstLineChars="200"/>
        <w:rPr>
          <w:rFonts w:ascii="宋体" w:hAnsi="宋体" w:cs="宋体"/>
          <w:highlight w:val="none"/>
        </w:rPr>
      </w:pPr>
      <w:r>
        <w:rPr>
          <w:rFonts w:hint="eastAsia" w:ascii="宋体" w:hAnsi="宋体" w:cs="宋体"/>
          <w:b/>
          <w:highlight w:val="none"/>
        </w:rPr>
        <w:t>15.1</w:t>
      </w:r>
      <w:r>
        <w:rPr>
          <w:rFonts w:hint="eastAsia" w:ascii="宋体" w:hAnsi="宋体" w:cs="宋体"/>
          <w:highlight w:val="none"/>
        </w:rPr>
        <w:t>本合同任何一方给另一方的通知，都应以书面或传真的形式发送，而另一方应以书面或传真形式确认，回复对方。</w:t>
      </w:r>
    </w:p>
    <w:p w14:paraId="1EC349A4">
      <w:pPr>
        <w:spacing w:line="400" w:lineRule="exact"/>
        <w:ind w:firstLine="422" w:firstLineChars="200"/>
        <w:rPr>
          <w:rFonts w:ascii="宋体" w:hAnsi="宋体" w:cs="宋体"/>
          <w:highlight w:val="none"/>
        </w:rPr>
      </w:pPr>
      <w:r>
        <w:rPr>
          <w:rFonts w:hint="eastAsia" w:ascii="宋体" w:hAnsi="宋体" w:cs="宋体"/>
          <w:b/>
          <w:highlight w:val="none"/>
        </w:rPr>
        <w:t>15.2</w:t>
      </w:r>
      <w:r>
        <w:rPr>
          <w:rFonts w:hint="eastAsia" w:ascii="宋体" w:hAnsi="宋体" w:cs="宋体"/>
          <w:highlight w:val="none"/>
        </w:rPr>
        <w:t>通知以送到日期或通知书的生效日起为生效日期，两者中以较晚的一个日期为准。</w:t>
      </w:r>
    </w:p>
    <w:p w14:paraId="2E90C83D">
      <w:pPr>
        <w:spacing w:line="400" w:lineRule="exact"/>
        <w:ind w:firstLine="422" w:firstLineChars="200"/>
        <w:rPr>
          <w:rFonts w:ascii="宋体" w:hAnsi="宋体" w:cs="宋体"/>
          <w:b/>
          <w:highlight w:val="none"/>
        </w:rPr>
      </w:pPr>
    </w:p>
    <w:p w14:paraId="556F6DC3">
      <w:pPr>
        <w:spacing w:line="400" w:lineRule="exact"/>
        <w:ind w:firstLine="422" w:firstLineChars="200"/>
        <w:rPr>
          <w:rFonts w:ascii="宋体" w:hAnsi="宋体" w:cs="宋体"/>
          <w:highlight w:val="none"/>
        </w:rPr>
      </w:pPr>
      <w:r>
        <w:rPr>
          <w:rFonts w:hint="eastAsia" w:ascii="宋体" w:hAnsi="宋体" w:cs="宋体"/>
          <w:b/>
          <w:highlight w:val="none"/>
        </w:rPr>
        <w:t>16.</w:t>
      </w:r>
      <w:r>
        <w:rPr>
          <w:rFonts w:hint="eastAsia" w:ascii="宋体" w:hAnsi="宋体" w:cs="宋体"/>
          <w:highlight w:val="none"/>
        </w:rPr>
        <w:t>鉴于甲方将按照本合同向乙方支付款项，乙方在此保证全部按照合同的规定向甲方提供服务并修补缺陷。</w:t>
      </w:r>
    </w:p>
    <w:p w14:paraId="42C7188F">
      <w:pPr>
        <w:spacing w:line="400" w:lineRule="exact"/>
        <w:ind w:firstLine="420" w:firstLineChars="200"/>
        <w:rPr>
          <w:rFonts w:ascii="宋体" w:hAnsi="宋体" w:cs="宋体"/>
          <w:b/>
          <w:highlight w:val="none"/>
        </w:rPr>
      </w:pPr>
      <w:r>
        <w:rPr>
          <w:rFonts w:hint="eastAsia" w:ascii="宋体" w:hAnsi="宋体" w:cs="宋体"/>
          <w:highlight w:val="none"/>
        </w:rPr>
        <w:t>鉴于乙方将按本合同规定提供服务并修补缺陷，甲方在此保证按照合同规定的时间和方式向甲方支付合同价或其它按合同应支付的金额。</w:t>
      </w:r>
    </w:p>
    <w:p w14:paraId="32EC0DC8">
      <w:pPr>
        <w:spacing w:line="400" w:lineRule="exact"/>
        <w:ind w:firstLine="422" w:firstLineChars="200"/>
        <w:rPr>
          <w:rFonts w:ascii="宋体" w:hAnsi="宋体" w:cs="宋体"/>
          <w:b/>
          <w:highlight w:val="none"/>
        </w:rPr>
      </w:pPr>
    </w:p>
    <w:p w14:paraId="48CA78B4">
      <w:pPr>
        <w:spacing w:line="400" w:lineRule="exact"/>
        <w:ind w:firstLine="422" w:firstLineChars="200"/>
        <w:rPr>
          <w:rFonts w:ascii="宋体" w:hAnsi="宋体" w:cs="宋体"/>
          <w:b/>
          <w:highlight w:val="none"/>
        </w:rPr>
      </w:pPr>
      <w:r>
        <w:rPr>
          <w:rFonts w:hint="eastAsia" w:ascii="宋体" w:hAnsi="宋体" w:cs="宋体"/>
          <w:b/>
          <w:highlight w:val="none"/>
        </w:rPr>
        <w:t>17.其他约定事项：</w:t>
      </w:r>
    </w:p>
    <w:p w14:paraId="1BFD57AD">
      <w:pPr>
        <w:pStyle w:val="20"/>
        <w:spacing w:line="400" w:lineRule="exact"/>
        <w:ind w:firstLine="422" w:firstLineChars="200"/>
        <w:rPr>
          <w:rFonts w:ascii="宋体" w:hAnsi="宋体" w:eastAsia="宋体" w:cs="宋体"/>
          <w:b/>
          <w:sz w:val="21"/>
          <w:szCs w:val="21"/>
          <w:highlight w:val="none"/>
        </w:rPr>
      </w:pPr>
    </w:p>
    <w:p w14:paraId="1C4688F2">
      <w:pPr>
        <w:pStyle w:val="20"/>
        <w:spacing w:line="400" w:lineRule="exact"/>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18.本合同未尽事宜，遵照《中华人民共和国民法典》有关条文执行。</w:t>
      </w:r>
    </w:p>
    <w:p w14:paraId="2FFB7B86">
      <w:pPr>
        <w:pStyle w:val="20"/>
        <w:spacing w:line="400" w:lineRule="exact"/>
        <w:ind w:firstLine="422" w:firstLineChars="200"/>
        <w:rPr>
          <w:rFonts w:ascii="宋体" w:hAnsi="宋体" w:eastAsia="宋体" w:cs="宋体"/>
          <w:sz w:val="21"/>
          <w:szCs w:val="21"/>
          <w:highlight w:val="none"/>
        </w:rPr>
      </w:pPr>
      <w:r>
        <w:rPr>
          <w:rFonts w:hint="eastAsia" w:ascii="宋体" w:hAnsi="宋体" w:eastAsia="宋体" w:cs="宋体"/>
          <w:b/>
          <w:sz w:val="21"/>
          <w:szCs w:val="21"/>
          <w:highlight w:val="none"/>
        </w:rPr>
        <w:t>19.</w:t>
      </w:r>
      <w:r>
        <w:rPr>
          <w:rFonts w:hint="eastAsia" w:ascii="宋体" w:hAnsi="宋体" w:eastAsia="宋体" w:cs="宋体"/>
          <w:sz w:val="21"/>
          <w:szCs w:val="21"/>
          <w:highlight w:val="none"/>
        </w:rPr>
        <w:t>合同经双方授权代表签署，甲、乙双方加盖印章之后生效。</w:t>
      </w:r>
    </w:p>
    <w:p w14:paraId="4C16AF90">
      <w:pPr>
        <w:pStyle w:val="20"/>
        <w:spacing w:line="400" w:lineRule="exact"/>
        <w:ind w:firstLine="422" w:firstLineChars="200"/>
        <w:rPr>
          <w:rFonts w:ascii="宋体" w:hAnsi="宋体" w:eastAsia="宋体" w:cs="宋体"/>
          <w:sz w:val="21"/>
          <w:szCs w:val="21"/>
          <w:highlight w:val="none"/>
        </w:rPr>
      </w:pPr>
      <w:r>
        <w:rPr>
          <w:rFonts w:hint="eastAsia" w:ascii="宋体" w:hAnsi="宋体" w:eastAsia="宋体" w:cs="宋体"/>
          <w:b/>
          <w:sz w:val="21"/>
          <w:szCs w:val="21"/>
          <w:highlight w:val="none"/>
        </w:rPr>
        <w:t>20.</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份，甲方执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份，乙方执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份，每份具有同等法律效力。</w:t>
      </w:r>
    </w:p>
    <w:tbl>
      <w:tblPr>
        <w:tblStyle w:val="53"/>
        <w:tblpPr w:leftFromText="180" w:rightFromText="180" w:vertAnchor="text" w:horzAnchor="margin" w:tblpX="-350" w:tblpY="370"/>
        <w:tblOverlap w:val="never"/>
        <w:tblW w:w="9471" w:type="dxa"/>
        <w:tblInd w:w="0" w:type="dxa"/>
        <w:tblLayout w:type="fixed"/>
        <w:tblCellMar>
          <w:top w:w="0" w:type="dxa"/>
          <w:left w:w="108" w:type="dxa"/>
          <w:bottom w:w="0" w:type="dxa"/>
          <w:right w:w="108" w:type="dxa"/>
        </w:tblCellMar>
      </w:tblPr>
      <w:tblGrid>
        <w:gridCol w:w="4911"/>
        <w:gridCol w:w="4560"/>
      </w:tblGrid>
      <w:tr w14:paraId="38869563">
        <w:tblPrEx>
          <w:tblCellMar>
            <w:top w:w="0" w:type="dxa"/>
            <w:left w:w="108" w:type="dxa"/>
            <w:bottom w:w="0" w:type="dxa"/>
            <w:right w:w="108" w:type="dxa"/>
          </w:tblCellMar>
        </w:tblPrEx>
        <w:trPr>
          <w:trHeight w:val="627" w:hRule="atLeast"/>
        </w:trPr>
        <w:tc>
          <w:tcPr>
            <w:tcW w:w="4911" w:type="dxa"/>
            <w:vAlign w:val="center"/>
          </w:tcPr>
          <w:p w14:paraId="30E7CEB5">
            <w:pPr>
              <w:tabs>
                <w:tab w:val="left" w:pos="1134"/>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甲方（全称）：            （盖章）</w:t>
            </w:r>
          </w:p>
        </w:tc>
        <w:tc>
          <w:tcPr>
            <w:tcW w:w="4560" w:type="dxa"/>
            <w:vAlign w:val="center"/>
          </w:tcPr>
          <w:p w14:paraId="6FB9D7BD">
            <w:pPr>
              <w:tabs>
                <w:tab w:val="left" w:pos="1134"/>
              </w:tabs>
              <w:snapToGrid w:val="0"/>
              <w:spacing w:line="400" w:lineRule="exact"/>
              <w:rPr>
                <w:rFonts w:ascii="宋体" w:hAnsi="宋体" w:cs="宋体"/>
                <w:szCs w:val="21"/>
                <w:highlight w:val="none"/>
              </w:rPr>
            </w:pPr>
            <w:r>
              <w:rPr>
                <w:rFonts w:hint="eastAsia" w:ascii="宋体" w:hAnsi="宋体" w:cs="宋体"/>
                <w:szCs w:val="21"/>
                <w:highlight w:val="none"/>
              </w:rPr>
              <w:t>乙方（全称）：           （盖章）</w:t>
            </w:r>
          </w:p>
        </w:tc>
      </w:tr>
      <w:tr w14:paraId="2354AE4F">
        <w:tblPrEx>
          <w:tblCellMar>
            <w:top w:w="0" w:type="dxa"/>
            <w:left w:w="108" w:type="dxa"/>
            <w:bottom w:w="0" w:type="dxa"/>
            <w:right w:w="108" w:type="dxa"/>
          </w:tblCellMar>
        </w:tblPrEx>
        <w:trPr>
          <w:trHeight w:val="627" w:hRule="atLeast"/>
        </w:trPr>
        <w:tc>
          <w:tcPr>
            <w:tcW w:w="4911" w:type="dxa"/>
            <w:vAlign w:val="center"/>
          </w:tcPr>
          <w:p w14:paraId="35F3EA41">
            <w:pPr>
              <w:tabs>
                <w:tab w:val="left" w:pos="1134"/>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法定代表人或委托代表人：</w:t>
            </w:r>
          </w:p>
        </w:tc>
        <w:tc>
          <w:tcPr>
            <w:tcW w:w="4560" w:type="dxa"/>
            <w:vAlign w:val="center"/>
          </w:tcPr>
          <w:p w14:paraId="5EE3609F">
            <w:pPr>
              <w:tabs>
                <w:tab w:val="left" w:pos="1134"/>
              </w:tabs>
              <w:snapToGrid w:val="0"/>
              <w:spacing w:line="400" w:lineRule="exact"/>
              <w:rPr>
                <w:rFonts w:ascii="宋体" w:hAnsi="宋体" w:cs="宋体"/>
                <w:szCs w:val="21"/>
                <w:highlight w:val="none"/>
              </w:rPr>
            </w:pPr>
            <w:r>
              <w:rPr>
                <w:rFonts w:hint="eastAsia" w:ascii="宋体" w:hAnsi="宋体" w:cs="宋体"/>
                <w:szCs w:val="21"/>
                <w:highlight w:val="none"/>
              </w:rPr>
              <w:t>法定代表人或委托代表人：</w:t>
            </w:r>
          </w:p>
        </w:tc>
      </w:tr>
      <w:tr w14:paraId="0FE53B5D">
        <w:tblPrEx>
          <w:tblCellMar>
            <w:top w:w="0" w:type="dxa"/>
            <w:left w:w="108" w:type="dxa"/>
            <w:bottom w:w="0" w:type="dxa"/>
            <w:right w:w="108" w:type="dxa"/>
          </w:tblCellMar>
        </w:tblPrEx>
        <w:trPr>
          <w:trHeight w:val="627" w:hRule="atLeast"/>
        </w:trPr>
        <w:tc>
          <w:tcPr>
            <w:tcW w:w="4911" w:type="dxa"/>
            <w:vAlign w:val="center"/>
          </w:tcPr>
          <w:p w14:paraId="18A403B6">
            <w:pPr>
              <w:tabs>
                <w:tab w:val="left" w:pos="1134"/>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开户银行：</w:t>
            </w:r>
          </w:p>
        </w:tc>
        <w:tc>
          <w:tcPr>
            <w:tcW w:w="4560" w:type="dxa"/>
            <w:vAlign w:val="center"/>
          </w:tcPr>
          <w:p w14:paraId="35B29E73">
            <w:pPr>
              <w:tabs>
                <w:tab w:val="left" w:pos="1134"/>
              </w:tabs>
              <w:snapToGrid w:val="0"/>
              <w:spacing w:line="400" w:lineRule="exact"/>
              <w:rPr>
                <w:rFonts w:ascii="宋体" w:hAnsi="宋体" w:cs="宋体"/>
                <w:szCs w:val="21"/>
                <w:highlight w:val="none"/>
              </w:rPr>
            </w:pPr>
            <w:r>
              <w:rPr>
                <w:rFonts w:hint="eastAsia" w:ascii="宋体" w:hAnsi="宋体" w:cs="宋体"/>
                <w:szCs w:val="21"/>
                <w:highlight w:val="none"/>
              </w:rPr>
              <w:t>开户银行：</w:t>
            </w:r>
          </w:p>
        </w:tc>
      </w:tr>
      <w:tr w14:paraId="10032205">
        <w:tblPrEx>
          <w:tblCellMar>
            <w:top w:w="0" w:type="dxa"/>
            <w:left w:w="108" w:type="dxa"/>
            <w:bottom w:w="0" w:type="dxa"/>
            <w:right w:w="108" w:type="dxa"/>
          </w:tblCellMar>
        </w:tblPrEx>
        <w:trPr>
          <w:trHeight w:val="627" w:hRule="atLeast"/>
        </w:trPr>
        <w:tc>
          <w:tcPr>
            <w:tcW w:w="4911" w:type="dxa"/>
            <w:vAlign w:val="center"/>
          </w:tcPr>
          <w:p w14:paraId="013969F9">
            <w:pPr>
              <w:tabs>
                <w:tab w:val="left" w:pos="1134"/>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银行账号：</w:t>
            </w:r>
          </w:p>
        </w:tc>
        <w:tc>
          <w:tcPr>
            <w:tcW w:w="4560" w:type="dxa"/>
            <w:vAlign w:val="center"/>
          </w:tcPr>
          <w:p w14:paraId="36ED48FC">
            <w:pPr>
              <w:tabs>
                <w:tab w:val="left" w:pos="1134"/>
              </w:tabs>
              <w:snapToGrid w:val="0"/>
              <w:spacing w:line="400" w:lineRule="exact"/>
              <w:rPr>
                <w:rFonts w:ascii="宋体" w:hAnsi="宋体" w:cs="宋体"/>
                <w:szCs w:val="21"/>
                <w:highlight w:val="none"/>
              </w:rPr>
            </w:pPr>
            <w:r>
              <w:rPr>
                <w:rFonts w:hint="eastAsia" w:ascii="宋体" w:hAnsi="宋体" w:cs="宋体"/>
                <w:szCs w:val="21"/>
                <w:highlight w:val="none"/>
              </w:rPr>
              <w:t>银行账号：</w:t>
            </w:r>
          </w:p>
        </w:tc>
      </w:tr>
      <w:tr w14:paraId="50FF350D">
        <w:tblPrEx>
          <w:tblCellMar>
            <w:top w:w="0" w:type="dxa"/>
            <w:left w:w="108" w:type="dxa"/>
            <w:bottom w:w="0" w:type="dxa"/>
            <w:right w:w="108" w:type="dxa"/>
          </w:tblCellMar>
        </w:tblPrEx>
        <w:trPr>
          <w:trHeight w:val="659" w:hRule="atLeast"/>
        </w:trPr>
        <w:tc>
          <w:tcPr>
            <w:tcW w:w="4911" w:type="dxa"/>
            <w:vAlign w:val="center"/>
          </w:tcPr>
          <w:p w14:paraId="481000FF">
            <w:pPr>
              <w:tabs>
                <w:tab w:val="left" w:pos="1134"/>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年   月   日</w:t>
            </w:r>
          </w:p>
        </w:tc>
        <w:tc>
          <w:tcPr>
            <w:tcW w:w="4560" w:type="dxa"/>
            <w:vAlign w:val="center"/>
          </w:tcPr>
          <w:p w14:paraId="09E99526">
            <w:pPr>
              <w:tabs>
                <w:tab w:val="left" w:pos="1134"/>
              </w:tabs>
              <w:snapToGrid w:val="0"/>
              <w:spacing w:line="400" w:lineRule="exact"/>
              <w:rPr>
                <w:rFonts w:ascii="宋体" w:hAnsi="宋体" w:cs="宋体"/>
                <w:szCs w:val="21"/>
                <w:highlight w:val="none"/>
              </w:rPr>
            </w:pPr>
            <w:r>
              <w:rPr>
                <w:rFonts w:hint="eastAsia" w:ascii="宋体" w:hAnsi="宋体" w:cs="宋体"/>
                <w:szCs w:val="21"/>
                <w:highlight w:val="none"/>
              </w:rPr>
              <w:t>年   月   日</w:t>
            </w:r>
          </w:p>
        </w:tc>
      </w:tr>
    </w:tbl>
    <w:p w14:paraId="22DF851E">
      <w:pPr>
        <w:spacing w:line="400" w:lineRule="exact"/>
        <w:ind w:firstLine="420" w:firstLineChars="200"/>
        <w:rPr>
          <w:rFonts w:ascii="宋体" w:hAnsi="宋体" w:cs="宋体"/>
          <w:highlight w:val="none"/>
        </w:rPr>
        <w:sectPr>
          <w:headerReference r:id="rId8" w:type="default"/>
          <w:footerReference r:id="rId9" w:type="default"/>
          <w:pgSz w:w="11905" w:h="16838"/>
          <w:pgMar w:top="1474" w:right="1474" w:bottom="1474" w:left="1474" w:header="907" w:footer="850" w:gutter="0"/>
          <w:cols w:space="0" w:num="1"/>
          <w:docGrid w:type="lines" w:linePitch="289" w:charSpace="0"/>
        </w:sectPr>
      </w:pPr>
    </w:p>
    <w:bookmarkEnd w:id="33"/>
    <w:p w14:paraId="28764973">
      <w:pPr>
        <w:spacing w:line="360" w:lineRule="auto"/>
        <w:jc w:val="center"/>
        <w:outlineLvl w:val="0"/>
        <w:rPr>
          <w:rFonts w:ascii="宋体" w:hAnsi="宋体" w:cs="宋体"/>
          <w:b/>
          <w:sz w:val="32"/>
          <w:highlight w:val="none"/>
        </w:rPr>
      </w:pPr>
      <w:bookmarkStart w:id="34" w:name="_Toc105926978"/>
      <w:bookmarkStart w:id="35" w:name="_Toc28039"/>
      <w:r>
        <w:rPr>
          <w:rFonts w:hint="eastAsia" w:ascii="宋体" w:hAnsi="宋体" w:cs="宋体"/>
          <w:b/>
          <w:sz w:val="32"/>
          <w:highlight w:val="none"/>
        </w:rPr>
        <w:t>第七章  附件</w:t>
      </w:r>
      <w:bookmarkEnd w:id="34"/>
      <w:bookmarkEnd w:id="35"/>
    </w:p>
    <w:p w14:paraId="02BEDC00">
      <w:pPr>
        <w:autoSpaceDE w:val="0"/>
        <w:autoSpaceDN w:val="0"/>
        <w:adjustRightInd w:val="0"/>
        <w:spacing w:before="960" w:line="420" w:lineRule="exact"/>
        <w:jc w:val="center"/>
        <w:rPr>
          <w:rStyle w:val="120"/>
          <w:rFonts w:ascii="宋体" w:hAnsi="宋体" w:cs="宋体"/>
          <w:sz w:val="32"/>
          <w:szCs w:val="32"/>
          <w:highlight w:val="none"/>
        </w:rPr>
      </w:pPr>
      <w:r>
        <w:rPr>
          <w:rStyle w:val="120"/>
          <w:rFonts w:hint="eastAsia" w:ascii="宋体" w:hAnsi="宋体" w:cs="宋体"/>
          <w:sz w:val="32"/>
          <w:szCs w:val="32"/>
          <w:highlight w:val="none"/>
        </w:rPr>
        <w:t>A.资格文件</w:t>
      </w:r>
    </w:p>
    <w:p w14:paraId="15D37479">
      <w:pPr>
        <w:spacing w:line="360" w:lineRule="auto"/>
        <w:ind w:firstLine="1120" w:firstLineChars="400"/>
        <w:rPr>
          <w:rFonts w:ascii="宋体" w:hAnsi="宋体" w:cs="宋体"/>
          <w:sz w:val="28"/>
          <w:highlight w:val="none"/>
        </w:rPr>
      </w:pPr>
    </w:p>
    <w:p w14:paraId="03747173">
      <w:pPr>
        <w:spacing w:line="360" w:lineRule="auto"/>
        <w:rPr>
          <w:rFonts w:ascii="宋体" w:hAnsi="宋体" w:cs="宋体"/>
          <w:b/>
          <w:sz w:val="32"/>
          <w:szCs w:val="32"/>
          <w:highlight w:val="none"/>
        </w:rPr>
      </w:pPr>
      <w:r>
        <w:rPr>
          <w:rFonts w:hint="eastAsia" w:ascii="宋体" w:hAnsi="宋体" w:cs="宋体"/>
          <w:sz w:val="28"/>
          <w:highlight w:val="none"/>
        </w:rPr>
        <w:br w:type="page"/>
      </w:r>
      <w:r>
        <w:rPr>
          <w:rFonts w:hint="eastAsia" w:ascii="宋体" w:hAnsi="宋体" w:cs="宋体"/>
          <w:b/>
          <w:sz w:val="32"/>
          <w:szCs w:val="32"/>
          <w:highlight w:val="none"/>
        </w:rPr>
        <w:t xml:space="preserve">封面                                       </w:t>
      </w:r>
    </w:p>
    <w:p w14:paraId="627A4506">
      <w:pPr>
        <w:spacing w:line="360" w:lineRule="auto"/>
        <w:jc w:val="right"/>
        <w:rPr>
          <w:rFonts w:ascii="宋体" w:hAnsi="宋体" w:cs="宋体"/>
          <w:b/>
          <w:sz w:val="32"/>
          <w:szCs w:val="32"/>
          <w:highlight w:val="none"/>
        </w:rPr>
      </w:pPr>
      <w:r>
        <w:rPr>
          <w:rFonts w:hint="eastAsia" w:ascii="宋体" w:hAnsi="宋体" w:cs="宋体"/>
          <w:b/>
          <w:sz w:val="32"/>
          <w:szCs w:val="32"/>
          <w:highlight w:val="none"/>
        </w:rPr>
        <w:t>正（副）本</w:t>
      </w:r>
    </w:p>
    <w:p w14:paraId="69B63AC7">
      <w:pPr>
        <w:spacing w:line="360" w:lineRule="auto"/>
        <w:rPr>
          <w:rFonts w:ascii="宋体" w:hAnsi="宋体" w:cs="宋体"/>
          <w:sz w:val="28"/>
          <w:szCs w:val="28"/>
          <w:highlight w:val="none"/>
        </w:rPr>
      </w:pPr>
    </w:p>
    <w:p w14:paraId="13549D40">
      <w:pPr>
        <w:spacing w:line="360" w:lineRule="auto"/>
        <w:jc w:val="center"/>
        <w:rPr>
          <w:rFonts w:ascii="宋体" w:hAnsi="宋体" w:cs="宋体"/>
          <w:b/>
          <w:sz w:val="42"/>
          <w:szCs w:val="52"/>
          <w:highlight w:val="none"/>
        </w:rPr>
      </w:pPr>
      <w:r>
        <w:rPr>
          <w:rFonts w:hint="eastAsia" w:ascii="宋体" w:hAnsi="宋体" w:cs="宋体"/>
          <w:b/>
          <w:sz w:val="40"/>
          <w:szCs w:val="40"/>
          <w:highlight w:val="none"/>
        </w:rPr>
        <w:t>2024年宁波市新生代企业家赴欧洲访学活动承接服务采购项目</w:t>
      </w:r>
    </w:p>
    <w:p w14:paraId="02E3E46B">
      <w:pPr>
        <w:spacing w:line="360" w:lineRule="auto"/>
        <w:rPr>
          <w:rFonts w:ascii="宋体" w:hAnsi="宋体" w:cs="宋体"/>
          <w:sz w:val="42"/>
          <w:szCs w:val="52"/>
          <w:highlight w:val="none"/>
        </w:rPr>
      </w:pPr>
    </w:p>
    <w:p w14:paraId="01965314">
      <w:pPr>
        <w:spacing w:line="360" w:lineRule="auto"/>
        <w:jc w:val="center"/>
        <w:rPr>
          <w:rFonts w:ascii="宋体" w:hAnsi="宋体" w:cs="宋体"/>
          <w:sz w:val="36"/>
          <w:szCs w:val="36"/>
          <w:highlight w:val="none"/>
        </w:rPr>
      </w:pPr>
      <w:r>
        <w:rPr>
          <w:rFonts w:hint="eastAsia" w:ascii="宋体" w:hAnsi="宋体" w:cs="宋体"/>
          <w:sz w:val="36"/>
          <w:szCs w:val="36"/>
          <w:highlight w:val="none"/>
        </w:rPr>
        <w:t>项目编号：</w:t>
      </w:r>
      <w:r>
        <w:rPr>
          <w:rFonts w:hint="eastAsia" w:ascii="宋体" w:hAnsi="宋体" w:cs="宋体"/>
          <w:sz w:val="36"/>
          <w:szCs w:val="36"/>
          <w:highlight w:val="none"/>
          <w:u w:val="single"/>
        </w:rPr>
        <w:t>NBITC-202430916G</w:t>
      </w:r>
    </w:p>
    <w:p w14:paraId="1186EABF">
      <w:pPr>
        <w:spacing w:line="360" w:lineRule="auto"/>
        <w:jc w:val="center"/>
        <w:rPr>
          <w:rFonts w:ascii="宋体" w:hAnsi="宋体" w:cs="宋体"/>
          <w:sz w:val="36"/>
          <w:szCs w:val="36"/>
          <w:highlight w:val="none"/>
        </w:rPr>
      </w:pPr>
      <w:r>
        <w:rPr>
          <w:rFonts w:hint="eastAsia" w:ascii="宋体" w:hAnsi="宋体" w:cs="宋体"/>
          <w:sz w:val="36"/>
          <w:szCs w:val="36"/>
          <w:highlight w:val="none"/>
        </w:rPr>
        <w:t>标    项：</w:t>
      </w:r>
      <w:r>
        <w:rPr>
          <w:rFonts w:hint="eastAsia" w:ascii="宋体" w:hAnsi="宋体" w:cs="宋体"/>
          <w:sz w:val="36"/>
          <w:szCs w:val="36"/>
          <w:highlight w:val="none"/>
          <w:u w:val="single"/>
        </w:rPr>
        <w:t>（如有多个标项）</w:t>
      </w:r>
    </w:p>
    <w:p w14:paraId="0C133464">
      <w:pPr>
        <w:rPr>
          <w:rFonts w:ascii="宋体" w:hAnsi="宋体" w:cs="宋体"/>
          <w:sz w:val="28"/>
          <w:szCs w:val="28"/>
          <w:highlight w:val="none"/>
        </w:rPr>
      </w:pPr>
    </w:p>
    <w:p w14:paraId="75D6AF97">
      <w:pPr>
        <w:spacing w:line="360" w:lineRule="auto"/>
        <w:jc w:val="center"/>
        <w:rPr>
          <w:rFonts w:ascii="宋体" w:hAnsi="宋体" w:cs="宋体"/>
          <w:sz w:val="36"/>
          <w:szCs w:val="36"/>
          <w:highlight w:val="none"/>
        </w:rPr>
      </w:pPr>
      <w:r>
        <w:rPr>
          <w:rFonts w:hint="eastAsia" w:ascii="宋体" w:hAnsi="宋体" w:cs="宋体"/>
          <w:sz w:val="36"/>
          <w:szCs w:val="36"/>
          <w:highlight w:val="none"/>
        </w:rPr>
        <w:t>（资格文件）</w:t>
      </w:r>
    </w:p>
    <w:p w14:paraId="132DFD23">
      <w:pPr>
        <w:jc w:val="center"/>
        <w:rPr>
          <w:rFonts w:ascii="宋体" w:hAnsi="宋体" w:cs="宋体"/>
          <w:sz w:val="28"/>
          <w:szCs w:val="28"/>
          <w:highlight w:val="none"/>
        </w:rPr>
      </w:pPr>
    </w:p>
    <w:p w14:paraId="3F994B26">
      <w:pPr>
        <w:spacing w:line="360" w:lineRule="auto"/>
        <w:jc w:val="center"/>
        <w:rPr>
          <w:rFonts w:ascii="宋体" w:hAnsi="宋体" w:cs="宋体"/>
          <w:b/>
          <w:sz w:val="72"/>
          <w:szCs w:val="72"/>
          <w:highlight w:val="none"/>
        </w:rPr>
      </w:pPr>
      <w:r>
        <w:rPr>
          <w:rFonts w:hint="eastAsia" w:ascii="宋体" w:hAnsi="宋体" w:cs="宋体"/>
          <w:b/>
          <w:sz w:val="72"/>
          <w:szCs w:val="72"/>
          <w:highlight w:val="none"/>
        </w:rPr>
        <w:t>投标文件</w:t>
      </w:r>
    </w:p>
    <w:p w14:paraId="65F4FBCE">
      <w:pPr>
        <w:spacing w:line="360" w:lineRule="auto"/>
        <w:jc w:val="center"/>
        <w:rPr>
          <w:rFonts w:ascii="宋体" w:hAnsi="宋体" w:cs="宋体"/>
          <w:sz w:val="36"/>
          <w:szCs w:val="36"/>
          <w:highlight w:val="none"/>
        </w:rPr>
      </w:pPr>
    </w:p>
    <w:p w14:paraId="4FA9F18A">
      <w:pPr>
        <w:spacing w:line="360" w:lineRule="auto"/>
        <w:jc w:val="center"/>
        <w:rPr>
          <w:rFonts w:ascii="宋体" w:hAnsi="宋体" w:cs="宋体"/>
          <w:sz w:val="36"/>
          <w:szCs w:val="36"/>
          <w:highlight w:val="none"/>
        </w:rPr>
      </w:pPr>
    </w:p>
    <w:p w14:paraId="7393B50E">
      <w:pPr>
        <w:spacing w:line="360" w:lineRule="auto"/>
        <w:jc w:val="center"/>
        <w:rPr>
          <w:rFonts w:ascii="宋体" w:hAnsi="宋体" w:cs="宋体"/>
          <w:sz w:val="36"/>
          <w:szCs w:val="36"/>
          <w:highlight w:val="none"/>
        </w:rPr>
      </w:pPr>
    </w:p>
    <w:p w14:paraId="00F1BCDC">
      <w:pPr>
        <w:spacing w:line="360" w:lineRule="auto"/>
        <w:jc w:val="center"/>
        <w:rPr>
          <w:rFonts w:ascii="宋体" w:hAnsi="宋体" w:cs="宋体"/>
          <w:sz w:val="36"/>
          <w:szCs w:val="36"/>
          <w:highlight w:val="none"/>
          <w:u w:val="single"/>
        </w:rPr>
      </w:pPr>
      <w:r>
        <w:rPr>
          <w:rFonts w:hint="eastAsia" w:ascii="宋体" w:hAnsi="宋体" w:cs="宋体"/>
          <w:sz w:val="36"/>
          <w:szCs w:val="36"/>
          <w:highlight w:val="none"/>
        </w:rPr>
        <w:t>供应商全称：</w:t>
      </w:r>
      <w:r>
        <w:rPr>
          <w:rFonts w:hint="eastAsia" w:ascii="宋体" w:hAnsi="宋体" w:cs="宋体"/>
          <w:sz w:val="36"/>
          <w:szCs w:val="36"/>
          <w:highlight w:val="none"/>
          <w:u w:val="single"/>
        </w:rPr>
        <w:t>（加盖单位公章）</w:t>
      </w:r>
    </w:p>
    <w:p w14:paraId="3C57EFF8">
      <w:pPr>
        <w:pStyle w:val="30"/>
        <w:ind w:left="101" w:leftChars="48" w:firstLine="1920" w:firstLineChars="800"/>
        <w:jc w:val="left"/>
        <w:rPr>
          <w:rFonts w:hAnsi="宋体" w:cs="宋体"/>
          <w:kern w:val="2"/>
          <w:szCs w:val="28"/>
          <w:highlight w:val="none"/>
          <w:u w:val="single"/>
        </w:rPr>
      </w:pPr>
    </w:p>
    <w:p w14:paraId="6A05B39B">
      <w:pPr>
        <w:spacing w:line="360" w:lineRule="auto"/>
        <w:jc w:val="center"/>
        <w:rPr>
          <w:rFonts w:ascii="宋体" w:hAnsi="宋体" w:cs="宋体"/>
          <w:sz w:val="36"/>
          <w:szCs w:val="36"/>
          <w:highlight w:val="none"/>
        </w:rPr>
      </w:pPr>
      <w:r>
        <w:rPr>
          <w:rFonts w:hint="eastAsia" w:ascii="宋体" w:hAnsi="宋体" w:cs="宋体"/>
          <w:sz w:val="36"/>
          <w:szCs w:val="36"/>
          <w:highlight w:val="none"/>
        </w:rPr>
        <w:t>年  月  日</w:t>
      </w:r>
    </w:p>
    <w:p w14:paraId="29AA8B2F">
      <w:pPr>
        <w:spacing w:line="360" w:lineRule="auto"/>
        <w:rPr>
          <w:rStyle w:val="120"/>
          <w:rFonts w:ascii="宋体" w:hAnsi="宋体" w:cs="宋体"/>
          <w:szCs w:val="21"/>
          <w:highlight w:val="none"/>
        </w:rPr>
      </w:pPr>
      <w:r>
        <w:rPr>
          <w:rStyle w:val="120"/>
          <w:rFonts w:hint="eastAsia" w:ascii="宋体" w:hAnsi="宋体" w:cs="宋体"/>
          <w:szCs w:val="21"/>
          <w:highlight w:val="none"/>
        </w:rPr>
        <w:br w:type="page"/>
      </w:r>
    </w:p>
    <w:p w14:paraId="76E80ADA">
      <w:pPr>
        <w:spacing w:line="400" w:lineRule="exact"/>
        <w:jc w:val="center"/>
        <w:rPr>
          <w:rFonts w:ascii="宋体" w:hAnsi="宋体" w:cs="宋体"/>
          <w:b/>
          <w:szCs w:val="21"/>
          <w:highlight w:val="none"/>
        </w:rPr>
      </w:pPr>
      <w:r>
        <w:rPr>
          <w:rFonts w:hint="eastAsia" w:ascii="宋体" w:hAnsi="宋体" w:cs="宋体"/>
          <w:b/>
          <w:szCs w:val="21"/>
          <w:highlight w:val="none"/>
        </w:rPr>
        <w:t>A1.</w:t>
      </w:r>
      <w:r>
        <w:rPr>
          <w:rStyle w:val="120"/>
          <w:rFonts w:hint="eastAsia" w:ascii="宋体" w:hAnsi="宋体" w:cs="宋体"/>
          <w:sz w:val="21"/>
          <w:szCs w:val="21"/>
          <w:highlight w:val="none"/>
        </w:rPr>
        <w:t>关于</w:t>
      </w:r>
      <w:r>
        <w:rPr>
          <w:rFonts w:hint="eastAsia" w:ascii="宋体" w:hAnsi="宋体" w:cs="宋体"/>
          <w:b/>
          <w:szCs w:val="21"/>
          <w:highlight w:val="none"/>
        </w:rPr>
        <w:t>资格的承诺函（联合体参加时联合体成员均须提供）</w:t>
      </w:r>
    </w:p>
    <w:p w14:paraId="41EC9206">
      <w:pPr>
        <w:spacing w:line="400" w:lineRule="exact"/>
        <w:rPr>
          <w:rFonts w:ascii="宋体" w:hAnsi="宋体" w:cs="宋体"/>
          <w:b/>
          <w:szCs w:val="21"/>
          <w:highlight w:val="none"/>
        </w:rPr>
      </w:pPr>
      <w:r>
        <w:rPr>
          <w:rFonts w:hint="eastAsia" w:ascii="宋体" w:hAnsi="宋体" w:cs="宋体"/>
          <w:szCs w:val="21"/>
          <w:highlight w:val="none"/>
        </w:rPr>
        <w:t>致：招标人</w:t>
      </w:r>
    </w:p>
    <w:p w14:paraId="152E2B30">
      <w:pPr>
        <w:spacing w:line="400" w:lineRule="exact"/>
        <w:ind w:firstLine="420" w:firstLineChars="200"/>
        <w:rPr>
          <w:rFonts w:ascii="宋体" w:hAnsi="宋体" w:cs="宋体"/>
          <w:szCs w:val="21"/>
          <w:highlight w:val="none"/>
        </w:rPr>
      </w:pPr>
      <w:r>
        <w:rPr>
          <w:rFonts w:hint="eastAsia" w:ascii="宋体" w:hAnsi="宋体" w:cs="宋体"/>
          <w:bCs/>
          <w:szCs w:val="21"/>
          <w:highlight w:val="none"/>
        </w:rPr>
        <w:t>我单位承诺：</w:t>
      </w:r>
    </w:p>
    <w:p w14:paraId="76281541">
      <w:pPr>
        <w:spacing w:line="400" w:lineRule="exact"/>
        <w:ind w:firstLine="420" w:firstLineChars="200"/>
        <w:rPr>
          <w:rFonts w:ascii="宋体" w:hAnsi="宋体" w:cs="宋体"/>
          <w:szCs w:val="21"/>
          <w:highlight w:val="none"/>
        </w:rPr>
      </w:pPr>
      <w:r>
        <w:rPr>
          <w:rFonts w:hint="eastAsia" w:ascii="宋体" w:hAnsi="宋体" w:cs="宋体"/>
          <w:szCs w:val="21"/>
          <w:highlight w:val="none"/>
        </w:rPr>
        <w:t>我单位满足《中华人民共和国政府采购法》第二十二条 供应商参加政府采购活动应当具备的下列条件：</w:t>
      </w:r>
    </w:p>
    <w:p w14:paraId="11AEF44E">
      <w:pPr>
        <w:spacing w:line="400" w:lineRule="exact"/>
        <w:ind w:firstLine="420" w:firstLineChars="200"/>
        <w:rPr>
          <w:rFonts w:ascii="宋体" w:hAnsi="宋体" w:cs="宋体"/>
          <w:szCs w:val="21"/>
          <w:highlight w:val="none"/>
        </w:rPr>
      </w:pPr>
      <w:r>
        <w:rPr>
          <w:rFonts w:hint="eastAsia" w:ascii="宋体" w:hAnsi="宋体" w:cs="宋体"/>
          <w:szCs w:val="21"/>
          <w:highlight w:val="none"/>
        </w:rPr>
        <w:t>（一）具有独立承担民事责任的能力；</w:t>
      </w:r>
    </w:p>
    <w:p w14:paraId="7861E2D0">
      <w:pPr>
        <w:spacing w:line="400" w:lineRule="exact"/>
        <w:ind w:firstLine="420" w:firstLineChars="200"/>
        <w:rPr>
          <w:rFonts w:ascii="宋体" w:hAnsi="宋体" w:cs="宋体"/>
          <w:szCs w:val="21"/>
          <w:highlight w:val="none"/>
        </w:rPr>
      </w:pPr>
      <w:r>
        <w:rPr>
          <w:rFonts w:hint="eastAsia" w:ascii="宋体" w:hAnsi="宋体" w:cs="宋体"/>
          <w:szCs w:val="21"/>
          <w:highlight w:val="none"/>
        </w:rPr>
        <w:t>（二）具有良好的商业信誉和健全的财务会计制度；</w:t>
      </w:r>
    </w:p>
    <w:p w14:paraId="42770776">
      <w:pPr>
        <w:spacing w:line="400" w:lineRule="exact"/>
        <w:ind w:firstLine="420" w:firstLineChars="200"/>
        <w:rPr>
          <w:rFonts w:ascii="宋体" w:hAnsi="宋体" w:cs="宋体"/>
          <w:szCs w:val="21"/>
          <w:highlight w:val="none"/>
        </w:rPr>
      </w:pPr>
      <w:r>
        <w:rPr>
          <w:rFonts w:hint="eastAsia" w:ascii="宋体" w:hAnsi="宋体" w:cs="宋体"/>
          <w:szCs w:val="21"/>
          <w:highlight w:val="none"/>
        </w:rPr>
        <w:t>（三）具有履行合同所必需的设备和专业技术能力；</w:t>
      </w:r>
    </w:p>
    <w:p w14:paraId="45715FAE">
      <w:pPr>
        <w:spacing w:line="400" w:lineRule="exact"/>
        <w:ind w:firstLine="420" w:firstLineChars="200"/>
        <w:rPr>
          <w:rFonts w:ascii="宋体" w:hAnsi="宋体" w:cs="宋体"/>
          <w:szCs w:val="21"/>
          <w:highlight w:val="none"/>
        </w:rPr>
      </w:pPr>
      <w:r>
        <w:rPr>
          <w:rFonts w:hint="eastAsia" w:ascii="宋体" w:hAnsi="宋体" w:cs="宋体"/>
          <w:szCs w:val="21"/>
          <w:highlight w:val="none"/>
        </w:rPr>
        <w:t>（四）有依法缴纳税收和社会保障资金的良好记录；</w:t>
      </w:r>
    </w:p>
    <w:p w14:paraId="6E706338">
      <w:pPr>
        <w:spacing w:line="400" w:lineRule="exact"/>
        <w:ind w:firstLine="420" w:firstLineChars="200"/>
        <w:rPr>
          <w:rFonts w:ascii="宋体" w:hAnsi="宋体" w:cs="宋体"/>
          <w:szCs w:val="21"/>
          <w:highlight w:val="none"/>
        </w:rPr>
      </w:pPr>
      <w:r>
        <w:rPr>
          <w:rFonts w:hint="eastAsia" w:ascii="宋体" w:hAnsi="宋体" w:cs="宋体"/>
          <w:szCs w:val="21"/>
          <w:highlight w:val="none"/>
        </w:rPr>
        <w:t>（五）参加政府采购活动前三年内，在经营活动中没有重大违法记录；</w:t>
      </w:r>
    </w:p>
    <w:p w14:paraId="40520F3F">
      <w:pPr>
        <w:spacing w:line="400" w:lineRule="exact"/>
        <w:ind w:firstLine="420" w:firstLineChars="200"/>
        <w:rPr>
          <w:rFonts w:ascii="宋体" w:hAnsi="宋体" w:cs="宋体"/>
          <w:szCs w:val="21"/>
          <w:highlight w:val="none"/>
        </w:rPr>
      </w:pPr>
      <w:r>
        <w:rPr>
          <w:rFonts w:hint="eastAsia" w:ascii="宋体" w:hAnsi="宋体" w:cs="宋体"/>
          <w:szCs w:val="21"/>
          <w:highlight w:val="none"/>
        </w:rPr>
        <w:t>（六）法律、行政法规规定的其他条件。</w:t>
      </w:r>
    </w:p>
    <w:p w14:paraId="4050159D">
      <w:pPr>
        <w:spacing w:line="400" w:lineRule="exact"/>
        <w:ind w:firstLine="420" w:firstLineChars="200"/>
        <w:rPr>
          <w:rFonts w:ascii="宋体" w:hAnsi="宋体" w:cs="宋体"/>
          <w:szCs w:val="21"/>
          <w:highlight w:val="none"/>
        </w:rPr>
      </w:pPr>
    </w:p>
    <w:p w14:paraId="61D8826A">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特此承诺。</w:t>
      </w:r>
    </w:p>
    <w:p w14:paraId="12D952A6">
      <w:pPr>
        <w:spacing w:line="400" w:lineRule="exact"/>
        <w:ind w:firstLine="420" w:firstLineChars="200"/>
        <w:rPr>
          <w:rFonts w:ascii="宋体" w:hAnsi="宋体" w:cs="宋体"/>
          <w:szCs w:val="21"/>
          <w:highlight w:val="none"/>
        </w:rPr>
      </w:pPr>
    </w:p>
    <w:p w14:paraId="00C301E3">
      <w:pPr>
        <w:spacing w:line="400" w:lineRule="exact"/>
        <w:ind w:firstLine="420" w:firstLineChars="200"/>
        <w:rPr>
          <w:rFonts w:ascii="宋体" w:hAnsi="宋体" w:cs="宋体"/>
          <w:szCs w:val="21"/>
          <w:highlight w:val="none"/>
        </w:rPr>
      </w:pPr>
      <w:r>
        <w:rPr>
          <w:rFonts w:hint="eastAsia" w:ascii="宋体" w:hAnsi="宋体" w:cs="宋体"/>
          <w:szCs w:val="21"/>
          <w:highlight w:val="none"/>
        </w:rPr>
        <w:t>供应商（盖章）：</w:t>
      </w:r>
    </w:p>
    <w:p w14:paraId="68FE83EB">
      <w:pPr>
        <w:spacing w:line="400" w:lineRule="exact"/>
        <w:ind w:firstLine="420" w:firstLineChars="200"/>
        <w:rPr>
          <w:rFonts w:ascii="宋体" w:hAnsi="宋体" w:cs="宋体"/>
          <w:szCs w:val="21"/>
          <w:highlight w:val="none"/>
        </w:rPr>
      </w:pPr>
      <w:r>
        <w:rPr>
          <w:rFonts w:hint="eastAsia" w:ascii="宋体" w:hAnsi="宋体" w:cs="宋体"/>
          <w:szCs w:val="21"/>
          <w:highlight w:val="none"/>
        </w:rPr>
        <w:t>日          期：</w:t>
      </w:r>
    </w:p>
    <w:p w14:paraId="394AE74D">
      <w:pPr>
        <w:spacing w:line="400" w:lineRule="exact"/>
        <w:jc w:val="lef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A2.营业执照副本（或事业法人登记证副本或其他登记证明材料）复印件并加盖供应商公章（供应商如果有名称变更的，应提供由行政主管部门出具的变更证明文件复印件并加盖供应商公章）</w:t>
      </w:r>
      <w:r>
        <w:rPr>
          <w:rFonts w:hint="eastAsia" w:ascii="宋体" w:hAnsi="宋体" w:cs="宋体"/>
          <w:b/>
          <w:bCs/>
          <w:szCs w:val="21"/>
          <w:highlight w:val="none"/>
        </w:rPr>
        <w:t>（联合体参加时联合体成员均须提供）</w:t>
      </w:r>
      <w:r>
        <w:rPr>
          <w:rFonts w:hint="eastAsia" w:ascii="宋体" w:hAnsi="宋体" w:cs="宋体"/>
          <w:b/>
          <w:szCs w:val="21"/>
          <w:highlight w:val="none"/>
        </w:rPr>
        <w:t>；</w:t>
      </w:r>
    </w:p>
    <w:p w14:paraId="1DEC4130">
      <w:pPr>
        <w:rPr>
          <w:rFonts w:ascii="宋体" w:hAnsi="宋体" w:cs="宋体"/>
          <w:b/>
          <w:szCs w:val="21"/>
          <w:highlight w:val="none"/>
        </w:rPr>
      </w:pPr>
      <w:r>
        <w:rPr>
          <w:rFonts w:hint="eastAsia" w:ascii="宋体" w:hAnsi="宋体" w:cs="宋体"/>
          <w:b/>
          <w:szCs w:val="21"/>
          <w:highlight w:val="none"/>
        </w:rPr>
        <w:br w:type="page"/>
      </w:r>
    </w:p>
    <w:p w14:paraId="0776A7B4">
      <w:pPr>
        <w:spacing w:line="360" w:lineRule="auto"/>
        <w:jc w:val="center"/>
        <w:rPr>
          <w:rFonts w:ascii="宋体" w:hAnsi="宋体" w:cs="宋体"/>
          <w:b/>
          <w:kern w:val="0"/>
          <w:szCs w:val="21"/>
          <w:highlight w:val="none"/>
        </w:rPr>
      </w:pPr>
      <w:r>
        <w:rPr>
          <w:rFonts w:hint="eastAsia" w:ascii="宋体" w:hAnsi="宋体" w:cs="宋体"/>
          <w:b/>
          <w:bCs/>
          <w:szCs w:val="21"/>
          <w:highlight w:val="none"/>
        </w:rPr>
        <w:t>A3.</w:t>
      </w:r>
      <w:r>
        <w:rPr>
          <w:rFonts w:hint="eastAsia" w:ascii="宋体" w:hAnsi="宋体" w:cs="宋体"/>
          <w:b/>
          <w:kern w:val="0"/>
          <w:szCs w:val="21"/>
          <w:highlight w:val="none"/>
        </w:rPr>
        <w:t>联合体协议书</w:t>
      </w:r>
    </w:p>
    <w:p w14:paraId="4A64480A">
      <w:pPr>
        <w:spacing w:line="360" w:lineRule="auto"/>
        <w:jc w:val="center"/>
        <w:rPr>
          <w:rFonts w:ascii="宋体" w:hAnsi="宋体" w:cs="宋体"/>
          <w:szCs w:val="21"/>
          <w:highlight w:val="none"/>
        </w:rPr>
      </w:pPr>
      <w:r>
        <w:rPr>
          <w:rFonts w:hint="eastAsia" w:ascii="宋体" w:hAnsi="宋体" w:cs="宋体"/>
          <w:szCs w:val="21"/>
          <w:highlight w:val="none"/>
        </w:rPr>
        <w:t>（如是联合体的，提供本协议书）</w:t>
      </w:r>
    </w:p>
    <w:p w14:paraId="77014B98">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（所有成员单位名称）  </w:t>
      </w:r>
      <w:r>
        <w:rPr>
          <w:rFonts w:hint="eastAsia" w:ascii="宋体" w:hAnsi="宋体" w:cs="宋体"/>
          <w:szCs w:val="21"/>
          <w:highlight w:val="none"/>
        </w:rPr>
        <w:t>自愿组成联合体，共同参加</w:t>
      </w:r>
      <w:r>
        <w:rPr>
          <w:rFonts w:hint="eastAsia" w:ascii="宋体" w:hAnsi="宋体" w:cs="宋体"/>
          <w:szCs w:val="21"/>
          <w:highlight w:val="none"/>
          <w:u w:val="single"/>
        </w:rPr>
        <w:t xml:space="preserve">   （招标项目名称）   </w:t>
      </w:r>
      <w:r>
        <w:rPr>
          <w:rFonts w:hint="eastAsia" w:ascii="宋体" w:hAnsi="宋体" w:cs="宋体"/>
          <w:szCs w:val="21"/>
          <w:highlight w:val="none"/>
        </w:rPr>
        <w:t>招标项目投标。现就联合体投标事宜订立如下协议。</w:t>
      </w:r>
    </w:p>
    <w:p w14:paraId="2677BA65">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（某成员单位名称）     </w:t>
      </w:r>
      <w:r>
        <w:rPr>
          <w:rFonts w:hint="eastAsia" w:ascii="宋体" w:hAnsi="宋体" w:cs="宋体"/>
          <w:szCs w:val="21"/>
          <w:highlight w:val="none"/>
        </w:rPr>
        <w:t>为本联合体的牵头人。</w:t>
      </w:r>
    </w:p>
    <w:p w14:paraId="7733A436">
      <w:pPr>
        <w:spacing w:line="360" w:lineRule="auto"/>
        <w:ind w:firstLine="420" w:firstLineChars="200"/>
        <w:rPr>
          <w:rFonts w:ascii="宋体" w:hAnsi="宋体" w:cs="宋体"/>
          <w:szCs w:val="21"/>
          <w:highlight w:val="none"/>
        </w:rPr>
      </w:pPr>
      <w:r>
        <w:rPr>
          <w:rFonts w:hint="eastAsia" w:ascii="宋体" w:hAnsi="宋体" w:cs="宋体"/>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604ECA1C">
      <w:pPr>
        <w:spacing w:line="360" w:lineRule="auto"/>
        <w:ind w:firstLine="420" w:firstLineChars="200"/>
        <w:rPr>
          <w:rFonts w:ascii="宋体" w:hAnsi="宋体" w:cs="宋体"/>
          <w:szCs w:val="21"/>
          <w:highlight w:val="none"/>
        </w:rPr>
      </w:pPr>
      <w:r>
        <w:rPr>
          <w:rFonts w:hint="eastAsia" w:ascii="宋体" w:hAnsi="宋体" w:cs="宋体"/>
          <w:szCs w:val="21"/>
          <w:highlight w:val="none"/>
        </w:rPr>
        <w:t>3.联合体牵头人在本项目中签署的一切文件和处理的一切事宜，联合体各成员均予以承认。联合体各成员将严格按照招标文件、投标文件和合同的要求全面履行义务，并向采购人承担连带责任。</w:t>
      </w:r>
    </w:p>
    <w:p w14:paraId="35D3C45D">
      <w:pPr>
        <w:spacing w:line="360" w:lineRule="auto"/>
        <w:ind w:firstLine="420" w:firstLineChars="200"/>
        <w:rPr>
          <w:rFonts w:ascii="宋体" w:hAnsi="宋体" w:cs="宋体"/>
          <w:szCs w:val="21"/>
          <w:highlight w:val="none"/>
        </w:rPr>
      </w:pPr>
      <w:r>
        <w:rPr>
          <w:rFonts w:hint="eastAsia" w:ascii="宋体" w:hAnsi="宋体" w:cs="宋体"/>
          <w:szCs w:val="21"/>
          <w:highlight w:val="none"/>
        </w:rPr>
        <w:t>4.联合体各成员单位内部的职责分工如下：</w:t>
      </w:r>
      <w:r>
        <w:rPr>
          <w:rFonts w:hint="eastAsia" w:ascii="宋体" w:hAnsi="宋体" w:cs="宋体"/>
          <w:szCs w:val="21"/>
          <w:highlight w:val="none"/>
          <w:u w:val="single"/>
        </w:rPr>
        <w:t xml:space="preserve">                  </w:t>
      </w:r>
      <w:r>
        <w:rPr>
          <w:rFonts w:hint="eastAsia" w:ascii="宋体" w:hAnsi="宋体" w:cs="宋体"/>
          <w:szCs w:val="21"/>
          <w:highlight w:val="none"/>
        </w:rPr>
        <w:t>。按照本条上述分工，联合体成员单位各自所承担的合同工作量比例如下：</w:t>
      </w:r>
      <w:r>
        <w:rPr>
          <w:rFonts w:hint="eastAsia" w:ascii="宋体" w:hAnsi="宋体" w:cs="宋体"/>
          <w:szCs w:val="21"/>
          <w:highlight w:val="none"/>
          <w:u w:val="single"/>
        </w:rPr>
        <w:t xml:space="preserve">                         </w:t>
      </w:r>
      <w:r>
        <w:rPr>
          <w:rFonts w:hint="eastAsia" w:ascii="宋体" w:hAnsi="宋体" w:cs="宋体"/>
          <w:szCs w:val="21"/>
          <w:highlight w:val="none"/>
        </w:rPr>
        <w:t>。</w:t>
      </w:r>
    </w:p>
    <w:p w14:paraId="1A66F2A2">
      <w:pPr>
        <w:spacing w:line="360" w:lineRule="auto"/>
        <w:ind w:firstLine="420" w:firstLineChars="200"/>
        <w:rPr>
          <w:rFonts w:ascii="宋体" w:hAnsi="宋体" w:cs="宋体"/>
          <w:szCs w:val="21"/>
          <w:highlight w:val="none"/>
        </w:rPr>
      </w:pPr>
      <w:r>
        <w:rPr>
          <w:rFonts w:hint="eastAsia" w:ascii="宋体" w:hAnsi="宋体" w:cs="宋体"/>
          <w:szCs w:val="21"/>
          <w:highlight w:val="none"/>
        </w:rPr>
        <w:t>5.本协议书自所有成员单位法定代表人或其委托代理人签字（或盖章）或盖单位章之日起生效，合同履行完毕后自动失效。</w:t>
      </w:r>
    </w:p>
    <w:p w14:paraId="20A7A773">
      <w:pPr>
        <w:spacing w:line="360" w:lineRule="auto"/>
        <w:ind w:firstLine="420" w:firstLineChars="200"/>
        <w:rPr>
          <w:rFonts w:ascii="宋体" w:hAnsi="宋体" w:cs="宋体"/>
          <w:szCs w:val="21"/>
          <w:highlight w:val="none"/>
        </w:rPr>
      </w:pPr>
      <w:r>
        <w:rPr>
          <w:rFonts w:hint="eastAsia" w:ascii="宋体" w:hAnsi="宋体" w:cs="宋体"/>
          <w:szCs w:val="21"/>
          <w:highlight w:val="none"/>
        </w:rPr>
        <w:t>6.本协议书一式</w:t>
      </w:r>
      <w:r>
        <w:rPr>
          <w:rFonts w:hint="eastAsia" w:ascii="宋体" w:hAnsi="宋体" w:cs="宋体"/>
          <w:szCs w:val="21"/>
          <w:highlight w:val="none"/>
          <w:u w:val="single"/>
        </w:rPr>
        <w:t xml:space="preserve">      </w:t>
      </w:r>
      <w:r>
        <w:rPr>
          <w:rFonts w:hint="eastAsia" w:ascii="宋体" w:hAnsi="宋体" w:cs="宋体"/>
          <w:szCs w:val="21"/>
          <w:highlight w:val="none"/>
        </w:rPr>
        <w:t>份，联合体成员和采购人各执一份。</w:t>
      </w:r>
    </w:p>
    <w:p w14:paraId="75B9D421">
      <w:pPr>
        <w:spacing w:line="360" w:lineRule="auto"/>
        <w:rPr>
          <w:rFonts w:ascii="宋体" w:hAnsi="宋体" w:cs="宋体"/>
          <w:szCs w:val="21"/>
          <w:highlight w:val="none"/>
        </w:rPr>
      </w:pPr>
    </w:p>
    <w:p w14:paraId="4FA98BC3">
      <w:pPr>
        <w:spacing w:line="360" w:lineRule="auto"/>
        <w:ind w:firstLine="2704" w:firstLineChars="1288"/>
        <w:rPr>
          <w:rFonts w:ascii="宋体" w:hAnsi="宋体" w:cs="宋体"/>
          <w:szCs w:val="21"/>
          <w:highlight w:val="none"/>
        </w:rPr>
      </w:pPr>
      <w:r>
        <w:rPr>
          <w:rFonts w:hint="eastAsia" w:ascii="宋体" w:hAnsi="宋体" w:cs="宋体"/>
          <w:szCs w:val="21"/>
          <w:highlight w:val="none"/>
        </w:rPr>
        <w:t>牵头人名称：</w:t>
      </w:r>
      <w:r>
        <w:rPr>
          <w:rFonts w:hint="eastAsia" w:ascii="宋体" w:hAnsi="宋体" w:cs="宋体"/>
          <w:szCs w:val="21"/>
          <w:highlight w:val="none"/>
          <w:u w:val="single"/>
        </w:rPr>
        <w:t xml:space="preserve">                （盖单位章）        </w:t>
      </w:r>
    </w:p>
    <w:p w14:paraId="76CD77DC">
      <w:pPr>
        <w:spacing w:line="360" w:lineRule="auto"/>
        <w:ind w:firstLine="2704" w:firstLineChars="1288"/>
        <w:rPr>
          <w:rFonts w:ascii="宋体" w:hAnsi="宋体" w:cs="宋体"/>
          <w:szCs w:val="21"/>
          <w:highlight w:val="none"/>
          <w:u w:val="single"/>
        </w:rPr>
      </w:pPr>
      <w:r>
        <w:rPr>
          <w:rFonts w:hint="eastAsia" w:ascii="宋体" w:hAnsi="宋体" w:cs="宋体"/>
          <w:szCs w:val="21"/>
          <w:highlight w:val="none"/>
        </w:rPr>
        <w:t>法定代表人或其授权代表：</w:t>
      </w:r>
      <w:r>
        <w:rPr>
          <w:rFonts w:hint="eastAsia" w:ascii="宋体" w:hAnsi="宋体" w:cs="宋体"/>
          <w:szCs w:val="21"/>
          <w:highlight w:val="none"/>
          <w:u w:val="single"/>
        </w:rPr>
        <w:t xml:space="preserve">     （签字或盖章）     </w:t>
      </w:r>
    </w:p>
    <w:p w14:paraId="51B8C411">
      <w:pPr>
        <w:spacing w:line="360" w:lineRule="auto"/>
        <w:ind w:firstLine="2704" w:firstLineChars="1288"/>
        <w:rPr>
          <w:rFonts w:ascii="宋体" w:hAnsi="宋体" w:cs="宋体"/>
          <w:szCs w:val="21"/>
          <w:highlight w:val="none"/>
        </w:rPr>
      </w:pPr>
    </w:p>
    <w:p w14:paraId="74273350">
      <w:pPr>
        <w:spacing w:line="360" w:lineRule="auto"/>
        <w:ind w:firstLine="2704" w:firstLineChars="1288"/>
        <w:rPr>
          <w:rFonts w:ascii="宋体" w:hAnsi="宋体" w:cs="宋体"/>
          <w:szCs w:val="21"/>
          <w:highlight w:val="none"/>
        </w:rPr>
      </w:pPr>
      <w:r>
        <w:rPr>
          <w:rFonts w:hint="eastAsia" w:ascii="宋体" w:hAnsi="宋体" w:cs="宋体"/>
          <w:szCs w:val="21"/>
          <w:highlight w:val="none"/>
        </w:rPr>
        <w:t>成员一名称：</w:t>
      </w:r>
      <w:r>
        <w:rPr>
          <w:rFonts w:hint="eastAsia" w:ascii="宋体" w:hAnsi="宋体" w:cs="宋体"/>
          <w:szCs w:val="21"/>
          <w:highlight w:val="none"/>
          <w:u w:val="single"/>
        </w:rPr>
        <w:t xml:space="preserve">                （盖单位章）        </w:t>
      </w:r>
    </w:p>
    <w:p w14:paraId="0756A5EA">
      <w:pPr>
        <w:spacing w:line="360" w:lineRule="auto"/>
        <w:ind w:firstLine="2704" w:firstLineChars="1288"/>
        <w:rPr>
          <w:rFonts w:ascii="宋体" w:hAnsi="宋体" w:cs="宋体"/>
          <w:szCs w:val="21"/>
          <w:highlight w:val="none"/>
          <w:u w:val="single"/>
        </w:rPr>
      </w:pPr>
      <w:r>
        <w:rPr>
          <w:rFonts w:hint="eastAsia" w:ascii="宋体" w:hAnsi="宋体" w:cs="宋体"/>
          <w:szCs w:val="21"/>
          <w:highlight w:val="none"/>
        </w:rPr>
        <w:t>法定代表人或其授权代表：</w:t>
      </w:r>
      <w:r>
        <w:rPr>
          <w:rFonts w:hint="eastAsia" w:ascii="宋体" w:hAnsi="宋体" w:cs="宋体"/>
          <w:szCs w:val="21"/>
          <w:highlight w:val="none"/>
          <w:u w:val="single"/>
        </w:rPr>
        <w:t xml:space="preserve">     （签字或盖章）     </w:t>
      </w:r>
    </w:p>
    <w:p w14:paraId="30E0C616">
      <w:pPr>
        <w:spacing w:line="360" w:lineRule="auto"/>
        <w:ind w:firstLine="2704" w:firstLineChars="1288"/>
        <w:rPr>
          <w:rFonts w:ascii="宋体" w:hAnsi="宋体" w:cs="宋体"/>
          <w:szCs w:val="21"/>
          <w:highlight w:val="none"/>
        </w:rPr>
      </w:pPr>
    </w:p>
    <w:p w14:paraId="15297572">
      <w:pPr>
        <w:spacing w:line="360" w:lineRule="auto"/>
        <w:ind w:firstLine="2704" w:firstLineChars="1288"/>
        <w:rPr>
          <w:rFonts w:ascii="宋体" w:hAnsi="宋体" w:cs="宋体"/>
          <w:szCs w:val="21"/>
          <w:highlight w:val="none"/>
        </w:rPr>
      </w:pPr>
      <w:r>
        <w:rPr>
          <w:rFonts w:hint="eastAsia" w:ascii="宋体" w:hAnsi="宋体" w:cs="宋体"/>
          <w:szCs w:val="21"/>
          <w:highlight w:val="none"/>
        </w:rPr>
        <w:t>成员二名称：</w:t>
      </w:r>
      <w:r>
        <w:rPr>
          <w:rFonts w:hint="eastAsia" w:ascii="宋体" w:hAnsi="宋体" w:cs="宋体"/>
          <w:szCs w:val="21"/>
          <w:highlight w:val="none"/>
          <w:u w:val="single"/>
        </w:rPr>
        <w:t xml:space="preserve">                （盖单位章）        </w:t>
      </w:r>
    </w:p>
    <w:p w14:paraId="4CE2270E">
      <w:pPr>
        <w:spacing w:line="360" w:lineRule="auto"/>
        <w:ind w:firstLine="2704" w:firstLineChars="1288"/>
        <w:rPr>
          <w:rFonts w:ascii="宋体" w:hAnsi="宋体" w:cs="宋体"/>
          <w:szCs w:val="21"/>
          <w:highlight w:val="none"/>
          <w:u w:val="single"/>
        </w:rPr>
      </w:pPr>
      <w:r>
        <w:rPr>
          <w:rFonts w:hint="eastAsia" w:ascii="宋体" w:hAnsi="宋体" w:cs="宋体"/>
          <w:szCs w:val="21"/>
          <w:highlight w:val="none"/>
        </w:rPr>
        <w:t>法定代表人或其授权代表：</w:t>
      </w:r>
      <w:r>
        <w:rPr>
          <w:rFonts w:hint="eastAsia" w:ascii="宋体" w:hAnsi="宋体" w:cs="宋体"/>
          <w:szCs w:val="21"/>
          <w:highlight w:val="none"/>
          <w:u w:val="single"/>
        </w:rPr>
        <w:t xml:space="preserve">     （签字或盖章）     </w:t>
      </w:r>
    </w:p>
    <w:p w14:paraId="2AD93EF0">
      <w:pPr>
        <w:spacing w:line="360" w:lineRule="auto"/>
        <w:ind w:firstLine="2704" w:firstLineChars="1288"/>
        <w:rPr>
          <w:rFonts w:ascii="宋体" w:hAnsi="宋体" w:cs="宋体"/>
          <w:szCs w:val="21"/>
          <w:highlight w:val="none"/>
        </w:rPr>
      </w:pPr>
      <w:r>
        <w:rPr>
          <w:rFonts w:hint="eastAsia" w:ascii="宋体" w:hAnsi="宋体" w:cs="宋体"/>
          <w:szCs w:val="21"/>
          <w:highlight w:val="none"/>
        </w:rPr>
        <w:t>……</w:t>
      </w:r>
    </w:p>
    <w:p w14:paraId="088F8AA2">
      <w:pPr>
        <w:spacing w:line="360" w:lineRule="auto"/>
        <w:ind w:firstLine="2730" w:firstLineChars="1300"/>
        <w:jc w:val="righ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8D5F3E9">
      <w:pPr>
        <w:spacing w:line="360" w:lineRule="auto"/>
        <w:ind w:firstLine="2730" w:firstLineChars="1300"/>
        <w:jc w:val="right"/>
        <w:rPr>
          <w:rFonts w:ascii="宋体" w:hAnsi="宋体" w:cs="宋体"/>
          <w:szCs w:val="21"/>
          <w:highlight w:val="none"/>
        </w:rPr>
      </w:pPr>
    </w:p>
    <w:p w14:paraId="75C2ED8C">
      <w:pPr>
        <w:spacing w:line="400" w:lineRule="exact"/>
        <w:ind w:firstLine="420" w:firstLineChars="200"/>
        <w:jc w:val="center"/>
        <w:rPr>
          <w:rFonts w:ascii="宋体" w:hAnsi="宋体" w:cs="宋体"/>
          <w:szCs w:val="21"/>
          <w:highlight w:val="none"/>
        </w:rPr>
      </w:pPr>
    </w:p>
    <w:p w14:paraId="7DAC2D71">
      <w:pPr>
        <w:pStyle w:val="2"/>
        <w:spacing w:before="144" w:after="144"/>
        <w:ind w:left="0" w:firstLine="0"/>
        <w:rPr>
          <w:highlight w:val="none"/>
        </w:rPr>
      </w:pPr>
      <w:r>
        <w:rPr>
          <w:rFonts w:hint="eastAsia" w:ascii="宋体" w:hAnsi="宋体" w:cs="宋体"/>
          <w:highlight w:val="none"/>
        </w:rPr>
        <w:t>注：联合体协议书须由联合体所有成员盖单位章，并由其法定代表人或其授权代表签字或盖章，否则作否决投标处理。</w:t>
      </w:r>
    </w:p>
    <w:p w14:paraId="1BD1D43C">
      <w:pPr>
        <w:pStyle w:val="265"/>
        <w:spacing w:before="0" w:after="0" w:line="400" w:lineRule="exact"/>
        <w:ind w:firstLine="0"/>
        <w:jc w:val="center"/>
        <w:rPr>
          <w:rStyle w:val="120"/>
          <w:rFonts w:ascii="宋体" w:hAnsi="宋体" w:cs="宋体"/>
          <w:sz w:val="32"/>
          <w:szCs w:val="32"/>
          <w:highlight w:val="none"/>
        </w:rPr>
      </w:pPr>
      <w:bookmarkStart w:id="36" w:name="_Toc16913"/>
      <w:bookmarkStart w:id="37" w:name="_Toc21541026"/>
      <w:bookmarkStart w:id="38" w:name="_Toc44162157"/>
      <w:r>
        <w:rPr>
          <w:rStyle w:val="120"/>
          <w:rFonts w:hint="eastAsia" w:ascii="宋体" w:hAnsi="宋体" w:cs="宋体"/>
          <w:sz w:val="32"/>
          <w:szCs w:val="32"/>
          <w:highlight w:val="none"/>
        </w:rPr>
        <w:br w:type="page"/>
      </w:r>
      <w:r>
        <w:rPr>
          <w:rStyle w:val="120"/>
          <w:rFonts w:hint="eastAsia" w:ascii="宋体" w:hAnsi="宋体" w:cs="宋体"/>
          <w:sz w:val="32"/>
          <w:szCs w:val="32"/>
          <w:highlight w:val="none"/>
        </w:rPr>
        <w:t>B.商务和技术文件</w:t>
      </w:r>
      <w:bookmarkEnd w:id="36"/>
      <w:bookmarkEnd w:id="37"/>
      <w:bookmarkEnd w:id="38"/>
    </w:p>
    <w:p w14:paraId="7F87A4B9">
      <w:pPr>
        <w:autoSpaceDE w:val="0"/>
        <w:autoSpaceDN w:val="0"/>
        <w:adjustRightInd w:val="0"/>
        <w:spacing w:line="420" w:lineRule="exact"/>
        <w:rPr>
          <w:rStyle w:val="120"/>
          <w:rFonts w:ascii="宋体" w:hAnsi="宋体" w:cs="宋体"/>
          <w:b w:val="0"/>
          <w:highlight w:val="none"/>
          <w:lang w:val="zh-CN"/>
        </w:rPr>
      </w:pPr>
      <w:r>
        <w:rPr>
          <w:rStyle w:val="120"/>
          <w:rFonts w:hint="eastAsia" w:ascii="宋体" w:hAnsi="宋体" w:cs="宋体"/>
          <w:sz w:val="32"/>
          <w:szCs w:val="32"/>
          <w:highlight w:val="none"/>
        </w:rPr>
        <w:br w:type="page"/>
      </w:r>
      <w:r>
        <w:rPr>
          <w:rStyle w:val="120"/>
          <w:rFonts w:hint="eastAsia" w:ascii="宋体" w:hAnsi="宋体" w:cs="宋体"/>
          <w:szCs w:val="21"/>
          <w:highlight w:val="none"/>
        </w:rPr>
        <w:t>封面</w:t>
      </w:r>
    </w:p>
    <w:p w14:paraId="50803051">
      <w:pPr>
        <w:spacing w:line="360" w:lineRule="auto"/>
        <w:ind w:firstLine="1285" w:firstLineChars="400"/>
        <w:jc w:val="right"/>
        <w:rPr>
          <w:rFonts w:ascii="宋体" w:hAnsi="宋体" w:cs="宋体"/>
          <w:b/>
          <w:sz w:val="32"/>
          <w:szCs w:val="32"/>
          <w:highlight w:val="none"/>
        </w:rPr>
      </w:pPr>
      <w:r>
        <w:rPr>
          <w:rFonts w:hint="eastAsia" w:ascii="宋体" w:hAnsi="宋体" w:cs="宋体"/>
          <w:b/>
          <w:sz w:val="32"/>
          <w:szCs w:val="32"/>
          <w:highlight w:val="none"/>
        </w:rPr>
        <w:t>正本</w:t>
      </w:r>
    </w:p>
    <w:p w14:paraId="2448940C">
      <w:pPr>
        <w:spacing w:line="360" w:lineRule="auto"/>
        <w:rPr>
          <w:rFonts w:ascii="宋体" w:hAnsi="宋体" w:cs="宋体"/>
          <w:sz w:val="28"/>
          <w:szCs w:val="28"/>
          <w:highlight w:val="none"/>
        </w:rPr>
      </w:pPr>
    </w:p>
    <w:p w14:paraId="0F3B9F23">
      <w:pPr>
        <w:spacing w:after="120" w:line="900" w:lineRule="exact"/>
        <w:jc w:val="center"/>
        <w:rPr>
          <w:rFonts w:ascii="宋体" w:hAnsi="宋体" w:cs="宋体"/>
          <w:b/>
          <w:sz w:val="40"/>
          <w:szCs w:val="40"/>
          <w:highlight w:val="none"/>
        </w:rPr>
      </w:pPr>
      <w:r>
        <w:rPr>
          <w:rFonts w:hint="eastAsia" w:ascii="宋体" w:hAnsi="宋体" w:cs="宋体"/>
          <w:b/>
          <w:sz w:val="40"/>
          <w:szCs w:val="40"/>
          <w:highlight w:val="none"/>
        </w:rPr>
        <w:t>2024年宁波市新生代企业家赴欧洲访学活动承接服务采购项目</w:t>
      </w:r>
    </w:p>
    <w:p w14:paraId="41ACDB2D">
      <w:pPr>
        <w:spacing w:line="360" w:lineRule="auto"/>
        <w:jc w:val="center"/>
        <w:rPr>
          <w:rFonts w:ascii="宋体" w:hAnsi="宋体" w:cs="宋体"/>
          <w:sz w:val="36"/>
          <w:szCs w:val="36"/>
          <w:highlight w:val="none"/>
          <w:u w:val="single"/>
        </w:rPr>
      </w:pPr>
    </w:p>
    <w:p w14:paraId="2AEEA992">
      <w:pPr>
        <w:spacing w:line="360" w:lineRule="auto"/>
        <w:jc w:val="center"/>
        <w:rPr>
          <w:rFonts w:ascii="宋体" w:hAnsi="宋体" w:cs="宋体"/>
          <w:sz w:val="36"/>
          <w:szCs w:val="36"/>
          <w:highlight w:val="none"/>
          <w:u w:val="single"/>
        </w:rPr>
      </w:pPr>
      <w:r>
        <w:rPr>
          <w:rFonts w:hint="eastAsia" w:ascii="宋体" w:hAnsi="宋体" w:cs="宋体"/>
          <w:sz w:val="36"/>
          <w:szCs w:val="36"/>
          <w:highlight w:val="none"/>
        </w:rPr>
        <w:t>项目编号：</w:t>
      </w:r>
      <w:r>
        <w:rPr>
          <w:rFonts w:hint="eastAsia" w:ascii="宋体" w:hAnsi="宋体" w:cs="宋体"/>
          <w:sz w:val="36"/>
          <w:szCs w:val="36"/>
          <w:highlight w:val="none"/>
          <w:u w:val="single"/>
        </w:rPr>
        <w:t>NBITC-202430916G</w:t>
      </w:r>
    </w:p>
    <w:p w14:paraId="0C1B11EC">
      <w:pPr>
        <w:spacing w:line="360" w:lineRule="auto"/>
        <w:jc w:val="center"/>
        <w:rPr>
          <w:rFonts w:ascii="宋体" w:hAnsi="宋体" w:cs="宋体"/>
          <w:sz w:val="36"/>
          <w:szCs w:val="36"/>
          <w:highlight w:val="none"/>
        </w:rPr>
      </w:pPr>
      <w:r>
        <w:rPr>
          <w:rFonts w:hint="eastAsia" w:ascii="宋体" w:hAnsi="宋体" w:cs="宋体"/>
          <w:sz w:val="36"/>
          <w:szCs w:val="36"/>
          <w:highlight w:val="none"/>
        </w:rPr>
        <w:t>标    项：</w:t>
      </w:r>
      <w:r>
        <w:rPr>
          <w:rFonts w:hint="eastAsia" w:ascii="宋体" w:hAnsi="宋体" w:cs="宋体"/>
          <w:sz w:val="36"/>
          <w:szCs w:val="36"/>
          <w:highlight w:val="none"/>
          <w:u w:val="single"/>
        </w:rPr>
        <w:t>（如有多个标项）</w:t>
      </w:r>
    </w:p>
    <w:p w14:paraId="119F5B90">
      <w:pPr>
        <w:rPr>
          <w:rFonts w:ascii="宋体" w:hAnsi="宋体" w:cs="宋体"/>
          <w:sz w:val="28"/>
          <w:szCs w:val="28"/>
          <w:highlight w:val="none"/>
        </w:rPr>
      </w:pPr>
    </w:p>
    <w:p w14:paraId="66A5D60A">
      <w:pPr>
        <w:spacing w:line="360" w:lineRule="auto"/>
        <w:jc w:val="center"/>
        <w:rPr>
          <w:rFonts w:ascii="宋体" w:hAnsi="宋体" w:cs="宋体"/>
          <w:sz w:val="36"/>
          <w:szCs w:val="36"/>
          <w:highlight w:val="none"/>
        </w:rPr>
      </w:pPr>
      <w:r>
        <w:rPr>
          <w:rFonts w:hint="eastAsia" w:ascii="宋体" w:hAnsi="宋体" w:cs="宋体"/>
          <w:sz w:val="36"/>
          <w:szCs w:val="36"/>
          <w:highlight w:val="none"/>
        </w:rPr>
        <w:t>（商务和技术文件）</w:t>
      </w:r>
    </w:p>
    <w:p w14:paraId="791C58F6">
      <w:pPr>
        <w:jc w:val="center"/>
        <w:rPr>
          <w:rFonts w:ascii="宋体" w:hAnsi="宋体" w:cs="宋体"/>
          <w:sz w:val="28"/>
          <w:szCs w:val="28"/>
          <w:highlight w:val="none"/>
        </w:rPr>
      </w:pPr>
    </w:p>
    <w:p w14:paraId="38A8F0CC">
      <w:pPr>
        <w:spacing w:line="360" w:lineRule="auto"/>
        <w:jc w:val="center"/>
        <w:rPr>
          <w:rFonts w:ascii="宋体" w:hAnsi="宋体" w:cs="宋体"/>
          <w:b/>
          <w:sz w:val="72"/>
          <w:szCs w:val="72"/>
          <w:highlight w:val="none"/>
        </w:rPr>
      </w:pPr>
    </w:p>
    <w:p w14:paraId="00221D1D">
      <w:pPr>
        <w:spacing w:line="360" w:lineRule="auto"/>
        <w:jc w:val="center"/>
        <w:rPr>
          <w:rFonts w:ascii="宋体" w:hAnsi="宋体" w:cs="宋体"/>
          <w:b/>
          <w:sz w:val="72"/>
          <w:szCs w:val="72"/>
          <w:highlight w:val="none"/>
        </w:rPr>
      </w:pPr>
      <w:r>
        <w:rPr>
          <w:rFonts w:hint="eastAsia" w:ascii="宋体" w:hAnsi="宋体" w:cs="宋体"/>
          <w:b/>
          <w:sz w:val="72"/>
          <w:szCs w:val="72"/>
          <w:highlight w:val="none"/>
        </w:rPr>
        <w:t>投标文件</w:t>
      </w:r>
    </w:p>
    <w:p w14:paraId="0B9B1F34">
      <w:pPr>
        <w:spacing w:line="360" w:lineRule="auto"/>
        <w:jc w:val="center"/>
        <w:rPr>
          <w:rFonts w:ascii="宋体" w:hAnsi="宋体" w:cs="宋体"/>
          <w:sz w:val="36"/>
          <w:szCs w:val="36"/>
          <w:highlight w:val="none"/>
        </w:rPr>
      </w:pPr>
    </w:p>
    <w:p w14:paraId="3011A93A">
      <w:pPr>
        <w:spacing w:line="360" w:lineRule="auto"/>
        <w:jc w:val="center"/>
        <w:rPr>
          <w:rFonts w:ascii="宋体" w:hAnsi="宋体" w:cs="宋体"/>
          <w:sz w:val="36"/>
          <w:szCs w:val="36"/>
          <w:highlight w:val="none"/>
        </w:rPr>
      </w:pPr>
    </w:p>
    <w:p w14:paraId="5A3B41B8">
      <w:pPr>
        <w:spacing w:line="360" w:lineRule="auto"/>
        <w:jc w:val="center"/>
        <w:rPr>
          <w:rFonts w:ascii="宋体" w:hAnsi="宋体" w:cs="宋体"/>
          <w:sz w:val="36"/>
          <w:szCs w:val="36"/>
          <w:highlight w:val="none"/>
        </w:rPr>
      </w:pPr>
    </w:p>
    <w:p w14:paraId="52D9404A">
      <w:pPr>
        <w:spacing w:line="360" w:lineRule="auto"/>
        <w:jc w:val="center"/>
        <w:rPr>
          <w:rFonts w:ascii="宋体" w:hAnsi="宋体" w:cs="宋体"/>
          <w:sz w:val="36"/>
          <w:szCs w:val="36"/>
          <w:highlight w:val="none"/>
        </w:rPr>
      </w:pPr>
    </w:p>
    <w:p w14:paraId="6544E11E">
      <w:pPr>
        <w:spacing w:line="360" w:lineRule="auto"/>
        <w:jc w:val="center"/>
        <w:rPr>
          <w:rFonts w:ascii="宋体" w:hAnsi="宋体" w:cs="宋体"/>
          <w:sz w:val="36"/>
          <w:szCs w:val="36"/>
          <w:highlight w:val="none"/>
          <w:u w:val="single"/>
        </w:rPr>
      </w:pPr>
      <w:r>
        <w:rPr>
          <w:rFonts w:hint="eastAsia" w:ascii="宋体" w:hAnsi="宋体" w:cs="宋体"/>
          <w:sz w:val="36"/>
          <w:szCs w:val="36"/>
          <w:highlight w:val="none"/>
        </w:rPr>
        <w:t>供应商全称：</w:t>
      </w:r>
      <w:r>
        <w:rPr>
          <w:rFonts w:hint="eastAsia" w:ascii="宋体" w:hAnsi="宋体" w:cs="宋体"/>
          <w:sz w:val="36"/>
          <w:szCs w:val="36"/>
          <w:highlight w:val="none"/>
          <w:u w:val="single"/>
        </w:rPr>
        <w:t>（加盖单位公章）</w:t>
      </w:r>
    </w:p>
    <w:p w14:paraId="30BB04FE">
      <w:pPr>
        <w:pStyle w:val="30"/>
        <w:ind w:left="101" w:leftChars="48" w:firstLine="1920" w:firstLineChars="800"/>
        <w:jc w:val="left"/>
        <w:rPr>
          <w:rFonts w:hAnsi="宋体" w:cs="宋体"/>
          <w:kern w:val="2"/>
          <w:szCs w:val="28"/>
          <w:highlight w:val="none"/>
          <w:u w:val="single"/>
        </w:rPr>
      </w:pPr>
    </w:p>
    <w:p w14:paraId="00D7D728">
      <w:pPr>
        <w:pStyle w:val="265"/>
        <w:jc w:val="center"/>
        <w:rPr>
          <w:rStyle w:val="120"/>
          <w:rFonts w:ascii="宋体" w:hAnsi="宋体" w:cs="宋体"/>
          <w:b w:val="0"/>
          <w:sz w:val="28"/>
          <w:szCs w:val="28"/>
          <w:highlight w:val="none"/>
        </w:rPr>
      </w:pPr>
      <w:bookmarkStart w:id="39" w:name="_Toc21541027"/>
      <w:bookmarkStart w:id="40" w:name="_Toc12534"/>
      <w:bookmarkStart w:id="41" w:name="_Toc44162158"/>
      <w:r>
        <w:rPr>
          <w:rStyle w:val="120"/>
          <w:rFonts w:hint="eastAsia" w:ascii="宋体" w:hAnsi="宋体" w:cs="宋体"/>
          <w:b w:val="0"/>
          <w:sz w:val="32"/>
          <w:szCs w:val="32"/>
          <w:highlight w:val="none"/>
        </w:rPr>
        <w:t>年  月  日</w:t>
      </w:r>
      <w:bookmarkEnd w:id="39"/>
      <w:bookmarkEnd w:id="40"/>
      <w:bookmarkEnd w:id="41"/>
    </w:p>
    <w:p w14:paraId="01BD34ED">
      <w:pPr>
        <w:spacing w:line="400" w:lineRule="exact"/>
        <w:jc w:val="center"/>
        <w:rPr>
          <w:rFonts w:ascii="宋体" w:hAnsi="宋体" w:cs="宋体"/>
          <w:b/>
          <w:szCs w:val="21"/>
          <w:highlight w:val="none"/>
        </w:rPr>
      </w:pPr>
      <w:r>
        <w:rPr>
          <w:rStyle w:val="120"/>
          <w:rFonts w:hint="eastAsia" w:ascii="宋体" w:hAnsi="宋体" w:cs="宋体"/>
          <w:szCs w:val="21"/>
          <w:highlight w:val="none"/>
        </w:rPr>
        <w:br w:type="page"/>
      </w:r>
      <w:r>
        <w:rPr>
          <w:rFonts w:hint="eastAsia" w:ascii="宋体" w:hAnsi="宋体" w:cs="宋体"/>
          <w:b/>
          <w:szCs w:val="21"/>
          <w:highlight w:val="none"/>
        </w:rPr>
        <w:t>B1.投标书</w:t>
      </w:r>
    </w:p>
    <w:p w14:paraId="2DB5FD5E">
      <w:pPr>
        <w:spacing w:line="400" w:lineRule="exact"/>
        <w:rPr>
          <w:rFonts w:ascii="宋体" w:hAnsi="宋体" w:cs="宋体"/>
          <w:szCs w:val="21"/>
          <w:highlight w:val="none"/>
        </w:rPr>
      </w:pPr>
      <w:r>
        <w:rPr>
          <w:rFonts w:hint="eastAsia" w:ascii="宋体" w:hAnsi="宋体" w:cs="宋体"/>
          <w:szCs w:val="21"/>
          <w:highlight w:val="none"/>
        </w:rPr>
        <w:t>致：宁波市国际招标有限公司</w:t>
      </w:r>
    </w:p>
    <w:p w14:paraId="2568C3AA">
      <w:pPr>
        <w:spacing w:line="400" w:lineRule="exact"/>
        <w:ind w:firstLine="420" w:firstLineChars="200"/>
        <w:rPr>
          <w:rFonts w:ascii="宋体" w:hAnsi="宋体" w:cs="宋体"/>
          <w:szCs w:val="21"/>
          <w:highlight w:val="none"/>
        </w:rPr>
      </w:pPr>
      <w:r>
        <w:rPr>
          <w:rFonts w:hint="eastAsia" w:ascii="宋体" w:hAnsi="宋体" w:cs="宋体"/>
          <w:szCs w:val="21"/>
          <w:highlight w:val="none"/>
          <w:u w:val="single"/>
        </w:rPr>
        <w:t>（供应商全称）　</w:t>
      </w:r>
      <w:r>
        <w:rPr>
          <w:rFonts w:hint="eastAsia" w:ascii="宋体" w:hAnsi="宋体" w:cs="宋体"/>
          <w:szCs w:val="21"/>
          <w:highlight w:val="none"/>
        </w:rPr>
        <w:t>授权</w:t>
      </w:r>
      <w:r>
        <w:rPr>
          <w:rFonts w:hint="eastAsia" w:ascii="宋体" w:hAnsi="宋体" w:cs="宋体"/>
          <w:szCs w:val="21"/>
          <w:highlight w:val="none"/>
          <w:u w:val="single"/>
        </w:rPr>
        <w:t xml:space="preserve">  （全名、职务）  </w:t>
      </w:r>
      <w:r>
        <w:rPr>
          <w:rFonts w:hint="eastAsia" w:ascii="宋体" w:hAnsi="宋体" w:cs="宋体"/>
          <w:szCs w:val="21"/>
          <w:highlight w:val="none"/>
        </w:rPr>
        <w:t>为全权代表，参加贵方组织的</w:t>
      </w:r>
      <w:r>
        <w:rPr>
          <w:rFonts w:hint="eastAsia" w:ascii="宋体" w:hAnsi="宋体" w:cs="宋体"/>
          <w:szCs w:val="21"/>
          <w:highlight w:val="none"/>
          <w:u w:val="single"/>
        </w:rPr>
        <w:t>2024年宁波市新生代企业家赴欧洲访学活动承接服务采购项目</w:t>
      </w:r>
      <w:r>
        <w:rPr>
          <w:rFonts w:hint="eastAsia" w:ascii="宋体" w:hAnsi="宋体" w:cs="宋体"/>
          <w:szCs w:val="21"/>
          <w:highlight w:val="none"/>
        </w:rPr>
        <w:t>（项目编号：</w:t>
      </w:r>
      <w:r>
        <w:rPr>
          <w:rFonts w:hint="eastAsia" w:ascii="宋体" w:hAnsi="宋体" w:cs="宋体"/>
          <w:szCs w:val="21"/>
          <w:highlight w:val="none"/>
          <w:u w:val="single"/>
        </w:rPr>
        <w:t>NBITC-202430916G</w:t>
      </w:r>
      <w:r>
        <w:rPr>
          <w:rFonts w:hint="eastAsia" w:ascii="宋体" w:hAnsi="宋体" w:cs="宋体"/>
          <w:szCs w:val="21"/>
          <w:highlight w:val="none"/>
        </w:rPr>
        <w:t>）招标活动并投标，为便于招标人公正、择优地确定中标供应商及其服务，我方就本次投标有关事项郑重声明如下：</w:t>
      </w:r>
    </w:p>
    <w:p w14:paraId="20307C6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1.我方提交的所有投标文件、资料都是准确的和真实的。如有虚假或隐瞒，我方愿意承担一切后果，并不再寻求任何旨在减轻或免除法律责任的辩解。</w:t>
      </w:r>
    </w:p>
    <w:p w14:paraId="08A505B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2.我方不是为本项目提供整体设计、规范编制或者项目管理、监理、检测等服务的供应商。</w:t>
      </w:r>
    </w:p>
    <w:p w14:paraId="27C6B7B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3.我们已详细审查全部招标文件及有关的澄清/修改文件（若有），我们完全理解并同意放弃对这方面提出任何异议的权利。</w:t>
      </w:r>
    </w:p>
    <w:p w14:paraId="26874DC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highlight w:val="none"/>
        </w:rPr>
        <w:t>保证遵守招标文件有关条款规定。</w:t>
      </w:r>
    </w:p>
    <w:p w14:paraId="5FEA621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5.本项目的投标报价详见“开标一览表”。</w:t>
      </w:r>
    </w:p>
    <w:p w14:paraId="051C1D87">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6.投标文件有效期为自开标之日起</w:t>
      </w:r>
      <w:r>
        <w:rPr>
          <w:rFonts w:hint="eastAsia" w:ascii="宋体" w:hAnsi="宋体" w:cs="宋体"/>
          <w:szCs w:val="21"/>
          <w:highlight w:val="none"/>
          <w:u w:val="single"/>
        </w:rPr>
        <w:t xml:space="preserve"> 90 </w:t>
      </w:r>
      <w:r>
        <w:rPr>
          <w:rFonts w:hint="eastAsia" w:ascii="宋体" w:hAnsi="宋体" w:cs="宋体"/>
          <w:szCs w:val="21"/>
          <w:highlight w:val="none"/>
        </w:rPr>
        <w:t>个日历日。</w:t>
      </w:r>
    </w:p>
    <w:p w14:paraId="3E83F34D">
      <w:pPr>
        <w:spacing w:line="400" w:lineRule="exact"/>
        <w:ind w:firstLine="420" w:firstLineChars="200"/>
        <w:jc w:val="left"/>
        <w:rPr>
          <w:rFonts w:ascii="宋体" w:hAnsi="宋体" w:cs="宋体"/>
          <w:highlight w:val="none"/>
        </w:rPr>
      </w:pPr>
      <w:r>
        <w:rPr>
          <w:rFonts w:hint="eastAsia" w:ascii="宋体" w:hAnsi="宋体" w:cs="宋体"/>
          <w:szCs w:val="21"/>
          <w:highlight w:val="none"/>
        </w:rPr>
        <w:t>7.</w:t>
      </w:r>
      <w:r>
        <w:rPr>
          <w:rFonts w:hint="eastAsia" w:ascii="宋体" w:hAnsi="宋体" w:cs="宋体"/>
          <w:highlight w:val="none"/>
        </w:rPr>
        <w:t>保证在中标后忠实地执行与招标人所签署的合同，并承担合同规定的责任义务。</w:t>
      </w:r>
    </w:p>
    <w:p w14:paraId="2AD93D9E">
      <w:pPr>
        <w:spacing w:line="400" w:lineRule="exact"/>
        <w:ind w:firstLine="420" w:firstLineChars="200"/>
        <w:jc w:val="left"/>
        <w:rPr>
          <w:rFonts w:ascii="宋体" w:hAnsi="宋体" w:cs="宋体"/>
          <w:szCs w:val="21"/>
          <w:highlight w:val="none"/>
        </w:rPr>
      </w:pPr>
      <w:r>
        <w:rPr>
          <w:rFonts w:hint="eastAsia" w:ascii="宋体" w:hAnsi="宋体" w:cs="宋体"/>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6A13757B">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9.与本投标有关的一切正式来往通讯请寄：</w:t>
      </w:r>
    </w:p>
    <w:p w14:paraId="42FF5112">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rPr>
        <w:t>。</w:t>
      </w:r>
    </w:p>
    <w:p w14:paraId="61AEE0FA">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w:t>
      </w:r>
    </w:p>
    <w:p w14:paraId="1DD08BEB">
      <w:pPr>
        <w:spacing w:line="400" w:lineRule="exact"/>
        <w:jc w:val="left"/>
        <w:rPr>
          <w:rFonts w:ascii="宋体" w:hAnsi="宋体" w:cs="宋体"/>
          <w:szCs w:val="21"/>
          <w:highlight w:val="none"/>
        </w:rPr>
      </w:pPr>
    </w:p>
    <w:p w14:paraId="7B91E7A9">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23A26B8E">
      <w:pPr>
        <w:spacing w:line="400" w:lineRule="exact"/>
        <w:rPr>
          <w:rFonts w:ascii="宋体" w:hAnsi="宋体" w:cs="宋体"/>
          <w:szCs w:val="21"/>
          <w:highlight w:val="none"/>
          <w:u w:val="single"/>
        </w:rPr>
      </w:pPr>
      <w:r>
        <w:rPr>
          <w:rFonts w:hint="eastAsia" w:ascii="宋体" w:hAnsi="宋体" w:cs="宋体"/>
          <w:szCs w:val="21"/>
          <w:highlight w:val="none"/>
        </w:rPr>
        <w:t>日          期：</w:t>
      </w:r>
    </w:p>
    <w:p w14:paraId="38AF0758">
      <w:pPr>
        <w:spacing w:line="400" w:lineRule="exact"/>
        <w:jc w:val="center"/>
        <w:rPr>
          <w:rFonts w:ascii="宋体" w:hAnsi="宋体" w:cs="宋体"/>
          <w:b/>
          <w:bCs/>
          <w:szCs w:val="21"/>
          <w:highlight w:val="none"/>
        </w:rPr>
      </w:pPr>
      <w:r>
        <w:rPr>
          <w:rStyle w:val="120"/>
          <w:rFonts w:hint="eastAsia" w:ascii="宋体" w:hAnsi="宋体" w:cs="宋体"/>
          <w:szCs w:val="21"/>
          <w:highlight w:val="none"/>
        </w:rPr>
        <w:br w:type="page"/>
      </w:r>
      <w:r>
        <w:rPr>
          <w:rFonts w:hint="eastAsia" w:ascii="宋体" w:hAnsi="宋体" w:cs="宋体"/>
          <w:b/>
          <w:bCs/>
          <w:highlight w:val="none"/>
        </w:rPr>
        <w:t>B</w:t>
      </w:r>
      <w:r>
        <w:rPr>
          <w:rFonts w:hint="eastAsia" w:ascii="宋体" w:hAnsi="宋体" w:cs="宋体"/>
          <w:b/>
          <w:bCs/>
          <w:szCs w:val="21"/>
          <w:highlight w:val="none"/>
        </w:rPr>
        <w:t>2.法定代表人身份证明</w:t>
      </w:r>
    </w:p>
    <w:p w14:paraId="09509A0A">
      <w:pPr>
        <w:spacing w:line="400" w:lineRule="exact"/>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p>
    <w:p w14:paraId="3435A6DF">
      <w:pPr>
        <w:spacing w:line="400" w:lineRule="exact"/>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14:paraId="0CFCA5F2">
      <w:pPr>
        <w:spacing w:line="400" w:lineRule="exac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6E73DDAF">
      <w:pPr>
        <w:spacing w:line="400" w:lineRule="exact"/>
        <w:rPr>
          <w:rFonts w:ascii="宋体" w:hAnsi="宋体" w:cs="宋体"/>
          <w:szCs w:val="21"/>
          <w:highlight w:val="none"/>
          <w:u w:val="singl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D710D77">
      <w:pPr>
        <w:spacing w:line="400" w:lineRule="exact"/>
        <w:rPr>
          <w:rFonts w:ascii="宋体" w:hAnsi="宋体" w:cs="宋体"/>
          <w:szCs w:val="21"/>
          <w:highlight w:val="none"/>
          <w:u w:val="single"/>
        </w:rPr>
      </w:pPr>
      <w:r>
        <w:rPr>
          <w:rFonts w:hint="eastAsia" w:ascii="宋体" w:hAnsi="宋体" w:cs="宋体"/>
          <w:szCs w:val="21"/>
          <w:highlight w:val="none"/>
        </w:rPr>
        <w:t>经营期限：</w:t>
      </w:r>
    </w:p>
    <w:p w14:paraId="2F550D69">
      <w:pPr>
        <w:spacing w:line="400" w:lineRule="exact"/>
        <w:rPr>
          <w:rFonts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53CD1CF5">
      <w:pPr>
        <w:spacing w:line="400" w:lineRule="exact"/>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76E6E156">
      <w:pPr>
        <w:spacing w:line="400" w:lineRule="exact"/>
        <w:ind w:firstLine="560"/>
        <w:rPr>
          <w:rFonts w:ascii="宋体" w:hAnsi="宋体" w:cs="宋体"/>
          <w:szCs w:val="21"/>
          <w:highlight w:val="none"/>
        </w:rPr>
      </w:pPr>
    </w:p>
    <w:p w14:paraId="2AB6B5EB">
      <w:pPr>
        <w:spacing w:line="400" w:lineRule="exact"/>
        <w:rPr>
          <w:rFonts w:ascii="宋体" w:hAnsi="宋体" w:cs="宋体"/>
          <w:szCs w:val="21"/>
          <w:highlight w:val="none"/>
        </w:rPr>
      </w:pPr>
      <w:r>
        <w:rPr>
          <w:rFonts w:hint="eastAsia" w:ascii="宋体" w:hAnsi="宋体" w:cs="宋体"/>
          <w:szCs w:val="21"/>
          <w:highlight w:val="none"/>
        </w:rPr>
        <w:t xml:space="preserve">    系</w:t>
      </w:r>
      <w:r>
        <w:rPr>
          <w:rFonts w:hint="eastAsia" w:ascii="宋体" w:hAnsi="宋体" w:cs="宋体"/>
          <w:szCs w:val="21"/>
          <w:highlight w:val="none"/>
          <w:u w:val="single"/>
        </w:rPr>
        <w:t>（供应商名称）</w:t>
      </w:r>
      <w:r>
        <w:rPr>
          <w:rFonts w:hint="eastAsia" w:ascii="宋体" w:hAnsi="宋体" w:cs="宋体"/>
          <w:szCs w:val="21"/>
          <w:highlight w:val="none"/>
        </w:rPr>
        <w:t>的法定代表人。</w:t>
      </w:r>
    </w:p>
    <w:p w14:paraId="02207CE6">
      <w:pPr>
        <w:spacing w:line="400" w:lineRule="exact"/>
        <w:ind w:firstLine="560"/>
        <w:rPr>
          <w:rFonts w:ascii="宋体" w:hAnsi="宋体" w:cs="宋体"/>
          <w:szCs w:val="21"/>
          <w:highlight w:val="none"/>
        </w:rPr>
      </w:pPr>
    </w:p>
    <w:p w14:paraId="33C1C1E9">
      <w:pPr>
        <w:spacing w:line="400" w:lineRule="exact"/>
        <w:rPr>
          <w:rFonts w:ascii="宋体" w:hAnsi="宋体" w:cs="宋体"/>
          <w:szCs w:val="21"/>
          <w:highlight w:val="none"/>
        </w:rPr>
      </w:pPr>
      <w:r>
        <w:rPr>
          <w:rFonts w:hint="eastAsia" w:ascii="宋体" w:hAnsi="宋体" w:cs="宋体"/>
          <w:szCs w:val="21"/>
          <w:highlight w:val="none"/>
        </w:rPr>
        <w:t>特此证明。</w:t>
      </w:r>
    </w:p>
    <w:p w14:paraId="29D2F2BE">
      <w:pPr>
        <w:spacing w:line="400" w:lineRule="exact"/>
        <w:rPr>
          <w:rFonts w:ascii="宋体" w:hAnsi="宋体" w:cs="宋体"/>
          <w:szCs w:val="21"/>
          <w:highlight w:val="none"/>
        </w:rPr>
      </w:pPr>
    </w:p>
    <w:p w14:paraId="7F9BDB43">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72D7E79F">
      <w:pPr>
        <w:spacing w:line="400" w:lineRule="exact"/>
        <w:rPr>
          <w:rFonts w:ascii="宋体" w:hAnsi="宋体" w:cs="宋体"/>
          <w:szCs w:val="21"/>
          <w:highlight w:val="none"/>
          <w:u w:val="single"/>
        </w:rPr>
      </w:pPr>
      <w:r>
        <w:rPr>
          <w:rFonts w:hint="eastAsia" w:ascii="宋体" w:hAnsi="宋体" w:cs="宋体"/>
          <w:szCs w:val="21"/>
          <w:highlight w:val="none"/>
        </w:rPr>
        <w:t>日         期：</w:t>
      </w:r>
    </w:p>
    <w:p w14:paraId="63CDC697">
      <w:pPr>
        <w:spacing w:line="400" w:lineRule="exact"/>
        <w:rPr>
          <w:rFonts w:ascii="宋体" w:hAnsi="宋体" w:cs="宋体"/>
          <w:szCs w:val="21"/>
          <w:highlight w:val="none"/>
        </w:rPr>
      </w:pPr>
    </w:p>
    <w:p w14:paraId="30ACF851">
      <w:pPr>
        <w:spacing w:line="400" w:lineRule="exact"/>
        <w:rPr>
          <w:rFonts w:ascii="宋体" w:hAnsi="宋体" w:cs="宋体"/>
          <w:szCs w:val="21"/>
          <w:highlight w:val="none"/>
        </w:rPr>
      </w:pPr>
      <w:r>
        <w:rPr>
          <w:rFonts w:hint="eastAsia" w:ascii="宋体" w:hAnsi="宋体" w:cs="宋体"/>
          <w:szCs w:val="21"/>
          <w:highlight w:val="none"/>
        </w:rPr>
        <w:t>后附：法定代表人身份证复印件加盖供应商公章。</w:t>
      </w:r>
    </w:p>
    <w:p w14:paraId="4E8DBC06">
      <w:pPr>
        <w:spacing w:line="400" w:lineRule="atLeast"/>
        <w:rPr>
          <w:rFonts w:ascii="宋体" w:hAnsi="宋体" w:cs="宋体"/>
          <w:szCs w:val="21"/>
          <w:highlight w:val="none"/>
          <w:u w:val="single"/>
        </w:rPr>
      </w:pPr>
    </w:p>
    <w:p w14:paraId="63082A34">
      <w:pPr>
        <w:spacing w:line="400" w:lineRule="exact"/>
        <w:jc w:val="center"/>
        <w:rPr>
          <w:rFonts w:ascii="宋体" w:hAnsi="宋体" w:cs="宋体"/>
          <w:b/>
          <w:szCs w:val="21"/>
          <w:highlight w:val="none"/>
        </w:rPr>
      </w:pPr>
      <w:r>
        <w:rPr>
          <w:rStyle w:val="120"/>
          <w:rFonts w:hint="eastAsia" w:ascii="宋体" w:hAnsi="宋体" w:cs="宋体"/>
          <w:szCs w:val="21"/>
          <w:highlight w:val="none"/>
        </w:rPr>
        <w:br w:type="page"/>
      </w:r>
      <w:r>
        <w:rPr>
          <w:rFonts w:hint="eastAsia" w:ascii="宋体" w:hAnsi="宋体" w:cs="宋体"/>
          <w:b/>
          <w:szCs w:val="21"/>
          <w:highlight w:val="none"/>
        </w:rPr>
        <w:t>法定代表人授权书</w:t>
      </w:r>
    </w:p>
    <w:p w14:paraId="7E132D53">
      <w:pPr>
        <w:spacing w:line="400" w:lineRule="exact"/>
        <w:jc w:val="center"/>
        <w:rPr>
          <w:rFonts w:ascii="宋体" w:hAnsi="宋体" w:cs="宋体"/>
          <w:b/>
          <w:szCs w:val="21"/>
          <w:highlight w:val="none"/>
        </w:rPr>
      </w:pPr>
      <w:r>
        <w:rPr>
          <w:rFonts w:hint="eastAsia" w:ascii="宋体" w:hAnsi="宋体" w:cs="宋体"/>
          <w:b/>
          <w:szCs w:val="21"/>
          <w:highlight w:val="none"/>
        </w:rPr>
        <w:t>（投标文件由授权代表签字的须提供）</w:t>
      </w:r>
    </w:p>
    <w:p w14:paraId="6F2BB8E5">
      <w:pPr>
        <w:spacing w:line="400" w:lineRule="exact"/>
        <w:rPr>
          <w:rFonts w:ascii="宋体" w:hAnsi="宋体" w:cs="宋体"/>
          <w:szCs w:val="21"/>
          <w:highlight w:val="none"/>
        </w:rPr>
      </w:pPr>
      <w:r>
        <w:rPr>
          <w:rFonts w:hint="eastAsia" w:ascii="宋体" w:hAnsi="宋体" w:cs="宋体"/>
          <w:szCs w:val="21"/>
          <w:highlight w:val="none"/>
        </w:rPr>
        <w:t>致：招标人</w:t>
      </w:r>
    </w:p>
    <w:p w14:paraId="31D49068">
      <w:pPr>
        <w:spacing w:line="400" w:lineRule="exact"/>
        <w:ind w:firstLine="420" w:firstLineChars="200"/>
        <w:rPr>
          <w:rFonts w:ascii="宋体" w:hAnsi="宋体" w:cs="宋体"/>
          <w:szCs w:val="21"/>
          <w:highlight w:val="none"/>
        </w:rPr>
      </w:pPr>
      <w:r>
        <w:rPr>
          <w:rFonts w:hint="eastAsia" w:ascii="宋体" w:hAnsi="宋体" w:cs="宋体"/>
          <w:szCs w:val="21"/>
          <w:highlight w:val="none"/>
          <w:u w:val="single"/>
        </w:rPr>
        <w:t>（供应商全称）</w:t>
      </w:r>
      <w:r>
        <w:rPr>
          <w:rFonts w:hint="eastAsia" w:ascii="宋体" w:hAnsi="宋体" w:cs="宋体"/>
          <w:szCs w:val="21"/>
          <w:highlight w:val="none"/>
        </w:rPr>
        <w:t>法定代表人</w:t>
      </w:r>
      <w:r>
        <w:rPr>
          <w:rFonts w:hint="eastAsia" w:ascii="宋体" w:hAnsi="宋体" w:cs="宋体"/>
          <w:szCs w:val="21"/>
          <w:highlight w:val="none"/>
          <w:u w:val="single"/>
        </w:rPr>
        <w:t>（法定代表人姓名）</w:t>
      </w:r>
      <w:r>
        <w:rPr>
          <w:rFonts w:hint="eastAsia" w:ascii="宋体" w:hAnsi="宋体" w:cs="宋体"/>
          <w:szCs w:val="21"/>
          <w:highlight w:val="none"/>
        </w:rPr>
        <w:t>授权</w:t>
      </w:r>
      <w:r>
        <w:rPr>
          <w:rFonts w:hint="eastAsia" w:ascii="宋体" w:hAnsi="宋体" w:cs="宋体"/>
          <w:szCs w:val="21"/>
          <w:highlight w:val="none"/>
          <w:u w:val="single"/>
        </w:rPr>
        <w:t>（授权代表姓名）</w:t>
      </w:r>
      <w:r>
        <w:rPr>
          <w:rFonts w:hint="eastAsia" w:ascii="宋体" w:hAnsi="宋体" w:cs="宋体"/>
          <w:szCs w:val="21"/>
          <w:highlight w:val="none"/>
        </w:rPr>
        <w:t>为授权代表，参加</w:t>
      </w:r>
      <w:r>
        <w:rPr>
          <w:rFonts w:hint="eastAsia" w:ascii="宋体" w:hAnsi="宋体" w:cs="宋体"/>
          <w:szCs w:val="21"/>
          <w:highlight w:val="none"/>
          <w:u w:val="single"/>
        </w:rPr>
        <w:t>2024年宁波市新生代企业家赴欧洲访学活动承接服务采购项目</w:t>
      </w:r>
      <w:r>
        <w:rPr>
          <w:rFonts w:hint="eastAsia" w:ascii="宋体" w:hAnsi="宋体" w:cs="宋体"/>
          <w:szCs w:val="21"/>
          <w:highlight w:val="none"/>
        </w:rPr>
        <w:t>，项目编号为</w:t>
      </w:r>
      <w:r>
        <w:rPr>
          <w:rFonts w:hint="eastAsia" w:ascii="宋体" w:hAnsi="宋体" w:cs="宋体"/>
          <w:szCs w:val="21"/>
          <w:highlight w:val="none"/>
          <w:u w:val="single"/>
        </w:rPr>
        <w:t>NBITC-202430916G</w:t>
      </w:r>
      <w:r>
        <w:rPr>
          <w:rFonts w:hint="eastAsia" w:ascii="宋体" w:hAnsi="宋体" w:cs="宋体"/>
          <w:szCs w:val="21"/>
          <w:highlight w:val="none"/>
        </w:rPr>
        <w:t>，其在招投标活动中的一切活动本公司均予承认。</w:t>
      </w:r>
    </w:p>
    <w:p w14:paraId="6E5E82EF">
      <w:pPr>
        <w:spacing w:line="400" w:lineRule="exact"/>
        <w:jc w:val="left"/>
        <w:rPr>
          <w:rFonts w:ascii="宋体" w:hAnsi="宋体" w:cs="宋体"/>
          <w:szCs w:val="21"/>
          <w:highlight w:val="none"/>
        </w:rPr>
      </w:pPr>
    </w:p>
    <w:p w14:paraId="0A1D34E7">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6A2BD239">
      <w:pPr>
        <w:spacing w:line="400" w:lineRule="exact"/>
        <w:jc w:val="left"/>
        <w:rPr>
          <w:rFonts w:ascii="宋体" w:hAnsi="宋体" w:cs="宋体"/>
          <w:szCs w:val="21"/>
          <w:highlight w:val="none"/>
        </w:rPr>
      </w:pPr>
      <w:r>
        <w:rPr>
          <w:rFonts w:hint="eastAsia" w:ascii="宋体" w:hAnsi="宋体" w:cs="宋体"/>
          <w:szCs w:val="21"/>
          <w:highlight w:val="none"/>
        </w:rPr>
        <w:t>法定代表人（签字或盖章）：</w:t>
      </w:r>
    </w:p>
    <w:p w14:paraId="66B6B81C">
      <w:pPr>
        <w:spacing w:line="400" w:lineRule="exact"/>
        <w:rPr>
          <w:rFonts w:ascii="宋体" w:hAnsi="宋体" w:cs="宋体"/>
          <w:szCs w:val="21"/>
          <w:highlight w:val="none"/>
          <w:u w:val="single"/>
        </w:rPr>
      </w:pPr>
      <w:r>
        <w:rPr>
          <w:rFonts w:hint="eastAsia" w:ascii="宋体" w:hAnsi="宋体" w:cs="宋体"/>
          <w:szCs w:val="21"/>
          <w:highlight w:val="none"/>
        </w:rPr>
        <w:t>日          期：</w:t>
      </w:r>
    </w:p>
    <w:p w14:paraId="1C5D3429">
      <w:pPr>
        <w:spacing w:line="400" w:lineRule="exact"/>
        <w:rPr>
          <w:rFonts w:ascii="宋体" w:hAnsi="宋体" w:cs="宋体"/>
          <w:szCs w:val="21"/>
          <w:highlight w:val="none"/>
        </w:rPr>
      </w:pPr>
    </w:p>
    <w:p w14:paraId="53A7FE5E">
      <w:pPr>
        <w:spacing w:line="400" w:lineRule="exact"/>
        <w:rPr>
          <w:rFonts w:ascii="宋体" w:hAnsi="宋体" w:cs="宋体"/>
          <w:szCs w:val="21"/>
          <w:highlight w:val="none"/>
          <w:u w:val="single"/>
        </w:rPr>
      </w:pPr>
      <w:r>
        <w:rPr>
          <w:rFonts w:hint="eastAsia" w:ascii="宋体" w:hAnsi="宋体" w:cs="宋体"/>
          <w:szCs w:val="21"/>
          <w:highlight w:val="none"/>
        </w:rPr>
        <w:t>附：授权代表姓名：</w:t>
      </w:r>
      <w:r>
        <w:rPr>
          <w:rFonts w:hint="eastAsia" w:ascii="宋体" w:hAnsi="宋体" w:cs="宋体"/>
          <w:szCs w:val="21"/>
          <w:highlight w:val="none"/>
          <w:u w:val="single"/>
        </w:rPr>
        <w:t xml:space="preserve">                         </w:t>
      </w:r>
    </w:p>
    <w:p w14:paraId="76892964">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授权代表身份证号码：</w:t>
      </w:r>
      <w:r>
        <w:rPr>
          <w:rFonts w:hint="eastAsia" w:ascii="宋体" w:hAnsi="宋体" w:cs="宋体"/>
          <w:szCs w:val="21"/>
          <w:highlight w:val="none"/>
          <w:u w:val="single"/>
        </w:rPr>
        <w:t xml:space="preserve">                   </w:t>
      </w:r>
    </w:p>
    <w:p w14:paraId="29C195AA">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职务：</w:t>
      </w:r>
      <w:r>
        <w:rPr>
          <w:rFonts w:hint="eastAsia" w:ascii="宋体" w:hAnsi="宋体" w:cs="宋体"/>
          <w:szCs w:val="21"/>
          <w:highlight w:val="none"/>
          <w:u w:val="single"/>
        </w:rPr>
        <w:t xml:space="preserve">                                 </w:t>
      </w:r>
    </w:p>
    <w:p w14:paraId="6A44F375">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详细通讯地址：</w:t>
      </w:r>
      <w:r>
        <w:rPr>
          <w:rFonts w:hint="eastAsia" w:ascii="宋体" w:hAnsi="宋体" w:cs="宋体"/>
          <w:szCs w:val="21"/>
          <w:highlight w:val="none"/>
          <w:u w:val="single"/>
        </w:rPr>
        <w:t xml:space="preserve">                         </w:t>
      </w:r>
    </w:p>
    <w:p w14:paraId="70E2A89D">
      <w:pPr>
        <w:spacing w:line="400" w:lineRule="exact"/>
        <w:ind w:firstLine="420" w:firstLineChars="20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4B7B7669">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7473BF00">
      <w:pPr>
        <w:spacing w:line="400" w:lineRule="exact"/>
        <w:ind w:firstLine="525" w:firstLineChars="250"/>
        <w:rPr>
          <w:rFonts w:ascii="宋体" w:hAnsi="宋体" w:cs="宋体"/>
          <w:szCs w:val="21"/>
          <w:highlight w:val="none"/>
          <w:u w:val="single"/>
        </w:rPr>
      </w:pPr>
    </w:p>
    <w:p w14:paraId="4AF889BB">
      <w:pPr>
        <w:spacing w:line="400" w:lineRule="exact"/>
        <w:ind w:firstLine="420" w:firstLineChars="200"/>
        <w:rPr>
          <w:rFonts w:ascii="宋体" w:hAnsi="宋体" w:cs="宋体"/>
          <w:b/>
          <w:szCs w:val="21"/>
          <w:highlight w:val="none"/>
        </w:rPr>
      </w:pPr>
      <w:r>
        <w:rPr>
          <w:rFonts w:hint="eastAsia" w:ascii="宋体" w:hAnsi="宋体" w:cs="宋体"/>
          <w:szCs w:val="21"/>
          <w:highlight w:val="none"/>
        </w:rPr>
        <w:t>后附：法定代表人及授权代表身份证复印件加盖供应商公章。</w:t>
      </w:r>
    </w:p>
    <w:p w14:paraId="7566626F">
      <w:pPr>
        <w:rPr>
          <w:rFonts w:ascii="宋体" w:hAnsi="宋体" w:cs="宋体"/>
          <w:b/>
          <w:szCs w:val="21"/>
          <w:highlight w:val="none"/>
        </w:rPr>
      </w:pPr>
      <w:r>
        <w:rPr>
          <w:rFonts w:hint="eastAsia" w:ascii="宋体" w:hAnsi="宋体" w:cs="宋体"/>
          <w:b/>
          <w:szCs w:val="21"/>
          <w:highlight w:val="none"/>
        </w:rPr>
        <w:br w:type="page"/>
      </w:r>
    </w:p>
    <w:p w14:paraId="3C1F45FF">
      <w:pPr>
        <w:spacing w:line="400" w:lineRule="exact"/>
        <w:jc w:val="center"/>
        <w:rPr>
          <w:rFonts w:ascii="宋体" w:hAnsi="宋体" w:cs="宋体"/>
          <w:b/>
          <w:szCs w:val="21"/>
          <w:highlight w:val="none"/>
        </w:rPr>
      </w:pPr>
      <w:r>
        <w:rPr>
          <w:rFonts w:hint="eastAsia" w:ascii="宋体" w:hAnsi="宋体" w:cs="宋体"/>
          <w:b/>
          <w:szCs w:val="21"/>
          <w:highlight w:val="none"/>
        </w:rPr>
        <w:t>B3.供应商一般情况表</w:t>
      </w:r>
    </w:p>
    <w:p w14:paraId="17CC8DEA">
      <w:pPr>
        <w:pStyle w:val="18"/>
        <w:spacing w:line="400" w:lineRule="exact"/>
        <w:rPr>
          <w:sz w:val="21"/>
          <w:szCs w:val="21"/>
          <w:highlight w:val="none"/>
        </w:rPr>
      </w:pPr>
      <w:r>
        <w:rPr>
          <w:rFonts w:hint="eastAsia"/>
          <w:sz w:val="21"/>
          <w:szCs w:val="21"/>
          <w:highlight w:val="none"/>
        </w:rPr>
        <w:t>项目名称：</w:t>
      </w:r>
      <w:r>
        <w:rPr>
          <w:rFonts w:hint="eastAsia"/>
          <w:sz w:val="21"/>
          <w:szCs w:val="21"/>
          <w:highlight w:val="none"/>
          <w:u w:val="single"/>
        </w:rPr>
        <w:t>2024年宁波市新生代企业家赴欧洲访学活动承接服务采购项目</w:t>
      </w:r>
    </w:p>
    <w:p w14:paraId="3F3D2EEF">
      <w:pPr>
        <w:pStyle w:val="18"/>
        <w:spacing w:line="400" w:lineRule="exact"/>
        <w:rPr>
          <w:sz w:val="21"/>
          <w:szCs w:val="21"/>
          <w:highlight w:val="none"/>
        </w:rPr>
      </w:pPr>
      <w:r>
        <w:rPr>
          <w:rFonts w:hint="eastAsia"/>
          <w:sz w:val="21"/>
          <w:szCs w:val="21"/>
          <w:highlight w:val="none"/>
        </w:rPr>
        <w:t>项目编号：</w:t>
      </w:r>
      <w:r>
        <w:rPr>
          <w:rFonts w:hint="eastAsia"/>
          <w:sz w:val="21"/>
          <w:szCs w:val="21"/>
          <w:highlight w:val="none"/>
          <w:u w:val="single"/>
        </w:rPr>
        <w:t>NBITC-202430916G</w:t>
      </w:r>
    </w:p>
    <w:tbl>
      <w:tblPr>
        <w:tblStyle w:val="53"/>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498"/>
        <w:gridCol w:w="7"/>
        <w:gridCol w:w="4009"/>
      </w:tblGrid>
      <w:tr w14:paraId="1DCF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57C7B013">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8514" w:type="dxa"/>
            <w:gridSpan w:val="3"/>
            <w:tcBorders>
              <w:tl2br w:val="nil"/>
              <w:tr2bl w:val="nil"/>
            </w:tcBorders>
            <w:vAlign w:val="center"/>
          </w:tcPr>
          <w:p w14:paraId="5897EB51">
            <w:pPr>
              <w:spacing w:line="400" w:lineRule="exact"/>
              <w:rPr>
                <w:rFonts w:ascii="宋体" w:hAnsi="宋体" w:cs="宋体"/>
                <w:szCs w:val="21"/>
                <w:highlight w:val="none"/>
              </w:rPr>
            </w:pPr>
            <w:r>
              <w:rPr>
                <w:rFonts w:hint="eastAsia" w:ascii="宋体" w:hAnsi="宋体" w:cs="宋体"/>
                <w:szCs w:val="21"/>
                <w:highlight w:val="none"/>
              </w:rPr>
              <w:t>单位名称：</w:t>
            </w:r>
          </w:p>
        </w:tc>
      </w:tr>
      <w:tr w14:paraId="1C80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34110160">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8514" w:type="dxa"/>
            <w:gridSpan w:val="3"/>
            <w:tcBorders>
              <w:tl2br w:val="nil"/>
              <w:tr2bl w:val="nil"/>
            </w:tcBorders>
            <w:vAlign w:val="center"/>
          </w:tcPr>
          <w:p w14:paraId="50F14CF3">
            <w:pPr>
              <w:spacing w:line="400" w:lineRule="exact"/>
              <w:rPr>
                <w:rFonts w:ascii="宋体" w:hAnsi="宋体" w:cs="宋体"/>
                <w:szCs w:val="21"/>
                <w:highlight w:val="none"/>
              </w:rPr>
            </w:pPr>
            <w:r>
              <w:rPr>
                <w:rFonts w:hint="eastAsia" w:ascii="宋体" w:hAnsi="宋体" w:cs="宋体"/>
                <w:szCs w:val="21"/>
                <w:highlight w:val="none"/>
              </w:rPr>
              <w:t>总部地址：</w:t>
            </w:r>
          </w:p>
        </w:tc>
      </w:tr>
      <w:tr w14:paraId="0B4C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21BBC567">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8514" w:type="dxa"/>
            <w:gridSpan w:val="3"/>
            <w:tcBorders>
              <w:tl2br w:val="nil"/>
              <w:tr2bl w:val="nil"/>
            </w:tcBorders>
            <w:vAlign w:val="center"/>
          </w:tcPr>
          <w:p w14:paraId="0070C7E4">
            <w:pPr>
              <w:spacing w:line="400" w:lineRule="exact"/>
              <w:rPr>
                <w:rFonts w:ascii="宋体" w:hAnsi="宋体" w:cs="宋体"/>
                <w:szCs w:val="21"/>
                <w:highlight w:val="none"/>
              </w:rPr>
            </w:pPr>
            <w:r>
              <w:rPr>
                <w:rFonts w:hint="eastAsia" w:ascii="宋体" w:hAnsi="宋体" w:cs="宋体"/>
                <w:szCs w:val="21"/>
                <w:highlight w:val="none"/>
              </w:rPr>
              <w:t>当地代表处地址：</w:t>
            </w:r>
          </w:p>
        </w:tc>
      </w:tr>
      <w:tr w14:paraId="7DB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50323F6F">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4498" w:type="dxa"/>
            <w:tcBorders>
              <w:tl2br w:val="nil"/>
              <w:tr2bl w:val="nil"/>
            </w:tcBorders>
            <w:vAlign w:val="center"/>
          </w:tcPr>
          <w:p w14:paraId="52DF3573">
            <w:pPr>
              <w:spacing w:line="400" w:lineRule="exact"/>
              <w:rPr>
                <w:rFonts w:ascii="宋体" w:hAnsi="宋体" w:cs="宋体"/>
                <w:szCs w:val="21"/>
                <w:highlight w:val="none"/>
              </w:rPr>
            </w:pPr>
            <w:r>
              <w:rPr>
                <w:rFonts w:hint="eastAsia" w:ascii="宋体" w:hAnsi="宋体" w:cs="宋体"/>
                <w:szCs w:val="21"/>
                <w:highlight w:val="none"/>
              </w:rPr>
              <w:t>电  话：</w:t>
            </w:r>
          </w:p>
        </w:tc>
        <w:tc>
          <w:tcPr>
            <w:tcW w:w="4016" w:type="dxa"/>
            <w:gridSpan w:val="2"/>
            <w:tcBorders>
              <w:tl2br w:val="nil"/>
              <w:tr2bl w:val="nil"/>
            </w:tcBorders>
            <w:vAlign w:val="center"/>
          </w:tcPr>
          <w:p w14:paraId="207B418E">
            <w:pPr>
              <w:spacing w:line="400" w:lineRule="exact"/>
              <w:rPr>
                <w:rFonts w:ascii="宋体" w:hAnsi="宋体" w:cs="宋体"/>
                <w:szCs w:val="21"/>
                <w:highlight w:val="none"/>
              </w:rPr>
            </w:pPr>
            <w:r>
              <w:rPr>
                <w:rFonts w:hint="eastAsia" w:ascii="宋体" w:hAnsi="宋体" w:cs="宋体"/>
                <w:szCs w:val="21"/>
                <w:highlight w:val="none"/>
              </w:rPr>
              <w:t>联 系 人：</w:t>
            </w:r>
          </w:p>
        </w:tc>
      </w:tr>
      <w:tr w14:paraId="08AF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3185B592">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4498" w:type="dxa"/>
            <w:tcBorders>
              <w:tl2br w:val="nil"/>
              <w:tr2bl w:val="nil"/>
            </w:tcBorders>
            <w:vAlign w:val="center"/>
          </w:tcPr>
          <w:p w14:paraId="59673AC7">
            <w:pPr>
              <w:spacing w:line="400" w:lineRule="exact"/>
              <w:rPr>
                <w:rFonts w:ascii="宋体" w:hAnsi="宋体" w:cs="宋体"/>
                <w:szCs w:val="21"/>
                <w:highlight w:val="none"/>
              </w:rPr>
            </w:pPr>
            <w:r>
              <w:rPr>
                <w:rFonts w:hint="eastAsia" w:ascii="宋体" w:hAnsi="宋体" w:cs="宋体"/>
                <w:szCs w:val="21"/>
                <w:highlight w:val="none"/>
              </w:rPr>
              <w:t>传  真：</w:t>
            </w:r>
          </w:p>
        </w:tc>
        <w:tc>
          <w:tcPr>
            <w:tcW w:w="4016" w:type="dxa"/>
            <w:gridSpan w:val="2"/>
            <w:tcBorders>
              <w:tl2br w:val="nil"/>
              <w:tr2bl w:val="nil"/>
            </w:tcBorders>
            <w:vAlign w:val="center"/>
          </w:tcPr>
          <w:p w14:paraId="319DDACE">
            <w:pPr>
              <w:spacing w:line="400" w:lineRule="exact"/>
              <w:rPr>
                <w:rFonts w:ascii="宋体" w:hAnsi="宋体" w:cs="宋体"/>
                <w:szCs w:val="21"/>
                <w:highlight w:val="none"/>
              </w:rPr>
            </w:pPr>
            <w:r>
              <w:rPr>
                <w:rFonts w:hint="eastAsia" w:ascii="宋体" w:hAnsi="宋体" w:cs="宋体"/>
                <w:szCs w:val="21"/>
                <w:highlight w:val="none"/>
              </w:rPr>
              <w:t>电子信箱：</w:t>
            </w:r>
          </w:p>
        </w:tc>
      </w:tr>
      <w:tr w14:paraId="5E23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2D43AB96">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4498" w:type="dxa"/>
            <w:tcBorders>
              <w:tl2br w:val="nil"/>
              <w:tr2bl w:val="nil"/>
            </w:tcBorders>
            <w:vAlign w:val="center"/>
          </w:tcPr>
          <w:p w14:paraId="5777CF29">
            <w:pPr>
              <w:spacing w:line="400" w:lineRule="exact"/>
              <w:rPr>
                <w:rFonts w:ascii="宋体" w:hAnsi="宋体" w:cs="宋体"/>
                <w:szCs w:val="21"/>
                <w:highlight w:val="none"/>
              </w:rPr>
            </w:pPr>
            <w:r>
              <w:rPr>
                <w:rFonts w:hint="eastAsia" w:ascii="宋体" w:hAnsi="宋体" w:cs="宋体"/>
                <w:szCs w:val="21"/>
                <w:highlight w:val="none"/>
              </w:rPr>
              <w:t>注册地：</w:t>
            </w:r>
          </w:p>
        </w:tc>
        <w:tc>
          <w:tcPr>
            <w:tcW w:w="4016" w:type="dxa"/>
            <w:gridSpan w:val="2"/>
            <w:tcBorders>
              <w:tl2br w:val="nil"/>
              <w:tr2bl w:val="nil"/>
            </w:tcBorders>
            <w:vAlign w:val="center"/>
          </w:tcPr>
          <w:p w14:paraId="61354C7F">
            <w:pPr>
              <w:spacing w:line="400" w:lineRule="exact"/>
              <w:rPr>
                <w:rFonts w:ascii="宋体" w:hAnsi="宋体" w:cs="宋体"/>
                <w:szCs w:val="21"/>
                <w:highlight w:val="none"/>
              </w:rPr>
            </w:pPr>
            <w:r>
              <w:rPr>
                <w:rFonts w:hint="eastAsia" w:ascii="宋体" w:hAnsi="宋体" w:cs="宋体"/>
                <w:szCs w:val="21"/>
                <w:highlight w:val="none"/>
              </w:rPr>
              <w:t>注册年份：</w:t>
            </w:r>
          </w:p>
        </w:tc>
      </w:tr>
      <w:tr w14:paraId="335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102D3D30">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8514" w:type="dxa"/>
            <w:gridSpan w:val="3"/>
            <w:tcBorders>
              <w:tl2br w:val="nil"/>
              <w:tr2bl w:val="nil"/>
            </w:tcBorders>
            <w:vAlign w:val="center"/>
          </w:tcPr>
          <w:p w14:paraId="49B78524">
            <w:pPr>
              <w:spacing w:line="400" w:lineRule="exact"/>
              <w:rPr>
                <w:rFonts w:ascii="宋体" w:hAnsi="宋体" w:cs="宋体"/>
                <w:szCs w:val="21"/>
                <w:highlight w:val="none"/>
              </w:rPr>
            </w:pPr>
            <w:r>
              <w:rPr>
                <w:rFonts w:hint="eastAsia" w:ascii="宋体" w:hAnsi="宋体" w:cs="宋体"/>
                <w:szCs w:val="21"/>
                <w:highlight w:val="none"/>
              </w:rPr>
              <w:t>公司的资质等级（请附上有关证书的复印件）</w:t>
            </w:r>
          </w:p>
        </w:tc>
      </w:tr>
      <w:tr w14:paraId="4E5A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1509302F">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8514" w:type="dxa"/>
            <w:gridSpan w:val="3"/>
            <w:tcBorders>
              <w:tl2br w:val="nil"/>
              <w:tr2bl w:val="nil"/>
            </w:tcBorders>
            <w:vAlign w:val="center"/>
          </w:tcPr>
          <w:p w14:paraId="358D9958">
            <w:pPr>
              <w:spacing w:line="400" w:lineRule="exact"/>
              <w:rPr>
                <w:rFonts w:ascii="宋体" w:hAnsi="宋体" w:cs="宋体"/>
                <w:szCs w:val="21"/>
                <w:highlight w:val="none"/>
              </w:rPr>
            </w:pPr>
            <w:r>
              <w:rPr>
                <w:rFonts w:hint="eastAsia" w:ascii="宋体" w:hAnsi="宋体" w:cs="宋体"/>
                <w:szCs w:val="21"/>
                <w:highlight w:val="none"/>
              </w:rPr>
              <w:t>公司（是否通过，何种）质量保证体系认证（如通过请附相关证书复印件，提供认证机构年审监督报告）</w:t>
            </w:r>
          </w:p>
        </w:tc>
      </w:tr>
      <w:tr w14:paraId="7238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78CE4EC2">
            <w:pPr>
              <w:spacing w:line="400" w:lineRule="exact"/>
              <w:jc w:val="center"/>
              <w:rPr>
                <w:rFonts w:ascii="宋体" w:hAnsi="宋体" w:cs="宋体"/>
                <w:szCs w:val="21"/>
                <w:highlight w:val="none"/>
              </w:rPr>
            </w:pPr>
            <w:r>
              <w:rPr>
                <w:rFonts w:hint="eastAsia" w:ascii="宋体" w:hAnsi="宋体" w:cs="宋体"/>
                <w:szCs w:val="21"/>
                <w:highlight w:val="none"/>
              </w:rPr>
              <w:t>9</w:t>
            </w:r>
          </w:p>
        </w:tc>
        <w:tc>
          <w:tcPr>
            <w:tcW w:w="4505" w:type="dxa"/>
            <w:gridSpan w:val="2"/>
            <w:tcBorders>
              <w:tl2br w:val="nil"/>
              <w:tr2bl w:val="nil"/>
            </w:tcBorders>
            <w:vAlign w:val="center"/>
          </w:tcPr>
          <w:p w14:paraId="47CE9234">
            <w:pPr>
              <w:spacing w:line="400" w:lineRule="exact"/>
              <w:rPr>
                <w:rFonts w:ascii="宋体" w:hAnsi="宋体" w:cs="宋体"/>
                <w:szCs w:val="21"/>
                <w:highlight w:val="none"/>
              </w:rPr>
            </w:pPr>
            <w:r>
              <w:rPr>
                <w:rFonts w:hint="eastAsia" w:ascii="宋体" w:hAnsi="宋体" w:cs="宋体"/>
                <w:szCs w:val="21"/>
                <w:highlight w:val="none"/>
              </w:rPr>
              <w:t>从业人员数量</w:t>
            </w:r>
          </w:p>
        </w:tc>
        <w:tc>
          <w:tcPr>
            <w:tcW w:w="4009" w:type="dxa"/>
            <w:tcBorders>
              <w:tl2br w:val="nil"/>
              <w:tr2bl w:val="nil"/>
            </w:tcBorders>
            <w:vAlign w:val="center"/>
          </w:tcPr>
          <w:p w14:paraId="2F7578B9">
            <w:pPr>
              <w:spacing w:line="400" w:lineRule="exact"/>
              <w:rPr>
                <w:rFonts w:ascii="宋体" w:hAnsi="宋体" w:cs="宋体"/>
                <w:szCs w:val="21"/>
                <w:highlight w:val="none"/>
              </w:rPr>
            </w:pPr>
          </w:p>
        </w:tc>
      </w:tr>
      <w:tr w14:paraId="30A0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1FA3DFAC">
            <w:pPr>
              <w:spacing w:line="400" w:lineRule="exact"/>
              <w:jc w:val="center"/>
              <w:rPr>
                <w:rFonts w:ascii="宋体" w:hAnsi="宋体" w:cs="宋体"/>
                <w:szCs w:val="21"/>
                <w:highlight w:val="none"/>
              </w:rPr>
            </w:pPr>
            <w:r>
              <w:rPr>
                <w:rFonts w:hint="eastAsia" w:ascii="宋体" w:hAnsi="宋体" w:cs="宋体"/>
                <w:szCs w:val="21"/>
                <w:highlight w:val="none"/>
              </w:rPr>
              <w:t>10</w:t>
            </w:r>
          </w:p>
        </w:tc>
        <w:tc>
          <w:tcPr>
            <w:tcW w:w="4505" w:type="dxa"/>
            <w:gridSpan w:val="2"/>
            <w:tcBorders>
              <w:tl2br w:val="nil"/>
              <w:tr2bl w:val="nil"/>
            </w:tcBorders>
            <w:vAlign w:val="center"/>
          </w:tcPr>
          <w:p w14:paraId="243BE3C7">
            <w:pPr>
              <w:spacing w:line="400" w:lineRule="exact"/>
              <w:rPr>
                <w:rFonts w:ascii="宋体" w:hAnsi="宋体" w:cs="宋体"/>
                <w:szCs w:val="21"/>
                <w:highlight w:val="none"/>
              </w:rPr>
            </w:pPr>
            <w:r>
              <w:rPr>
                <w:rFonts w:hint="eastAsia" w:ascii="宋体" w:hAnsi="宋体" w:cs="宋体"/>
                <w:szCs w:val="21"/>
                <w:highlight w:val="none"/>
              </w:rPr>
              <w:t>营业收入</w:t>
            </w:r>
          </w:p>
        </w:tc>
        <w:tc>
          <w:tcPr>
            <w:tcW w:w="4009" w:type="dxa"/>
            <w:tcBorders>
              <w:tl2br w:val="nil"/>
              <w:tr2bl w:val="nil"/>
            </w:tcBorders>
            <w:vAlign w:val="center"/>
          </w:tcPr>
          <w:p w14:paraId="2639E3E4">
            <w:pPr>
              <w:spacing w:line="400" w:lineRule="exact"/>
              <w:rPr>
                <w:rFonts w:ascii="宋体" w:hAnsi="宋体" w:cs="宋体"/>
                <w:szCs w:val="21"/>
                <w:highlight w:val="none"/>
              </w:rPr>
            </w:pPr>
          </w:p>
        </w:tc>
      </w:tr>
      <w:tr w14:paraId="6E88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6C54BE80">
            <w:pPr>
              <w:spacing w:line="400" w:lineRule="exact"/>
              <w:jc w:val="center"/>
              <w:rPr>
                <w:rFonts w:ascii="宋体" w:hAnsi="宋体" w:cs="宋体"/>
                <w:szCs w:val="21"/>
                <w:highlight w:val="none"/>
              </w:rPr>
            </w:pPr>
            <w:r>
              <w:rPr>
                <w:rFonts w:hint="eastAsia" w:ascii="宋体" w:hAnsi="宋体" w:cs="宋体"/>
                <w:szCs w:val="21"/>
                <w:highlight w:val="none"/>
              </w:rPr>
              <w:t>11</w:t>
            </w:r>
          </w:p>
        </w:tc>
        <w:tc>
          <w:tcPr>
            <w:tcW w:w="4505" w:type="dxa"/>
            <w:gridSpan w:val="2"/>
            <w:tcBorders>
              <w:tl2br w:val="nil"/>
              <w:tr2bl w:val="nil"/>
            </w:tcBorders>
            <w:vAlign w:val="center"/>
          </w:tcPr>
          <w:p w14:paraId="398DD24F">
            <w:pPr>
              <w:spacing w:line="400" w:lineRule="exact"/>
              <w:rPr>
                <w:rFonts w:ascii="宋体" w:hAnsi="宋体" w:cs="宋体"/>
                <w:szCs w:val="21"/>
                <w:highlight w:val="none"/>
              </w:rPr>
            </w:pPr>
            <w:r>
              <w:rPr>
                <w:rFonts w:hint="eastAsia" w:ascii="宋体" w:hAnsi="宋体" w:cs="宋体"/>
                <w:szCs w:val="21"/>
                <w:highlight w:val="none"/>
              </w:rPr>
              <w:t>其他需要说明的情况</w:t>
            </w:r>
          </w:p>
        </w:tc>
        <w:tc>
          <w:tcPr>
            <w:tcW w:w="4009" w:type="dxa"/>
            <w:tcBorders>
              <w:tl2br w:val="nil"/>
              <w:tr2bl w:val="nil"/>
            </w:tcBorders>
            <w:vAlign w:val="center"/>
          </w:tcPr>
          <w:p w14:paraId="698680D6">
            <w:pPr>
              <w:spacing w:line="400" w:lineRule="exact"/>
              <w:rPr>
                <w:rFonts w:ascii="宋体" w:hAnsi="宋体" w:cs="宋体"/>
                <w:szCs w:val="21"/>
                <w:highlight w:val="none"/>
              </w:rPr>
            </w:pPr>
          </w:p>
        </w:tc>
      </w:tr>
    </w:tbl>
    <w:p w14:paraId="40A7CD93">
      <w:pPr>
        <w:spacing w:line="400" w:lineRule="exact"/>
        <w:jc w:val="left"/>
        <w:rPr>
          <w:rFonts w:ascii="宋体" w:hAnsi="宋体" w:cs="宋体"/>
          <w:szCs w:val="21"/>
          <w:highlight w:val="none"/>
        </w:rPr>
      </w:pPr>
    </w:p>
    <w:p w14:paraId="5A3E894F">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17210BB8">
      <w:pPr>
        <w:spacing w:line="400" w:lineRule="exact"/>
        <w:rPr>
          <w:rFonts w:ascii="宋体" w:hAnsi="宋体" w:cs="宋体"/>
          <w:szCs w:val="21"/>
          <w:highlight w:val="none"/>
          <w:u w:val="single"/>
        </w:rPr>
      </w:pPr>
      <w:r>
        <w:rPr>
          <w:rFonts w:hint="eastAsia" w:ascii="宋体" w:hAnsi="宋体" w:cs="宋体"/>
          <w:szCs w:val="21"/>
          <w:highlight w:val="none"/>
        </w:rPr>
        <w:t>日          期：</w:t>
      </w:r>
    </w:p>
    <w:p w14:paraId="4C26DCEE">
      <w:pPr>
        <w:spacing w:line="360" w:lineRule="auto"/>
        <w:rPr>
          <w:rFonts w:ascii="宋体" w:hAnsi="宋体" w:cs="宋体"/>
          <w:szCs w:val="21"/>
          <w:highlight w:val="none"/>
        </w:rPr>
      </w:pPr>
      <w:r>
        <w:rPr>
          <w:rFonts w:hint="eastAsia" w:ascii="宋体" w:hAnsi="宋体" w:cs="宋体"/>
          <w:szCs w:val="21"/>
          <w:highlight w:val="none"/>
        </w:rPr>
        <w:br w:type="page"/>
      </w:r>
    </w:p>
    <w:p w14:paraId="25861509">
      <w:pPr>
        <w:spacing w:line="400" w:lineRule="exact"/>
        <w:jc w:val="center"/>
        <w:rPr>
          <w:rFonts w:ascii="宋体" w:hAnsi="宋体" w:cs="宋体"/>
          <w:b/>
          <w:szCs w:val="21"/>
          <w:highlight w:val="none"/>
        </w:rPr>
      </w:pPr>
      <w:bookmarkStart w:id="42" w:name="_Toc10852"/>
      <w:r>
        <w:rPr>
          <w:rFonts w:hint="eastAsia" w:ascii="宋体" w:hAnsi="宋体" w:cs="宋体"/>
          <w:b/>
          <w:szCs w:val="21"/>
          <w:highlight w:val="none"/>
        </w:rPr>
        <w:t>B4.技术需求响应表</w:t>
      </w:r>
      <w:bookmarkEnd w:id="42"/>
    </w:p>
    <w:p w14:paraId="5F575DF3">
      <w:pPr>
        <w:adjustRightInd w:val="0"/>
        <w:snapToGrid w:val="0"/>
        <w:spacing w:line="400" w:lineRule="exac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2024年宁波市新生代企业家赴欧洲访学活动承接服务采购项目</w:t>
      </w:r>
    </w:p>
    <w:p w14:paraId="0DF81D4E">
      <w:pPr>
        <w:adjustRightInd w:val="0"/>
        <w:snapToGrid w:val="0"/>
        <w:spacing w:line="4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NBITC-202430916G</w:t>
      </w:r>
      <w:r>
        <w:rPr>
          <w:rFonts w:hint="eastAsia" w:ascii="宋体" w:hAnsi="宋体" w:cs="宋体"/>
          <w:szCs w:val="21"/>
          <w:highlight w:val="none"/>
        </w:rPr>
        <w:t xml:space="preserve">                                 </w:t>
      </w:r>
    </w:p>
    <w:tbl>
      <w:tblPr>
        <w:tblStyle w:val="5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608"/>
        <w:gridCol w:w="1928"/>
        <w:gridCol w:w="1434"/>
      </w:tblGrid>
      <w:tr w14:paraId="77C3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1BC6B299">
            <w:pPr>
              <w:adjustRightInd w:val="0"/>
              <w:snapToGrid w:val="0"/>
              <w:spacing w:line="400" w:lineRule="exact"/>
              <w:jc w:val="center"/>
              <w:rPr>
                <w:rFonts w:ascii="宋体" w:hAnsi="宋体" w:cs="宋体"/>
                <w:spacing w:val="20"/>
                <w:szCs w:val="21"/>
                <w:highlight w:val="none"/>
              </w:rPr>
            </w:pPr>
            <w:r>
              <w:rPr>
                <w:rFonts w:hint="eastAsia" w:ascii="宋体" w:hAnsi="宋体" w:cs="宋体"/>
                <w:spacing w:val="20"/>
                <w:szCs w:val="21"/>
                <w:highlight w:val="none"/>
              </w:rPr>
              <w:t>序号</w:t>
            </w:r>
          </w:p>
        </w:tc>
        <w:tc>
          <w:tcPr>
            <w:tcW w:w="4608" w:type="dxa"/>
            <w:tcBorders>
              <w:tl2br w:val="nil"/>
              <w:tr2bl w:val="nil"/>
            </w:tcBorders>
            <w:vAlign w:val="center"/>
          </w:tcPr>
          <w:p w14:paraId="503FC672">
            <w:pPr>
              <w:adjustRightInd w:val="0"/>
              <w:snapToGrid w:val="0"/>
              <w:spacing w:line="400" w:lineRule="exact"/>
              <w:jc w:val="center"/>
              <w:rPr>
                <w:rFonts w:ascii="宋体" w:hAnsi="宋体" w:cs="宋体"/>
                <w:spacing w:val="20"/>
                <w:szCs w:val="21"/>
                <w:highlight w:val="none"/>
              </w:rPr>
            </w:pPr>
            <w:r>
              <w:rPr>
                <w:rFonts w:hint="eastAsia" w:ascii="宋体" w:hAnsi="宋体" w:cs="宋体"/>
                <w:spacing w:val="20"/>
                <w:szCs w:val="21"/>
                <w:highlight w:val="none"/>
              </w:rPr>
              <w:t>招标要求</w:t>
            </w:r>
          </w:p>
        </w:tc>
        <w:tc>
          <w:tcPr>
            <w:tcW w:w="1928" w:type="dxa"/>
            <w:tcBorders>
              <w:tl2br w:val="nil"/>
              <w:tr2bl w:val="nil"/>
            </w:tcBorders>
            <w:vAlign w:val="center"/>
          </w:tcPr>
          <w:p w14:paraId="0A0724B0">
            <w:pPr>
              <w:adjustRightInd w:val="0"/>
              <w:snapToGrid w:val="0"/>
              <w:spacing w:line="400" w:lineRule="exact"/>
              <w:jc w:val="center"/>
              <w:rPr>
                <w:rFonts w:ascii="宋体" w:hAnsi="宋体" w:cs="宋体"/>
                <w:spacing w:val="20"/>
                <w:szCs w:val="21"/>
                <w:highlight w:val="none"/>
              </w:rPr>
            </w:pPr>
            <w:r>
              <w:rPr>
                <w:rFonts w:hint="eastAsia" w:ascii="宋体" w:hAnsi="宋体" w:cs="宋体"/>
                <w:spacing w:val="20"/>
                <w:szCs w:val="21"/>
                <w:highlight w:val="none"/>
              </w:rPr>
              <w:t>投标响应</w:t>
            </w:r>
          </w:p>
        </w:tc>
        <w:tc>
          <w:tcPr>
            <w:tcW w:w="1434" w:type="dxa"/>
            <w:tcBorders>
              <w:tl2br w:val="nil"/>
              <w:tr2bl w:val="nil"/>
            </w:tcBorders>
            <w:vAlign w:val="center"/>
          </w:tcPr>
          <w:p w14:paraId="5AF47FFA">
            <w:pPr>
              <w:adjustRightInd w:val="0"/>
              <w:snapToGrid w:val="0"/>
              <w:spacing w:line="400" w:lineRule="exact"/>
              <w:jc w:val="center"/>
              <w:rPr>
                <w:rFonts w:ascii="宋体" w:hAnsi="宋体" w:cs="宋体"/>
                <w:spacing w:val="20"/>
                <w:szCs w:val="21"/>
                <w:highlight w:val="none"/>
              </w:rPr>
            </w:pPr>
            <w:r>
              <w:rPr>
                <w:rFonts w:hint="eastAsia" w:ascii="宋体" w:hAnsi="宋体" w:cs="宋体"/>
                <w:spacing w:val="20"/>
                <w:szCs w:val="21"/>
                <w:highlight w:val="none"/>
              </w:rPr>
              <w:t>偏离说明</w:t>
            </w:r>
          </w:p>
        </w:tc>
      </w:tr>
      <w:tr w14:paraId="2EBF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72E2A10D">
            <w:pPr>
              <w:adjustRightInd w:val="0"/>
              <w:snapToGrid w:val="0"/>
              <w:spacing w:line="400" w:lineRule="exact"/>
              <w:jc w:val="center"/>
              <w:rPr>
                <w:rFonts w:ascii="宋体" w:hAnsi="宋体" w:cs="宋体"/>
                <w:spacing w:val="20"/>
                <w:szCs w:val="21"/>
                <w:highlight w:val="none"/>
              </w:rPr>
            </w:pPr>
          </w:p>
        </w:tc>
        <w:tc>
          <w:tcPr>
            <w:tcW w:w="4608" w:type="dxa"/>
            <w:tcBorders>
              <w:tl2br w:val="nil"/>
              <w:tr2bl w:val="nil"/>
            </w:tcBorders>
          </w:tcPr>
          <w:p w14:paraId="5B21BD73">
            <w:pPr>
              <w:spacing w:line="400" w:lineRule="exact"/>
              <w:rPr>
                <w:rFonts w:ascii="宋体" w:hAnsi="宋体" w:cs="宋体"/>
                <w:b/>
                <w:bCs/>
                <w:highlight w:val="none"/>
              </w:rPr>
            </w:pPr>
          </w:p>
        </w:tc>
        <w:tc>
          <w:tcPr>
            <w:tcW w:w="1928" w:type="dxa"/>
            <w:tcBorders>
              <w:tl2br w:val="nil"/>
              <w:tr2bl w:val="nil"/>
            </w:tcBorders>
            <w:vAlign w:val="center"/>
          </w:tcPr>
          <w:p w14:paraId="41ABD892">
            <w:pPr>
              <w:adjustRightInd w:val="0"/>
              <w:snapToGrid w:val="0"/>
              <w:spacing w:line="400" w:lineRule="exact"/>
              <w:jc w:val="center"/>
              <w:rPr>
                <w:rFonts w:ascii="宋体" w:hAnsi="宋体" w:cs="宋体"/>
                <w:spacing w:val="20"/>
                <w:szCs w:val="21"/>
                <w:highlight w:val="none"/>
              </w:rPr>
            </w:pPr>
          </w:p>
        </w:tc>
        <w:tc>
          <w:tcPr>
            <w:tcW w:w="1434" w:type="dxa"/>
            <w:tcBorders>
              <w:tl2br w:val="nil"/>
              <w:tr2bl w:val="nil"/>
            </w:tcBorders>
            <w:vAlign w:val="center"/>
          </w:tcPr>
          <w:p w14:paraId="219FDA2F">
            <w:pPr>
              <w:adjustRightInd w:val="0"/>
              <w:snapToGrid w:val="0"/>
              <w:spacing w:line="400" w:lineRule="exact"/>
              <w:jc w:val="center"/>
              <w:rPr>
                <w:rFonts w:ascii="宋体" w:hAnsi="宋体" w:cs="宋体"/>
                <w:spacing w:val="20"/>
                <w:szCs w:val="21"/>
                <w:highlight w:val="none"/>
              </w:rPr>
            </w:pPr>
          </w:p>
        </w:tc>
      </w:tr>
      <w:tr w14:paraId="7FF7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0442C18B">
            <w:pPr>
              <w:adjustRightInd w:val="0"/>
              <w:snapToGrid w:val="0"/>
              <w:spacing w:line="400" w:lineRule="exact"/>
              <w:jc w:val="center"/>
              <w:rPr>
                <w:rFonts w:ascii="宋体" w:hAnsi="宋体" w:cs="宋体"/>
                <w:spacing w:val="20"/>
                <w:szCs w:val="21"/>
                <w:highlight w:val="none"/>
              </w:rPr>
            </w:pPr>
          </w:p>
        </w:tc>
        <w:tc>
          <w:tcPr>
            <w:tcW w:w="4608" w:type="dxa"/>
            <w:tcBorders>
              <w:tl2br w:val="nil"/>
              <w:tr2bl w:val="nil"/>
            </w:tcBorders>
          </w:tcPr>
          <w:p w14:paraId="4FFDF182">
            <w:pPr>
              <w:spacing w:line="400" w:lineRule="exact"/>
              <w:rPr>
                <w:rFonts w:ascii="宋体" w:hAnsi="宋体" w:cs="宋体"/>
                <w:highlight w:val="none"/>
              </w:rPr>
            </w:pPr>
          </w:p>
        </w:tc>
        <w:tc>
          <w:tcPr>
            <w:tcW w:w="1928" w:type="dxa"/>
            <w:tcBorders>
              <w:tl2br w:val="nil"/>
              <w:tr2bl w:val="nil"/>
            </w:tcBorders>
            <w:vAlign w:val="center"/>
          </w:tcPr>
          <w:p w14:paraId="59F76BFA">
            <w:pPr>
              <w:adjustRightInd w:val="0"/>
              <w:snapToGrid w:val="0"/>
              <w:spacing w:line="400" w:lineRule="exact"/>
              <w:jc w:val="center"/>
              <w:rPr>
                <w:rFonts w:ascii="宋体" w:hAnsi="宋体" w:cs="宋体"/>
                <w:spacing w:val="20"/>
                <w:szCs w:val="21"/>
                <w:highlight w:val="none"/>
              </w:rPr>
            </w:pPr>
          </w:p>
        </w:tc>
        <w:tc>
          <w:tcPr>
            <w:tcW w:w="1434" w:type="dxa"/>
            <w:tcBorders>
              <w:tl2br w:val="nil"/>
              <w:tr2bl w:val="nil"/>
            </w:tcBorders>
            <w:vAlign w:val="center"/>
          </w:tcPr>
          <w:p w14:paraId="649A8C99">
            <w:pPr>
              <w:adjustRightInd w:val="0"/>
              <w:snapToGrid w:val="0"/>
              <w:spacing w:line="400" w:lineRule="exact"/>
              <w:jc w:val="center"/>
              <w:rPr>
                <w:rFonts w:ascii="宋体" w:hAnsi="宋体" w:cs="宋体"/>
                <w:spacing w:val="20"/>
                <w:szCs w:val="21"/>
                <w:highlight w:val="none"/>
              </w:rPr>
            </w:pPr>
          </w:p>
        </w:tc>
      </w:tr>
      <w:tr w14:paraId="1087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38FAD0A1">
            <w:pPr>
              <w:adjustRightInd w:val="0"/>
              <w:snapToGrid w:val="0"/>
              <w:spacing w:line="400" w:lineRule="exact"/>
              <w:jc w:val="center"/>
              <w:rPr>
                <w:rFonts w:ascii="宋体" w:hAnsi="宋体" w:cs="宋体"/>
                <w:spacing w:val="20"/>
                <w:szCs w:val="21"/>
                <w:highlight w:val="none"/>
              </w:rPr>
            </w:pPr>
          </w:p>
        </w:tc>
        <w:tc>
          <w:tcPr>
            <w:tcW w:w="4608" w:type="dxa"/>
            <w:tcBorders>
              <w:tl2br w:val="nil"/>
              <w:tr2bl w:val="nil"/>
            </w:tcBorders>
          </w:tcPr>
          <w:p w14:paraId="32881E07">
            <w:pPr>
              <w:spacing w:line="400" w:lineRule="exact"/>
              <w:rPr>
                <w:rFonts w:ascii="宋体" w:hAnsi="宋体" w:cs="宋体"/>
                <w:highlight w:val="none"/>
              </w:rPr>
            </w:pPr>
          </w:p>
        </w:tc>
        <w:tc>
          <w:tcPr>
            <w:tcW w:w="1928" w:type="dxa"/>
            <w:tcBorders>
              <w:tl2br w:val="nil"/>
              <w:tr2bl w:val="nil"/>
            </w:tcBorders>
            <w:vAlign w:val="center"/>
          </w:tcPr>
          <w:p w14:paraId="0CC63B56">
            <w:pPr>
              <w:adjustRightInd w:val="0"/>
              <w:snapToGrid w:val="0"/>
              <w:spacing w:line="400" w:lineRule="exact"/>
              <w:jc w:val="center"/>
              <w:rPr>
                <w:rFonts w:ascii="宋体" w:hAnsi="宋体" w:cs="宋体"/>
                <w:spacing w:val="20"/>
                <w:szCs w:val="21"/>
                <w:highlight w:val="none"/>
              </w:rPr>
            </w:pPr>
          </w:p>
        </w:tc>
        <w:tc>
          <w:tcPr>
            <w:tcW w:w="1434" w:type="dxa"/>
            <w:tcBorders>
              <w:tl2br w:val="nil"/>
              <w:tr2bl w:val="nil"/>
            </w:tcBorders>
            <w:vAlign w:val="center"/>
          </w:tcPr>
          <w:p w14:paraId="391C471D">
            <w:pPr>
              <w:adjustRightInd w:val="0"/>
              <w:snapToGrid w:val="0"/>
              <w:spacing w:line="400" w:lineRule="exact"/>
              <w:jc w:val="center"/>
              <w:rPr>
                <w:rFonts w:ascii="宋体" w:hAnsi="宋体" w:cs="宋体"/>
                <w:spacing w:val="20"/>
                <w:szCs w:val="21"/>
                <w:highlight w:val="none"/>
              </w:rPr>
            </w:pPr>
          </w:p>
        </w:tc>
      </w:tr>
      <w:tr w14:paraId="1B07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0E1EBC84">
            <w:pPr>
              <w:adjustRightInd w:val="0"/>
              <w:snapToGrid w:val="0"/>
              <w:spacing w:line="400" w:lineRule="exact"/>
              <w:jc w:val="center"/>
              <w:rPr>
                <w:rFonts w:ascii="宋体" w:hAnsi="宋体" w:cs="宋体"/>
                <w:spacing w:val="20"/>
                <w:szCs w:val="21"/>
                <w:highlight w:val="none"/>
              </w:rPr>
            </w:pPr>
          </w:p>
        </w:tc>
        <w:tc>
          <w:tcPr>
            <w:tcW w:w="4608" w:type="dxa"/>
            <w:tcBorders>
              <w:tl2br w:val="nil"/>
              <w:tr2bl w:val="nil"/>
            </w:tcBorders>
          </w:tcPr>
          <w:p w14:paraId="689F0E3D">
            <w:pPr>
              <w:spacing w:line="400" w:lineRule="exact"/>
              <w:rPr>
                <w:rFonts w:ascii="宋体" w:hAnsi="宋体" w:cs="宋体"/>
                <w:highlight w:val="none"/>
              </w:rPr>
            </w:pPr>
          </w:p>
        </w:tc>
        <w:tc>
          <w:tcPr>
            <w:tcW w:w="1928" w:type="dxa"/>
            <w:tcBorders>
              <w:tl2br w:val="nil"/>
              <w:tr2bl w:val="nil"/>
            </w:tcBorders>
            <w:vAlign w:val="center"/>
          </w:tcPr>
          <w:p w14:paraId="00591670">
            <w:pPr>
              <w:adjustRightInd w:val="0"/>
              <w:snapToGrid w:val="0"/>
              <w:spacing w:line="400" w:lineRule="exact"/>
              <w:jc w:val="center"/>
              <w:rPr>
                <w:rFonts w:ascii="宋体" w:hAnsi="宋体" w:cs="宋体"/>
                <w:spacing w:val="20"/>
                <w:szCs w:val="21"/>
                <w:highlight w:val="none"/>
              </w:rPr>
            </w:pPr>
          </w:p>
        </w:tc>
        <w:tc>
          <w:tcPr>
            <w:tcW w:w="1434" w:type="dxa"/>
            <w:tcBorders>
              <w:tl2br w:val="nil"/>
              <w:tr2bl w:val="nil"/>
            </w:tcBorders>
            <w:vAlign w:val="center"/>
          </w:tcPr>
          <w:p w14:paraId="17C881AD">
            <w:pPr>
              <w:adjustRightInd w:val="0"/>
              <w:snapToGrid w:val="0"/>
              <w:spacing w:line="400" w:lineRule="exact"/>
              <w:jc w:val="center"/>
              <w:rPr>
                <w:rFonts w:ascii="宋体" w:hAnsi="宋体" w:cs="宋体"/>
                <w:spacing w:val="20"/>
                <w:szCs w:val="21"/>
                <w:highlight w:val="none"/>
              </w:rPr>
            </w:pPr>
          </w:p>
        </w:tc>
      </w:tr>
      <w:tr w14:paraId="64C6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5278E0B4">
            <w:pPr>
              <w:adjustRightInd w:val="0"/>
              <w:snapToGrid w:val="0"/>
              <w:spacing w:line="400" w:lineRule="exact"/>
              <w:jc w:val="center"/>
              <w:rPr>
                <w:rFonts w:ascii="宋体" w:hAnsi="宋体" w:cs="宋体"/>
                <w:spacing w:val="20"/>
                <w:szCs w:val="21"/>
                <w:highlight w:val="none"/>
              </w:rPr>
            </w:pPr>
          </w:p>
        </w:tc>
        <w:tc>
          <w:tcPr>
            <w:tcW w:w="4608" w:type="dxa"/>
            <w:tcBorders>
              <w:tl2br w:val="nil"/>
              <w:tr2bl w:val="nil"/>
            </w:tcBorders>
          </w:tcPr>
          <w:p w14:paraId="0C5F4191">
            <w:pPr>
              <w:spacing w:line="400" w:lineRule="exact"/>
              <w:rPr>
                <w:rFonts w:ascii="宋体" w:hAnsi="宋体" w:cs="宋体"/>
                <w:highlight w:val="none"/>
              </w:rPr>
            </w:pPr>
          </w:p>
        </w:tc>
        <w:tc>
          <w:tcPr>
            <w:tcW w:w="1928" w:type="dxa"/>
            <w:tcBorders>
              <w:tl2br w:val="nil"/>
              <w:tr2bl w:val="nil"/>
            </w:tcBorders>
            <w:vAlign w:val="center"/>
          </w:tcPr>
          <w:p w14:paraId="10CA0B64">
            <w:pPr>
              <w:adjustRightInd w:val="0"/>
              <w:snapToGrid w:val="0"/>
              <w:spacing w:line="400" w:lineRule="exact"/>
              <w:jc w:val="center"/>
              <w:rPr>
                <w:rFonts w:ascii="宋体" w:hAnsi="宋体" w:cs="宋体"/>
                <w:spacing w:val="20"/>
                <w:szCs w:val="21"/>
                <w:highlight w:val="none"/>
              </w:rPr>
            </w:pPr>
          </w:p>
        </w:tc>
        <w:tc>
          <w:tcPr>
            <w:tcW w:w="1434" w:type="dxa"/>
            <w:tcBorders>
              <w:tl2br w:val="nil"/>
              <w:tr2bl w:val="nil"/>
            </w:tcBorders>
            <w:vAlign w:val="center"/>
          </w:tcPr>
          <w:p w14:paraId="2F7B48AB">
            <w:pPr>
              <w:adjustRightInd w:val="0"/>
              <w:snapToGrid w:val="0"/>
              <w:spacing w:line="400" w:lineRule="exact"/>
              <w:jc w:val="center"/>
              <w:rPr>
                <w:rFonts w:ascii="宋体" w:hAnsi="宋体" w:cs="宋体"/>
                <w:spacing w:val="20"/>
                <w:szCs w:val="21"/>
                <w:highlight w:val="none"/>
              </w:rPr>
            </w:pPr>
          </w:p>
        </w:tc>
      </w:tr>
    </w:tbl>
    <w:p w14:paraId="644FB45C">
      <w:pPr>
        <w:adjustRightInd w:val="0"/>
        <w:snapToGrid w:val="0"/>
        <w:spacing w:line="400" w:lineRule="exact"/>
        <w:rPr>
          <w:rFonts w:ascii="宋体" w:hAnsi="宋体" w:cs="宋体"/>
          <w:spacing w:val="20"/>
          <w:szCs w:val="21"/>
          <w:highlight w:val="none"/>
        </w:rPr>
      </w:pPr>
      <w:r>
        <w:rPr>
          <w:rFonts w:hint="eastAsia" w:ascii="宋体" w:hAnsi="宋体" w:cs="宋体"/>
          <w:szCs w:val="21"/>
          <w:highlight w:val="none"/>
        </w:rPr>
        <w:t>注：须与“第三章  招标内容与服务需求”中“二、访学活动对象及人数；三、项目时间安排及地点；五、项目进度安排(可根据工作实际情况同招标人按实确定)；六、人员要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61FE9042">
      <w:pPr>
        <w:adjustRightInd w:val="0"/>
        <w:snapToGrid w:val="0"/>
        <w:spacing w:line="400" w:lineRule="exact"/>
        <w:rPr>
          <w:rFonts w:ascii="宋体" w:hAnsi="宋体" w:cs="宋体"/>
          <w:spacing w:val="20"/>
          <w:szCs w:val="21"/>
          <w:highlight w:val="none"/>
        </w:rPr>
      </w:pPr>
    </w:p>
    <w:p w14:paraId="6D5FA76C">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27824028">
      <w:pPr>
        <w:spacing w:line="400" w:lineRule="exact"/>
        <w:rPr>
          <w:rFonts w:ascii="宋体" w:hAnsi="宋体" w:cs="宋体"/>
          <w:szCs w:val="21"/>
          <w:highlight w:val="none"/>
        </w:rPr>
      </w:pPr>
      <w:r>
        <w:rPr>
          <w:rFonts w:hint="eastAsia" w:ascii="宋体" w:hAnsi="宋体" w:cs="宋体"/>
          <w:szCs w:val="21"/>
          <w:highlight w:val="none"/>
        </w:rPr>
        <w:t>日          期：</w:t>
      </w:r>
    </w:p>
    <w:p w14:paraId="25E5523A">
      <w:pPr>
        <w:snapToGrid w:val="0"/>
        <w:spacing w:line="400" w:lineRule="exact"/>
        <w:ind w:firstLine="4095" w:firstLineChars="1950"/>
        <w:jc w:val="left"/>
        <w:rPr>
          <w:rFonts w:ascii="宋体" w:hAnsi="宋体" w:cs="宋体"/>
          <w:szCs w:val="21"/>
          <w:highlight w:val="none"/>
        </w:rPr>
      </w:pPr>
    </w:p>
    <w:p w14:paraId="32BADC5E">
      <w:pPr>
        <w:spacing w:line="400" w:lineRule="exact"/>
        <w:ind w:firstLine="4095" w:firstLineChars="1950"/>
        <w:jc w:val="left"/>
        <w:rPr>
          <w:rFonts w:ascii="宋体" w:hAnsi="宋体" w:cs="宋体"/>
          <w:szCs w:val="21"/>
          <w:highlight w:val="none"/>
        </w:rPr>
      </w:pPr>
    </w:p>
    <w:p w14:paraId="763D9DD8">
      <w:pPr>
        <w:snapToGrid w:val="0"/>
        <w:spacing w:line="400" w:lineRule="exact"/>
        <w:jc w:val="left"/>
        <w:rPr>
          <w:rFonts w:ascii="宋体" w:hAnsi="宋体" w:cs="宋体"/>
          <w:szCs w:val="21"/>
          <w:highlight w:val="none"/>
          <w:u w:val="single"/>
        </w:rPr>
      </w:pPr>
    </w:p>
    <w:p w14:paraId="6859B94C">
      <w:pPr>
        <w:spacing w:line="360" w:lineRule="auto"/>
        <w:rPr>
          <w:rFonts w:ascii="宋体" w:hAnsi="宋体" w:cs="宋体"/>
          <w:szCs w:val="21"/>
          <w:highlight w:val="none"/>
        </w:rPr>
      </w:pPr>
    </w:p>
    <w:p w14:paraId="354467E7">
      <w:pPr>
        <w:spacing w:line="360" w:lineRule="auto"/>
        <w:rPr>
          <w:rFonts w:ascii="宋体" w:hAnsi="宋体" w:cs="宋体"/>
          <w:szCs w:val="21"/>
          <w:highlight w:val="none"/>
        </w:rPr>
      </w:pPr>
    </w:p>
    <w:p w14:paraId="4C40084B">
      <w:pPr>
        <w:spacing w:line="360" w:lineRule="auto"/>
        <w:rPr>
          <w:rStyle w:val="120"/>
          <w:rFonts w:ascii="宋体" w:hAnsi="宋体" w:cs="宋体"/>
          <w:szCs w:val="21"/>
          <w:highlight w:val="none"/>
        </w:rPr>
      </w:pPr>
      <w:r>
        <w:rPr>
          <w:rFonts w:hint="eastAsia" w:ascii="宋体" w:hAnsi="宋体" w:cs="宋体"/>
          <w:szCs w:val="21"/>
          <w:highlight w:val="none"/>
        </w:rPr>
        <w:br w:type="page"/>
      </w:r>
    </w:p>
    <w:p w14:paraId="50926C88">
      <w:pPr>
        <w:spacing w:line="400" w:lineRule="exact"/>
        <w:jc w:val="center"/>
        <w:rPr>
          <w:rFonts w:ascii="宋体" w:hAnsi="宋体" w:cs="宋体"/>
          <w:b/>
          <w:szCs w:val="21"/>
          <w:highlight w:val="none"/>
        </w:rPr>
      </w:pPr>
      <w:r>
        <w:rPr>
          <w:rFonts w:hint="eastAsia" w:ascii="宋体" w:hAnsi="宋体" w:cs="宋体"/>
          <w:b/>
          <w:szCs w:val="21"/>
          <w:highlight w:val="none"/>
        </w:rPr>
        <w:t>B5.商务条款响应表</w:t>
      </w:r>
    </w:p>
    <w:p w14:paraId="5CC85ED7">
      <w:pPr>
        <w:adjustRightInd w:val="0"/>
        <w:snapToGrid w:val="0"/>
        <w:spacing w:line="400" w:lineRule="exac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2024年宁波市新生代企业家赴欧洲访学活动承接服务采购项目</w:t>
      </w:r>
    </w:p>
    <w:p w14:paraId="06A6C063">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NBITC-202430916G</w:t>
      </w:r>
    </w:p>
    <w:tbl>
      <w:tblPr>
        <w:tblStyle w:val="5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515"/>
        <w:gridCol w:w="5517"/>
        <w:gridCol w:w="1314"/>
      </w:tblGrid>
      <w:tr w14:paraId="7B46F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1A2E680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6" w:type="pct"/>
            <w:tcBorders>
              <w:top w:val="single" w:color="auto" w:sz="4" w:space="0"/>
              <w:left w:val="single" w:color="auto" w:sz="4" w:space="0"/>
              <w:bottom w:val="single" w:color="auto" w:sz="4" w:space="0"/>
              <w:right w:val="single" w:color="auto" w:sz="4" w:space="0"/>
            </w:tcBorders>
            <w:vAlign w:val="center"/>
          </w:tcPr>
          <w:p w14:paraId="5EBDDE6C">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3007" w:type="pct"/>
            <w:tcBorders>
              <w:top w:val="single" w:color="auto" w:sz="4" w:space="0"/>
              <w:left w:val="single" w:color="auto" w:sz="4" w:space="0"/>
              <w:bottom w:val="single" w:color="auto" w:sz="4" w:space="0"/>
              <w:right w:val="single" w:color="auto" w:sz="4" w:space="0"/>
            </w:tcBorders>
            <w:vAlign w:val="center"/>
          </w:tcPr>
          <w:p w14:paraId="24DE526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要求</w:t>
            </w:r>
          </w:p>
        </w:tc>
        <w:tc>
          <w:tcPr>
            <w:tcW w:w="716" w:type="pct"/>
            <w:tcBorders>
              <w:top w:val="single" w:color="auto" w:sz="4" w:space="0"/>
              <w:left w:val="single" w:color="auto" w:sz="4" w:space="0"/>
              <w:bottom w:val="single" w:color="auto" w:sz="4" w:space="0"/>
              <w:right w:val="single" w:color="auto" w:sz="4" w:space="0"/>
            </w:tcBorders>
            <w:vAlign w:val="center"/>
          </w:tcPr>
          <w:p w14:paraId="08A86CF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14:paraId="5F756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057C4AC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26" w:type="pct"/>
            <w:tcBorders>
              <w:top w:val="single" w:color="auto" w:sz="4" w:space="0"/>
              <w:left w:val="single" w:color="auto" w:sz="4" w:space="0"/>
              <w:bottom w:val="single" w:color="auto" w:sz="4" w:space="0"/>
              <w:right w:val="single" w:color="auto" w:sz="4" w:space="0"/>
            </w:tcBorders>
            <w:vAlign w:val="center"/>
          </w:tcPr>
          <w:p w14:paraId="3BCC845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007" w:type="pct"/>
            <w:tcBorders>
              <w:top w:val="single" w:color="auto" w:sz="4" w:space="0"/>
              <w:left w:val="single" w:color="auto" w:sz="4" w:space="0"/>
              <w:bottom w:val="single" w:color="auto" w:sz="4" w:space="0"/>
              <w:right w:val="single" w:color="auto" w:sz="4" w:space="0"/>
            </w:tcBorders>
            <w:vAlign w:val="center"/>
          </w:tcPr>
          <w:p w14:paraId="4672967C">
            <w:pPr>
              <w:spacing w:line="400" w:lineRule="exact"/>
              <w:rPr>
                <w:rFonts w:ascii="宋体" w:hAnsi="宋体" w:cs="宋体"/>
                <w:color w:val="auto"/>
                <w:szCs w:val="21"/>
                <w:highlight w:val="none"/>
              </w:rPr>
            </w:pPr>
            <w:r>
              <w:rPr>
                <w:rFonts w:hint="eastAsia" w:ascii="宋体" w:hAnsi="宋体" w:cs="宋体"/>
                <w:color w:val="auto"/>
                <w:szCs w:val="21"/>
                <w:highlight w:val="none"/>
              </w:rPr>
              <w:t>合同签订之日起至2024年11月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日止。</w:t>
            </w:r>
          </w:p>
        </w:tc>
        <w:tc>
          <w:tcPr>
            <w:tcW w:w="716" w:type="pct"/>
            <w:tcBorders>
              <w:top w:val="single" w:color="auto" w:sz="4" w:space="0"/>
              <w:left w:val="single" w:color="auto" w:sz="4" w:space="0"/>
              <w:bottom w:val="single" w:color="auto" w:sz="4" w:space="0"/>
              <w:right w:val="single" w:color="auto" w:sz="4" w:space="0"/>
            </w:tcBorders>
            <w:vAlign w:val="center"/>
          </w:tcPr>
          <w:p w14:paraId="5656FE33">
            <w:pPr>
              <w:spacing w:line="400" w:lineRule="exact"/>
              <w:rPr>
                <w:rFonts w:ascii="宋体" w:hAnsi="宋体" w:cs="宋体"/>
                <w:color w:val="auto"/>
                <w:szCs w:val="21"/>
                <w:highlight w:val="none"/>
              </w:rPr>
            </w:pPr>
          </w:p>
        </w:tc>
      </w:tr>
      <w:tr w14:paraId="7F02A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6F5119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26" w:type="pct"/>
            <w:tcBorders>
              <w:top w:val="single" w:color="auto" w:sz="4" w:space="0"/>
              <w:left w:val="single" w:color="auto" w:sz="4" w:space="0"/>
              <w:bottom w:val="single" w:color="auto" w:sz="4" w:space="0"/>
              <w:right w:val="single" w:color="auto" w:sz="4" w:space="0"/>
            </w:tcBorders>
            <w:vAlign w:val="center"/>
          </w:tcPr>
          <w:p w14:paraId="7C01641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服务地点</w:t>
            </w:r>
          </w:p>
        </w:tc>
        <w:tc>
          <w:tcPr>
            <w:tcW w:w="3007" w:type="pct"/>
            <w:tcBorders>
              <w:top w:val="single" w:color="auto" w:sz="4" w:space="0"/>
              <w:left w:val="single" w:color="auto" w:sz="4" w:space="0"/>
              <w:bottom w:val="single" w:color="auto" w:sz="4" w:space="0"/>
              <w:right w:val="single" w:color="auto" w:sz="4" w:space="0"/>
            </w:tcBorders>
            <w:vAlign w:val="center"/>
          </w:tcPr>
          <w:p w14:paraId="45D969F3">
            <w:pPr>
              <w:spacing w:line="400" w:lineRule="exact"/>
              <w:rPr>
                <w:rFonts w:ascii="宋体" w:hAnsi="宋体" w:cs="宋体"/>
                <w:color w:val="auto"/>
                <w:szCs w:val="21"/>
                <w:highlight w:val="none"/>
              </w:rPr>
            </w:pPr>
            <w:r>
              <w:rPr>
                <w:rFonts w:hint="eastAsia" w:ascii="宋体" w:hAnsi="宋体" w:cs="宋体"/>
                <w:color w:val="auto"/>
                <w:szCs w:val="21"/>
                <w:highlight w:val="none"/>
              </w:rPr>
              <w:t>招标人指定地点。</w:t>
            </w:r>
          </w:p>
        </w:tc>
        <w:tc>
          <w:tcPr>
            <w:tcW w:w="716" w:type="pct"/>
            <w:tcBorders>
              <w:top w:val="single" w:color="auto" w:sz="4" w:space="0"/>
              <w:left w:val="single" w:color="auto" w:sz="4" w:space="0"/>
              <w:bottom w:val="single" w:color="auto" w:sz="4" w:space="0"/>
              <w:right w:val="single" w:color="auto" w:sz="4" w:space="0"/>
            </w:tcBorders>
            <w:vAlign w:val="center"/>
          </w:tcPr>
          <w:p w14:paraId="2D5893EB">
            <w:pPr>
              <w:spacing w:line="400" w:lineRule="exact"/>
              <w:rPr>
                <w:rFonts w:ascii="宋体" w:hAnsi="宋体" w:cs="宋体"/>
                <w:color w:val="auto"/>
                <w:szCs w:val="21"/>
                <w:highlight w:val="none"/>
              </w:rPr>
            </w:pPr>
          </w:p>
        </w:tc>
      </w:tr>
      <w:tr w14:paraId="63009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6A1E4D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6" w:type="pct"/>
            <w:tcBorders>
              <w:top w:val="single" w:color="auto" w:sz="4" w:space="0"/>
              <w:left w:val="single" w:color="auto" w:sz="4" w:space="0"/>
              <w:bottom w:val="single" w:color="auto" w:sz="4" w:space="0"/>
              <w:right w:val="single" w:color="auto" w:sz="4" w:space="0"/>
            </w:tcBorders>
            <w:vAlign w:val="center"/>
          </w:tcPr>
          <w:p w14:paraId="214D38F3">
            <w:pPr>
              <w:spacing w:line="400" w:lineRule="exact"/>
              <w:jc w:val="center"/>
              <w:rPr>
                <w:rFonts w:ascii="宋体" w:hAnsi="宋体" w:cs="宋体"/>
                <w:color w:val="auto"/>
                <w:szCs w:val="21"/>
                <w:highlight w:val="none"/>
              </w:rPr>
            </w:pPr>
            <w:bookmarkStart w:id="63" w:name="_GoBack"/>
            <w:r>
              <w:rPr>
                <w:rFonts w:hint="eastAsia" w:ascii="宋体" w:hAnsi="宋体" w:cs="宋体"/>
                <w:color w:val="auto"/>
                <w:szCs w:val="21"/>
                <w:highlight w:val="none"/>
              </w:rPr>
              <w:t>付款方式</w:t>
            </w:r>
            <w:bookmarkEnd w:id="63"/>
          </w:p>
        </w:tc>
        <w:tc>
          <w:tcPr>
            <w:tcW w:w="3007" w:type="pct"/>
            <w:tcBorders>
              <w:top w:val="single" w:color="auto" w:sz="4" w:space="0"/>
              <w:left w:val="single" w:color="auto" w:sz="4" w:space="0"/>
              <w:bottom w:val="single" w:color="auto" w:sz="4" w:space="0"/>
              <w:right w:val="single" w:color="auto" w:sz="4" w:space="0"/>
            </w:tcBorders>
            <w:vAlign w:val="center"/>
          </w:tcPr>
          <w:p w14:paraId="53A0C816">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.合同签订并具备实施条件后</w:t>
            </w:r>
            <w:r>
              <w:rPr>
                <w:rFonts w:hint="eastAsia" w:ascii="宋体" w:hAnsi="宋体" w:cs="宋体"/>
                <w:color w:val="auto"/>
                <w:szCs w:val="21"/>
                <w:highlight w:val="none"/>
              </w:rPr>
              <w:t>7个工作日内支付合同总价的4</w:t>
            </w:r>
            <w:r>
              <w:rPr>
                <w:rFonts w:ascii="宋体" w:hAnsi="宋体" w:cs="宋体"/>
                <w:color w:val="auto"/>
                <w:szCs w:val="21"/>
                <w:highlight w:val="none"/>
              </w:rPr>
              <w:t>0%；</w:t>
            </w:r>
          </w:p>
          <w:p w14:paraId="5E58C5D7">
            <w:pPr>
              <w:spacing w:line="400" w:lineRule="exact"/>
              <w:rPr>
                <w:rFonts w:ascii="宋体" w:hAnsi="宋体" w:cs="宋体"/>
                <w:color w:val="auto"/>
                <w:szCs w:val="21"/>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活动结束，递交相关资料（附签到册、学员效果反馈表等）后，</w:t>
            </w:r>
            <w:r>
              <w:rPr>
                <w:rFonts w:hint="eastAsia" w:ascii="宋体" w:hAnsi="宋体" w:cs="宋体"/>
                <w:color w:val="auto"/>
                <w:highlight w:val="none"/>
                <w:lang w:eastAsia="zh-CN"/>
              </w:rPr>
              <w:t>（如大型企业中标）</w:t>
            </w:r>
            <w:r>
              <w:rPr>
                <w:rFonts w:hint="eastAsia" w:ascii="宋体" w:hAnsi="宋体" w:cs="宋体"/>
                <w:color w:val="auto"/>
                <w:highlight w:val="none"/>
              </w:rPr>
              <w:t>并经招标人验收合格后15日内支付余款。</w:t>
            </w:r>
            <w:r>
              <w:rPr>
                <w:rFonts w:hint="eastAsia" w:ascii="宋体" w:hAnsi="宋体" w:cs="宋体"/>
                <w:color w:val="auto"/>
                <w:highlight w:val="none"/>
                <w:lang w:eastAsia="zh-CN"/>
              </w:rPr>
              <w:t>（如中小微企业中标）</w:t>
            </w:r>
            <w:r>
              <w:rPr>
                <w:rFonts w:hint="eastAsia" w:ascii="宋体" w:hAnsi="宋体" w:cs="宋体"/>
                <w:color w:val="auto"/>
                <w:highlight w:val="none"/>
              </w:rPr>
              <w:t>并经招标人验收合格后</w:t>
            </w:r>
            <w:r>
              <w:rPr>
                <w:rFonts w:hint="eastAsia" w:ascii="宋体" w:hAnsi="宋体" w:cs="宋体"/>
                <w:color w:val="auto"/>
                <w:highlight w:val="none"/>
                <w:lang w:val="en-US" w:eastAsia="zh-CN"/>
              </w:rPr>
              <w:t>7个工作</w:t>
            </w:r>
            <w:r>
              <w:rPr>
                <w:rFonts w:hint="eastAsia" w:ascii="宋体" w:hAnsi="宋体" w:cs="宋体"/>
                <w:color w:val="auto"/>
                <w:highlight w:val="none"/>
              </w:rPr>
              <w:t>日内支付余款。</w:t>
            </w:r>
          </w:p>
        </w:tc>
        <w:tc>
          <w:tcPr>
            <w:tcW w:w="716" w:type="pct"/>
            <w:tcBorders>
              <w:top w:val="single" w:color="auto" w:sz="4" w:space="0"/>
              <w:left w:val="single" w:color="auto" w:sz="4" w:space="0"/>
              <w:bottom w:val="single" w:color="auto" w:sz="4" w:space="0"/>
              <w:right w:val="single" w:color="auto" w:sz="4" w:space="0"/>
            </w:tcBorders>
            <w:vAlign w:val="center"/>
          </w:tcPr>
          <w:p w14:paraId="1A16DBDA">
            <w:pPr>
              <w:spacing w:line="400" w:lineRule="exact"/>
              <w:rPr>
                <w:rFonts w:ascii="宋体" w:hAnsi="宋体" w:cs="宋体"/>
                <w:b/>
                <w:bCs/>
                <w:color w:val="auto"/>
                <w:szCs w:val="21"/>
                <w:highlight w:val="none"/>
              </w:rPr>
            </w:pPr>
          </w:p>
        </w:tc>
      </w:tr>
      <w:tr w14:paraId="46837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7C76277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26" w:type="pct"/>
            <w:tcBorders>
              <w:top w:val="single" w:color="auto" w:sz="4" w:space="0"/>
              <w:left w:val="single" w:color="auto" w:sz="4" w:space="0"/>
              <w:bottom w:val="single" w:color="auto" w:sz="4" w:space="0"/>
              <w:right w:val="single" w:color="auto" w:sz="4" w:space="0"/>
            </w:tcBorders>
            <w:vAlign w:val="center"/>
          </w:tcPr>
          <w:p w14:paraId="03FA62C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3007" w:type="pct"/>
            <w:tcBorders>
              <w:top w:val="single" w:color="auto" w:sz="4" w:space="0"/>
              <w:left w:val="single" w:color="auto" w:sz="4" w:space="0"/>
              <w:bottom w:val="single" w:color="auto" w:sz="4" w:space="0"/>
              <w:right w:val="single" w:color="auto" w:sz="4" w:space="0"/>
            </w:tcBorders>
            <w:vAlign w:val="center"/>
          </w:tcPr>
          <w:p w14:paraId="3385306D">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c>
          <w:tcPr>
            <w:tcW w:w="716" w:type="pct"/>
            <w:tcBorders>
              <w:top w:val="single" w:color="auto" w:sz="4" w:space="0"/>
              <w:left w:val="single" w:color="auto" w:sz="4" w:space="0"/>
              <w:bottom w:val="single" w:color="auto" w:sz="4" w:space="0"/>
              <w:right w:val="single" w:color="auto" w:sz="4" w:space="0"/>
            </w:tcBorders>
            <w:vAlign w:val="center"/>
          </w:tcPr>
          <w:p w14:paraId="0C70E576">
            <w:pPr>
              <w:spacing w:line="400" w:lineRule="exact"/>
              <w:rPr>
                <w:rFonts w:ascii="宋体" w:hAnsi="宋体" w:cs="宋体"/>
                <w:color w:val="auto"/>
                <w:szCs w:val="21"/>
                <w:highlight w:val="none"/>
              </w:rPr>
            </w:pPr>
          </w:p>
        </w:tc>
      </w:tr>
      <w:tr w14:paraId="53E85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5C71C21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26" w:type="pct"/>
            <w:tcBorders>
              <w:top w:val="single" w:color="auto" w:sz="4" w:space="0"/>
              <w:left w:val="single" w:color="auto" w:sz="4" w:space="0"/>
              <w:bottom w:val="single" w:color="auto" w:sz="4" w:space="0"/>
              <w:right w:val="single" w:color="auto" w:sz="4" w:space="0"/>
            </w:tcBorders>
            <w:vAlign w:val="center"/>
          </w:tcPr>
          <w:p w14:paraId="5BF01A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3007" w:type="pct"/>
            <w:tcBorders>
              <w:top w:val="single" w:color="auto" w:sz="4" w:space="0"/>
              <w:left w:val="single" w:color="auto" w:sz="4" w:space="0"/>
              <w:bottom w:val="single" w:color="auto" w:sz="4" w:space="0"/>
              <w:right w:val="single" w:color="auto" w:sz="4" w:space="0"/>
            </w:tcBorders>
            <w:vAlign w:val="center"/>
          </w:tcPr>
          <w:p w14:paraId="2AF6C509">
            <w:pPr>
              <w:spacing w:line="400" w:lineRule="exact"/>
              <w:rPr>
                <w:rFonts w:ascii="宋体" w:hAnsi="宋体" w:cs="宋体"/>
                <w:color w:val="auto"/>
                <w:szCs w:val="21"/>
                <w:highlight w:val="none"/>
              </w:rPr>
            </w:pPr>
            <w:r>
              <w:rPr>
                <w:rFonts w:hint="eastAsia" w:ascii="宋体" w:hAnsi="宋体" w:cs="宋体"/>
                <w:color w:val="auto"/>
                <w:szCs w:val="21"/>
                <w:highlight w:val="none"/>
              </w:rPr>
              <w:t>（1）供应商须按照招标人的要求设计课程，制定教学计划、确定活动内容和教材，确保授课老师及工作人员准时到场，并有效组织课程顺利进行，保证活动质量；</w:t>
            </w:r>
          </w:p>
          <w:p w14:paraId="7ED387DB">
            <w:pPr>
              <w:spacing w:line="400" w:lineRule="exact"/>
              <w:rPr>
                <w:rFonts w:ascii="宋体" w:hAnsi="宋体" w:cs="宋体"/>
                <w:color w:val="auto"/>
                <w:szCs w:val="21"/>
                <w:highlight w:val="none"/>
              </w:rPr>
            </w:pPr>
            <w:r>
              <w:rPr>
                <w:rFonts w:hint="eastAsia" w:ascii="宋体" w:hAnsi="宋体" w:cs="宋体"/>
                <w:color w:val="auto"/>
                <w:szCs w:val="21"/>
                <w:highlight w:val="none"/>
              </w:rPr>
              <w:t>（2）供应商须负责项目的师资选派，所聘请的授课教师均应具有相应的学术背景、专业水准和授课经验；</w:t>
            </w:r>
          </w:p>
          <w:p w14:paraId="00E9088B">
            <w:pPr>
              <w:spacing w:line="400" w:lineRule="exact"/>
              <w:rPr>
                <w:rFonts w:ascii="宋体" w:hAnsi="宋体" w:cs="宋体"/>
                <w:color w:val="auto"/>
                <w:szCs w:val="21"/>
                <w:highlight w:val="none"/>
              </w:rPr>
            </w:pPr>
            <w:r>
              <w:rPr>
                <w:rFonts w:hint="eastAsia" w:ascii="宋体" w:hAnsi="宋体" w:cs="宋体"/>
                <w:color w:val="auto"/>
                <w:szCs w:val="21"/>
                <w:highlight w:val="none"/>
              </w:rPr>
              <w:t>（3）供应商须负责项目的教学管理与实施，包括授课安排准备；</w:t>
            </w:r>
          </w:p>
          <w:p w14:paraId="0DFA4ACE">
            <w:pPr>
              <w:spacing w:line="400" w:lineRule="exact"/>
              <w:rPr>
                <w:rFonts w:ascii="宋体" w:hAnsi="宋体" w:cs="宋体"/>
                <w:color w:val="auto"/>
                <w:szCs w:val="21"/>
                <w:highlight w:val="none"/>
              </w:rPr>
            </w:pPr>
            <w:r>
              <w:rPr>
                <w:rFonts w:hint="eastAsia" w:ascii="宋体" w:hAnsi="宋体" w:cs="宋体"/>
                <w:color w:val="auto"/>
                <w:szCs w:val="21"/>
                <w:highlight w:val="none"/>
              </w:rPr>
              <w:t>（4）供应商须负责提供与教学相关的工作：维护课堂秩序、教学组织、专家答疑、上课考勤、质量监控等工作；</w:t>
            </w:r>
          </w:p>
          <w:p w14:paraId="151E8AFB">
            <w:pPr>
              <w:spacing w:line="400" w:lineRule="exact"/>
              <w:rPr>
                <w:rFonts w:ascii="宋体" w:hAnsi="宋体" w:cs="宋体"/>
                <w:color w:val="auto"/>
                <w:szCs w:val="21"/>
                <w:highlight w:val="none"/>
              </w:rPr>
            </w:pPr>
            <w:r>
              <w:rPr>
                <w:rFonts w:hint="eastAsia" w:ascii="宋体" w:hAnsi="宋体" w:cs="宋体"/>
                <w:color w:val="auto"/>
                <w:szCs w:val="21"/>
                <w:highlight w:val="none"/>
              </w:rPr>
              <w:t>（5）供应商做好活动效果评估，收取学员反馈意见；</w:t>
            </w:r>
          </w:p>
          <w:p w14:paraId="21DFD646">
            <w:pPr>
              <w:spacing w:line="400" w:lineRule="exact"/>
              <w:rPr>
                <w:rFonts w:ascii="宋体" w:hAnsi="宋体" w:cs="宋体"/>
                <w:color w:val="auto"/>
                <w:szCs w:val="21"/>
                <w:highlight w:val="none"/>
              </w:rPr>
            </w:pPr>
            <w:r>
              <w:rPr>
                <w:rFonts w:hint="eastAsia" w:ascii="宋体" w:hAnsi="宋体" w:cs="宋体"/>
                <w:color w:val="auto"/>
                <w:szCs w:val="21"/>
                <w:highlight w:val="none"/>
              </w:rPr>
              <w:t>（6）供应商负责做好活动期间各项后勤服务工作等；</w:t>
            </w:r>
          </w:p>
          <w:p w14:paraId="51149517">
            <w:pPr>
              <w:spacing w:line="400" w:lineRule="exact"/>
              <w:rPr>
                <w:rFonts w:ascii="宋体" w:hAnsi="宋体" w:cs="宋体"/>
                <w:color w:val="auto"/>
                <w:szCs w:val="21"/>
                <w:highlight w:val="none"/>
              </w:rPr>
            </w:pPr>
            <w:r>
              <w:rPr>
                <w:rFonts w:hint="eastAsia" w:ascii="宋体" w:hAnsi="宋体" w:cs="宋体"/>
                <w:color w:val="auto"/>
                <w:szCs w:val="21"/>
                <w:highlight w:val="none"/>
              </w:rPr>
              <w:t>（7）供应商须积极配合招标人的临时抽检，不得以任何理由拒绝检查或在检查中弄虚作假；</w:t>
            </w:r>
          </w:p>
          <w:p w14:paraId="04042105">
            <w:pPr>
              <w:spacing w:line="400" w:lineRule="exact"/>
              <w:rPr>
                <w:rFonts w:ascii="宋体" w:hAnsi="宋体" w:cs="宋体"/>
                <w:b/>
                <w:bCs/>
                <w:color w:val="auto"/>
                <w:szCs w:val="21"/>
                <w:highlight w:val="none"/>
              </w:rPr>
            </w:pPr>
            <w:r>
              <w:rPr>
                <w:rFonts w:hint="eastAsia" w:ascii="宋体" w:hAnsi="宋体" w:cs="宋体"/>
                <w:color w:val="auto"/>
                <w:szCs w:val="21"/>
                <w:highlight w:val="none"/>
              </w:rPr>
              <w:t>（8）活动结束后，按要求上报相关资料（签到册、学员效果反馈表等）给招标人。</w:t>
            </w:r>
          </w:p>
        </w:tc>
        <w:tc>
          <w:tcPr>
            <w:tcW w:w="716" w:type="pct"/>
            <w:tcBorders>
              <w:top w:val="single" w:color="auto" w:sz="4" w:space="0"/>
              <w:left w:val="single" w:color="auto" w:sz="4" w:space="0"/>
              <w:bottom w:val="single" w:color="auto" w:sz="4" w:space="0"/>
              <w:right w:val="single" w:color="auto" w:sz="4" w:space="0"/>
            </w:tcBorders>
            <w:vAlign w:val="center"/>
          </w:tcPr>
          <w:p w14:paraId="7AB71337">
            <w:pPr>
              <w:spacing w:line="400" w:lineRule="exact"/>
              <w:rPr>
                <w:rFonts w:ascii="宋体" w:hAnsi="宋体" w:cs="宋体"/>
                <w:color w:val="auto"/>
                <w:szCs w:val="21"/>
                <w:highlight w:val="none"/>
              </w:rPr>
            </w:pPr>
          </w:p>
        </w:tc>
      </w:tr>
      <w:tr w14:paraId="5FE0A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70C9A4A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26" w:type="pct"/>
            <w:tcBorders>
              <w:top w:val="single" w:color="auto" w:sz="4" w:space="0"/>
              <w:left w:val="single" w:color="auto" w:sz="4" w:space="0"/>
              <w:bottom w:val="single" w:color="auto" w:sz="4" w:space="0"/>
              <w:right w:val="single" w:color="auto" w:sz="4" w:space="0"/>
            </w:tcBorders>
            <w:vAlign w:val="center"/>
          </w:tcPr>
          <w:p w14:paraId="016D278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项目验收</w:t>
            </w:r>
          </w:p>
        </w:tc>
        <w:tc>
          <w:tcPr>
            <w:tcW w:w="3007" w:type="pct"/>
            <w:tcBorders>
              <w:top w:val="single" w:color="auto" w:sz="4" w:space="0"/>
              <w:left w:val="single" w:color="auto" w:sz="4" w:space="0"/>
              <w:bottom w:val="single" w:color="auto" w:sz="4" w:space="0"/>
              <w:right w:val="single" w:color="auto" w:sz="4" w:space="0"/>
            </w:tcBorders>
            <w:vAlign w:val="center"/>
          </w:tcPr>
          <w:p w14:paraId="3BAF4ED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由招标人负责进行验收考核，供应商协助。招标人在供应商提供相关服务过程中，有权不定期对服务内容和质量进行考核。不达招标人要求或提供虚假材料的，招标人有权解除合同，并由供应商承担一切损失和费用。</w:t>
            </w:r>
          </w:p>
          <w:p w14:paraId="0FAD8AB3">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（2）验收内容包括合同履行情况、活动组织实施情况、日常监督检查情况。学习资料、签到册、学员满意度、问卷调查等，在项目结束后整理成册留档备查。</w:t>
            </w:r>
          </w:p>
          <w:p w14:paraId="3CE93D6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供应商在提供服务过程中如存在违反合同相关约定情况的，招标人有权要求供应商立即整改，供应商未按招标人要求整改的，招标人可以中止合同履行，供应商将承担因此发生的一切损失、费用与延误责任。</w:t>
            </w:r>
          </w:p>
        </w:tc>
        <w:tc>
          <w:tcPr>
            <w:tcW w:w="716" w:type="pct"/>
            <w:tcBorders>
              <w:top w:val="single" w:color="auto" w:sz="4" w:space="0"/>
              <w:left w:val="single" w:color="auto" w:sz="4" w:space="0"/>
              <w:bottom w:val="single" w:color="auto" w:sz="4" w:space="0"/>
              <w:right w:val="single" w:color="auto" w:sz="4" w:space="0"/>
            </w:tcBorders>
            <w:vAlign w:val="center"/>
          </w:tcPr>
          <w:p w14:paraId="5F17F330">
            <w:pPr>
              <w:spacing w:line="400" w:lineRule="exact"/>
              <w:rPr>
                <w:rFonts w:ascii="宋体" w:hAnsi="宋体" w:cs="宋体"/>
                <w:color w:val="auto"/>
                <w:szCs w:val="21"/>
                <w:highlight w:val="none"/>
              </w:rPr>
            </w:pPr>
          </w:p>
        </w:tc>
      </w:tr>
      <w:tr w14:paraId="0C859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6A10CF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26" w:type="pct"/>
            <w:tcBorders>
              <w:top w:val="single" w:color="auto" w:sz="4" w:space="0"/>
              <w:left w:val="single" w:color="auto" w:sz="4" w:space="0"/>
              <w:bottom w:val="single" w:color="auto" w:sz="4" w:space="0"/>
              <w:right w:val="single" w:color="auto" w:sz="4" w:space="0"/>
            </w:tcBorders>
            <w:vAlign w:val="center"/>
          </w:tcPr>
          <w:p w14:paraId="6B2CE22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3007" w:type="pct"/>
            <w:tcBorders>
              <w:top w:val="single" w:color="auto" w:sz="4" w:space="0"/>
              <w:left w:val="single" w:color="auto" w:sz="4" w:space="0"/>
              <w:bottom w:val="single" w:color="auto" w:sz="4" w:space="0"/>
              <w:right w:val="single" w:color="auto" w:sz="4" w:space="0"/>
            </w:tcBorders>
            <w:vAlign w:val="center"/>
          </w:tcPr>
          <w:p w14:paraId="34118BB1">
            <w:pPr>
              <w:spacing w:line="400" w:lineRule="exact"/>
              <w:rPr>
                <w:rFonts w:ascii="宋体"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日内。</w:t>
            </w:r>
          </w:p>
        </w:tc>
        <w:tc>
          <w:tcPr>
            <w:tcW w:w="716" w:type="pct"/>
            <w:tcBorders>
              <w:top w:val="single" w:color="auto" w:sz="4" w:space="0"/>
              <w:left w:val="single" w:color="auto" w:sz="4" w:space="0"/>
              <w:bottom w:val="single" w:color="auto" w:sz="4" w:space="0"/>
              <w:right w:val="single" w:color="auto" w:sz="4" w:space="0"/>
            </w:tcBorders>
            <w:vAlign w:val="center"/>
          </w:tcPr>
          <w:p w14:paraId="7569C5E9">
            <w:pPr>
              <w:spacing w:line="400" w:lineRule="exact"/>
              <w:rPr>
                <w:rFonts w:ascii="宋体" w:hAnsi="宋体" w:cs="宋体"/>
                <w:color w:val="auto"/>
                <w:szCs w:val="21"/>
                <w:highlight w:val="none"/>
              </w:rPr>
            </w:pPr>
          </w:p>
        </w:tc>
      </w:tr>
    </w:tbl>
    <w:p w14:paraId="158C151C">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注：须与“第四章  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23E5B70A">
      <w:pPr>
        <w:adjustRightInd w:val="0"/>
        <w:snapToGrid w:val="0"/>
        <w:spacing w:line="400" w:lineRule="exact"/>
        <w:rPr>
          <w:rFonts w:ascii="宋体" w:hAnsi="宋体" w:cs="宋体"/>
          <w:szCs w:val="21"/>
          <w:highlight w:val="none"/>
        </w:rPr>
      </w:pPr>
    </w:p>
    <w:p w14:paraId="2B56312F">
      <w:pPr>
        <w:spacing w:line="400" w:lineRule="exact"/>
        <w:jc w:val="left"/>
        <w:rPr>
          <w:rFonts w:ascii="宋体" w:hAnsi="宋体" w:cs="宋体"/>
          <w:szCs w:val="21"/>
          <w:highlight w:val="none"/>
        </w:rPr>
      </w:pPr>
      <w:bookmarkStart w:id="43" w:name="_Toc436408720"/>
      <w:bookmarkStart w:id="44" w:name="_Toc441316563"/>
      <w:r>
        <w:rPr>
          <w:rFonts w:hint="eastAsia" w:ascii="宋体" w:hAnsi="宋体" w:cs="宋体"/>
          <w:szCs w:val="21"/>
          <w:highlight w:val="none"/>
        </w:rPr>
        <w:t>供应商（盖章）：</w:t>
      </w:r>
    </w:p>
    <w:p w14:paraId="49C78500">
      <w:pPr>
        <w:spacing w:line="400" w:lineRule="exact"/>
        <w:rPr>
          <w:rFonts w:ascii="宋体" w:hAnsi="宋体" w:cs="宋体"/>
          <w:szCs w:val="21"/>
          <w:highlight w:val="none"/>
        </w:rPr>
      </w:pPr>
      <w:r>
        <w:rPr>
          <w:rFonts w:hint="eastAsia" w:ascii="宋体" w:hAnsi="宋体" w:cs="宋体"/>
          <w:szCs w:val="21"/>
          <w:highlight w:val="none"/>
        </w:rPr>
        <w:t>日          期：</w:t>
      </w:r>
    </w:p>
    <w:p w14:paraId="5CB2111E">
      <w:pPr>
        <w:spacing w:line="400" w:lineRule="exact"/>
        <w:jc w:val="left"/>
        <w:rPr>
          <w:rFonts w:ascii="宋体" w:hAnsi="宋体" w:cs="宋体"/>
          <w:b/>
          <w:bCs/>
          <w:szCs w:val="21"/>
          <w:highlight w:val="none"/>
        </w:rPr>
      </w:pPr>
      <w:r>
        <w:rPr>
          <w:rFonts w:hint="eastAsia" w:ascii="宋体" w:hAnsi="宋体" w:cs="宋体"/>
          <w:szCs w:val="21"/>
          <w:highlight w:val="none"/>
        </w:rPr>
        <w:br w:type="page"/>
      </w:r>
      <w:bookmarkEnd w:id="43"/>
      <w:bookmarkStart w:id="45" w:name="_Toc441316564"/>
      <w:r>
        <w:rPr>
          <w:rFonts w:hint="eastAsia" w:ascii="宋体" w:hAnsi="宋体" w:cs="宋体"/>
          <w:b/>
          <w:bCs/>
          <w:szCs w:val="21"/>
          <w:highlight w:val="none"/>
        </w:rPr>
        <w:t>B6.企业实力的证明文件（自拟）；</w:t>
      </w:r>
    </w:p>
    <w:p w14:paraId="4ECCCE49">
      <w:pPr>
        <w:spacing w:line="400" w:lineRule="exact"/>
        <w:jc w:val="left"/>
        <w:rPr>
          <w:rFonts w:ascii="宋体" w:hAnsi="宋体" w:cs="宋体"/>
          <w:b/>
          <w:bCs/>
          <w:szCs w:val="21"/>
          <w:highlight w:val="none"/>
        </w:rPr>
      </w:pPr>
      <w:r>
        <w:rPr>
          <w:rFonts w:hint="eastAsia" w:ascii="宋体" w:hAnsi="宋体" w:cs="宋体"/>
          <w:b/>
          <w:bCs/>
          <w:szCs w:val="21"/>
          <w:highlight w:val="none"/>
        </w:rPr>
        <w:t>B7.服务方案（自拟）；</w:t>
      </w:r>
    </w:p>
    <w:p w14:paraId="0E1D2BF0">
      <w:pPr>
        <w:spacing w:line="400" w:lineRule="exact"/>
        <w:jc w:val="left"/>
        <w:rPr>
          <w:rFonts w:ascii="宋体" w:hAnsi="宋体" w:cs="宋体"/>
          <w:szCs w:val="21"/>
          <w:highlight w:val="none"/>
        </w:rPr>
      </w:pPr>
      <w:r>
        <w:rPr>
          <w:rFonts w:hint="eastAsia" w:ascii="宋体" w:hAnsi="宋体" w:cs="宋体"/>
          <w:b/>
          <w:bCs/>
          <w:szCs w:val="21"/>
          <w:highlight w:val="none"/>
        </w:rPr>
        <w:t>B8.拟派项目人员的技术水平和力量及相关证明文件；</w:t>
      </w:r>
    </w:p>
    <w:p w14:paraId="46129264">
      <w:pPr>
        <w:adjustRightInd w:val="0"/>
        <w:snapToGrid w:val="0"/>
        <w:spacing w:line="400" w:lineRule="exact"/>
        <w:jc w:val="center"/>
        <w:rPr>
          <w:rFonts w:ascii="宋体" w:hAnsi="宋体" w:cs="宋体"/>
          <w:szCs w:val="21"/>
          <w:highlight w:val="none"/>
        </w:rPr>
      </w:pPr>
      <w:r>
        <w:rPr>
          <w:rFonts w:hint="eastAsia" w:ascii="宋体" w:hAnsi="宋体" w:cs="宋体"/>
          <w:b/>
          <w:bCs/>
          <w:szCs w:val="21"/>
          <w:highlight w:val="none"/>
        </w:rPr>
        <w:t>拟派项目人员的技术水平和力量及相关证明文件</w:t>
      </w:r>
    </w:p>
    <w:p w14:paraId="20C58AC5">
      <w:pPr>
        <w:adjustRightInd w:val="0"/>
        <w:snapToGrid w:val="0"/>
        <w:spacing w:line="400" w:lineRule="exac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2024年宁波市新生代企业家赴欧洲访学活动承接服务采购项目</w:t>
      </w:r>
      <w:r>
        <w:rPr>
          <w:rFonts w:hint="eastAsia" w:ascii="宋体" w:hAnsi="宋体" w:cs="宋体"/>
          <w:szCs w:val="21"/>
          <w:highlight w:val="none"/>
        </w:rPr>
        <w:t xml:space="preserve">            </w:t>
      </w:r>
    </w:p>
    <w:p w14:paraId="7BDD1CA0">
      <w:pPr>
        <w:adjustRightInd w:val="0"/>
        <w:snapToGrid w:val="0"/>
        <w:spacing w:line="4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NBITC-202430916G</w:t>
      </w:r>
      <w:r>
        <w:rPr>
          <w:rFonts w:hint="eastAsia" w:ascii="宋体" w:hAnsi="宋体" w:cs="宋体"/>
          <w:szCs w:val="21"/>
          <w:highlight w:val="none"/>
        </w:rPr>
        <w:t xml:space="preserve">           </w:t>
      </w:r>
    </w:p>
    <w:tbl>
      <w:tblPr>
        <w:tblStyle w:val="53"/>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10"/>
        <w:gridCol w:w="1040"/>
        <w:gridCol w:w="1040"/>
        <w:gridCol w:w="1040"/>
        <w:gridCol w:w="1040"/>
        <w:gridCol w:w="1183"/>
        <w:gridCol w:w="810"/>
      </w:tblGrid>
      <w:tr w14:paraId="11E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04" w:type="dxa"/>
            <w:vAlign w:val="center"/>
          </w:tcPr>
          <w:p w14:paraId="40D65E85">
            <w:pPr>
              <w:spacing w:line="400" w:lineRule="exact"/>
              <w:jc w:val="center"/>
              <w:rPr>
                <w:rFonts w:ascii="宋体" w:hAnsi="宋体" w:cs="宋体"/>
                <w:b/>
                <w:bCs/>
                <w:szCs w:val="21"/>
                <w:highlight w:val="none"/>
              </w:rPr>
            </w:pPr>
            <w:r>
              <w:rPr>
                <w:rFonts w:hint="eastAsia" w:ascii="宋体" w:hAnsi="宋体" w:cs="宋体"/>
                <w:b/>
                <w:bCs/>
                <w:szCs w:val="21"/>
                <w:highlight w:val="none"/>
              </w:rPr>
              <w:t>姓名</w:t>
            </w:r>
          </w:p>
        </w:tc>
        <w:tc>
          <w:tcPr>
            <w:tcW w:w="1710" w:type="dxa"/>
            <w:vAlign w:val="center"/>
          </w:tcPr>
          <w:p w14:paraId="38ADDE59">
            <w:pPr>
              <w:spacing w:line="400" w:lineRule="exact"/>
              <w:jc w:val="center"/>
              <w:rPr>
                <w:rFonts w:ascii="宋体" w:hAnsi="宋体" w:cs="宋体"/>
                <w:b/>
                <w:bCs/>
                <w:szCs w:val="21"/>
                <w:highlight w:val="none"/>
              </w:rPr>
            </w:pPr>
            <w:r>
              <w:rPr>
                <w:rFonts w:hint="eastAsia" w:ascii="宋体" w:hAnsi="宋体" w:cs="宋体"/>
                <w:b/>
                <w:bCs/>
                <w:szCs w:val="21"/>
                <w:highlight w:val="none"/>
              </w:rPr>
              <w:t>本项目</w:t>
            </w:r>
          </w:p>
          <w:p w14:paraId="6C06BABE">
            <w:pPr>
              <w:spacing w:line="400" w:lineRule="exact"/>
              <w:jc w:val="center"/>
              <w:rPr>
                <w:rFonts w:ascii="宋体" w:hAnsi="宋体" w:cs="宋体"/>
                <w:b/>
                <w:bCs/>
                <w:szCs w:val="21"/>
                <w:highlight w:val="none"/>
              </w:rPr>
            </w:pPr>
            <w:r>
              <w:rPr>
                <w:rFonts w:hint="eastAsia" w:ascii="宋体" w:hAnsi="宋体" w:cs="宋体"/>
                <w:b/>
                <w:bCs/>
                <w:szCs w:val="21"/>
                <w:highlight w:val="none"/>
              </w:rPr>
              <w:t>拟任岗位</w:t>
            </w:r>
          </w:p>
        </w:tc>
        <w:tc>
          <w:tcPr>
            <w:tcW w:w="1040" w:type="dxa"/>
            <w:vAlign w:val="center"/>
          </w:tcPr>
          <w:p w14:paraId="17CCE458">
            <w:pPr>
              <w:spacing w:line="400" w:lineRule="exact"/>
              <w:jc w:val="center"/>
              <w:rPr>
                <w:rFonts w:ascii="宋体" w:hAnsi="宋体" w:cs="宋体"/>
                <w:b/>
                <w:bCs/>
                <w:szCs w:val="21"/>
                <w:highlight w:val="none"/>
              </w:rPr>
            </w:pPr>
            <w:r>
              <w:rPr>
                <w:rFonts w:hint="eastAsia" w:ascii="宋体" w:hAnsi="宋体" w:cs="宋体"/>
                <w:b/>
                <w:bCs/>
                <w:szCs w:val="21"/>
                <w:highlight w:val="none"/>
              </w:rPr>
              <w:t>性别</w:t>
            </w:r>
          </w:p>
        </w:tc>
        <w:tc>
          <w:tcPr>
            <w:tcW w:w="1040" w:type="dxa"/>
            <w:vAlign w:val="center"/>
          </w:tcPr>
          <w:p w14:paraId="1DACA223">
            <w:pPr>
              <w:spacing w:line="400" w:lineRule="exact"/>
              <w:jc w:val="center"/>
              <w:rPr>
                <w:rFonts w:ascii="宋体" w:hAnsi="宋体" w:cs="宋体"/>
                <w:b/>
                <w:bCs/>
                <w:szCs w:val="21"/>
                <w:highlight w:val="none"/>
              </w:rPr>
            </w:pPr>
            <w:r>
              <w:rPr>
                <w:rFonts w:hint="eastAsia" w:ascii="宋体" w:hAnsi="宋体" w:cs="宋体"/>
                <w:b/>
                <w:bCs/>
                <w:szCs w:val="21"/>
                <w:highlight w:val="none"/>
              </w:rPr>
              <w:t>年龄</w:t>
            </w:r>
          </w:p>
        </w:tc>
        <w:tc>
          <w:tcPr>
            <w:tcW w:w="1040" w:type="dxa"/>
            <w:vAlign w:val="center"/>
          </w:tcPr>
          <w:p w14:paraId="2DC7B442">
            <w:pPr>
              <w:spacing w:line="400" w:lineRule="exact"/>
              <w:jc w:val="center"/>
              <w:rPr>
                <w:rFonts w:ascii="宋体" w:hAnsi="宋体" w:cs="宋体"/>
                <w:b/>
                <w:bCs/>
                <w:szCs w:val="21"/>
                <w:highlight w:val="none"/>
              </w:rPr>
            </w:pPr>
            <w:r>
              <w:rPr>
                <w:rFonts w:hint="eastAsia" w:ascii="宋体" w:hAnsi="宋体" w:cs="宋体"/>
                <w:b/>
                <w:bCs/>
                <w:szCs w:val="21"/>
                <w:highlight w:val="none"/>
              </w:rPr>
              <w:t>学历</w:t>
            </w:r>
          </w:p>
        </w:tc>
        <w:tc>
          <w:tcPr>
            <w:tcW w:w="1040" w:type="dxa"/>
            <w:vAlign w:val="center"/>
          </w:tcPr>
          <w:p w14:paraId="1F9D51D8">
            <w:pPr>
              <w:spacing w:line="400" w:lineRule="exact"/>
              <w:jc w:val="center"/>
              <w:rPr>
                <w:rFonts w:ascii="宋体" w:hAnsi="宋体" w:cs="宋体"/>
                <w:b/>
                <w:bCs/>
                <w:szCs w:val="21"/>
                <w:highlight w:val="none"/>
              </w:rPr>
            </w:pPr>
            <w:r>
              <w:rPr>
                <w:rFonts w:hint="eastAsia" w:ascii="宋体" w:hAnsi="宋体" w:cs="宋体"/>
                <w:b/>
                <w:bCs/>
                <w:szCs w:val="21"/>
                <w:highlight w:val="none"/>
              </w:rPr>
              <w:t>专业</w:t>
            </w:r>
          </w:p>
        </w:tc>
        <w:tc>
          <w:tcPr>
            <w:tcW w:w="1183" w:type="dxa"/>
            <w:vAlign w:val="center"/>
          </w:tcPr>
          <w:p w14:paraId="50673949">
            <w:pPr>
              <w:spacing w:line="400" w:lineRule="exact"/>
              <w:jc w:val="center"/>
              <w:rPr>
                <w:rFonts w:ascii="宋体" w:hAnsi="宋体" w:cs="宋体"/>
                <w:b/>
                <w:bCs/>
                <w:szCs w:val="21"/>
                <w:highlight w:val="none"/>
              </w:rPr>
            </w:pPr>
            <w:r>
              <w:rPr>
                <w:rFonts w:hint="eastAsia" w:ascii="宋体" w:hAnsi="宋体" w:cs="宋体"/>
                <w:b/>
                <w:bCs/>
                <w:szCs w:val="21"/>
                <w:highlight w:val="none"/>
              </w:rPr>
              <w:t>职称</w:t>
            </w:r>
          </w:p>
        </w:tc>
        <w:tc>
          <w:tcPr>
            <w:tcW w:w="810" w:type="dxa"/>
            <w:vAlign w:val="center"/>
          </w:tcPr>
          <w:p w14:paraId="4287D9FD">
            <w:pPr>
              <w:spacing w:line="400" w:lineRule="exact"/>
              <w:jc w:val="center"/>
              <w:rPr>
                <w:rFonts w:ascii="宋体" w:hAnsi="宋体" w:cs="宋体"/>
                <w:b/>
                <w:bCs/>
                <w:szCs w:val="21"/>
                <w:highlight w:val="none"/>
              </w:rPr>
            </w:pPr>
            <w:r>
              <w:rPr>
                <w:rFonts w:hint="eastAsia" w:ascii="宋体" w:hAnsi="宋体" w:cs="宋体"/>
                <w:b/>
                <w:bCs/>
                <w:szCs w:val="21"/>
                <w:highlight w:val="none"/>
              </w:rPr>
              <w:t>备注</w:t>
            </w:r>
          </w:p>
        </w:tc>
      </w:tr>
      <w:tr w14:paraId="031E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04" w:type="dxa"/>
            <w:vAlign w:val="center"/>
          </w:tcPr>
          <w:p w14:paraId="03859CF4">
            <w:pPr>
              <w:spacing w:line="400" w:lineRule="exact"/>
              <w:jc w:val="center"/>
              <w:rPr>
                <w:rFonts w:ascii="宋体" w:hAnsi="宋体" w:cs="宋体"/>
                <w:bCs/>
                <w:szCs w:val="21"/>
                <w:highlight w:val="none"/>
              </w:rPr>
            </w:pPr>
          </w:p>
        </w:tc>
        <w:tc>
          <w:tcPr>
            <w:tcW w:w="1710" w:type="dxa"/>
            <w:vAlign w:val="center"/>
          </w:tcPr>
          <w:p w14:paraId="74C139F9">
            <w:pPr>
              <w:spacing w:line="400" w:lineRule="exact"/>
              <w:jc w:val="center"/>
              <w:rPr>
                <w:rFonts w:ascii="宋体" w:hAnsi="宋体" w:cs="宋体"/>
                <w:bCs/>
                <w:szCs w:val="21"/>
                <w:highlight w:val="none"/>
              </w:rPr>
            </w:pPr>
          </w:p>
        </w:tc>
        <w:tc>
          <w:tcPr>
            <w:tcW w:w="1040" w:type="dxa"/>
            <w:vAlign w:val="center"/>
          </w:tcPr>
          <w:p w14:paraId="54FCD8BC">
            <w:pPr>
              <w:spacing w:line="400" w:lineRule="exact"/>
              <w:jc w:val="center"/>
              <w:rPr>
                <w:rFonts w:ascii="宋体" w:hAnsi="宋体" w:cs="宋体"/>
                <w:bCs/>
                <w:szCs w:val="21"/>
                <w:highlight w:val="none"/>
              </w:rPr>
            </w:pPr>
          </w:p>
        </w:tc>
        <w:tc>
          <w:tcPr>
            <w:tcW w:w="1040" w:type="dxa"/>
            <w:vAlign w:val="center"/>
          </w:tcPr>
          <w:p w14:paraId="4094DD7D">
            <w:pPr>
              <w:spacing w:line="400" w:lineRule="exact"/>
              <w:jc w:val="center"/>
              <w:rPr>
                <w:rFonts w:ascii="宋体" w:hAnsi="宋体" w:cs="宋体"/>
                <w:bCs/>
                <w:szCs w:val="21"/>
                <w:highlight w:val="none"/>
              </w:rPr>
            </w:pPr>
          </w:p>
        </w:tc>
        <w:tc>
          <w:tcPr>
            <w:tcW w:w="1040" w:type="dxa"/>
            <w:vAlign w:val="center"/>
          </w:tcPr>
          <w:p w14:paraId="1FD35C94">
            <w:pPr>
              <w:spacing w:line="400" w:lineRule="exact"/>
              <w:jc w:val="center"/>
              <w:rPr>
                <w:rFonts w:ascii="宋体" w:hAnsi="宋体" w:cs="宋体"/>
                <w:bCs/>
                <w:szCs w:val="21"/>
                <w:highlight w:val="none"/>
              </w:rPr>
            </w:pPr>
          </w:p>
        </w:tc>
        <w:tc>
          <w:tcPr>
            <w:tcW w:w="1040" w:type="dxa"/>
            <w:vAlign w:val="center"/>
          </w:tcPr>
          <w:p w14:paraId="40F8F56D">
            <w:pPr>
              <w:spacing w:line="400" w:lineRule="exact"/>
              <w:jc w:val="center"/>
              <w:rPr>
                <w:rFonts w:ascii="宋体" w:hAnsi="宋体" w:cs="宋体"/>
                <w:bCs/>
                <w:szCs w:val="21"/>
                <w:highlight w:val="none"/>
              </w:rPr>
            </w:pPr>
          </w:p>
        </w:tc>
        <w:tc>
          <w:tcPr>
            <w:tcW w:w="1183" w:type="dxa"/>
            <w:vAlign w:val="center"/>
          </w:tcPr>
          <w:p w14:paraId="04333358">
            <w:pPr>
              <w:spacing w:line="400" w:lineRule="exact"/>
              <w:jc w:val="center"/>
              <w:rPr>
                <w:rFonts w:ascii="宋体" w:hAnsi="宋体" w:cs="宋体"/>
                <w:bCs/>
                <w:szCs w:val="21"/>
                <w:highlight w:val="none"/>
              </w:rPr>
            </w:pPr>
          </w:p>
        </w:tc>
        <w:tc>
          <w:tcPr>
            <w:tcW w:w="810" w:type="dxa"/>
            <w:vAlign w:val="center"/>
          </w:tcPr>
          <w:p w14:paraId="3A614F49">
            <w:pPr>
              <w:spacing w:line="400" w:lineRule="exact"/>
              <w:jc w:val="center"/>
              <w:rPr>
                <w:rFonts w:ascii="宋体" w:hAnsi="宋体" w:cs="宋体"/>
                <w:szCs w:val="21"/>
                <w:highlight w:val="none"/>
              </w:rPr>
            </w:pPr>
          </w:p>
        </w:tc>
      </w:tr>
      <w:tr w14:paraId="5CA6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4" w:type="dxa"/>
            <w:vAlign w:val="center"/>
          </w:tcPr>
          <w:p w14:paraId="3668CDB8">
            <w:pPr>
              <w:spacing w:line="400" w:lineRule="exact"/>
              <w:jc w:val="center"/>
              <w:rPr>
                <w:rFonts w:ascii="宋体" w:hAnsi="宋体" w:cs="宋体"/>
                <w:bCs/>
                <w:szCs w:val="21"/>
                <w:highlight w:val="none"/>
              </w:rPr>
            </w:pPr>
          </w:p>
        </w:tc>
        <w:tc>
          <w:tcPr>
            <w:tcW w:w="1710" w:type="dxa"/>
            <w:vAlign w:val="center"/>
          </w:tcPr>
          <w:p w14:paraId="6839DC78">
            <w:pPr>
              <w:spacing w:line="400" w:lineRule="exact"/>
              <w:jc w:val="center"/>
              <w:rPr>
                <w:rFonts w:ascii="宋体" w:hAnsi="宋体" w:cs="宋体"/>
                <w:bCs/>
                <w:szCs w:val="21"/>
                <w:highlight w:val="none"/>
              </w:rPr>
            </w:pPr>
          </w:p>
        </w:tc>
        <w:tc>
          <w:tcPr>
            <w:tcW w:w="1040" w:type="dxa"/>
            <w:vAlign w:val="center"/>
          </w:tcPr>
          <w:p w14:paraId="4C090289">
            <w:pPr>
              <w:spacing w:line="400" w:lineRule="exact"/>
              <w:jc w:val="center"/>
              <w:rPr>
                <w:rFonts w:ascii="宋体" w:hAnsi="宋体" w:cs="宋体"/>
                <w:bCs/>
                <w:szCs w:val="21"/>
                <w:highlight w:val="none"/>
              </w:rPr>
            </w:pPr>
          </w:p>
        </w:tc>
        <w:tc>
          <w:tcPr>
            <w:tcW w:w="1040" w:type="dxa"/>
            <w:vAlign w:val="center"/>
          </w:tcPr>
          <w:p w14:paraId="26291A95">
            <w:pPr>
              <w:spacing w:line="400" w:lineRule="exact"/>
              <w:jc w:val="center"/>
              <w:rPr>
                <w:rFonts w:ascii="宋体" w:hAnsi="宋体" w:cs="宋体"/>
                <w:bCs/>
                <w:szCs w:val="21"/>
                <w:highlight w:val="none"/>
              </w:rPr>
            </w:pPr>
          </w:p>
        </w:tc>
        <w:tc>
          <w:tcPr>
            <w:tcW w:w="1040" w:type="dxa"/>
            <w:vAlign w:val="center"/>
          </w:tcPr>
          <w:p w14:paraId="343FF368">
            <w:pPr>
              <w:spacing w:line="400" w:lineRule="exact"/>
              <w:jc w:val="center"/>
              <w:rPr>
                <w:rFonts w:ascii="宋体" w:hAnsi="宋体" w:cs="宋体"/>
                <w:bCs/>
                <w:szCs w:val="21"/>
                <w:highlight w:val="none"/>
              </w:rPr>
            </w:pPr>
          </w:p>
        </w:tc>
        <w:tc>
          <w:tcPr>
            <w:tcW w:w="1040" w:type="dxa"/>
            <w:vAlign w:val="center"/>
          </w:tcPr>
          <w:p w14:paraId="6700F72B">
            <w:pPr>
              <w:spacing w:line="400" w:lineRule="exact"/>
              <w:jc w:val="center"/>
              <w:rPr>
                <w:rFonts w:ascii="宋体" w:hAnsi="宋体" w:cs="宋体"/>
                <w:bCs/>
                <w:szCs w:val="21"/>
                <w:highlight w:val="none"/>
              </w:rPr>
            </w:pPr>
          </w:p>
        </w:tc>
        <w:tc>
          <w:tcPr>
            <w:tcW w:w="1183" w:type="dxa"/>
            <w:vAlign w:val="center"/>
          </w:tcPr>
          <w:p w14:paraId="4F925895">
            <w:pPr>
              <w:spacing w:line="400" w:lineRule="exact"/>
              <w:jc w:val="center"/>
              <w:rPr>
                <w:rFonts w:ascii="宋体" w:hAnsi="宋体" w:cs="宋体"/>
                <w:bCs/>
                <w:szCs w:val="21"/>
                <w:highlight w:val="none"/>
              </w:rPr>
            </w:pPr>
          </w:p>
        </w:tc>
        <w:tc>
          <w:tcPr>
            <w:tcW w:w="810" w:type="dxa"/>
            <w:vAlign w:val="center"/>
          </w:tcPr>
          <w:p w14:paraId="6AB71F48">
            <w:pPr>
              <w:spacing w:line="400" w:lineRule="exact"/>
              <w:jc w:val="center"/>
              <w:rPr>
                <w:rFonts w:ascii="宋体" w:hAnsi="宋体" w:cs="宋体"/>
                <w:szCs w:val="21"/>
                <w:highlight w:val="none"/>
              </w:rPr>
            </w:pPr>
          </w:p>
        </w:tc>
      </w:tr>
      <w:tr w14:paraId="1F8D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4" w:type="dxa"/>
            <w:vAlign w:val="center"/>
          </w:tcPr>
          <w:p w14:paraId="5573706A">
            <w:pPr>
              <w:spacing w:line="400" w:lineRule="exact"/>
              <w:jc w:val="center"/>
              <w:rPr>
                <w:rFonts w:ascii="宋体" w:hAnsi="宋体" w:cs="宋体"/>
                <w:bCs/>
                <w:szCs w:val="21"/>
                <w:highlight w:val="none"/>
              </w:rPr>
            </w:pPr>
          </w:p>
        </w:tc>
        <w:tc>
          <w:tcPr>
            <w:tcW w:w="1710" w:type="dxa"/>
            <w:vAlign w:val="center"/>
          </w:tcPr>
          <w:p w14:paraId="0BE7280B">
            <w:pPr>
              <w:spacing w:line="400" w:lineRule="exact"/>
              <w:jc w:val="center"/>
              <w:rPr>
                <w:rFonts w:ascii="宋体" w:hAnsi="宋体" w:cs="宋体"/>
                <w:bCs/>
                <w:szCs w:val="21"/>
                <w:highlight w:val="none"/>
              </w:rPr>
            </w:pPr>
          </w:p>
        </w:tc>
        <w:tc>
          <w:tcPr>
            <w:tcW w:w="1040" w:type="dxa"/>
            <w:vAlign w:val="center"/>
          </w:tcPr>
          <w:p w14:paraId="56C8A637">
            <w:pPr>
              <w:spacing w:line="400" w:lineRule="exact"/>
              <w:jc w:val="center"/>
              <w:rPr>
                <w:rFonts w:ascii="宋体" w:hAnsi="宋体" w:cs="宋体"/>
                <w:bCs/>
                <w:szCs w:val="21"/>
                <w:highlight w:val="none"/>
              </w:rPr>
            </w:pPr>
          </w:p>
        </w:tc>
        <w:tc>
          <w:tcPr>
            <w:tcW w:w="1040" w:type="dxa"/>
            <w:vAlign w:val="center"/>
          </w:tcPr>
          <w:p w14:paraId="062A80CA">
            <w:pPr>
              <w:spacing w:line="400" w:lineRule="exact"/>
              <w:jc w:val="center"/>
              <w:rPr>
                <w:rFonts w:ascii="宋体" w:hAnsi="宋体" w:cs="宋体"/>
                <w:bCs/>
                <w:szCs w:val="21"/>
                <w:highlight w:val="none"/>
              </w:rPr>
            </w:pPr>
          </w:p>
        </w:tc>
        <w:tc>
          <w:tcPr>
            <w:tcW w:w="1040" w:type="dxa"/>
            <w:vAlign w:val="center"/>
          </w:tcPr>
          <w:p w14:paraId="640B40A5">
            <w:pPr>
              <w:spacing w:line="400" w:lineRule="exact"/>
              <w:jc w:val="center"/>
              <w:rPr>
                <w:rFonts w:ascii="宋体" w:hAnsi="宋体" w:cs="宋体"/>
                <w:bCs/>
                <w:szCs w:val="21"/>
                <w:highlight w:val="none"/>
              </w:rPr>
            </w:pPr>
          </w:p>
        </w:tc>
        <w:tc>
          <w:tcPr>
            <w:tcW w:w="1040" w:type="dxa"/>
            <w:vAlign w:val="center"/>
          </w:tcPr>
          <w:p w14:paraId="053FBF23">
            <w:pPr>
              <w:spacing w:line="400" w:lineRule="exact"/>
              <w:jc w:val="center"/>
              <w:rPr>
                <w:rFonts w:ascii="宋体" w:hAnsi="宋体" w:cs="宋体"/>
                <w:bCs/>
                <w:szCs w:val="21"/>
                <w:highlight w:val="none"/>
              </w:rPr>
            </w:pPr>
          </w:p>
        </w:tc>
        <w:tc>
          <w:tcPr>
            <w:tcW w:w="1183" w:type="dxa"/>
            <w:vAlign w:val="center"/>
          </w:tcPr>
          <w:p w14:paraId="6B72255C">
            <w:pPr>
              <w:spacing w:line="400" w:lineRule="exact"/>
              <w:jc w:val="center"/>
              <w:rPr>
                <w:rFonts w:ascii="宋体" w:hAnsi="宋体" w:cs="宋体"/>
                <w:bCs/>
                <w:szCs w:val="21"/>
                <w:highlight w:val="none"/>
              </w:rPr>
            </w:pPr>
          </w:p>
        </w:tc>
        <w:tc>
          <w:tcPr>
            <w:tcW w:w="810" w:type="dxa"/>
            <w:vAlign w:val="center"/>
          </w:tcPr>
          <w:p w14:paraId="43873975">
            <w:pPr>
              <w:spacing w:line="400" w:lineRule="exact"/>
              <w:jc w:val="center"/>
              <w:rPr>
                <w:rFonts w:ascii="宋体" w:hAnsi="宋体" w:cs="宋体"/>
                <w:szCs w:val="21"/>
                <w:highlight w:val="none"/>
              </w:rPr>
            </w:pPr>
          </w:p>
        </w:tc>
      </w:tr>
      <w:tr w14:paraId="31C7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4" w:type="dxa"/>
            <w:vAlign w:val="center"/>
          </w:tcPr>
          <w:p w14:paraId="4FEDD988">
            <w:pPr>
              <w:spacing w:line="400" w:lineRule="exact"/>
              <w:jc w:val="center"/>
              <w:rPr>
                <w:rFonts w:ascii="宋体" w:hAnsi="宋体" w:cs="宋体"/>
                <w:bCs/>
                <w:szCs w:val="21"/>
                <w:highlight w:val="none"/>
              </w:rPr>
            </w:pPr>
          </w:p>
        </w:tc>
        <w:tc>
          <w:tcPr>
            <w:tcW w:w="1710" w:type="dxa"/>
            <w:vAlign w:val="center"/>
          </w:tcPr>
          <w:p w14:paraId="2EF5D990">
            <w:pPr>
              <w:spacing w:line="400" w:lineRule="exact"/>
              <w:jc w:val="center"/>
              <w:rPr>
                <w:rFonts w:ascii="宋体" w:hAnsi="宋体" w:cs="宋体"/>
                <w:bCs/>
                <w:szCs w:val="21"/>
                <w:highlight w:val="none"/>
              </w:rPr>
            </w:pPr>
          </w:p>
        </w:tc>
        <w:tc>
          <w:tcPr>
            <w:tcW w:w="1040" w:type="dxa"/>
            <w:vAlign w:val="center"/>
          </w:tcPr>
          <w:p w14:paraId="647ABAB6">
            <w:pPr>
              <w:spacing w:line="400" w:lineRule="exact"/>
              <w:jc w:val="center"/>
              <w:rPr>
                <w:rFonts w:ascii="宋体" w:hAnsi="宋体" w:cs="宋体"/>
                <w:bCs/>
                <w:szCs w:val="21"/>
                <w:highlight w:val="none"/>
              </w:rPr>
            </w:pPr>
          </w:p>
        </w:tc>
        <w:tc>
          <w:tcPr>
            <w:tcW w:w="1040" w:type="dxa"/>
            <w:vAlign w:val="center"/>
          </w:tcPr>
          <w:p w14:paraId="7DE31FEC">
            <w:pPr>
              <w:spacing w:line="400" w:lineRule="exact"/>
              <w:jc w:val="center"/>
              <w:rPr>
                <w:rFonts w:ascii="宋体" w:hAnsi="宋体" w:cs="宋体"/>
                <w:bCs/>
                <w:szCs w:val="21"/>
                <w:highlight w:val="none"/>
              </w:rPr>
            </w:pPr>
          </w:p>
        </w:tc>
        <w:tc>
          <w:tcPr>
            <w:tcW w:w="1040" w:type="dxa"/>
            <w:vAlign w:val="center"/>
          </w:tcPr>
          <w:p w14:paraId="2FB10B5B">
            <w:pPr>
              <w:spacing w:line="400" w:lineRule="exact"/>
              <w:jc w:val="center"/>
              <w:rPr>
                <w:rFonts w:ascii="宋体" w:hAnsi="宋体" w:cs="宋体"/>
                <w:bCs/>
                <w:szCs w:val="21"/>
                <w:highlight w:val="none"/>
              </w:rPr>
            </w:pPr>
          </w:p>
        </w:tc>
        <w:tc>
          <w:tcPr>
            <w:tcW w:w="1040" w:type="dxa"/>
            <w:vAlign w:val="center"/>
          </w:tcPr>
          <w:p w14:paraId="58D88FF8">
            <w:pPr>
              <w:spacing w:line="400" w:lineRule="exact"/>
              <w:jc w:val="center"/>
              <w:rPr>
                <w:rFonts w:ascii="宋体" w:hAnsi="宋体" w:cs="宋体"/>
                <w:bCs/>
                <w:szCs w:val="21"/>
                <w:highlight w:val="none"/>
              </w:rPr>
            </w:pPr>
          </w:p>
        </w:tc>
        <w:tc>
          <w:tcPr>
            <w:tcW w:w="1183" w:type="dxa"/>
            <w:vAlign w:val="center"/>
          </w:tcPr>
          <w:p w14:paraId="43FC8CC3">
            <w:pPr>
              <w:spacing w:line="400" w:lineRule="exact"/>
              <w:jc w:val="center"/>
              <w:rPr>
                <w:rFonts w:ascii="宋体" w:hAnsi="宋体" w:cs="宋体"/>
                <w:bCs/>
                <w:szCs w:val="21"/>
                <w:highlight w:val="none"/>
              </w:rPr>
            </w:pPr>
          </w:p>
        </w:tc>
        <w:tc>
          <w:tcPr>
            <w:tcW w:w="810" w:type="dxa"/>
            <w:vAlign w:val="center"/>
          </w:tcPr>
          <w:p w14:paraId="4C824B79">
            <w:pPr>
              <w:spacing w:line="400" w:lineRule="exact"/>
              <w:jc w:val="center"/>
              <w:rPr>
                <w:rFonts w:ascii="宋体" w:hAnsi="宋体" w:cs="宋体"/>
                <w:szCs w:val="21"/>
                <w:highlight w:val="none"/>
              </w:rPr>
            </w:pPr>
          </w:p>
        </w:tc>
      </w:tr>
      <w:tr w14:paraId="1AB8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4" w:type="dxa"/>
            <w:vAlign w:val="center"/>
          </w:tcPr>
          <w:p w14:paraId="28650C5A">
            <w:pPr>
              <w:spacing w:line="400" w:lineRule="exact"/>
              <w:jc w:val="center"/>
              <w:rPr>
                <w:rFonts w:ascii="宋体" w:hAnsi="宋体" w:cs="宋体"/>
                <w:bCs/>
                <w:szCs w:val="21"/>
                <w:highlight w:val="none"/>
              </w:rPr>
            </w:pPr>
          </w:p>
        </w:tc>
        <w:tc>
          <w:tcPr>
            <w:tcW w:w="1710" w:type="dxa"/>
            <w:vAlign w:val="center"/>
          </w:tcPr>
          <w:p w14:paraId="1939ACDF">
            <w:pPr>
              <w:spacing w:line="400" w:lineRule="exact"/>
              <w:jc w:val="center"/>
              <w:rPr>
                <w:rFonts w:ascii="宋体" w:hAnsi="宋体" w:cs="宋体"/>
                <w:bCs/>
                <w:szCs w:val="21"/>
                <w:highlight w:val="none"/>
              </w:rPr>
            </w:pPr>
          </w:p>
        </w:tc>
        <w:tc>
          <w:tcPr>
            <w:tcW w:w="1040" w:type="dxa"/>
            <w:vAlign w:val="center"/>
          </w:tcPr>
          <w:p w14:paraId="6D175F04">
            <w:pPr>
              <w:spacing w:line="400" w:lineRule="exact"/>
              <w:jc w:val="center"/>
              <w:rPr>
                <w:rFonts w:ascii="宋体" w:hAnsi="宋体" w:cs="宋体"/>
                <w:bCs/>
                <w:szCs w:val="21"/>
                <w:highlight w:val="none"/>
              </w:rPr>
            </w:pPr>
          </w:p>
        </w:tc>
        <w:tc>
          <w:tcPr>
            <w:tcW w:w="1040" w:type="dxa"/>
            <w:vAlign w:val="center"/>
          </w:tcPr>
          <w:p w14:paraId="51B4EA17">
            <w:pPr>
              <w:spacing w:line="400" w:lineRule="exact"/>
              <w:jc w:val="center"/>
              <w:rPr>
                <w:rFonts w:ascii="宋体" w:hAnsi="宋体" w:cs="宋体"/>
                <w:bCs/>
                <w:szCs w:val="21"/>
                <w:highlight w:val="none"/>
              </w:rPr>
            </w:pPr>
          </w:p>
        </w:tc>
        <w:tc>
          <w:tcPr>
            <w:tcW w:w="1040" w:type="dxa"/>
            <w:vAlign w:val="center"/>
          </w:tcPr>
          <w:p w14:paraId="41F0DBBB">
            <w:pPr>
              <w:spacing w:line="400" w:lineRule="exact"/>
              <w:jc w:val="center"/>
              <w:rPr>
                <w:rFonts w:ascii="宋体" w:hAnsi="宋体" w:cs="宋体"/>
                <w:bCs/>
                <w:szCs w:val="21"/>
                <w:highlight w:val="none"/>
              </w:rPr>
            </w:pPr>
          </w:p>
        </w:tc>
        <w:tc>
          <w:tcPr>
            <w:tcW w:w="1040" w:type="dxa"/>
            <w:vAlign w:val="center"/>
          </w:tcPr>
          <w:p w14:paraId="6FDE8894">
            <w:pPr>
              <w:spacing w:line="400" w:lineRule="exact"/>
              <w:jc w:val="center"/>
              <w:rPr>
                <w:rFonts w:ascii="宋体" w:hAnsi="宋体" w:cs="宋体"/>
                <w:bCs/>
                <w:szCs w:val="21"/>
                <w:highlight w:val="none"/>
              </w:rPr>
            </w:pPr>
          </w:p>
        </w:tc>
        <w:tc>
          <w:tcPr>
            <w:tcW w:w="1183" w:type="dxa"/>
            <w:vAlign w:val="center"/>
          </w:tcPr>
          <w:p w14:paraId="1FA1D2DA">
            <w:pPr>
              <w:spacing w:line="400" w:lineRule="exact"/>
              <w:jc w:val="center"/>
              <w:rPr>
                <w:rFonts w:ascii="宋体" w:hAnsi="宋体" w:cs="宋体"/>
                <w:bCs/>
                <w:szCs w:val="21"/>
                <w:highlight w:val="none"/>
              </w:rPr>
            </w:pPr>
          </w:p>
        </w:tc>
        <w:tc>
          <w:tcPr>
            <w:tcW w:w="810" w:type="dxa"/>
            <w:vAlign w:val="center"/>
          </w:tcPr>
          <w:p w14:paraId="712F0AD5">
            <w:pPr>
              <w:spacing w:line="400" w:lineRule="exact"/>
              <w:jc w:val="center"/>
              <w:rPr>
                <w:rFonts w:ascii="宋体" w:hAnsi="宋体" w:cs="宋体"/>
                <w:szCs w:val="21"/>
                <w:highlight w:val="none"/>
              </w:rPr>
            </w:pPr>
          </w:p>
        </w:tc>
      </w:tr>
      <w:tr w14:paraId="6475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04" w:type="dxa"/>
            <w:vAlign w:val="center"/>
          </w:tcPr>
          <w:p w14:paraId="2E0A5C39">
            <w:pPr>
              <w:spacing w:line="400" w:lineRule="exact"/>
              <w:jc w:val="center"/>
              <w:rPr>
                <w:rFonts w:ascii="宋体" w:hAnsi="宋体" w:cs="宋体"/>
                <w:bCs/>
                <w:szCs w:val="21"/>
                <w:highlight w:val="none"/>
              </w:rPr>
            </w:pPr>
          </w:p>
        </w:tc>
        <w:tc>
          <w:tcPr>
            <w:tcW w:w="1710" w:type="dxa"/>
            <w:vAlign w:val="center"/>
          </w:tcPr>
          <w:p w14:paraId="67889C5B">
            <w:pPr>
              <w:spacing w:line="400" w:lineRule="exact"/>
              <w:jc w:val="center"/>
              <w:rPr>
                <w:rFonts w:ascii="宋体" w:hAnsi="宋体" w:cs="宋体"/>
                <w:bCs/>
                <w:szCs w:val="21"/>
                <w:highlight w:val="none"/>
              </w:rPr>
            </w:pPr>
          </w:p>
        </w:tc>
        <w:tc>
          <w:tcPr>
            <w:tcW w:w="1040" w:type="dxa"/>
            <w:vAlign w:val="center"/>
          </w:tcPr>
          <w:p w14:paraId="2588D1CF">
            <w:pPr>
              <w:spacing w:line="400" w:lineRule="exact"/>
              <w:jc w:val="center"/>
              <w:rPr>
                <w:rFonts w:ascii="宋体" w:hAnsi="宋体" w:cs="宋体"/>
                <w:bCs/>
                <w:szCs w:val="21"/>
                <w:highlight w:val="none"/>
              </w:rPr>
            </w:pPr>
          </w:p>
        </w:tc>
        <w:tc>
          <w:tcPr>
            <w:tcW w:w="1040" w:type="dxa"/>
            <w:vAlign w:val="center"/>
          </w:tcPr>
          <w:p w14:paraId="79802F88">
            <w:pPr>
              <w:spacing w:line="400" w:lineRule="exact"/>
              <w:jc w:val="center"/>
              <w:rPr>
                <w:rFonts w:ascii="宋体" w:hAnsi="宋体" w:cs="宋体"/>
                <w:bCs/>
                <w:szCs w:val="21"/>
                <w:highlight w:val="none"/>
              </w:rPr>
            </w:pPr>
          </w:p>
        </w:tc>
        <w:tc>
          <w:tcPr>
            <w:tcW w:w="1040" w:type="dxa"/>
            <w:vAlign w:val="center"/>
          </w:tcPr>
          <w:p w14:paraId="3F5E92E4">
            <w:pPr>
              <w:spacing w:line="400" w:lineRule="exact"/>
              <w:jc w:val="center"/>
              <w:rPr>
                <w:rFonts w:ascii="宋体" w:hAnsi="宋体" w:cs="宋体"/>
                <w:bCs/>
                <w:szCs w:val="21"/>
                <w:highlight w:val="none"/>
              </w:rPr>
            </w:pPr>
          </w:p>
        </w:tc>
        <w:tc>
          <w:tcPr>
            <w:tcW w:w="1040" w:type="dxa"/>
            <w:vAlign w:val="center"/>
          </w:tcPr>
          <w:p w14:paraId="47A579A7">
            <w:pPr>
              <w:spacing w:line="400" w:lineRule="exact"/>
              <w:jc w:val="center"/>
              <w:rPr>
                <w:rFonts w:ascii="宋体" w:hAnsi="宋体" w:cs="宋体"/>
                <w:bCs/>
                <w:szCs w:val="21"/>
                <w:highlight w:val="none"/>
              </w:rPr>
            </w:pPr>
          </w:p>
        </w:tc>
        <w:tc>
          <w:tcPr>
            <w:tcW w:w="1183" w:type="dxa"/>
            <w:vAlign w:val="center"/>
          </w:tcPr>
          <w:p w14:paraId="731AD8F8">
            <w:pPr>
              <w:spacing w:line="400" w:lineRule="exact"/>
              <w:jc w:val="center"/>
              <w:rPr>
                <w:rFonts w:ascii="宋体" w:hAnsi="宋体" w:cs="宋体"/>
                <w:bCs/>
                <w:szCs w:val="21"/>
                <w:highlight w:val="none"/>
              </w:rPr>
            </w:pPr>
          </w:p>
        </w:tc>
        <w:tc>
          <w:tcPr>
            <w:tcW w:w="810" w:type="dxa"/>
            <w:vAlign w:val="center"/>
          </w:tcPr>
          <w:p w14:paraId="18708F74">
            <w:pPr>
              <w:spacing w:line="400" w:lineRule="exact"/>
              <w:jc w:val="center"/>
              <w:rPr>
                <w:rFonts w:ascii="宋体" w:hAnsi="宋体" w:cs="宋体"/>
                <w:szCs w:val="21"/>
                <w:highlight w:val="none"/>
              </w:rPr>
            </w:pPr>
          </w:p>
        </w:tc>
      </w:tr>
    </w:tbl>
    <w:p w14:paraId="66AFADD8">
      <w:pPr>
        <w:spacing w:line="400" w:lineRule="exact"/>
        <w:jc w:val="left"/>
        <w:rPr>
          <w:rFonts w:ascii="宋体" w:hAnsi="宋体" w:cs="宋体"/>
          <w:bCs/>
          <w:szCs w:val="21"/>
          <w:highlight w:val="none"/>
        </w:rPr>
      </w:pPr>
      <w:r>
        <w:rPr>
          <w:rFonts w:hint="eastAsia" w:ascii="宋体" w:hAnsi="宋体" w:cs="宋体"/>
          <w:b/>
          <w:szCs w:val="21"/>
          <w:highlight w:val="none"/>
        </w:rPr>
        <w:t>备注：</w:t>
      </w:r>
      <w:r>
        <w:rPr>
          <w:rFonts w:hint="eastAsia" w:ascii="宋体" w:hAnsi="宋体" w:cs="宋体"/>
          <w:szCs w:val="21"/>
          <w:highlight w:val="none"/>
        </w:rPr>
        <w:t>1.</w:t>
      </w:r>
      <w:r>
        <w:rPr>
          <w:rFonts w:hint="eastAsia" w:ascii="宋体" w:hAnsi="宋体" w:cs="宋体"/>
          <w:bCs/>
          <w:szCs w:val="21"/>
          <w:highlight w:val="none"/>
        </w:rPr>
        <w:t>以上人员一经确认，不得随意更换，如需更换，须征得招标人同意。擅自更换或不到位属违约行为。</w:t>
      </w:r>
    </w:p>
    <w:p w14:paraId="0F9041FF">
      <w:pPr>
        <w:spacing w:line="400" w:lineRule="exact"/>
        <w:ind w:firstLine="630" w:firstLineChars="300"/>
        <w:jc w:val="left"/>
        <w:rPr>
          <w:rFonts w:ascii="宋体" w:hAnsi="宋体" w:cs="宋体"/>
          <w:bCs/>
          <w:szCs w:val="21"/>
          <w:highlight w:val="none"/>
        </w:rPr>
      </w:pPr>
      <w:r>
        <w:rPr>
          <w:rFonts w:hint="eastAsia" w:ascii="宋体" w:hAnsi="宋体" w:cs="宋体"/>
          <w:bCs/>
          <w:szCs w:val="21"/>
          <w:highlight w:val="none"/>
        </w:rPr>
        <w:t>2.项目团队人员如有职称证书的，请提供</w:t>
      </w:r>
      <w:r>
        <w:rPr>
          <w:rFonts w:hint="eastAsia" w:ascii="宋体" w:hAnsi="宋体" w:cs="宋体"/>
          <w:bCs/>
          <w:highlight w:val="none"/>
        </w:rPr>
        <w:t>复印件等资料加盖供应商公章</w:t>
      </w:r>
      <w:r>
        <w:rPr>
          <w:rFonts w:hint="eastAsia" w:ascii="宋体" w:hAnsi="宋体" w:cs="宋体"/>
          <w:bCs/>
          <w:szCs w:val="21"/>
          <w:highlight w:val="none"/>
        </w:rPr>
        <w:t>。</w:t>
      </w:r>
    </w:p>
    <w:p w14:paraId="02DF499B">
      <w:pPr>
        <w:spacing w:line="400" w:lineRule="exact"/>
        <w:ind w:firstLine="735" w:firstLineChars="350"/>
        <w:jc w:val="left"/>
        <w:rPr>
          <w:rFonts w:ascii="宋体" w:hAnsi="宋体" w:cs="宋体"/>
          <w:szCs w:val="21"/>
          <w:highlight w:val="none"/>
        </w:rPr>
      </w:pPr>
    </w:p>
    <w:p w14:paraId="065ED57C">
      <w:pPr>
        <w:spacing w:line="400" w:lineRule="exact"/>
        <w:jc w:val="left"/>
        <w:rPr>
          <w:rFonts w:ascii="宋体" w:hAnsi="宋体" w:cs="宋体"/>
          <w:bCs/>
          <w:highlight w:val="none"/>
        </w:rPr>
      </w:pPr>
      <w:r>
        <w:rPr>
          <w:rFonts w:hint="eastAsia" w:ascii="宋体" w:hAnsi="宋体" w:cs="宋体"/>
          <w:bCs/>
          <w:highlight w:val="none"/>
        </w:rPr>
        <w:t>供应商（盖章）：</w:t>
      </w:r>
    </w:p>
    <w:p w14:paraId="5C3B4510">
      <w:pPr>
        <w:spacing w:line="400" w:lineRule="exact"/>
        <w:rPr>
          <w:rFonts w:ascii="宋体" w:hAnsi="宋体" w:cs="宋体"/>
          <w:szCs w:val="21"/>
          <w:highlight w:val="none"/>
        </w:rPr>
      </w:pPr>
      <w:r>
        <w:rPr>
          <w:rFonts w:hint="eastAsia" w:ascii="宋体" w:hAnsi="宋体" w:cs="宋体"/>
          <w:bCs/>
          <w:highlight w:val="none"/>
        </w:rPr>
        <w:t>日          期：</w:t>
      </w:r>
      <w:r>
        <w:rPr>
          <w:rFonts w:hint="eastAsia" w:ascii="宋体" w:hAnsi="宋体" w:cs="宋体"/>
          <w:szCs w:val="21"/>
          <w:highlight w:val="none"/>
        </w:rPr>
        <w:br w:type="page"/>
      </w:r>
    </w:p>
    <w:p w14:paraId="1FAEB079">
      <w:pPr>
        <w:spacing w:line="400" w:lineRule="exact"/>
        <w:jc w:val="left"/>
        <w:rPr>
          <w:rFonts w:ascii="宋体" w:hAnsi="宋体" w:cs="宋体"/>
          <w:b/>
          <w:bCs/>
          <w:szCs w:val="21"/>
          <w:highlight w:val="none"/>
        </w:rPr>
      </w:pPr>
      <w:r>
        <w:rPr>
          <w:rFonts w:hint="eastAsia" w:ascii="宋体" w:hAnsi="宋体" w:cs="宋体"/>
          <w:b/>
          <w:bCs/>
          <w:szCs w:val="21"/>
          <w:highlight w:val="none"/>
        </w:rPr>
        <w:t>B9.供应商与本项目类似的业绩情况（如有，自拟）；</w:t>
      </w:r>
    </w:p>
    <w:p w14:paraId="41C86DD4">
      <w:pPr>
        <w:spacing w:line="400" w:lineRule="exact"/>
        <w:jc w:val="left"/>
        <w:rPr>
          <w:rFonts w:ascii="宋体" w:hAnsi="宋体" w:cs="宋体"/>
          <w:b/>
          <w:bCs/>
          <w:szCs w:val="21"/>
          <w:highlight w:val="none"/>
        </w:rPr>
      </w:pPr>
      <w:r>
        <w:rPr>
          <w:rFonts w:hint="eastAsia" w:ascii="宋体" w:hAnsi="宋体" w:cs="宋体"/>
          <w:b/>
          <w:bCs/>
          <w:szCs w:val="21"/>
          <w:highlight w:val="none"/>
        </w:rPr>
        <w:t>B10.第五章“评标办法及标准”中评分标准（兼评委打分表）要求提供的资料（如有，请提供）；</w:t>
      </w:r>
    </w:p>
    <w:p w14:paraId="0B23C7F9">
      <w:pPr>
        <w:spacing w:line="400" w:lineRule="exact"/>
        <w:jc w:val="left"/>
        <w:rPr>
          <w:rFonts w:ascii="宋体" w:hAnsi="宋体" w:cs="宋体"/>
          <w:szCs w:val="21"/>
          <w:highlight w:val="none"/>
        </w:rPr>
      </w:pPr>
      <w:r>
        <w:rPr>
          <w:rFonts w:hint="eastAsia" w:ascii="宋体" w:hAnsi="宋体" w:cs="宋体"/>
          <w:b/>
          <w:bCs/>
          <w:szCs w:val="21"/>
          <w:highlight w:val="none"/>
        </w:rPr>
        <w:t>B11.招标文件要求提供的和供应商认为需要的其他资料（如有，请提供）。</w:t>
      </w:r>
    </w:p>
    <w:p w14:paraId="70DEBAE2">
      <w:pPr>
        <w:spacing w:line="400" w:lineRule="exact"/>
        <w:ind w:left="420" w:leftChars="200"/>
        <w:jc w:val="left"/>
        <w:rPr>
          <w:rFonts w:ascii="宋体" w:hAnsi="宋体" w:cs="宋体"/>
          <w:szCs w:val="21"/>
          <w:highlight w:val="none"/>
          <w:u w:val="single"/>
        </w:rPr>
      </w:pPr>
      <w:r>
        <w:rPr>
          <w:rFonts w:hint="eastAsia" w:ascii="宋体" w:hAnsi="宋体" w:cs="宋体"/>
          <w:b/>
          <w:highlight w:val="none"/>
        </w:rPr>
        <w:br w:type="page"/>
      </w:r>
    </w:p>
    <w:p w14:paraId="274B1739">
      <w:pPr>
        <w:pStyle w:val="265"/>
        <w:spacing w:before="0" w:after="0" w:line="400" w:lineRule="exact"/>
        <w:ind w:firstLine="482"/>
        <w:jc w:val="center"/>
        <w:rPr>
          <w:rStyle w:val="120"/>
          <w:rFonts w:ascii="宋体" w:hAnsi="宋体" w:cs="宋体"/>
          <w:sz w:val="32"/>
          <w:szCs w:val="32"/>
          <w:highlight w:val="none"/>
        </w:rPr>
      </w:pPr>
      <w:bookmarkStart w:id="46" w:name="_Toc443468293"/>
      <w:bookmarkStart w:id="47" w:name="_Toc21541028"/>
      <w:bookmarkStart w:id="48" w:name="_Toc8677"/>
      <w:bookmarkStart w:id="49" w:name="_Toc44162159"/>
      <w:r>
        <w:rPr>
          <w:rStyle w:val="120"/>
          <w:rFonts w:hint="eastAsia" w:ascii="宋体" w:hAnsi="宋体" w:cs="宋体"/>
          <w:bCs/>
          <w:sz w:val="32"/>
          <w:szCs w:val="32"/>
          <w:highlight w:val="none"/>
        </w:rPr>
        <w:t>C.报价文件</w:t>
      </w:r>
      <w:bookmarkEnd w:id="46"/>
      <w:bookmarkEnd w:id="47"/>
      <w:bookmarkEnd w:id="48"/>
      <w:bookmarkEnd w:id="49"/>
    </w:p>
    <w:p w14:paraId="200B16B1">
      <w:pPr>
        <w:autoSpaceDE w:val="0"/>
        <w:autoSpaceDN w:val="0"/>
        <w:adjustRightInd w:val="0"/>
        <w:spacing w:line="420" w:lineRule="exact"/>
        <w:rPr>
          <w:rStyle w:val="120"/>
          <w:rFonts w:ascii="宋体" w:hAnsi="宋体" w:cs="宋体"/>
          <w:b w:val="0"/>
          <w:highlight w:val="none"/>
          <w:lang w:val="zh-CN"/>
        </w:rPr>
      </w:pPr>
      <w:r>
        <w:rPr>
          <w:rStyle w:val="120"/>
          <w:rFonts w:hint="eastAsia" w:ascii="宋体" w:hAnsi="宋体" w:cs="宋体"/>
          <w:sz w:val="32"/>
          <w:szCs w:val="32"/>
          <w:highlight w:val="none"/>
        </w:rPr>
        <w:br w:type="page"/>
      </w:r>
      <w:r>
        <w:rPr>
          <w:rStyle w:val="120"/>
          <w:rFonts w:hint="eastAsia" w:ascii="宋体" w:hAnsi="宋体" w:cs="宋体"/>
          <w:szCs w:val="21"/>
          <w:highlight w:val="none"/>
        </w:rPr>
        <w:t>封面</w:t>
      </w:r>
    </w:p>
    <w:p w14:paraId="4482B973">
      <w:pPr>
        <w:spacing w:line="360" w:lineRule="auto"/>
        <w:ind w:firstLine="1285" w:firstLineChars="400"/>
        <w:jc w:val="right"/>
        <w:rPr>
          <w:rFonts w:ascii="宋体" w:hAnsi="宋体" w:cs="宋体"/>
          <w:b/>
          <w:sz w:val="32"/>
          <w:szCs w:val="32"/>
          <w:highlight w:val="none"/>
        </w:rPr>
      </w:pPr>
      <w:r>
        <w:rPr>
          <w:rFonts w:hint="eastAsia" w:ascii="宋体" w:hAnsi="宋体" w:cs="宋体"/>
          <w:b/>
          <w:sz w:val="32"/>
          <w:szCs w:val="32"/>
          <w:highlight w:val="none"/>
        </w:rPr>
        <w:t>正（副）本</w:t>
      </w:r>
    </w:p>
    <w:p w14:paraId="100EBD2B">
      <w:pPr>
        <w:spacing w:line="360" w:lineRule="auto"/>
        <w:rPr>
          <w:rFonts w:ascii="宋体" w:hAnsi="宋体" w:cs="宋体"/>
          <w:sz w:val="28"/>
          <w:szCs w:val="28"/>
          <w:highlight w:val="none"/>
        </w:rPr>
      </w:pPr>
    </w:p>
    <w:p w14:paraId="60669BBB">
      <w:pPr>
        <w:spacing w:after="120" w:line="900" w:lineRule="exact"/>
        <w:jc w:val="center"/>
        <w:rPr>
          <w:rFonts w:ascii="宋体" w:hAnsi="宋体" w:cs="宋体"/>
          <w:b/>
          <w:sz w:val="40"/>
          <w:szCs w:val="40"/>
          <w:highlight w:val="none"/>
        </w:rPr>
      </w:pPr>
      <w:r>
        <w:rPr>
          <w:rFonts w:hint="eastAsia" w:ascii="宋体" w:hAnsi="宋体" w:cs="宋体"/>
          <w:b/>
          <w:sz w:val="40"/>
          <w:szCs w:val="40"/>
          <w:highlight w:val="none"/>
        </w:rPr>
        <w:t>2024年宁波市新生代企业家赴欧洲访学活动承接服务采购项目</w:t>
      </w:r>
    </w:p>
    <w:p w14:paraId="32339A56">
      <w:pPr>
        <w:spacing w:line="360" w:lineRule="auto"/>
        <w:jc w:val="center"/>
        <w:rPr>
          <w:rFonts w:ascii="宋体" w:hAnsi="宋体" w:cs="宋体"/>
          <w:sz w:val="36"/>
          <w:szCs w:val="36"/>
          <w:highlight w:val="none"/>
          <w:u w:val="single"/>
        </w:rPr>
      </w:pPr>
    </w:p>
    <w:p w14:paraId="167C5ABF">
      <w:pPr>
        <w:spacing w:line="360" w:lineRule="auto"/>
        <w:jc w:val="center"/>
        <w:rPr>
          <w:rFonts w:ascii="宋体" w:hAnsi="宋体" w:cs="宋体"/>
          <w:sz w:val="36"/>
          <w:szCs w:val="36"/>
          <w:highlight w:val="none"/>
          <w:u w:val="single"/>
        </w:rPr>
      </w:pPr>
      <w:r>
        <w:rPr>
          <w:rFonts w:hint="eastAsia" w:ascii="宋体" w:hAnsi="宋体" w:cs="宋体"/>
          <w:sz w:val="36"/>
          <w:szCs w:val="36"/>
          <w:highlight w:val="none"/>
        </w:rPr>
        <w:t>项目编号：</w:t>
      </w:r>
      <w:r>
        <w:rPr>
          <w:rFonts w:hint="eastAsia" w:ascii="宋体" w:hAnsi="宋体" w:cs="宋体"/>
          <w:sz w:val="36"/>
          <w:szCs w:val="36"/>
          <w:highlight w:val="none"/>
          <w:u w:val="single"/>
        </w:rPr>
        <w:t>NBITC-202430916G</w:t>
      </w:r>
    </w:p>
    <w:p w14:paraId="6B10B036">
      <w:pPr>
        <w:spacing w:line="360" w:lineRule="auto"/>
        <w:jc w:val="center"/>
        <w:rPr>
          <w:rFonts w:ascii="宋体" w:hAnsi="宋体" w:cs="宋体"/>
          <w:sz w:val="36"/>
          <w:szCs w:val="36"/>
          <w:highlight w:val="none"/>
        </w:rPr>
      </w:pPr>
      <w:r>
        <w:rPr>
          <w:rFonts w:hint="eastAsia" w:ascii="宋体" w:hAnsi="宋体" w:cs="宋体"/>
          <w:sz w:val="36"/>
          <w:szCs w:val="36"/>
          <w:highlight w:val="none"/>
        </w:rPr>
        <w:t>标    项：</w:t>
      </w:r>
      <w:r>
        <w:rPr>
          <w:rFonts w:hint="eastAsia" w:ascii="宋体" w:hAnsi="宋体" w:cs="宋体"/>
          <w:sz w:val="36"/>
          <w:szCs w:val="36"/>
          <w:highlight w:val="none"/>
          <w:u w:val="single"/>
        </w:rPr>
        <w:t>（如有多个标项）</w:t>
      </w:r>
    </w:p>
    <w:p w14:paraId="2A295A82">
      <w:pPr>
        <w:rPr>
          <w:rFonts w:ascii="宋体" w:hAnsi="宋体" w:cs="宋体"/>
          <w:sz w:val="28"/>
          <w:szCs w:val="28"/>
          <w:highlight w:val="none"/>
        </w:rPr>
      </w:pPr>
    </w:p>
    <w:p w14:paraId="54E764A9">
      <w:pPr>
        <w:spacing w:line="360" w:lineRule="auto"/>
        <w:jc w:val="center"/>
        <w:rPr>
          <w:rFonts w:ascii="宋体" w:hAnsi="宋体" w:cs="宋体"/>
          <w:sz w:val="36"/>
          <w:szCs w:val="36"/>
          <w:highlight w:val="none"/>
        </w:rPr>
      </w:pPr>
      <w:r>
        <w:rPr>
          <w:rFonts w:hint="eastAsia" w:ascii="宋体" w:hAnsi="宋体" w:cs="宋体"/>
          <w:sz w:val="36"/>
          <w:szCs w:val="36"/>
          <w:highlight w:val="none"/>
        </w:rPr>
        <w:t>（报价文件）</w:t>
      </w:r>
    </w:p>
    <w:p w14:paraId="2DDC6B83">
      <w:pPr>
        <w:jc w:val="center"/>
        <w:rPr>
          <w:rFonts w:ascii="宋体" w:hAnsi="宋体" w:cs="宋体"/>
          <w:sz w:val="28"/>
          <w:szCs w:val="28"/>
          <w:highlight w:val="none"/>
        </w:rPr>
      </w:pPr>
    </w:p>
    <w:p w14:paraId="26482072">
      <w:pPr>
        <w:spacing w:line="360" w:lineRule="auto"/>
        <w:jc w:val="center"/>
        <w:rPr>
          <w:rFonts w:ascii="宋体" w:hAnsi="宋体" w:cs="宋体"/>
          <w:b/>
          <w:sz w:val="72"/>
          <w:szCs w:val="72"/>
          <w:highlight w:val="none"/>
        </w:rPr>
      </w:pPr>
    </w:p>
    <w:p w14:paraId="6AADA198">
      <w:pPr>
        <w:spacing w:line="360" w:lineRule="auto"/>
        <w:jc w:val="center"/>
        <w:rPr>
          <w:rFonts w:ascii="宋体" w:hAnsi="宋体" w:cs="宋体"/>
          <w:b/>
          <w:sz w:val="72"/>
          <w:szCs w:val="72"/>
          <w:highlight w:val="none"/>
        </w:rPr>
      </w:pPr>
      <w:r>
        <w:rPr>
          <w:rFonts w:hint="eastAsia" w:ascii="宋体" w:hAnsi="宋体" w:cs="宋体"/>
          <w:b/>
          <w:sz w:val="72"/>
          <w:szCs w:val="72"/>
          <w:highlight w:val="none"/>
        </w:rPr>
        <w:t>投标文件</w:t>
      </w:r>
    </w:p>
    <w:p w14:paraId="0BC3E052">
      <w:pPr>
        <w:spacing w:line="360" w:lineRule="auto"/>
        <w:jc w:val="center"/>
        <w:rPr>
          <w:rFonts w:ascii="宋体" w:hAnsi="宋体" w:cs="宋体"/>
          <w:sz w:val="36"/>
          <w:szCs w:val="36"/>
          <w:highlight w:val="none"/>
        </w:rPr>
      </w:pPr>
    </w:p>
    <w:p w14:paraId="2B0DDEC0">
      <w:pPr>
        <w:spacing w:line="360" w:lineRule="auto"/>
        <w:jc w:val="center"/>
        <w:rPr>
          <w:rFonts w:ascii="宋体" w:hAnsi="宋体" w:cs="宋体"/>
          <w:sz w:val="36"/>
          <w:szCs w:val="36"/>
          <w:highlight w:val="none"/>
        </w:rPr>
      </w:pPr>
    </w:p>
    <w:p w14:paraId="273EF0AC">
      <w:pPr>
        <w:spacing w:line="360" w:lineRule="auto"/>
        <w:jc w:val="center"/>
        <w:rPr>
          <w:rFonts w:ascii="宋体" w:hAnsi="宋体" w:cs="宋体"/>
          <w:sz w:val="36"/>
          <w:szCs w:val="36"/>
          <w:highlight w:val="none"/>
        </w:rPr>
      </w:pPr>
    </w:p>
    <w:p w14:paraId="383260C5">
      <w:pPr>
        <w:spacing w:line="360" w:lineRule="auto"/>
        <w:jc w:val="center"/>
        <w:rPr>
          <w:rFonts w:ascii="宋体" w:hAnsi="宋体" w:cs="宋体"/>
          <w:sz w:val="36"/>
          <w:szCs w:val="36"/>
          <w:highlight w:val="none"/>
        </w:rPr>
      </w:pPr>
    </w:p>
    <w:p w14:paraId="29968288">
      <w:pPr>
        <w:spacing w:line="360" w:lineRule="auto"/>
        <w:jc w:val="center"/>
        <w:rPr>
          <w:rFonts w:ascii="宋体" w:hAnsi="宋体" w:cs="宋体"/>
          <w:sz w:val="36"/>
          <w:szCs w:val="36"/>
          <w:highlight w:val="none"/>
          <w:u w:val="single"/>
        </w:rPr>
      </w:pPr>
      <w:r>
        <w:rPr>
          <w:rFonts w:hint="eastAsia" w:ascii="宋体" w:hAnsi="宋体" w:cs="宋体"/>
          <w:sz w:val="36"/>
          <w:szCs w:val="36"/>
          <w:highlight w:val="none"/>
        </w:rPr>
        <w:t>供应商全称：</w:t>
      </w:r>
      <w:r>
        <w:rPr>
          <w:rFonts w:hint="eastAsia" w:ascii="宋体" w:hAnsi="宋体" w:cs="宋体"/>
          <w:sz w:val="36"/>
          <w:szCs w:val="36"/>
          <w:highlight w:val="none"/>
          <w:u w:val="single"/>
        </w:rPr>
        <w:t>（加盖单位公章）</w:t>
      </w:r>
    </w:p>
    <w:p w14:paraId="524847BE">
      <w:pPr>
        <w:pStyle w:val="30"/>
        <w:ind w:left="101" w:leftChars="48" w:firstLine="1920" w:firstLineChars="800"/>
        <w:jc w:val="left"/>
        <w:rPr>
          <w:rFonts w:hAnsi="宋体" w:cs="宋体"/>
          <w:kern w:val="2"/>
          <w:szCs w:val="28"/>
          <w:highlight w:val="none"/>
          <w:u w:val="single"/>
        </w:rPr>
      </w:pPr>
    </w:p>
    <w:p w14:paraId="1F016D8E">
      <w:pPr>
        <w:pStyle w:val="265"/>
        <w:jc w:val="center"/>
        <w:rPr>
          <w:rStyle w:val="120"/>
          <w:rFonts w:ascii="宋体" w:hAnsi="宋体" w:cs="宋体"/>
          <w:b w:val="0"/>
          <w:sz w:val="32"/>
          <w:szCs w:val="32"/>
          <w:highlight w:val="none"/>
        </w:rPr>
      </w:pPr>
      <w:bookmarkStart w:id="50" w:name="_Toc443468294"/>
      <w:bookmarkStart w:id="51" w:name="_Toc21541029"/>
      <w:bookmarkStart w:id="52" w:name="_Toc4975"/>
      <w:bookmarkStart w:id="53" w:name="_Toc44162160"/>
      <w:r>
        <w:rPr>
          <w:rStyle w:val="120"/>
          <w:rFonts w:hint="eastAsia" w:ascii="宋体" w:hAnsi="宋体" w:cs="宋体"/>
          <w:b w:val="0"/>
          <w:sz w:val="32"/>
          <w:szCs w:val="32"/>
          <w:highlight w:val="none"/>
        </w:rPr>
        <w:t>年  月  日</w:t>
      </w:r>
      <w:bookmarkEnd w:id="50"/>
      <w:bookmarkEnd w:id="51"/>
      <w:bookmarkEnd w:id="52"/>
      <w:bookmarkEnd w:id="53"/>
    </w:p>
    <w:bookmarkEnd w:id="44"/>
    <w:bookmarkEnd w:id="45"/>
    <w:p w14:paraId="27F306E2">
      <w:pPr>
        <w:spacing w:line="400" w:lineRule="exact"/>
        <w:jc w:val="center"/>
        <w:rPr>
          <w:rFonts w:ascii="宋体" w:hAnsi="宋体" w:cs="宋体"/>
          <w:b/>
          <w:szCs w:val="21"/>
          <w:highlight w:val="none"/>
        </w:rPr>
      </w:pPr>
      <w:bookmarkStart w:id="54" w:name="_Toc14907"/>
      <w:bookmarkStart w:id="55" w:name="_Toc44162161"/>
      <w:bookmarkStart w:id="56" w:name="_Toc21541030"/>
      <w:r>
        <w:rPr>
          <w:rFonts w:hint="eastAsia" w:ascii="宋体" w:hAnsi="宋体" w:cs="宋体"/>
          <w:b/>
          <w:szCs w:val="21"/>
          <w:highlight w:val="none"/>
        </w:rPr>
        <w:t>C1</w:t>
      </w:r>
      <w:bookmarkEnd w:id="54"/>
      <w:bookmarkEnd w:id="55"/>
      <w:bookmarkEnd w:id="56"/>
      <w:bookmarkStart w:id="57" w:name="_Toc21541032"/>
      <w:bookmarkStart w:id="58" w:name="_Toc14922"/>
      <w:bookmarkStart w:id="59" w:name="_Toc44162162"/>
      <w:r>
        <w:rPr>
          <w:rFonts w:hint="eastAsia" w:ascii="宋体" w:hAnsi="宋体" w:cs="宋体"/>
          <w:b/>
          <w:szCs w:val="21"/>
          <w:highlight w:val="none"/>
        </w:rPr>
        <w:t>.开标一览表</w:t>
      </w:r>
    </w:p>
    <w:p w14:paraId="7621531E">
      <w:pPr>
        <w:pStyle w:val="20"/>
        <w:spacing w:line="400" w:lineRule="exact"/>
        <w:ind w:firstLine="0"/>
        <w:rPr>
          <w:rFonts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2024年宁波市新生代企业家赴欧洲访学活动承接服务采购项目</w:t>
      </w:r>
      <w:r>
        <w:rPr>
          <w:rFonts w:hint="eastAsia" w:ascii="宋体" w:hAnsi="宋体" w:eastAsia="宋体" w:cs="宋体"/>
          <w:sz w:val="21"/>
          <w:szCs w:val="21"/>
          <w:highlight w:val="none"/>
        </w:rPr>
        <w:t xml:space="preserve">              </w:t>
      </w:r>
    </w:p>
    <w:p w14:paraId="361F9603">
      <w:pPr>
        <w:pStyle w:val="20"/>
        <w:spacing w:line="400" w:lineRule="exact"/>
        <w:ind w:firstLine="0"/>
        <w:rPr>
          <w:rFonts w:ascii="宋体" w:hAnsi="宋体" w:eastAsia="宋体" w:cs="宋体"/>
          <w:sz w:val="21"/>
          <w:szCs w:val="21"/>
          <w:highlight w:val="none"/>
          <w:u w:val="single"/>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NBITC-202430916G</w:t>
      </w:r>
    </w:p>
    <w:tbl>
      <w:tblPr>
        <w:tblStyle w:val="5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14:paraId="6F76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14:paraId="465C0BF9">
            <w:pPr>
              <w:spacing w:line="400" w:lineRule="exact"/>
              <w:jc w:val="center"/>
              <w:rPr>
                <w:rFonts w:ascii="宋体" w:hAnsi="宋体" w:cs="宋体"/>
                <w:b/>
                <w:szCs w:val="21"/>
                <w:highlight w:val="none"/>
              </w:rPr>
            </w:pPr>
            <w:r>
              <w:rPr>
                <w:rFonts w:hint="eastAsia" w:ascii="宋体" w:hAnsi="宋体" w:cs="宋体"/>
                <w:b/>
                <w:szCs w:val="21"/>
                <w:highlight w:val="none"/>
              </w:rPr>
              <w:t>标项</w:t>
            </w:r>
          </w:p>
        </w:tc>
        <w:tc>
          <w:tcPr>
            <w:tcW w:w="3974" w:type="dxa"/>
            <w:vAlign w:val="center"/>
          </w:tcPr>
          <w:p w14:paraId="6F66E5D1">
            <w:pPr>
              <w:spacing w:line="400" w:lineRule="exact"/>
              <w:jc w:val="center"/>
              <w:rPr>
                <w:rFonts w:ascii="宋体" w:hAnsi="宋体" w:cs="宋体"/>
                <w:b/>
                <w:szCs w:val="21"/>
                <w:highlight w:val="none"/>
              </w:rPr>
            </w:pPr>
            <w:r>
              <w:rPr>
                <w:rFonts w:hint="eastAsia" w:ascii="宋体" w:hAnsi="宋体" w:cs="宋体"/>
                <w:b/>
                <w:szCs w:val="21"/>
                <w:highlight w:val="none"/>
              </w:rPr>
              <w:t>服务名称</w:t>
            </w:r>
          </w:p>
        </w:tc>
        <w:tc>
          <w:tcPr>
            <w:tcW w:w="2136" w:type="dxa"/>
            <w:vAlign w:val="center"/>
          </w:tcPr>
          <w:p w14:paraId="3CFBE455">
            <w:pPr>
              <w:spacing w:line="400" w:lineRule="exact"/>
              <w:jc w:val="center"/>
              <w:rPr>
                <w:rFonts w:ascii="宋体" w:hAnsi="宋体" w:cs="宋体"/>
                <w:b/>
                <w:szCs w:val="21"/>
                <w:highlight w:val="none"/>
              </w:rPr>
            </w:pPr>
            <w:r>
              <w:rPr>
                <w:rFonts w:hint="eastAsia" w:ascii="宋体" w:hAnsi="宋体" w:cs="宋体"/>
                <w:b/>
                <w:szCs w:val="21"/>
                <w:highlight w:val="none"/>
              </w:rPr>
              <w:t>投标报价（小写：元）</w:t>
            </w:r>
          </w:p>
        </w:tc>
        <w:tc>
          <w:tcPr>
            <w:tcW w:w="2136" w:type="dxa"/>
            <w:vAlign w:val="center"/>
          </w:tcPr>
          <w:p w14:paraId="1DE5391E">
            <w:pPr>
              <w:spacing w:line="400" w:lineRule="exact"/>
              <w:jc w:val="center"/>
              <w:rPr>
                <w:rFonts w:ascii="宋体" w:hAnsi="宋体" w:cs="宋体"/>
                <w:b/>
                <w:szCs w:val="21"/>
                <w:highlight w:val="none"/>
              </w:rPr>
            </w:pPr>
            <w:r>
              <w:rPr>
                <w:rFonts w:hint="eastAsia" w:ascii="宋体" w:hAnsi="宋体" w:cs="宋体"/>
                <w:b/>
                <w:szCs w:val="21"/>
                <w:highlight w:val="none"/>
              </w:rPr>
              <w:t>投标报价（大写：元）</w:t>
            </w:r>
          </w:p>
        </w:tc>
      </w:tr>
      <w:tr w14:paraId="373F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14:paraId="7CC6904B">
            <w:pPr>
              <w:spacing w:line="400" w:lineRule="exact"/>
              <w:jc w:val="center"/>
              <w:rPr>
                <w:rFonts w:ascii="宋体" w:hAnsi="宋体" w:cs="宋体"/>
                <w:szCs w:val="21"/>
                <w:highlight w:val="none"/>
              </w:rPr>
            </w:pPr>
            <w:r>
              <w:rPr>
                <w:rFonts w:hint="eastAsia" w:ascii="宋体" w:hAnsi="宋体" w:cs="宋体"/>
                <w:szCs w:val="21"/>
                <w:highlight w:val="none"/>
              </w:rPr>
              <w:t>一</w:t>
            </w:r>
          </w:p>
        </w:tc>
        <w:tc>
          <w:tcPr>
            <w:tcW w:w="3974" w:type="dxa"/>
            <w:vAlign w:val="center"/>
          </w:tcPr>
          <w:p w14:paraId="49A0525D">
            <w:pPr>
              <w:spacing w:line="400" w:lineRule="exact"/>
              <w:jc w:val="center"/>
              <w:rPr>
                <w:rFonts w:ascii="宋体" w:hAnsi="宋体" w:cs="宋体"/>
                <w:szCs w:val="21"/>
                <w:highlight w:val="none"/>
              </w:rPr>
            </w:pPr>
            <w:r>
              <w:rPr>
                <w:rFonts w:hint="eastAsia" w:ascii="宋体" w:hAnsi="宋体" w:cs="宋体"/>
                <w:szCs w:val="21"/>
                <w:highlight w:val="none"/>
              </w:rPr>
              <w:t>2024年宁波市新生代企业家赴欧洲访学活动承接服务采购</w:t>
            </w:r>
          </w:p>
        </w:tc>
        <w:tc>
          <w:tcPr>
            <w:tcW w:w="2136" w:type="dxa"/>
            <w:vAlign w:val="center"/>
          </w:tcPr>
          <w:p w14:paraId="309DF808">
            <w:pPr>
              <w:spacing w:line="400" w:lineRule="exact"/>
              <w:jc w:val="center"/>
              <w:rPr>
                <w:rFonts w:ascii="宋体" w:hAnsi="宋体" w:cs="宋体"/>
                <w:szCs w:val="21"/>
                <w:highlight w:val="none"/>
              </w:rPr>
            </w:pPr>
          </w:p>
        </w:tc>
        <w:tc>
          <w:tcPr>
            <w:tcW w:w="2136" w:type="dxa"/>
            <w:vAlign w:val="center"/>
          </w:tcPr>
          <w:p w14:paraId="008AAA0B">
            <w:pPr>
              <w:spacing w:line="400" w:lineRule="exact"/>
              <w:jc w:val="center"/>
              <w:rPr>
                <w:rFonts w:ascii="宋体" w:hAnsi="宋体" w:cs="宋体"/>
                <w:szCs w:val="21"/>
                <w:highlight w:val="none"/>
              </w:rPr>
            </w:pPr>
          </w:p>
        </w:tc>
      </w:tr>
    </w:tbl>
    <w:p w14:paraId="573150B2">
      <w:pPr>
        <w:snapToGrid w:val="0"/>
        <w:spacing w:line="400" w:lineRule="exact"/>
        <w:jc w:val="left"/>
        <w:rPr>
          <w:rFonts w:ascii="宋体" w:hAnsi="宋体" w:cs="宋体"/>
          <w:highlight w:val="none"/>
        </w:rPr>
      </w:pPr>
      <w:r>
        <w:rPr>
          <w:rFonts w:hint="eastAsia" w:ascii="宋体" w:hAnsi="宋体" w:cs="宋体"/>
          <w:highlight w:val="none"/>
        </w:rPr>
        <w:t>注：</w:t>
      </w:r>
      <w:r>
        <w:rPr>
          <w:rFonts w:hint="eastAsia" w:ascii="宋体" w:hAnsi="宋体" w:cs="宋体"/>
          <w:szCs w:val="21"/>
          <w:highlight w:val="none"/>
        </w:rPr>
        <w:t>投标文件中开标一览表内容与政采云系统“开标一览表”中录入的报价内容不一致的，以投标文件中开标一览表为准。</w:t>
      </w:r>
    </w:p>
    <w:p w14:paraId="03029DEE">
      <w:pPr>
        <w:snapToGrid w:val="0"/>
        <w:spacing w:line="400" w:lineRule="exact"/>
        <w:rPr>
          <w:rFonts w:ascii="宋体" w:hAnsi="宋体" w:cs="宋体"/>
          <w:szCs w:val="21"/>
          <w:highlight w:val="none"/>
          <w:u w:val="single"/>
        </w:rPr>
      </w:pPr>
    </w:p>
    <w:p w14:paraId="568E30F2">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2D5EE234">
      <w:pPr>
        <w:spacing w:line="400" w:lineRule="exact"/>
        <w:rPr>
          <w:rFonts w:ascii="宋体" w:hAnsi="宋体" w:cs="宋体"/>
          <w:szCs w:val="21"/>
          <w:highlight w:val="none"/>
          <w:u w:val="single"/>
        </w:rPr>
      </w:pPr>
      <w:r>
        <w:rPr>
          <w:rFonts w:hint="eastAsia" w:ascii="宋体" w:hAnsi="宋体" w:cs="宋体"/>
          <w:szCs w:val="21"/>
          <w:highlight w:val="none"/>
        </w:rPr>
        <w:t>日          期：</w:t>
      </w:r>
    </w:p>
    <w:p w14:paraId="585A0281">
      <w:pPr>
        <w:rPr>
          <w:rFonts w:ascii="宋体" w:hAnsi="宋体" w:cs="宋体"/>
          <w:szCs w:val="21"/>
          <w:highlight w:val="none"/>
        </w:rPr>
      </w:pPr>
      <w:r>
        <w:rPr>
          <w:rFonts w:hint="eastAsia" w:hAnsi="宋体" w:cs="宋体"/>
          <w:b/>
          <w:szCs w:val="21"/>
          <w:highlight w:val="none"/>
        </w:rPr>
        <w:br w:type="page"/>
      </w:r>
    </w:p>
    <w:p w14:paraId="3676B85A">
      <w:pPr>
        <w:spacing w:line="400" w:lineRule="exact"/>
        <w:jc w:val="center"/>
        <w:rPr>
          <w:rFonts w:ascii="宋体" w:hAnsi="宋体" w:cs="宋体"/>
          <w:b/>
          <w:szCs w:val="21"/>
          <w:highlight w:val="none"/>
        </w:rPr>
      </w:pPr>
      <w:r>
        <w:rPr>
          <w:rFonts w:hint="eastAsia" w:ascii="宋体" w:hAnsi="宋体" w:cs="宋体"/>
          <w:b/>
          <w:szCs w:val="21"/>
          <w:highlight w:val="none"/>
        </w:rPr>
        <w:t>C2.投标分项报价表</w:t>
      </w:r>
    </w:p>
    <w:p w14:paraId="0E81D8E8">
      <w:pPr>
        <w:pStyle w:val="20"/>
        <w:spacing w:line="400" w:lineRule="exact"/>
        <w:ind w:firstLine="0"/>
        <w:rPr>
          <w:rFonts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2024年宁波市新生代企业家赴欧洲访学活动承接服务采购项目</w:t>
      </w:r>
      <w:r>
        <w:rPr>
          <w:rFonts w:hint="eastAsia" w:ascii="宋体" w:hAnsi="宋体" w:eastAsia="宋体" w:cs="宋体"/>
          <w:sz w:val="21"/>
          <w:szCs w:val="21"/>
          <w:highlight w:val="none"/>
        </w:rPr>
        <w:t xml:space="preserve">              </w:t>
      </w:r>
    </w:p>
    <w:p w14:paraId="5BBA1CC1">
      <w:pPr>
        <w:pStyle w:val="20"/>
        <w:spacing w:line="400" w:lineRule="exact"/>
        <w:ind w:firstLine="0"/>
        <w:rPr>
          <w:rFonts w:ascii="宋体" w:hAnsi="宋体" w:eastAsia="宋体" w:cs="宋体"/>
          <w:sz w:val="21"/>
          <w:szCs w:val="21"/>
          <w:highlight w:val="none"/>
          <w:u w:val="single"/>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NBITC-202430916G</w:t>
      </w:r>
    </w:p>
    <w:tbl>
      <w:tblPr>
        <w:tblStyle w:val="5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680"/>
        <w:gridCol w:w="3169"/>
        <w:gridCol w:w="1592"/>
      </w:tblGrid>
      <w:tr w14:paraId="3C69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30E8DFDA">
            <w:pPr>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2007" w:type="pct"/>
            <w:tcBorders>
              <w:top w:val="single" w:color="auto" w:sz="4" w:space="0"/>
              <w:left w:val="single" w:color="auto" w:sz="4" w:space="0"/>
              <w:bottom w:val="single" w:color="auto" w:sz="4" w:space="0"/>
              <w:right w:val="single" w:color="auto" w:sz="4" w:space="0"/>
            </w:tcBorders>
            <w:vAlign w:val="center"/>
          </w:tcPr>
          <w:p w14:paraId="0A136B7E">
            <w:pPr>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内 容</w:t>
            </w:r>
          </w:p>
        </w:tc>
        <w:tc>
          <w:tcPr>
            <w:tcW w:w="1728" w:type="pct"/>
            <w:tcBorders>
              <w:top w:val="single" w:color="auto" w:sz="4" w:space="0"/>
              <w:left w:val="single" w:color="auto" w:sz="4" w:space="0"/>
              <w:bottom w:val="single" w:color="auto" w:sz="4" w:space="0"/>
              <w:right w:val="single" w:color="auto" w:sz="4" w:space="0"/>
            </w:tcBorders>
            <w:vAlign w:val="center"/>
          </w:tcPr>
          <w:p w14:paraId="668CFA5C">
            <w:pPr>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报  价（元）</w:t>
            </w:r>
          </w:p>
        </w:tc>
        <w:tc>
          <w:tcPr>
            <w:tcW w:w="865" w:type="pct"/>
            <w:tcBorders>
              <w:top w:val="single" w:color="auto" w:sz="4" w:space="0"/>
              <w:left w:val="single" w:color="auto" w:sz="4" w:space="0"/>
              <w:bottom w:val="single" w:color="auto" w:sz="4" w:space="0"/>
              <w:right w:val="single" w:color="auto" w:sz="4" w:space="0"/>
            </w:tcBorders>
            <w:vAlign w:val="center"/>
          </w:tcPr>
          <w:p w14:paraId="6EF79370">
            <w:pPr>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备   注</w:t>
            </w:r>
          </w:p>
        </w:tc>
      </w:tr>
      <w:tr w14:paraId="1EF7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6D068785">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2007" w:type="pct"/>
            <w:tcBorders>
              <w:top w:val="single" w:color="auto" w:sz="4" w:space="0"/>
              <w:left w:val="single" w:color="auto" w:sz="4" w:space="0"/>
              <w:bottom w:val="single" w:color="auto" w:sz="4" w:space="0"/>
              <w:right w:val="single" w:color="auto" w:sz="4" w:space="0"/>
            </w:tcBorders>
            <w:vAlign w:val="center"/>
          </w:tcPr>
          <w:p w14:paraId="39496561">
            <w:pPr>
              <w:widowControl/>
              <w:rPr>
                <w:rFonts w:asciiTheme="minorEastAsia" w:hAnsiTheme="minorEastAsia" w:eastAsiaTheme="minorEastAsia" w:cstheme="minorEastAsia"/>
                <w:kern w:val="0"/>
                <w:szCs w:val="21"/>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08666BB9">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12F42FC3">
            <w:pPr>
              <w:jc w:val="center"/>
              <w:rPr>
                <w:rFonts w:asciiTheme="minorEastAsia" w:hAnsiTheme="minorEastAsia" w:eastAsiaTheme="minorEastAsia" w:cstheme="minorEastAsia"/>
                <w:highlight w:val="none"/>
              </w:rPr>
            </w:pPr>
          </w:p>
        </w:tc>
      </w:tr>
      <w:tr w14:paraId="5EE5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18EF413">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2007" w:type="pct"/>
            <w:tcBorders>
              <w:top w:val="single" w:color="auto" w:sz="4" w:space="0"/>
              <w:left w:val="single" w:color="auto" w:sz="4" w:space="0"/>
              <w:bottom w:val="single" w:color="auto" w:sz="4" w:space="0"/>
              <w:right w:val="single" w:color="auto" w:sz="4" w:space="0"/>
            </w:tcBorders>
            <w:vAlign w:val="center"/>
          </w:tcPr>
          <w:p w14:paraId="475DF9F6">
            <w:pPr>
              <w:widowControl/>
              <w:rPr>
                <w:rFonts w:asciiTheme="minorEastAsia" w:hAnsiTheme="minorEastAsia" w:eastAsiaTheme="minorEastAsia" w:cstheme="minorEastAsia"/>
                <w:kern w:val="0"/>
                <w:szCs w:val="21"/>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67A3A19B">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68165688">
            <w:pPr>
              <w:jc w:val="center"/>
              <w:rPr>
                <w:rFonts w:asciiTheme="minorEastAsia" w:hAnsiTheme="minorEastAsia" w:eastAsiaTheme="minorEastAsia" w:cstheme="minorEastAsia"/>
                <w:highlight w:val="none"/>
              </w:rPr>
            </w:pPr>
          </w:p>
        </w:tc>
      </w:tr>
      <w:tr w14:paraId="1520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CD17F53">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2007" w:type="pct"/>
            <w:tcBorders>
              <w:top w:val="single" w:color="auto" w:sz="4" w:space="0"/>
              <w:left w:val="single" w:color="auto" w:sz="4" w:space="0"/>
              <w:bottom w:val="single" w:color="auto" w:sz="4" w:space="0"/>
              <w:right w:val="single" w:color="auto" w:sz="4" w:space="0"/>
            </w:tcBorders>
            <w:vAlign w:val="center"/>
          </w:tcPr>
          <w:p w14:paraId="514410D7">
            <w:pPr>
              <w:widowControl/>
              <w:rPr>
                <w:rFonts w:asciiTheme="minorEastAsia" w:hAnsiTheme="minorEastAsia" w:eastAsiaTheme="minorEastAsia" w:cstheme="minorEastAsia"/>
                <w:kern w:val="0"/>
                <w:szCs w:val="21"/>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5F6D8FF0">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517A3DF6">
            <w:pPr>
              <w:jc w:val="center"/>
              <w:rPr>
                <w:rFonts w:asciiTheme="minorEastAsia" w:hAnsiTheme="minorEastAsia" w:eastAsiaTheme="minorEastAsia" w:cstheme="minorEastAsia"/>
                <w:highlight w:val="none"/>
              </w:rPr>
            </w:pPr>
          </w:p>
        </w:tc>
      </w:tr>
      <w:tr w14:paraId="4A5D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61E75EB4">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2007" w:type="pct"/>
            <w:tcBorders>
              <w:top w:val="single" w:color="auto" w:sz="4" w:space="0"/>
              <w:left w:val="single" w:color="auto" w:sz="4" w:space="0"/>
              <w:bottom w:val="single" w:color="auto" w:sz="4" w:space="0"/>
              <w:right w:val="single" w:color="auto" w:sz="4" w:space="0"/>
            </w:tcBorders>
            <w:vAlign w:val="center"/>
          </w:tcPr>
          <w:p w14:paraId="4F2B22DC">
            <w:pPr>
              <w:widowControl/>
              <w:rPr>
                <w:rFonts w:asciiTheme="minorEastAsia" w:hAnsiTheme="minorEastAsia" w:eastAsiaTheme="minorEastAsia" w:cstheme="minorEastAsia"/>
                <w:kern w:val="0"/>
                <w:szCs w:val="21"/>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45D2E3CE">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30888082">
            <w:pPr>
              <w:jc w:val="center"/>
              <w:rPr>
                <w:rFonts w:asciiTheme="minorEastAsia" w:hAnsiTheme="minorEastAsia" w:eastAsiaTheme="minorEastAsia" w:cstheme="minorEastAsia"/>
                <w:highlight w:val="none"/>
              </w:rPr>
            </w:pPr>
          </w:p>
        </w:tc>
      </w:tr>
      <w:tr w14:paraId="5071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10AA3C6">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2007" w:type="pct"/>
            <w:tcBorders>
              <w:top w:val="single" w:color="auto" w:sz="4" w:space="0"/>
              <w:left w:val="single" w:color="auto" w:sz="4" w:space="0"/>
              <w:bottom w:val="single" w:color="auto" w:sz="4" w:space="0"/>
              <w:right w:val="single" w:color="auto" w:sz="4" w:space="0"/>
            </w:tcBorders>
            <w:vAlign w:val="center"/>
          </w:tcPr>
          <w:p w14:paraId="05D97E08">
            <w:pPr>
              <w:widowControl/>
              <w:rPr>
                <w:rFonts w:asciiTheme="minorEastAsia" w:hAnsiTheme="minorEastAsia" w:eastAsiaTheme="minorEastAsia" w:cstheme="minorEastAsia"/>
                <w:kern w:val="0"/>
                <w:szCs w:val="21"/>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66A0547E">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5C682F37">
            <w:pPr>
              <w:jc w:val="center"/>
              <w:rPr>
                <w:rFonts w:asciiTheme="minorEastAsia" w:hAnsiTheme="minorEastAsia" w:eastAsiaTheme="minorEastAsia" w:cstheme="minorEastAsia"/>
                <w:highlight w:val="none"/>
              </w:rPr>
            </w:pPr>
          </w:p>
        </w:tc>
      </w:tr>
      <w:tr w14:paraId="701F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63B4CAF7">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2007" w:type="pct"/>
            <w:tcBorders>
              <w:top w:val="single" w:color="auto" w:sz="4" w:space="0"/>
              <w:left w:val="single" w:color="auto" w:sz="4" w:space="0"/>
              <w:bottom w:val="single" w:color="auto" w:sz="4" w:space="0"/>
              <w:right w:val="single" w:color="auto" w:sz="4" w:space="0"/>
            </w:tcBorders>
            <w:vAlign w:val="center"/>
          </w:tcPr>
          <w:p w14:paraId="246F4384">
            <w:pPr>
              <w:jc w:val="center"/>
              <w:rPr>
                <w:rFonts w:asciiTheme="minorEastAsia" w:hAnsiTheme="minorEastAsia" w:eastAsiaTheme="minorEastAsia" w:cstheme="minorEastAsia"/>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4E98D71F">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00A97C12">
            <w:pPr>
              <w:jc w:val="center"/>
              <w:rPr>
                <w:rFonts w:asciiTheme="minorEastAsia" w:hAnsiTheme="minorEastAsia" w:eastAsiaTheme="minorEastAsia" w:cstheme="minorEastAsia"/>
                <w:highlight w:val="none"/>
              </w:rPr>
            </w:pPr>
          </w:p>
        </w:tc>
      </w:tr>
      <w:tr w14:paraId="1053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8F9B6C0">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2007" w:type="pct"/>
            <w:tcBorders>
              <w:top w:val="single" w:color="auto" w:sz="4" w:space="0"/>
              <w:left w:val="single" w:color="auto" w:sz="4" w:space="0"/>
              <w:bottom w:val="single" w:color="auto" w:sz="4" w:space="0"/>
              <w:right w:val="single" w:color="auto" w:sz="4" w:space="0"/>
            </w:tcBorders>
            <w:vAlign w:val="center"/>
          </w:tcPr>
          <w:p w14:paraId="55E99720">
            <w:pPr>
              <w:jc w:val="center"/>
              <w:rPr>
                <w:rFonts w:asciiTheme="minorEastAsia" w:hAnsiTheme="minorEastAsia" w:eastAsiaTheme="minorEastAsia" w:cstheme="minorEastAsia"/>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4665E920">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0D0C4AF6">
            <w:pPr>
              <w:jc w:val="center"/>
              <w:rPr>
                <w:rFonts w:asciiTheme="minorEastAsia" w:hAnsiTheme="minorEastAsia" w:eastAsiaTheme="minorEastAsia" w:cstheme="minorEastAsia"/>
                <w:highlight w:val="none"/>
              </w:rPr>
            </w:pPr>
          </w:p>
        </w:tc>
      </w:tr>
      <w:tr w14:paraId="5F62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2A11660">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2007" w:type="pct"/>
            <w:tcBorders>
              <w:top w:val="single" w:color="auto" w:sz="4" w:space="0"/>
              <w:left w:val="single" w:color="auto" w:sz="4" w:space="0"/>
              <w:bottom w:val="single" w:color="auto" w:sz="4" w:space="0"/>
              <w:right w:val="single" w:color="auto" w:sz="4" w:space="0"/>
            </w:tcBorders>
            <w:vAlign w:val="center"/>
          </w:tcPr>
          <w:p w14:paraId="0D74BC00">
            <w:pPr>
              <w:jc w:val="center"/>
              <w:rPr>
                <w:rFonts w:asciiTheme="minorEastAsia" w:hAnsiTheme="minorEastAsia" w:eastAsiaTheme="minorEastAsia" w:cstheme="minorEastAsia"/>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0D7B2931">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0CD5E15C">
            <w:pPr>
              <w:jc w:val="center"/>
              <w:rPr>
                <w:rFonts w:asciiTheme="minorEastAsia" w:hAnsiTheme="minorEastAsia" w:eastAsiaTheme="minorEastAsia" w:cstheme="minorEastAsia"/>
                <w:highlight w:val="none"/>
              </w:rPr>
            </w:pPr>
          </w:p>
        </w:tc>
      </w:tr>
      <w:tr w14:paraId="3227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92CAB8C">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007" w:type="pct"/>
            <w:tcBorders>
              <w:top w:val="single" w:color="auto" w:sz="4" w:space="0"/>
              <w:left w:val="single" w:color="auto" w:sz="4" w:space="0"/>
              <w:bottom w:val="single" w:color="auto" w:sz="4" w:space="0"/>
              <w:right w:val="single" w:color="auto" w:sz="4" w:space="0"/>
            </w:tcBorders>
            <w:vAlign w:val="center"/>
          </w:tcPr>
          <w:p w14:paraId="178F6434">
            <w:pPr>
              <w:jc w:val="center"/>
              <w:rPr>
                <w:rFonts w:asciiTheme="minorEastAsia" w:hAnsiTheme="minorEastAsia" w:eastAsiaTheme="minorEastAsia" w:cstheme="minorEastAsia"/>
                <w:highlight w:val="none"/>
              </w:rPr>
            </w:pPr>
          </w:p>
        </w:tc>
        <w:tc>
          <w:tcPr>
            <w:tcW w:w="1728" w:type="pct"/>
            <w:tcBorders>
              <w:top w:val="single" w:color="auto" w:sz="4" w:space="0"/>
              <w:left w:val="single" w:color="auto" w:sz="4" w:space="0"/>
              <w:bottom w:val="single" w:color="auto" w:sz="4" w:space="0"/>
              <w:right w:val="single" w:color="auto" w:sz="4" w:space="0"/>
            </w:tcBorders>
            <w:vAlign w:val="center"/>
          </w:tcPr>
          <w:p w14:paraId="6D4B15CB">
            <w:pPr>
              <w:jc w:val="center"/>
              <w:rPr>
                <w:rFonts w:asciiTheme="minorEastAsia" w:hAnsiTheme="minorEastAsia" w:eastAsiaTheme="minorEastAsia" w:cstheme="minorEastAsia"/>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1854BA86">
            <w:pPr>
              <w:jc w:val="center"/>
              <w:rPr>
                <w:rFonts w:asciiTheme="minorEastAsia" w:hAnsiTheme="minorEastAsia" w:eastAsiaTheme="minorEastAsia" w:cstheme="minorEastAsia"/>
                <w:highlight w:val="none"/>
              </w:rPr>
            </w:pPr>
          </w:p>
        </w:tc>
      </w:tr>
      <w:tr w14:paraId="1CD9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058727A">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合计（大写）：                               元整</w:t>
            </w:r>
          </w:p>
        </w:tc>
      </w:tr>
    </w:tbl>
    <w:p w14:paraId="7B50985C">
      <w:pPr>
        <w:snapToGrid w:val="0"/>
        <w:spacing w:line="400" w:lineRule="exact"/>
        <w:jc w:val="left"/>
        <w:rPr>
          <w:rFonts w:ascii="宋体" w:hAnsi="宋体" w:cs="宋体"/>
          <w:highlight w:val="none"/>
        </w:rPr>
      </w:pPr>
    </w:p>
    <w:p w14:paraId="4219F294">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39D972F0">
      <w:pPr>
        <w:pStyle w:val="52"/>
        <w:spacing w:line="400" w:lineRule="exact"/>
        <w:rPr>
          <w:highlight w:val="none"/>
        </w:rPr>
      </w:pPr>
      <w:r>
        <w:rPr>
          <w:rFonts w:hint="eastAsia" w:ascii="宋体" w:hAnsi="宋体" w:cs="宋体"/>
          <w:szCs w:val="21"/>
          <w:highlight w:val="none"/>
        </w:rPr>
        <w:t xml:space="preserve">日         </w:t>
      </w:r>
      <w:r>
        <w:rPr>
          <w:rFonts w:hint="eastAsia" w:ascii="宋体" w:hAnsi="宋体" w:cs="宋体"/>
          <w:szCs w:val="21"/>
          <w:highlight w:val="none"/>
          <w:lang w:val="en-US"/>
        </w:rPr>
        <w:t xml:space="preserve">  </w:t>
      </w:r>
      <w:r>
        <w:rPr>
          <w:rFonts w:hint="eastAsia" w:ascii="宋体" w:hAnsi="宋体" w:cs="宋体"/>
          <w:szCs w:val="21"/>
          <w:highlight w:val="none"/>
        </w:rPr>
        <w:t>期：</w:t>
      </w:r>
    </w:p>
    <w:p w14:paraId="201B0E03">
      <w:pPr>
        <w:pStyle w:val="28"/>
        <w:snapToGrid w:val="0"/>
        <w:spacing w:before="0" w:beforeAutospacing="0" w:after="0" w:afterAutospacing="0" w:line="400" w:lineRule="exact"/>
        <w:jc w:val="center"/>
        <w:rPr>
          <w:rFonts w:hAnsi="宋体" w:cs="宋体"/>
          <w:b/>
          <w:highlight w:val="none"/>
        </w:rPr>
      </w:pPr>
      <w:r>
        <w:rPr>
          <w:rFonts w:hint="eastAsia" w:hAnsi="宋体" w:cs="宋体"/>
          <w:b/>
          <w:sz w:val="21"/>
          <w:szCs w:val="21"/>
          <w:highlight w:val="none"/>
        </w:rPr>
        <w:br w:type="page"/>
      </w:r>
      <w:r>
        <w:rPr>
          <w:rFonts w:hint="eastAsia" w:hAnsi="宋体" w:cs="宋体"/>
          <w:b/>
          <w:kern w:val="2"/>
          <w:sz w:val="21"/>
          <w:szCs w:val="21"/>
          <w:highlight w:val="none"/>
        </w:rPr>
        <w:t>C3.中小企业声明函</w:t>
      </w:r>
      <w:bookmarkEnd w:id="57"/>
      <w:bookmarkEnd w:id="58"/>
      <w:bookmarkEnd w:id="59"/>
    </w:p>
    <w:p w14:paraId="709929B0">
      <w:pPr>
        <w:spacing w:line="400" w:lineRule="exact"/>
        <w:ind w:firstLine="420" w:firstLineChars="200"/>
        <w:rPr>
          <w:rFonts w:ascii="宋体" w:hAnsi="宋体" w:cs="宋体"/>
          <w:highlight w:val="none"/>
        </w:rPr>
      </w:pPr>
      <w:r>
        <w:rPr>
          <w:rFonts w:hint="eastAsia" w:ascii="宋体" w:hAnsi="宋体" w:cs="宋体"/>
          <w:highlight w:val="none"/>
        </w:rPr>
        <w:t>本公司郑重声明，根据《政府采购促进中小 企业发展管理办法》（财库﹝2020﹞46 号）的规定，本公司参加</w:t>
      </w:r>
      <w:r>
        <w:rPr>
          <w:rFonts w:hint="eastAsia" w:ascii="宋体" w:hAnsi="宋体" w:cs="宋体"/>
          <w:highlight w:val="none"/>
          <w:u w:val="single"/>
        </w:rPr>
        <w:t xml:space="preserve">              </w:t>
      </w:r>
      <w:r>
        <w:rPr>
          <w:rFonts w:hint="eastAsia" w:ascii="宋体" w:hAnsi="宋体" w:cs="宋体"/>
          <w:highlight w:val="none"/>
        </w:rPr>
        <w:t>（单位名称）的</w:t>
      </w:r>
      <w:r>
        <w:rPr>
          <w:rFonts w:hint="eastAsia" w:ascii="宋体" w:hAnsi="宋体" w:cs="宋体"/>
          <w:highlight w:val="none"/>
          <w:u w:val="single"/>
        </w:rPr>
        <w:t xml:space="preserve">            </w:t>
      </w:r>
      <w:r>
        <w:rPr>
          <w:rFonts w:hint="eastAsia" w:ascii="宋体" w:hAnsi="宋体" w:cs="宋体"/>
          <w:highlight w:val="none"/>
        </w:rPr>
        <w:t>（项目名称）采购活动，服务全部由符合政策要求的中小企业承接。相关企业的具体情况如下：</w:t>
      </w:r>
    </w:p>
    <w:p w14:paraId="2A0D3D49">
      <w:pPr>
        <w:spacing w:line="400" w:lineRule="exact"/>
        <w:ind w:firstLine="420" w:firstLineChars="200"/>
        <w:rPr>
          <w:rFonts w:ascii="宋体" w:hAnsi="宋体" w:cs="宋体"/>
          <w:highlight w:val="none"/>
        </w:rPr>
      </w:pPr>
      <w:r>
        <w:rPr>
          <w:rFonts w:hint="eastAsia" w:ascii="宋体" w:hAnsi="宋体" w:cs="宋体"/>
          <w:highlight w:val="none"/>
          <w:u w:val="single"/>
        </w:rPr>
        <w:t xml:space="preserve"> 2024年宁波市新生代企业家赴欧洲访学活动承接服务采购 </w:t>
      </w:r>
      <w:r>
        <w:rPr>
          <w:rFonts w:hint="eastAsia" w:ascii="宋体" w:hAnsi="宋体" w:cs="宋体"/>
          <w:highlight w:val="none"/>
        </w:rPr>
        <w:t>（标的名称），属于</w:t>
      </w:r>
      <w:r>
        <w:rPr>
          <w:rFonts w:hint="eastAsia" w:ascii="宋体" w:hAnsi="宋体" w:cs="宋体"/>
          <w:highlight w:val="none"/>
          <w:u w:val="single"/>
        </w:rPr>
        <w:t xml:space="preserve"> 租赁和商务服务业 </w:t>
      </w:r>
      <w:r>
        <w:rPr>
          <w:rFonts w:hint="eastAsia" w:ascii="宋体" w:hAnsi="宋体" w:cs="宋体"/>
          <w:highlight w:val="none"/>
        </w:rPr>
        <w:t>；承建（承接）企业为</w:t>
      </w:r>
      <w:r>
        <w:rPr>
          <w:rFonts w:hint="eastAsia" w:ascii="宋体" w:hAnsi="宋体" w:cs="宋体"/>
          <w:highlight w:val="none"/>
          <w:u w:val="single"/>
        </w:rPr>
        <w:t xml:space="preserve">            </w:t>
      </w:r>
      <w:r>
        <w:rPr>
          <w:rFonts w:hint="eastAsia" w:ascii="宋体" w:hAnsi="宋体" w:cs="宋体"/>
          <w:highlight w:val="none"/>
        </w:rPr>
        <w:t>（企业名称），从业人员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w:t>
      </w:r>
      <w:r>
        <w:rPr>
          <w:rFonts w:hint="eastAsia" w:ascii="宋体" w:hAnsi="宋体" w:cs="宋体"/>
          <w:highlight w:val="none"/>
        </w:rPr>
        <w:t xml:space="preserve">企业（中型企业、小型企业、微型企业）。 </w:t>
      </w:r>
    </w:p>
    <w:p w14:paraId="57591CD1">
      <w:pPr>
        <w:spacing w:line="400" w:lineRule="exact"/>
        <w:ind w:firstLine="420" w:firstLineChars="200"/>
        <w:rPr>
          <w:rFonts w:ascii="宋体" w:hAnsi="宋体" w:cs="宋体"/>
          <w:highlight w:val="none"/>
        </w:rPr>
      </w:pPr>
      <w:r>
        <w:rPr>
          <w:rFonts w:hint="eastAsia" w:ascii="宋体" w:hAnsi="宋体" w:cs="宋体"/>
          <w:highlight w:val="none"/>
        </w:rPr>
        <w:t>......</w:t>
      </w:r>
    </w:p>
    <w:p w14:paraId="650AE58B">
      <w:pPr>
        <w:spacing w:line="400" w:lineRule="exact"/>
        <w:ind w:firstLine="420" w:firstLineChars="200"/>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31A372B6">
      <w:pPr>
        <w:spacing w:line="400" w:lineRule="exact"/>
        <w:ind w:firstLine="420" w:firstLineChars="200"/>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1A752D08">
      <w:pPr>
        <w:spacing w:line="400" w:lineRule="exact"/>
        <w:ind w:firstLine="420" w:firstLineChars="200"/>
        <w:rPr>
          <w:rFonts w:ascii="宋体" w:hAnsi="宋体" w:cs="宋体"/>
          <w:highlight w:val="none"/>
        </w:rPr>
      </w:pPr>
    </w:p>
    <w:p w14:paraId="4C03EFAD">
      <w:pPr>
        <w:spacing w:line="400" w:lineRule="exact"/>
        <w:rPr>
          <w:rFonts w:ascii="宋体" w:hAnsi="宋体" w:cs="宋体"/>
          <w:highlight w:val="none"/>
        </w:rPr>
      </w:pPr>
      <w:r>
        <w:rPr>
          <w:rFonts w:hint="eastAsia" w:ascii="宋体" w:hAnsi="宋体" w:cs="宋体"/>
          <w:highlight w:val="none"/>
        </w:rPr>
        <w:t>注：从业人员、营业收入、资产总额填报上一年度数据，无上一年度数据的新成立企业可不填报。</w:t>
      </w:r>
    </w:p>
    <w:p w14:paraId="7735E9C5">
      <w:pPr>
        <w:spacing w:line="400" w:lineRule="exact"/>
        <w:ind w:firstLine="420" w:firstLineChars="200"/>
        <w:rPr>
          <w:rFonts w:ascii="宋体" w:hAnsi="宋体" w:cs="宋体"/>
          <w:highlight w:val="none"/>
        </w:rPr>
      </w:pPr>
    </w:p>
    <w:p w14:paraId="317DFEA7">
      <w:pPr>
        <w:spacing w:line="400" w:lineRule="exact"/>
        <w:jc w:val="left"/>
        <w:rPr>
          <w:rFonts w:ascii="宋体" w:hAnsi="宋体" w:cs="宋体"/>
          <w:szCs w:val="21"/>
          <w:highlight w:val="none"/>
        </w:rPr>
      </w:pPr>
      <w:r>
        <w:rPr>
          <w:rFonts w:hint="eastAsia" w:ascii="宋体" w:hAnsi="宋体" w:cs="宋体"/>
          <w:szCs w:val="21"/>
          <w:highlight w:val="none"/>
        </w:rPr>
        <w:t>供应商（盖章）：</w:t>
      </w:r>
    </w:p>
    <w:p w14:paraId="3DA05CDB">
      <w:pPr>
        <w:spacing w:line="400" w:lineRule="exact"/>
        <w:jc w:val="left"/>
        <w:rPr>
          <w:rFonts w:ascii="宋体" w:hAnsi="宋体" w:cs="宋体"/>
          <w:szCs w:val="21"/>
          <w:highlight w:val="none"/>
        </w:rPr>
      </w:pPr>
      <w:r>
        <w:rPr>
          <w:rFonts w:hint="eastAsia" w:ascii="宋体" w:hAnsi="宋体" w:cs="宋体"/>
          <w:szCs w:val="21"/>
          <w:highlight w:val="none"/>
        </w:rPr>
        <w:t>日          期：</w:t>
      </w:r>
    </w:p>
    <w:p w14:paraId="24DBFE08">
      <w:pPr>
        <w:spacing w:line="400" w:lineRule="exact"/>
        <w:ind w:firstLine="420" w:firstLineChars="200"/>
        <w:rPr>
          <w:rFonts w:ascii="宋体" w:hAnsi="宋体" w:cs="宋体"/>
          <w:szCs w:val="21"/>
          <w:highlight w:val="none"/>
        </w:rPr>
      </w:pPr>
    </w:p>
    <w:p w14:paraId="4785EB3B">
      <w:pPr>
        <w:spacing w:line="400" w:lineRule="exact"/>
        <w:jc w:val="center"/>
        <w:rPr>
          <w:rFonts w:ascii="宋体" w:hAnsi="宋体" w:cs="宋体"/>
          <w:b/>
          <w:szCs w:val="21"/>
          <w:highlight w:val="none"/>
        </w:rPr>
      </w:pPr>
      <w:r>
        <w:rPr>
          <w:rFonts w:hint="eastAsia" w:ascii="宋体" w:hAnsi="宋体" w:cs="宋体"/>
          <w:szCs w:val="21"/>
          <w:highlight w:val="none"/>
        </w:rPr>
        <w:br w:type="page"/>
      </w:r>
      <w:r>
        <w:rPr>
          <w:rFonts w:hint="eastAsia" w:ascii="宋体" w:hAnsi="宋体" w:cs="宋体"/>
          <w:b/>
          <w:szCs w:val="21"/>
          <w:highlight w:val="none"/>
        </w:rPr>
        <w:t>C4.残疾人福利性单位声明函（如有，请提供）</w:t>
      </w:r>
    </w:p>
    <w:p w14:paraId="3FE6B295">
      <w:pPr>
        <w:spacing w:line="400" w:lineRule="exact"/>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6BFBF2">
      <w:pPr>
        <w:spacing w:line="400" w:lineRule="exact"/>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24FF3F43">
      <w:pPr>
        <w:spacing w:line="400" w:lineRule="exact"/>
        <w:ind w:firstLine="420" w:firstLineChars="200"/>
        <w:rPr>
          <w:rFonts w:ascii="宋体" w:hAnsi="宋体" w:cs="宋体"/>
          <w:szCs w:val="21"/>
          <w:highlight w:val="none"/>
        </w:rPr>
      </w:pPr>
    </w:p>
    <w:p w14:paraId="4552357A">
      <w:pPr>
        <w:spacing w:line="400" w:lineRule="exact"/>
        <w:jc w:val="left"/>
        <w:rPr>
          <w:rFonts w:ascii="宋体" w:hAnsi="宋体" w:cs="宋体"/>
          <w:szCs w:val="21"/>
          <w:highlight w:val="none"/>
        </w:rPr>
      </w:pPr>
      <w:r>
        <w:rPr>
          <w:rFonts w:hint="eastAsia" w:ascii="宋体" w:hAnsi="宋体" w:cs="宋体"/>
          <w:szCs w:val="21"/>
          <w:highlight w:val="none"/>
        </w:rPr>
        <w:t xml:space="preserve">    供应商（盖章）：</w:t>
      </w:r>
    </w:p>
    <w:p w14:paraId="4634567A">
      <w:pPr>
        <w:tabs>
          <w:tab w:val="left" w:pos="4860"/>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日          期：</w:t>
      </w:r>
    </w:p>
    <w:p w14:paraId="71B4F2F3">
      <w:pPr>
        <w:spacing w:line="400" w:lineRule="exact"/>
        <w:ind w:firstLine="422" w:firstLineChars="200"/>
        <w:rPr>
          <w:rFonts w:ascii="宋体" w:hAnsi="宋体" w:cs="宋体"/>
          <w:b/>
          <w:szCs w:val="21"/>
          <w:highlight w:val="none"/>
        </w:rPr>
      </w:pPr>
    </w:p>
    <w:p w14:paraId="2C37E969">
      <w:pPr>
        <w:spacing w:line="400" w:lineRule="exact"/>
        <w:ind w:firstLine="420" w:firstLineChars="200"/>
        <w:rPr>
          <w:rFonts w:ascii="宋体" w:hAnsi="宋体" w:cs="宋体"/>
          <w:szCs w:val="21"/>
          <w:highlight w:val="none"/>
        </w:rPr>
      </w:pPr>
      <w:r>
        <w:rPr>
          <w:rFonts w:hint="eastAsia" w:ascii="宋体" w:hAnsi="宋体" w:cs="宋体"/>
          <w:szCs w:val="21"/>
          <w:highlight w:val="none"/>
        </w:rPr>
        <w:t>注：</w:t>
      </w:r>
    </w:p>
    <w:p w14:paraId="37069F55">
      <w:pPr>
        <w:spacing w:line="400" w:lineRule="exact"/>
        <w:ind w:firstLine="420" w:firstLineChars="200"/>
        <w:rPr>
          <w:rFonts w:ascii="宋体" w:hAnsi="宋体" w:cs="宋体"/>
          <w:szCs w:val="21"/>
          <w:highlight w:val="none"/>
        </w:rPr>
      </w:pPr>
      <w:r>
        <w:rPr>
          <w:rFonts w:hint="eastAsia" w:ascii="宋体" w:hAnsi="宋体" w:cs="宋体"/>
          <w:szCs w:val="21"/>
          <w:highlight w:val="none"/>
        </w:rPr>
        <w:t>享受政府采购支持政策的残疾人福利性单位应当同时满足以下条件：</w:t>
      </w:r>
    </w:p>
    <w:p w14:paraId="624766EE">
      <w:pPr>
        <w:spacing w:line="400" w:lineRule="exact"/>
        <w:ind w:firstLine="420" w:firstLineChars="200"/>
        <w:rPr>
          <w:rFonts w:ascii="宋体" w:hAnsi="宋体" w:cs="宋体"/>
          <w:szCs w:val="21"/>
          <w:highlight w:val="none"/>
        </w:rPr>
      </w:pPr>
      <w:r>
        <w:rPr>
          <w:rFonts w:hint="eastAsia" w:ascii="宋体" w:hAnsi="宋体" w:cs="宋体"/>
          <w:szCs w:val="21"/>
          <w:highlight w:val="none"/>
        </w:rPr>
        <w:t>（一）安置的残疾人占本单位在职职工人数的比例不低于25%（含25%），并且安置的残疾人人数不少于10人（含10人）；</w:t>
      </w:r>
    </w:p>
    <w:p w14:paraId="083E98C0">
      <w:pPr>
        <w:spacing w:line="400" w:lineRule="exact"/>
        <w:ind w:firstLine="420" w:firstLineChars="200"/>
        <w:rPr>
          <w:rFonts w:ascii="宋体" w:hAnsi="宋体" w:cs="宋体"/>
          <w:szCs w:val="21"/>
          <w:highlight w:val="none"/>
        </w:rPr>
      </w:pPr>
      <w:r>
        <w:rPr>
          <w:rFonts w:hint="eastAsia" w:ascii="宋体" w:hAnsi="宋体" w:cs="宋体"/>
          <w:szCs w:val="21"/>
          <w:highlight w:val="none"/>
        </w:rPr>
        <w:t>（二）依法与安置的每位残疾人签订了一年以上（含一年）的劳动合同或服务协议；</w:t>
      </w:r>
    </w:p>
    <w:p w14:paraId="18403CEB">
      <w:pPr>
        <w:spacing w:line="400" w:lineRule="exact"/>
        <w:ind w:firstLine="420" w:firstLineChars="200"/>
        <w:rPr>
          <w:rFonts w:ascii="宋体" w:hAnsi="宋体" w:cs="宋体"/>
          <w:szCs w:val="21"/>
          <w:highlight w:val="none"/>
        </w:rPr>
      </w:pPr>
      <w:r>
        <w:rPr>
          <w:rFonts w:hint="eastAsia" w:ascii="宋体" w:hAnsi="宋体" w:cs="宋体"/>
          <w:szCs w:val="21"/>
          <w:highlight w:val="none"/>
        </w:rPr>
        <w:t>（三）为安置的每位残疾人按月足额缴纳了基本养老保险、基本医疗保险、失业保险、工伤保险和生育保险等社会保险费；</w:t>
      </w:r>
    </w:p>
    <w:p w14:paraId="51831E02">
      <w:pPr>
        <w:spacing w:line="400" w:lineRule="exact"/>
        <w:ind w:firstLine="420" w:firstLineChars="200"/>
        <w:rPr>
          <w:rFonts w:ascii="宋体" w:hAnsi="宋体" w:cs="宋体"/>
          <w:szCs w:val="21"/>
          <w:highlight w:val="none"/>
        </w:rPr>
      </w:pPr>
      <w:r>
        <w:rPr>
          <w:rFonts w:hint="eastAsia" w:ascii="宋体" w:hAnsi="宋体" w:cs="宋体"/>
          <w:szCs w:val="21"/>
          <w:highlight w:val="none"/>
        </w:rPr>
        <w:t>（四）通过银行等金融机构向安置的每位残疾人，按月支付了不低于单位所在区县适用的经省级人民政府批准的月最低工资标准的工资；</w:t>
      </w:r>
    </w:p>
    <w:p w14:paraId="2D91A02B">
      <w:pPr>
        <w:spacing w:line="400" w:lineRule="exact"/>
        <w:ind w:firstLine="420" w:firstLineChars="200"/>
        <w:rPr>
          <w:rFonts w:ascii="宋体" w:hAnsi="宋体" w:cs="宋体"/>
          <w:szCs w:val="21"/>
          <w:highlight w:val="none"/>
        </w:rPr>
      </w:pPr>
      <w:r>
        <w:rPr>
          <w:rFonts w:hint="eastAsia" w:ascii="宋体" w:hAnsi="宋体" w:cs="宋体"/>
          <w:szCs w:val="21"/>
          <w:highlight w:val="none"/>
        </w:rPr>
        <w:t>（五）提供本单位制造的货物、承担的工程或者服务（以下简称产品），或者提供其他残疾人福利性单位制造的货物（不包括使用非残疾人福利性单位注册商标的货物）。</w:t>
      </w:r>
    </w:p>
    <w:p w14:paraId="63386F7E">
      <w:pPr>
        <w:spacing w:line="400" w:lineRule="exact"/>
        <w:ind w:firstLine="420" w:firstLineChars="200"/>
        <w:rPr>
          <w:rFonts w:ascii="宋体" w:hAnsi="宋体" w:cs="宋体"/>
          <w:szCs w:val="21"/>
          <w:highlight w:val="none"/>
        </w:rPr>
      </w:pPr>
      <w:r>
        <w:rPr>
          <w:rFonts w:hint="eastAsia" w:ascii="宋体" w:hAnsi="宋体" w:cs="宋体"/>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BF08838">
      <w:pPr>
        <w:pStyle w:val="265"/>
        <w:rPr>
          <w:rFonts w:ascii="宋体" w:hAnsi="宋体" w:cs="宋体"/>
          <w:highlight w:val="none"/>
        </w:rPr>
      </w:pPr>
    </w:p>
    <w:p w14:paraId="1B7B8B0F">
      <w:pPr>
        <w:spacing w:line="400" w:lineRule="exact"/>
        <w:jc w:val="center"/>
        <w:rPr>
          <w:rFonts w:ascii="宋体" w:hAnsi="宋体" w:cs="宋体"/>
          <w:b/>
          <w:szCs w:val="21"/>
          <w:highlight w:val="none"/>
        </w:rPr>
      </w:pPr>
      <w:r>
        <w:rPr>
          <w:rStyle w:val="120"/>
          <w:rFonts w:hint="eastAsia" w:ascii="宋体" w:hAnsi="宋体" w:cs="宋体"/>
          <w:szCs w:val="21"/>
          <w:highlight w:val="none"/>
        </w:rPr>
        <w:br w:type="page"/>
      </w:r>
      <w:bookmarkStart w:id="60" w:name="_Toc44162163"/>
      <w:bookmarkStart w:id="61" w:name="_Toc26806"/>
      <w:bookmarkStart w:id="62" w:name="_Toc21541033"/>
      <w:r>
        <w:rPr>
          <w:rFonts w:hint="eastAsia" w:ascii="宋体" w:hAnsi="宋体" w:cs="宋体"/>
          <w:b/>
          <w:szCs w:val="21"/>
          <w:highlight w:val="none"/>
        </w:rPr>
        <w:t>C5.监狱企业证明文件（如有，请提供）</w:t>
      </w:r>
      <w:r>
        <w:rPr>
          <w:rFonts w:hint="eastAsia" w:ascii="宋体" w:hAnsi="宋体" w:cs="宋体"/>
          <w:b/>
          <w:szCs w:val="21"/>
          <w:highlight w:val="none"/>
        </w:rPr>
        <w:br w:type="page"/>
      </w:r>
    </w:p>
    <w:p w14:paraId="6AB39D8E">
      <w:pPr>
        <w:spacing w:line="400" w:lineRule="exact"/>
        <w:jc w:val="center"/>
        <w:rPr>
          <w:highlight w:val="none"/>
        </w:rPr>
      </w:pPr>
      <w:r>
        <w:rPr>
          <w:rFonts w:hint="eastAsia" w:ascii="宋体" w:hAnsi="宋体" w:cs="宋体"/>
          <w:b/>
          <w:szCs w:val="21"/>
          <w:highlight w:val="none"/>
        </w:rPr>
        <w:t>C6.招标文件要求提供的和供应商认为需要的其他资料（如有，请提供）</w:t>
      </w:r>
      <w:bookmarkEnd w:id="60"/>
      <w:bookmarkEnd w:id="61"/>
      <w:bookmarkEnd w:id="62"/>
    </w:p>
    <w:p w14:paraId="1EC3C22C">
      <w:pPr>
        <w:pStyle w:val="265"/>
        <w:rPr>
          <w:rFonts w:ascii="宋体" w:hAnsi="宋体" w:cs="宋体"/>
          <w:highlight w:val="none"/>
        </w:rPr>
      </w:pPr>
    </w:p>
    <w:p w14:paraId="729B69FC">
      <w:pPr>
        <w:pStyle w:val="30"/>
        <w:spacing w:line="360" w:lineRule="auto"/>
        <w:jc w:val="left"/>
        <w:rPr>
          <w:rFonts w:hAnsi="宋体" w:cs="宋体"/>
          <w:sz w:val="36"/>
          <w:szCs w:val="36"/>
          <w:highlight w:val="none"/>
        </w:rPr>
        <w:sectPr>
          <w:headerReference r:id="rId10" w:type="default"/>
          <w:footerReference r:id="rId11" w:type="default"/>
          <w:pgSz w:w="11905" w:h="16838"/>
          <w:pgMar w:top="1474" w:right="1474" w:bottom="1474" w:left="1474" w:header="907" w:footer="850" w:gutter="0"/>
          <w:cols w:space="0" w:num="1"/>
          <w:docGrid w:type="lines" w:linePitch="289" w:charSpace="0"/>
        </w:sectPr>
      </w:pPr>
    </w:p>
    <w:tbl>
      <w:tblPr>
        <w:tblStyle w:val="53"/>
        <w:tblW w:w="14720" w:type="dxa"/>
        <w:jc w:val="center"/>
        <w:tblLayout w:type="fixed"/>
        <w:tblCellMar>
          <w:top w:w="0" w:type="dxa"/>
          <w:left w:w="108" w:type="dxa"/>
          <w:bottom w:w="0" w:type="dxa"/>
          <w:right w:w="108" w:type="dxa"/>
        </w:tblCellMar>
      </w:tblPr>
      <w:tblGrid>
        <w:gridCol w:w="1954"/>
        <w:gridCol w:w="1475"/>
        <w:gridCol w:w="1736"/>
        <w:gridCol w:w="1639"/>
        <w:gridCol w:w="1221"/>
        <w:gridCol w:w="1458"/>
        <w:gridCol w:w="1501"/>
        <w:gridCol w:w="1265"/>
        <w:gridCol w:w="1256"/>
        <w:gridCol w:w="1205"/>
        <w:gridCol w:w="10"/>
      </w:tblGrid>
      <w:tr w14:paraId="480CE53A">
        <w:tblPrEx>
          <w:tblCellMar>
            <w:top w:w="0" w:type="dxa"/>
            <w:left w:w="108" w:type="dxa"/>
            <w:bottom w:w="0" w:type="dxa"/>
            <w:right w:w="108" w:type="dxa"/>
          </w:tblCellMar>
        </w:tblPrEx>
        <w:trPr>
          <w:trHeight w:val="275" w:hRule="atLeast"/>
          <w:jc w:val="center"/>
        </w:trPr>
        <w:tc>
          <w:tcPr>
            <w:tcW w:w="14720" w:type="dxa"/>
            <w:gridSpan w:val="11"/>
            <w:tcBorders>
              <w:top w:val="nil"/>
              <w:left w:val="nil"/>
              <w:bottom w:val="nil"/>
              <w:right w:val="nil"/>
            </w:tcBorders>
            <w:vAlign w:val="bottom"/>
          </w:tcPr>
          <w:p w14:paraId="56D3178E">
            <w:pPr>
              <w:widowControl/>
              <w:jc w:val="center"/>
              <w:rPr>
                <w:rFonts w:ascii="宋体" w:hAnsi="宋体" w:cs="宋体"/>
                <w:b/>
                <w:bCs/>
                <w:kern w:val="0"/>
                <w:sz w:val="32"/>
                <w:szCs w:val="32"/>
                <w:highlight w:val="none"/>
              </w:rPr>
            </w:pPr>
            <w:r>
              <w:rPr>
                <w:rFonts w:hint="eastAsia" w:ascii="宋体" w:hAnsi="宋体" w:cs="宋体"/>
                <w:b/>
                <w:bCs/>
                <w:kern w:val="0"/>
                <w:sz w:val="24"/>
                <w:highlight w:val="none"/>
              </w:rPr>
              <w:t>中小微行业划型标准规定（根据工信部联企业〔2011〕300号制定）</w:t>
            </w:r>
          </w:p>
        </w:tc>
      </w:tr>
      <w:tr w14:paraId="2D243DF2">
        <w:tblPrEx>
          <w:tblCellMar>
            <w:top w:w="0" w:type="dxa"/>
            <w:left w:w="108" w:type="dxa"/>
            <w:bottom w:w="0" w:type="dxa"/>
            <w:right w:w="108" w:type="dxa"/>
          </w:tblCellMar>
        </w:tblPrEx>
        <w:trPr>
          <w:gridAfter w:val="1"/>
          <w:wAfter w:w="10" w:type="dxa"/>
          <w:trHeight w:val="345" w:hRule="atLeast"/>
          <w:jc w:val="center"/>
        </w:trPr>
        <w:tc>
          <w:tcPr>
            <w:tcW w:w="1954" w:type="dxa"/>
            <w:vMerge w:val="restart"/>
            <w:tcBorders>
              <w:top w:val="single" w:color="auto" w:sz="8" w:space="0"/>
              <w:left w:val="single" w:color="auto" w:sz="8" w:space="0"/>
              <w:bottom w:val="single" w:color="000000" w:sz="4" w:space="0"/>
              <w:right w:val="single" w:color="auto" w:sz="8" w:space="0"/>
            </w:tcBorders>
            <w:vAlign w:val="center"/>
          </w:tcPr>
          <w:p w14:paraId="08FADDA8">
            <w:pPr>
              <w:widowControl/>
              <w:jc w:val="center"/>
              <w:rPr>
                <w:rFonts w:ascii="宋体" w:hAnsi="宋体" w:cs="宋体"/>
                <w:b/>
                <w:bCs/>
                <w:kern w:val="0"/>
                <w:sz w:val="24"/>
                <w:highlight w:val="none"/>
              </w:rPr>
            </w:pPr>
            <w:r>
              <w:rPr>
                <w:rFonts w:hint="eastAsia" w:ascii="宋体" w:hAnsi="宋体" w:cs="宋体"/>
                <w:b/>
                <w:bCs/>
                <w:kern w:val="0"/>
                <w:sz w:val="24"/>
                <w:highlight w:val="none"/>
              </w:rPr>
              <w:t>行业</w:t>
            </w:r>
          </w:p>
        </w:tc>
        <w:tc>
          <w:tcPr>
            <w:tcW w:w="4850" w:type="dxa"/>
            <w:gridSpan w:val="3"/>
            <w:tcBorders>
              <w:top w:val="single" w:color="auto" w:sz="8" w:space="0"/>
              <w:left w:val="nil"/>
              <w:bottom w:val="single" w:color="auto" w:sz="4" w:space="0"/>
              <w:right w:val="single" w:color="000000" w:sz="8" w:space="0"/>
            </w:tcBorders>
            <w:vAlign w:val="bottom"/>
          </w:tcPr>
          <w:p w14:paraId="154379CA">
            <w:pPr>
              <w:widowControl/>
              <w:jc w:val="center"/>
              <w:rPr>
                <w:rFonts w:ascii="宋体" w:hAnsi="宋体" w:cs="宋体"/>
                <w:b/>
                <w:bCs/>
                <w:kern w:val="0"/>
                <w:sz w:val="24"/>
                <w:highlight w:val="none"/>
              </w:rPr>
            </w:pPr>
            <w:r>
              <w:rPr>
                <w:rFonts w:hint="eastAsia" w:ascii="宋体" w:hAnsi="宋体" w:cs="宋体"/>
                <w:b/>
                <w:bCs/>
                <w:kern w:val="0"/>
                <w:sz w:val="24"/>
                <w:highlight w:val="none"/>
              </w:rPr>
              <w:t>中型企业</w:t>
            </w:r>
          </w:p>
        </w:tc>
        <w:tc>
          <w:tcPr>
            <w:tcW w:w="4180" w:type="dxa"/>
            <w:gridSpan w:val="3"/>
            <w:tcBorders>
              <w:top w:val="single" w:color="auto" w:sz="8" w:space="0"/>
              <w:left w:val="nil"/>
              <w:bottom w:val="single" w:color="auto" w:sz="4" w:space="0"/>
              <w:right w:val="single" w:color="000000" w:sz="8" w:space="0"/>
            </w:tcBorders>
            <w:vAlign w:val="bottom"/>
          </w:tcPr>
          <w:p w14:paraId="6682D4C0">
            <w:pPr>
              <w:widowControl/>
              <w:jc w:val="center"/>
              <w:rPr>
                <w:rFonts w:ascii="宋体" w:hAnsi="宋体" w:cs="宋体"/>
                <w:b/>
                <w:bCs/>
                <w:kern w:val="0"/>
                <w:sz w:val="24"/>
                <w:highlight w:val="none"/>
              </w:rPr>
            </w:pPr>
            <w:r>
              <w:rPr>
                <w:rFonts w:hint="eastAsia" w:ascii="宋体" w:hAnsi="宋体" w:cs="宋体"/>
                <w:b/>
                <w:bCs/>
                <w:kern w:val="0"/>
                <w:sz w:val="24"/>
                <w:highlight w:val="none"/>
              </w:rPr>
              <w:t>小型企业</w:t>
            </w:r>
          </w:p>
        </w:tc>
        <w:tc>
          <w:tcPr>
            <w:tcW w:w="3726" w:type="dxa"/>
            <w:gridSpan w:val="3"/>
            <w:tcBorders>
              <w:top w:val="single" w:color="auto" w:sz="8" w:space="0"/>
              <w:left w:val="nil"/>
              <w:bottom w:val="single" w:color="auto" w:sz="4" w:space="0"/>
              <w:right w:val="single" w:color="000000" w:sz="8" w:space="0"/>
            </w:tcBorders>
            <w:vAlign w:val="bottom"/>
          </w:tcPr>
          <w:p w14:paraId="78653935">
            <w:pPr>
              <w:widowControl/>
              <w:jc w:val="center"/>
              <w:rPr>
                <w:rFonts w:ascii="宋体" w:hAnsi="宋体" w:cs="宋体"/>
                <w:b/>
                <w:bCs/>
                <w:kern w:val="0"/>
                <w:sz w:val="24"/>
                <w:highlight w:val="none"/>
              </w:rPr>
            </w:pPr>
            <w:r>
              <w:rPr>
                <w:rFonts w:hint="eastAsia" w:ascii="宋体" w:hAnsi="宋体" w:cs="宋体"/>
                <w:b/>
                <w:bCs/>
                <w:kern w:val="0"/>
                <w:sz w:val="24"/>
                <w:highlight w:val="none"/>
              </w:rPr>
              <w:t>微型企业</w:t>
            </w:r>
          </w:p>
        </w:tc>
      </w:tr>
      <w:tr w14:paraId="6F14FC5B">
        <w:tblPrEx>
          <w:tblCellMar>
            <w:top w:w="0" w:type="dxa"/>
            <w:left w:w="108" w:type="dxa"/>
            <w:bottom w:w="0" w:type="dxa"/>
            <w:right w:w="108" w:type="dxa"/>
          </w:tblCellMar>
        </w:tblPrEx>
        <w:trPr>
          <w:gridAfter w:val="1"/>
          <w:wAfter w:w="10" w:type="dxa"/>
          <w:trHeight w:val="561" w:hRule="atLeast"/>
          <w:jc w:val="center"/>
        </w:trPr>
        <w:tc>
          <w:tcPr>
            <w:tcW w:w="1954" w:type="dxa"/>
            <w:vMerge w:val="continue"/>
            <w:tcBorders>
              <w:top w:val="single" w:color="auto" w:sz="8" w:space="0"/>
              <w:left w:val="single" w:color="auto" w:sz="8" w:space="0"/>
              <w:bottom w:val="single" w:color="000000" w:sz="4" w:space="0"/>
              <w:right w:val="single" w:color="auto" w:sz="8" w:space="0"/>
            </w:tcBorders>
            <w:vAlign w:val="center"/>
          </w:tcPr>
          <w:p w14:paraId="0A2D1807">
            <w:pPr>
              <w:widowControl/>
              <w:jc w:val="left"/>
              <w:rPr>
                <w:rFonts w:ascii="宋体" w:hAnsi="宋体" w:cs="宋体"/>
                <w:b/>
                <w:bCs/>
                <w:kern w:val="0"/>
                <w:sz w:val="24"/>
                <w:highlight w:val="none"/>
              </w:rPr>
            </w:pPr>
          </w:p>
        </w:tc>
        <w:tc>
          <w:tcPr>
            <w:tcW w:w="1475" w:type="dxa"/>
            <w:tcBorders>
              <w:top w:val="nil"/>
              <w:left w:val="nil"/>
              <w:bottom w:val="single" w:color="auto" w:sz="4" w:space="0"/>
              <w:right w:val="single" w:color="auto" w:sz="4" w:space="0"/>
            </w:tcBorders>
            <w:vAlign w:val="bottom"/>
          </w:tcPr>
          <w:p w14:paraId="02E4526D">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736" w:type="dxa"/>
            <w:tcBorders>
              <w:top w:val="nil"/>
              <w:left w:val="nil"/>
              <w:bottom w:val="single" w:color="auto" w:sz="4" w:space="0"/>
              <w:right w:val="single" w:color="auto" w:sz="4" w:space="0"/>
            </w:tcBorders>
            <w:vAlign w:val="bottom"/>
          </w:tcPr>
          <w:p w14:paraId="4A32D0FC">
            <w:pPr>
              <w:widowControl/>
              <w:jc w:val="center"/>
              <w:rPr>
                <w:rFonts w:ascii="宋体" w:hAnsi="宋体" w:cs="宋体"/>
                <w:kern w:val="0"/>
                <w:sz w:val="20"/>
                <w:highlight w:val="none"/>
              </w:rPr>
            </w:pPr>
            <w:r>
              <w:rPr>
                <w:rFonts w:hint="eastAsia" w:ascii="宋体" w:hAnsi="宋体" w:cs="宋体"/>
                <w:kern w:val="0"/>
                <w:sz w:val="20"/>
                <w:highlight w:val="none"/>
              </w:rPr>
              <w:t>营业收入Y</w:t>
            </w:r>
          </w:p>
          <w:p w14:paraId="340C0C14">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639" w:type="dxa"/>
            <w:tcBorders>
              <w:top w:val="nil"/>
              <w:left w:val="nil"/>
              <w:bottom w:val="single" w:color="auto" w:sz="4" w:space="0"/>
              <w:right w:val="single" w:color="auto" w:sz="8" w:space="0"/>
            </w:tcBorders>
            <w:vAlign w:val="bottom"/>
          </w:tcPr>
          <w:p w14:paraId="49DD73BE">
            <w:pPr>
              <w:widowControl/>
              <w:jc w:val="center"/>
              <w:rPr>
                <w:rFonts w:ascii="宋体" w:hAnsi="宋体" w:cs="宋体"/>
                <w:kern w:val="0"/>
                <w:sz w:val="20"/>
                <w:highlight w:val="none"/>
              </w:rPr>
            </w:pPr>
            <w:r>
              <w:rPr>
                <w:rFonts w:hint="eastAsia" w:ascii="宋体" w:hAnsi="宋体" w:cs="宋体"/>
                <w:kern w:val="0"/>
                <w:sz w:val="20"/>
                <w:highlight w:val="none"/>
              </w:rPr>
              <w:t>资产总额Z</w:t>
            </w:r>
          </w:p>
          <w:p w14:paraId="4D2C0902">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221" w:type="dxa"/>
            <w:tcBorders>
              <w:top w:val="nil"/>
              <w:left w:val="nil"/>
              <w:bottom w:val="single" w:color="auto" w:sz="4" w:space="0"/>
              <w:right w:val="single" w:color="auto" w:sz="4" w:space="0"/>
            </w:tcBorders>
            <w:vAlign w:val="bottom"/>
          </w:tcPr>
          <w:p w14:paraId="71DD6144">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458" w:type="dxa"/>
            <w:tcBorders>
              <w:top w:val="nil"/>
              <w:left w:val="nil"/>
              <w:bottom w:val="single" w:color="auto" w:sz="4" w:space="0"/>
              <w:right w:val="single" w:color="auto" w:sz="4" w:space="0"/>
            </w:tcBorders>
            <w:vAlign w:val="bottom"/>
          </w:tcPr>
          <w:p w14:paraId="23A250E3">
            <w:pPr>
              <w:widowControl/>
              <w:jc w:val="center"/>
              <w:rPr>
                <w:rFonts w:ascii="宋体" w:hAnsi="宋体" w:cs="宋体"/>
                <w:kern w:val="0"/>
                <w:sz w:val="20"/>
                <w:highlight w:val="none"/>
              </w:rPr>
            </w:pPr>
            <w:r>
              <w:rPr>
                <w:rFonts w:hint="eastAsia" w:ascii="宋体" w:hAnsi="宋体" w:cs="宋体"/>
                <w:kern w:val="0"/>
                <w:sz w:val="20"/>
                <w:highlight w:val="none"/>
              </w:rPr>
              <w:t>营业收入Y</w:t>
            </w:r>
          </w:p>
          <w:p w14:paraId="180D9130">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501" w:type="dxa"/>
            <w:tcBorders>
              <w:top w:val="nil"/>
              <w:left w:val="nil"/>
              <w:bottom w:val="single" w:color="auto" w:sz="4" w:space="0"/>
              <w:right w:val="single" w:color="auto" w:sz="8" w:space="0"/>
            </w:tcBorders>
            <w:vAlign w:val="bottom"/>
          </w:tcPr>
          <w:p w14:paraId="1BB5CBDC">
            <w:pPr>
              <w:widowControl/>
              <w:jc w:val="center"/>
              <w:rPr>
                <w:rFonts w:ascii="宋体" w:hAnsi="宋体" w:cs="宋体"/>
                <w:kern w:val="0"/>
                <w:sz w:val="20"/>
                <w:highlight w:val="none"/>
              </w:rPr>
            </w:pPr>
            <w:r>
              <w:rPr>
                <w:rFonts w:hint="eastAsia" w:ascii="宋体" w:hAnsi="宋体" w:cs="宋体"/>
                <w:kern w:val="0"/>
                <w:sz w:val="20"/>
                <w:highlight w:val="none"/>
              </w:rPr>
              <w:t>资产总额Z</w:t>
            </w:r>
          </w:p>
          <w:p w14:paraId="7A97E326">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265" w:type="dxa"/>
            <w:tcBorders>
              <w:top w:val="nil"/>
              <w:left w:val="nil"/>
              <w:bottom w:val="single" w:color="auto" w:sz="4" w:space="0"/>
              <w:right w:val="single" w:color="auto" w:sz="4" w:space="0"/>
            </w:tcBorders>
            <w:vAlign w:val="bottom"/>
          </w:tcPr>
          <w:p w14:paraId="032E9BB8">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256" w:type="dxa"/>
            <w:tcBorders>
              <w:top w:val="nil"/>
              <w:left w:val="nil"/>
              <w:bottom w:val="single" w:color="auto" w:sz="4" w:space="0"/>
              <w:right w:val="single" w:color="auto" w:sz="4" w:space="0"/>
            </w:tcBorders>
            <w:vAlign w:val="bottom"/>
          </w:tcPr>
          <w:p w14:paraId="3A1E9EC5">
            <w:pPr>
              <w:widowControl/>
              <w:jc w:val="center"/>
              <w:rPr>
                <w:rFonts w:ascii="宋体" w:hAnsi="宋体" w:cs="宋体"/>
                <w:kern w:val="0"/>
                <w:sz w:val="20"/>
                <w:highlight w:val="none"/>
              </w:rPr>
            </w:pPr>
            <w:r>
              <w:rPr>
                <w:rFonts w:hint="eastAsia" w:ascii="宋体" w:hAnsi="宋体" w:cs="宋体"/>
                <w:kern w:val="0"/>
                <w:sz w:val="20"/>
                <w:highlight w:val="none"/>
              </w:rPr>
              <w:t>营业收入Y（万元）</w:t>
            </w:r>
          </w:p>
        </w:tc>
        <w:tc>
          <w:tcPr>
            <w:tcW w:w="1205" w:type="dxa"/>
            <w:tcBorders>
              <w:top w:val="nil"/>
              <w:left w:val="nil"/>
              <w:bottom w:val="single" w:color="auto" w:sz="4" w:space="0"/>
              <w:right w:val="single" w:color="auto" w:sz="8" w:space="0"/>
            </w:tcBorders>
            <w:vAlign w:val="bottom"/>
          </w:tcPr>
          <w:p w14:paraId="43CD329E">
            <w:pPr>
              <w:widowControl/>
              <w:jc w:val="center"/>
              <w:rPr>
                <w:rFonts w:ascii="宋体" w:hAnsi="宋体" w:cs="宋体"/>
                <w:kern w:val="0"/>
                <w:sz w:val="20"/>
                <w:highlight w:val="none"/>
              </w:rPr>
            </w:pPr>
            <w:r>
              <w:rPr>
                <w:rFonts w:hint="eastAsia" w:ascii="宋体" w:hAnsi="宋体" w:cs="宋体"/>
                <w:kern w:val="0"/>
                <w:sz w:val="20"/>
                <w:highlight w:val="none"/>
              </w:rPr>
              <w:t>资产总额Z（万元）</w:t>
            </w:r>
          </w:p>
        </w:tc>
      </w:tr>
      <w:tr w14:paraId="2D62AF70">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0F7BA3A6">
            <w:pPr>
              <w:widowControl/>
              <w:rPr>
                <w:rFonts w:ascii="宋体" w:hAnsi="宋体" w:cs="宋体"/>
                <w:kern w:val="0"/>
                <w:sz w:val="20"/>
                <w:highlight w:val="none"/>
              </w:rPr>
            </w:pPr>
            <w:r>
              <w:rPr>
                <w:rFonts w:hint="eastAsia" w:ascii="宋体" w:hAnsi="宋体" w:cs="宋体"/>
                <w:kern w:val="0"/>
                <w:sz w:val="20"/>
                <w:highlight w:val="none"/>
              </w:rPr>
              <w:t>1.农林牧渔业</w:t>
            </w:r>
          </w:p>
        </w:tc>
        <w:tc>
          <w:tcPr>
            <w:tcW w:w="1475" w:type="dxa"/>
            <w:tcBorders>
              <w:top w:val="nil"/>
              <w:left w:val="nil"/>
              <w:bottom w:val="single" w:color="auto" w:sz="4" w:space="0"/>
              <w:right w:val="single" w:color="auto" w:sz="4" w:space="0"/>
            </w:tcBorders>
            <w:vAlign w:val="center"/>
          </w:tcPr>
          <w:p w14:paraId="31F9A12F">
            <w:pPr>
              <w:widowControl/>
              <w:rPr>
                <w:rFonts w:ascii="宋体" w:hAnsi="宋体" w:cs="宋体"/>
                <w:kern w:val="0"/>
                <w:sz w:val="20"/>
                <w:highlight w:val="none"/>
              </w:rPr>
            </w:pPr>
            <w:r>
              <w:rPr>
                <w:rFonts w:hint="eastAsia" w:ascii="宋体" w:hAnsi="宋体" w:cs="宋体"/>
                <w:kern w:val="0"/>
                <w:sz w:val="20"/>
                <w:highlight w:val="none"/>
              </w:rPr>
              <w:t>　</w:t>
            </w:r>
          </w:p>
        </w:tc>
        <w:tc>
          <w:tcPr>
            <w:tcW w:w="1736" w:type="dxa"/>
            <w:tcBorders>
              <w:top w:val="nil"/>
              <w:left w:val="nil"/>
              <w:bottom w:val="single" w:color="auto" w:sz="4" w:space="0"/>
              <w:right w:val="single" w:color="auto" w:sz="4" w:space="0"/>
            </w:tcBorders>
            <w:vAlign w:val="center"/>
          </w:tcPr>
          <w:p w14:paraId="235284BB">
            <w:pPr>
              <w:widowControl/>
              <w:rPr>
                <w:rFonts w:ascii="宋体" w:hAnsi="宋体" w:cs="宋体"/>
                <w:kern w:val="0"/>
                <w:sz w:val="20"/>
                <w:highlight w:val="none"/>
              </w:rPr>
            </w:pPr>
            <w:r>
              <w:rPr>
                <w:rFonts w:hint="eastAsia" w:ascii="宋体" w:hAnsi="宋体" w:cs="宋体"/>
                <w:kern w:val="0"/>
                <w:sz w:val="20"/>
                <w:highlight w:val="none"/>
              </w:rPr>
              <w:t xml:space="preserve"> 500≤Y＜20000</w:t>
            </w:r>
          </w:p>
        </w:tc>
        <w:tc>
          <w:tcPr>
            <w:tcW w:w="1639" w:type="dxa"/>
            <w:tcBorders>
              <w:top w:val="nil"/>
              <w:left w:val="nil"/>
              <w:bottom w:val="single" w:color="auto" w:sz="4" w:space="0"/>
              <w:right w:val="single" w:color="auto" w:sz="8" w:space="0"/>
            </w:tcBorders>
            <w:vAlign w:val="center"/>
          </w:tcPr>
          <w:p w14:paraId="1C6615E4">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1D3C8038">
            <w:pPr>
              <w:widowControl/>
              <w:rPr>
                <w:rFonts w:ascii="宋体" w:hAnsi="宋体" w:cs="宋体"/>
                <w:kern w:val="0"/>
                <w:sz w:val="20"/>
                <w:highlight w:val="none"/>
              </w:rPr>
            </w:pPr>
            <w:r>
              <w:rPr>
                <w:rFonts w:hint="eastAsia" w:ascii="宋体" w:hAnsi="宋体" w:cs="宋体"/>
                <w:kern w:val="0"/>
                <w:sz w:val="20"/>
                <w:highlight w:val="none"/>
              </w:rPr>
              <w:t>　</w:t>
            </w:r>
          </w:p>
        </w:tc>
        <w:tc>
          <w:tcPr>
            <w:tcW w:w="1458" w:type="dxa"/>
            <w:tcBorders>
              <w:top w:val="nil"/>
              <w:left w:val="nil"/>
              <w:bottom w:val="single" w:color="auto" w:sz="4" w:space="0"/>
              <w:right w:val="single" w:color="auto" w:sz="4" w:space="0"/>
            </w:tcBorders>
            <w:vAlign w:val="center"/>
          </w:tcPr>
          <w:p w14:paraId="36449811">
            <w:pPr>
              <w:widowControl/>
              <w:rPr>
                <w:rFonts w:ascii="宋体" w:hAnsi="宋体" w:cs="宋体"/>
                <w:kern w:val="0"/>
                <w:sz w:val="20"/>
                <w:highlight w:val="none"/>
              </w:rPr>
            </w:pPr>
            <w:r>
              <w:rPr>
                <w:rFonts w:hint="eastAsia" w:ascii="宋体" w:hAnsi="宋体" w:cs="宋体"/>
                <w:kern w:val="0"/>
                <w:sz w:val="20"/>
                <w:highlight w:val="none"/>
              </w:rPr>
              <w:t xml:space="preserve"> 50≤Y＜500</w:t>
            </w:r>
          </w:p>
        </w:tc>
        <w:tc>
          <w:tcPr>
            <w:tcW w:w="1501" w:type="dxa"/>
            <w:tcBorders>
              <w:top w:val="nil"/>
              <w:left w:val="nil"/>
              <w:bottom w:val="single" w:color="auto" w:sz="4" w:space="0"/>
              <w:right w:val="single" w:color="auto" w:sz="8" w:space="0"/>
            </w:tcBorders>
            <w:vAlign w:val="center"/>
          </w:tcPr>
          <w:p w14:paraId="7C032C5C">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292F57F9">
            <w:pPr>
              <w:widowControl/>
              <w:rPr>
                <w:rFonts w:ascii="宋体" w:hAnsi="宋体" w:cs="宋体"/>
                <w:kern w:val="0"/>
                <w:sz w:val="20"/>
                <w:highlight w:val="none"/>
              </w:rPr>
            </w:pPr>
            <w:r>
              <w:rPr>
                <w:rFonts w:hint="eastAsia" w:ascii="宋体" w:hAnsi="宋体" w:cs="宋体"/>
                <w:kern w:val="0"/>
                <w:sz w:val="20"/>
                <w:highlight w:val="none"/>
              </w:rPr>
              <w:t>　</w:t>
            </w:r>
          </w:p>
        </w:tc>
        <w:tc>
          <w:tcPr>
            <w:tcW w:w="1256" w:type="dxa"/>
            <w:tcBorders>
              <w:top w:val="nil"/>
              <w:left w:val="nil"/>
              <w:bottom w:val="single" w:color="auto" w:sz="4" w:space="0"/>
              <w:right w:val="single" w:color="auto" w:sz="4" w:space="0"/>
            </w:tcBorders>
            <w:vAlign w:val="center"/>
          </w:tcPr>
          <w:p w14:paraId="18AAB6F2">
            <w:pPr>
              <w:widowControl/>
              <w:rPr>
                <w:rFonts w:ascii="宋体" w:hAnsi="宋体" w:cs="宋体"/>
                <w:kern w:val="0"/>
                <w:sz w:val="20"/>
                <w:highlight w:val="none"/>
              </w:rPr>
            </w:pPr>
            <w:r>
              <w:rPr>
                <w:rFonts w:hint="eastAsia" w:ascii="宋体" w:hAnsi="宋体" w:cs="宋体"/>
                <w:kern w:val="0"/>
                <w:sz w:val="20"/>
                <w:highlight w:val="none"/>
              </w:rPr>
              <w:t>Y＜50</w:t>
            </w:r>
          </w:p>
        </w:tc>
        <w:tc>
          <w:tcPr>
            <w:tcW w:w="1205" w:type="dxa"/>
            <w:tcBorders>
              <w:top w:val="nil"/>
              <w:left w:val="nil"/>
              <w:bottom w:val="single" w:color="auto" w:sz="4" w:space="0"/>
              <w:right w:val="single" w:color="auto" w:sz="8" w:space="0"/>
            </w:tcBorders>
            <w:vAlign w:val="center"/>
          </w:tcPr>
          <w:p w14:paraId="3795EEFD">
            <w:pPr>
              <w:widowControl/>
              <w:rPr>
                <w:rFonts w:ascii="宋体" w:hAnsi="宋体" w:cs="宋体"/>
                <w:kern w:val="0"/>
                <w:sz w:val="20"/>
                <w:highlight w:val="none"/>
              </w:rPr>
            </w:pPr>
            <w:r>
              <w:rPr>
                <w:rFonts w:hint="eastAsia" w:ascii="宋体" w:hAnsi="宋体" w:cs="宋体"/>
                <w:kern w:val="0"/>
                <w:sz w:val="20"/>
                <w:highlight w:val="none"/>
              </w:rPr>
              <w:t>　</w:t>
            </w:r>
          </w:p>
        </w:tc>
      </w:tr>
      <w:tr w14:paraId="74F06443">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4F319B8">
            <w:pPr>
              <w:widowControl/>
              <w:rPr>
                <w:rFonts w:ascii="宋体" w:hAnsi="宋体" w:cs="宋体"/>
                <w:kern w:val="0"/>
                <w:sz w:val="20"/>
                <w:highlight w:val="none"/>
              </w:rPr>
            </w:pPr>
            <w:r>
              <w:rPr>
                <w:rFonts w:hint="eastAsia" w:ascii="宋体" w:hAnsi="宋体" w:cs="宋体"/>
                <w:kern w:val="0"/>
                <w:sz w:val="20"/>
                <w:highlight w:val="none"/>
              </w:rPr>
              <w:t>2.工业</w:t>
            </w:r>
          </w:p>
        </w:tc>
        <w:tc>
          <w:tcPr>
            <w:tcW w:w="1475" w:type="dxa"/>
            <w:tcBorders>
              <w:top w:val="nil"/>
              <w:left w:val="nil"/>
              <w:bottom w:val="single" w:color="auto" w:sz="4" w:space="0"/>
              <w:right w:val="single" w:color="auto" w:sz="4" w:space="0"/>
            </w:tcBorders>
            <w:vAlign w:val="center"/>
          </w:tcPr>
          <w:p w14:paraId="2C3D0FB8">
            <w:pPr>
              <w:widowControl/>
              <w:rPr>
                <w:rFonts w:ascii="宋体" w:hAnsi="宋体" w:cs="宋体"/>
                <w:kern w:val="0"/>
                <w:sz w:val="20"/>
                <w:highlight w:val="none"/>
              </w:rPr>
            </w:pPr>
            <w:r>
              <w:rPr>
                <w:rFonts w:hint="eastAsia" w:ascii="宋体" w:hAnsi="宋体" w:cs="宋体"/>
                <w:kern w:val="0"/>
                <w:sz w:val="20"/>
                <w:highlight w:val="none"/>
              </w:rPr>
              <w:t>300≤X＜1000</w:t>
            </w:r>
          </w:p>
        </w:tc>
        <w:tc>
          <w:tcPr>
            <w:tcW w:w="1736" w:type="dxa"/>
            <w:tcBorders>
              <w:top w:val="nil"/>
              <w:left w:val="nil"/>
              <w:bottom w:val="single" w:color="auto" w:sz="4" w:space="0"/>
              <w:right w:val="single" w:color="auto" w:sz="4" w:space="0"/>
            </w:tcBorders>
            <w:vAlign w:val="center"/>
          </w:tcPr>
          <w:p w14:paraId="61575C97">
            <w:pPr>
              <w:widowControl/>
              <w:rPr>
                <w:rFonts w:ascii="宋体" w:hAnsi="宋体" w:cs="宋体"/>
                <w:kern w:val="0"/>
                <w:sz w:val="20"/>
                <w:highlight w:val="none"/>
              </w:rPr>
            </w:pPr>
            <w:r>
              <w:rPr>
                <w:rFonts w:hint="eastAsia" w:ascii="宋体" w:hAnsi="宋体" w:cs="宋体"/>
                <w:kern w:val="0"/>
                <w:sz w:val="20"/>
                <w:highlight w:val="none"/>
              </w:rPr>
              <w:t>2000≤Y＜40000</w:t>
            </w:r>
          </w:p>
        </w:tc>
        <w:tc>
          <w:tcPr>
            <w:tcW w:w="1639" w:type="dxa"/>
            <w:tcBorders>
              <w:top w:val="nil"/>
              <w:left w:val="nil"/>
              <w:bottom w:val="single" w:color="auto" w:sz="4" w:space="0"/>
              <w:right w:val="single" w:color="auto" w:sz="8" w:space="0"/>
            </w:tcBorders>
            <w:vAlign w:val="center"/>
          </w:tcPr>
          <w:p w14:paraId="40A6F568">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57474498">
            <w:pPr>
              <w:widowControl/>
              <w:rPr>
                <w:rFonts w:ascii="宋体" w:hAnsi="宋体" w:cs="宋体"/>
                <w:kern w:val="0"/>
                <w:sz w:val="20"/>
                <w:highlight w:val="none"/>
              </w:rPr>
            </w:pPr>
            <w:r>
              <w:rPr>
                <w:rFonts w:hint="eastAsia" w:ascii="宋体" w:hAnsi="宋体" w:cs="宋体"/>
                <w:kern w:val="0"/>
                <w:sz w:val="20"/>
                <w:highlight w:val="none"/>
              </w:rPr>
              <w:t>20≤X＜300</w:t>
            </w:r>
          </w:p>
        </w:tc>
        <w:tc>
          <w:tcPr>
            <w:tcW w:w="1458" w:type="dxa"/>
            <w:tcBorders>
              <w:top w:val="nil"/>
              <w:left w:val="nil"/>
              <w:bottom w:val="single" w:color="auto" w:sz="4" w:space="0"/>
              <w:right w:val="single" w:color="auto" w:sz="4" w:space="0"/>
            </w:tcBorders>
            <w:vAlign w:val="center"/>
          </w:tcPr>
          <w:p w14:paraId="5B10496D">
            <w:pPr>
              <w:widowControl/>
              <w:rPr>
                <w:rFonts w:ascii="宋体" w:hAnsi="宋体" w:cs="宋体"/>
                <w:kern w:val="0"/>
                <w:sz w:val="20"/>
                <w:highlight w:val="none"/>
              </w:rPr>
            </w:pPr>
            <w:r>
              <w:rPr>
                <w:rFonts w:hint="eastAsia" w:ascii="宋体" w:hAnsi="宋体" w:cs="宋体"/>
                <w:kern w:val="0"/>
                <w:sz w:val="20"/>
                <w:highlight w:val="none"/>
              </w:rPr>
              <w:t>300≤Y＜2000</w:t>
            </w:r>
          </w:p>
        </w:tc>
        <w:tc>
          <w:tcPr>
            <w:tcW w:w="1501" w:type="dxa"/>
            <w:tcBorders>
              <w:top w:val="nil"/>
              <w:left w:val="nil"/>
              <w:bottom w:val="single" w:color="auto" w:sz="4" w:space="0"/>
              <w:right w:val="single" w:color="auto" w:sz="8" w:space="0"/>
            </w:tcBorders>
            <w:vAlign w:val="center"/>
          </w:tcPr>
          <w:p w14:paraId="1783EF67">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322036D8">
            <w:pPr>
              <w:widowControl/>
              <w:rPr>
                <w:rFonts w:ascii="宋体" w:hAnsi="宋体" w:cs="宋体"/>
                <w:kern w:val="0"/>
                <w:sz w:val="20"/>
                <w:highlight w:val="none"/>
              </w:rPr>
            </w:pPr>
            <w:r>
              <w:rPr>
                <w:rFonts w:hint="eastAsia" w:ascii="宋体" w:hAnsi="宋体" w:cs="宋体"/>
                <w:kern w:val="0"/>
                <w:sz w:val="20"/>
                <w:highlight w:val="none"/>
              </w:rPr>
              <w:t>X＜20</w:t>
            </w:r>
          </w:p>
        </w:tc>
        <w:tc>
          <w:tcPr>
            <w:tcW w:w="1256" w:type="dxa"/>
            <w:tcBorders>
              <w:top w:val="nil"/>
              <w:left w:val="nil"/>
              <w:bottom w:val="single" w:color="auto" w:sz="4" w:space="0"/>
              <w:right w:val="single" w:color="auto" w:sz="4" w:space="0"/>
            </w:tcBorders>
            <w:vAlign w:val="center"/>
          </w:tcPr>
          <w:p w14:paraId="632A7B51">
            <w:pPr>
              <w:widowControl/>
              <w:rPr>
                <w:rFonts w:ascii="宋体" w:hAnsi="宋体" w:cs="宋体"/>
                <w:kern w:val="0"/>
                <w:sz w:val="20"/>
                <w:highlight w:val="none"/>
              </w:rPr>
            </w:pPr>
            <w:r>
              <w:rPr>
                <w:rFonts w:hint="eastAsia" w:ascii="宋体" w:hAnsi="宋体" w:cs="宋体"/>
                <w:kern w:val="0"/>
                <w:sz w:val="20"/>
                <w:highlight w:val="none"/>
              </w:rPr>
              <w:t>Y＜300</w:t>
            </w:r>
          </w:p>
        </w:tc>
        <w:tc>
          <w:tcPr>
            <w:tcW w:w="1205" w:type="dxa"/>
            <w:tcBorders>
              <w:top w:val="nil"/>
              <w:left w:val="nil"/>
              <w:bottom w:val="single" w:color="auto" w:sz="4" w:space="0"/>
              <w:right w:val="single" w:color="auto" w:sz="8" w:space="0"/>
            </w:tcBorders>
            <w:vAlign w:val="center"/>
          </w:tcPr>
          <w:p w14:paraId="67E99AD2">
            <w:pPr>
              <w:widowControl/>
              <w:rPr>
                <w:rFonts w:ascii="宋体" w:hAnsi="宋体" w:cs="宋体"/>
                <w:kern w:val="0"/>
                <w:sz w:val="20"/>
                <w:highlight w:val="none"/>
              </w:rPr>
            </w:pPr>
            <w:r>
              <w:rPr>
                <w:rFonts w:hint="eastAsia" w:ascii="宋体" w:hAnsi="宋体" w:cs="宋体"/>
                <w:kern w:val="0"/>
                <w:sz w:val="20"/>
                <w:highlight w:val="none"/>
              </w:rPr>
              <w:t>　</w:t>
            </w:r>
          </w:p>
        </w:tc>
      </w:tr>
      <w:tr w14:paraId="05CBCB66">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5913F82F">
            <w:pPr>
              <w:widowControl/>
              <w:rPr>
                <w:rFonts w:ascii="宋体" w:hAnsi="宋体" w:cs="宋体"/>
                <w:kern w:val="0"/>
                <w:sz w:val="20"/>
                <w:highlight w:val="none"/>
              </w:rPr>
            </w:pPr>
            <w:r>
              <w:rPr>
                <w:rFonts w:hint="eastAsia" w:ascii="宋体" w:hAnsi="宋体" w:cs="宋体"/>
                <w:kern w:val="0"/>
                <w:sz w:val="20"/>
                <w:highlight w:val="none"/>
              </w:rPr>
              <w:t>3.建筑业</w:t>
            </w:r>
          </w:p>
        </w:tc>
        <w:tc>
          <w:tcPr>
            <w:tcW w:w="1475" w:type="dxa"/>
            <w:tcBorders>
              <w:top w:val="nil"/>
              <w:left w:val="nil"/>
              <w:bottom w:val="single" w:color="auto" w:sz="4" w:space="0"/>
              <w:right w:val="single" w:color="auto" w:sz="4" w:space="0"/>
            </w:tcBorders>
            <w:vAlign w:val="center"/>
          </w:tcPr>
          <w:p w14:paraId="655969BD">
            <w:pPr>
              <w:widowControl/>
              <w:rPr>
                <w:rFonts w:ascii="宋体" w:hAnsi="宋体" w:cs="宋体"/>
                <w:kern w:val="0"/>
                <w:sz w:val="20"/>
                <w:highlight w:val="none"/>
              </w:rPr>
            </w:pPr>
            <w:r>
              <w:rPr>
                <w:rFonts w:hint="eastAsia" w:ascii="宋体" w:hAnsi="宋体" w:cs="宋体"/>
                <w:kern w:val="0"/>
                <w:sz w:val="20"/>
                <w:highlight w:val="none"/>
              </w:rPr>
              <w:t>　</w:t>
            </w:r>
          </w:p>
        </w:tc>
        <w:tc>
          <w:tcPr>
            <w:tcW w:w="1736" w:type="dxa"/>
            <w:tcBorders>
              <w:top w:val="nil"/>
              <w:left w:val="nil"/>
              <w:bottom w:val="single" w:color="auto" w:sz="4" w:space="0"/>
              <w:right w:val="single" w:color="auto" w:sz="4" w:space="0"/>
            </w:tcBorders>
            <w:vAlign w:val="center"/>
          </w:tcPr>
          <w:p w14:paraId="4A0A7E97">
            <w:pPr>
              <w:widowControl/>
              <w:rPr>
                <w:rFonts w:ascii="宋体" w:hAnsi="宋体" w:cs="宋体"/>
                <w:kern w:val="0"/>
                <w:sz w:val="20"/>
                <w:highlight w:val="none"/>
              </w:rPr>
            </w:pPr>
            <w:r>
              <w:rPr>
                <w:rFonts w:hint="eastAsia" w:ascii="宋体" w:hAnsi="宋体" w:cs="宋体"/>
                <w:kern w:val="0"/>
                <w:sz w:val="20"/>
                <w:highlight w:val="none"/>
              </w:rPr>
              <w:t>6000≤Y＜80000</w:t>
            </w:r>
          </w:p>
        </w:tc>
        <w:tc>
          <w:tcPr>
            <w:tcW w:w="1639" w:type="dxa"/>
            <w:tcBorders>
              <w:top w:val="nil"/>
              <w:left w:val="nil"/>
              <w:bottom w:val="single" w:color="auto" w:sz="4" w:space="0"/>
              <w:right w:val="single" w:color="auto" w:sz="8" w:space="0"/>
            </w:tcBorders>
            <w:vAlign w:val="center"/>
          </w:tcPr>
          <w:p w14:paraId="38451187">
            <w:pPr>
              <w:widowControl/>
              <w:rPr>
                <w:rFonts w:ascii="宋体" w:hAnsi="宋体" w:cs="宋体"/>
                <w:kern w:val="0"/>
                <w:sz w:val="20"/>
                <w:highlight w:val="none"/>
              </w:rPr>
            </w:pPr>
            <w:r>
              <w:rPr>
                <w:rFonts w:hint="eastAsia" w:ascii="宋体" w:hAnsi="宋体" w:cs="宋体"/>
                <w:kern w:val="0"/>
                <w:sz w:val="20"/>
                <w:highlight w:val="none"/>
              </w:rPr>
              <w:t>5000≤Z＜80000</w:t>
            </w:r>
          </w:p>
        </w:tc>
        <w:tc>
          <w:tcPr>
            <w:tcW w:w="1221" w:type="dxa"/>
            <w:tcBorders>
              <w:top w:val="nil"/>
              <w:left w:val="nil"/>
              <w:bottom w:val="single" w:color="auto" w:sz="4" w:space="0"/>
              <w:right w:val="single" w:color="auto" w:sz="4" w:space="0"/>
            </w:tcBorders>
            <w:vAlign w:val="center"/>
          </w:tcPr>
          <w:p w14:paraId="7A7DE9D2">
            <w:pPr>
              <w:widowControl/>
              <w:rPr>
                <w:rFonts w:ascii="宋体" w:hAnsi="宋体" w:cs="宋体"/>
                <w:kern w:val="0"/>
                <w:sz w:val="20"/>
                <w:highlight w:val="none"/>
              </w:rPr>
            </w:pPr>
            <w:r>
              <w:rPr>
                <w:rFonts w:hint="eastAsia" w:ascii="宋体" w:hAnsi="宋体" w:cs="宋体"/>
                <w:kern w:val="0"/>
                <w:sz w:val="20"/>
                <w:highlight w:val="none"/>
              </w:rPr>
              <w:t>　</w:t>
            </w:r>
          </w:p>
        </w:tc>
        <w:tc>
          <w:tcPr>
            <w:tcW w:w="1458" w:type="dxa"/>
            <w:tcBorders>
              <w:top w:val="nil"/>
              <w:left w:val="nil"/>
              <w:bottom w:val="single" w:color="auto" w:sz="4" w:space="0"/>
              <w:right w:val="single" w:color="auto" w:sz="4" w:space="0"/>
            </w:tcBorders>
            <w:vAlign w:val="center"/>
          </w:tcPr>
          <w:p w14:paraId="40D4AFA8">
            <w:pPr>
              <w:widowControl/>
              <w:rPr>
                <w:rFonts w:ascii="宋体" w:hAnsi="宋体" w:cs="宋体"/>
                <w:kern w:val="0"/>
                <w:sz w:val="20"/>
                <w:highlight w:val="none"/>
              </w:rPr>
            </w:pPr>
            <w:r>
              <w:rPr>
                <w:rFonts w:hint="eastAsia" w:ascii="宋体" w:hAnsi="宋体" w:cs="宋体"/>
                <w:kern w:val="0"/>
                <w:sz w:val="20"/>
                <w:highlight w:val="none"/>
              </w:rPr>
              <w:t>300≤Y＜6000</w:t>
            </w:r>
          </w:p>
        </w:tc>
        <w:tc>
          <w:tcPr>
            <w:tcW w:w="1501" w:type="dxa"/>
            <w:tcBorders>
              <w:top w:val="nil"/>
              <w:left w:val="nil"/>
              <w:bottom w:val="single" w:color="auto" w:sz="4" w:space="0"/>
              <w:right w:val="single" w:color="auto" w:sz="8" w:space="0"/>
            </w:tcBorders>
            <w:vAlign w:val="center"/>
          </w:tcPr>
          <w:p w14:paraId="30940322">
            <w:pPr>
              <w:widowControl/>
              <w:rPr>
                <w:rFonts w:ascii="宋体" w:hAnsi="宋体" w:cs="宋体"/>
                <w:kern w:val="0"/>
                <w:sz w:val="20"/>
                <w:highlight w:val="none"/>
              </w:rPr>
            </w:pPr>
            <w:r>
              <w:rPr>
                <w:rFonts w:hint="eastAsia" w:ascii="宋体" w:hAnsi="宋体" w:cs="宋体"/>
                <w:kern w:val="0"/>
                <w:sz w:val="20"/>
                <w:highlight w:val="none"/>
              </w:rPr>
              <w:t xml:space="preserve"> 300≤Z＜5000</w:t>
            </w:r>
          </w:p>
        </w:tc>
        <w:tc>
          <w:tcPr>
            <w:tcW w:w="1265" w:type="dxa"/>
            <w:tcBorders>
              <w:top w:val="nil"/>
              <w:left w:val="nil"/>
              <w:bottom w:val="single" w:color="auto" w:sz="4" w:space="0"/>
              <w:right w:val="single" w:color="auto" w:sz="4" w:space="0"/>
            </w:tcBorders>
            <w:vAlign w:val="center"/>
          </w:tcPr>
          <w:p w14:paraId="1DCAA998">
            <w:pPr>
              <w:widowControl/>
              <w:rPr>
                <w:rFonts w:ascii="宋体" w:hAnsi="宋体" w:cs="宋体"/>
                <w:kern w:val="0"/>
                <w:sz w:val="20"/>
                <w:highlight w:val="none"/>
              </w:rPr>
            </w:pPr>
            <w:r>
              <w:rPr>
                <w:rFonts w:hint="eastAsia" w:ascii="宋体" w:hAnsi="宋体" w:cs="宋体"/>
                <w:kern w:val="0"/>
                <w:sz w:val="20"/>
                <w:highlight w:val="none"/>
              </w:rPr>
              <w:t>　</w:t>
            </w:r>
          </w:p>
        </w:tc>
        <w:tc>
          <w:tcPr>
            <w:tcW w:w="1256" w:type="dxa"/>
            <w:tcBorders>
              <w:top w:val="nil"/>
              <w:left w:val="nil"/>
              <w:bottom w:val="single" w:color="auto" w:sz="4" w:space="0"/>
              <w:right w:val="single" w:color="auto" w:sz="4" w:space="0"/>
            </w:tcBorders>
            <w:vAlign w:val="center"/>
          </w:tcPr>
          <w:p w14:paraId="5317B9CF">
            <w:pPr>
              <w:widowControl/>
              <w:rPr>
                <w:rFonts w:ascii="宋体" w:hAnsi="宋体" w:cs="宋体"/>
                <w:kern w:val="0"/>
                <w:sz w:val="20"/>
                <w:highlight w:val="none"/>
              </w:rPr>
            </w:pPr>
            <w:r>
              <w:rPr>
                <w:rFonts w:hint="eastAsia" w:ascii="宋体" w:hAnsi="宋体" w:cs="宋体"/>
                <w:kern w:val="0"/>
                <w:sz w:val="20"/>
                <w:highlight w:val="none"/>
              </w:rPr>
              <w:t>Y＜300</w:t>
            </w:r>
          </w:p>
        </w:tc>
        <w:tc>
          <w:tcPr>
            <w:tcW w:w="1205" w:type="dxa"/>
            <w:tcBorders>
              <w:top w:val="nil"/>
              <w:left w:val="nil"/>
              <w:bottom w:val="single" w:color="auto" w:sz="4" w:space="0"/>
              <w:right w:val="single" w:color="auto" w:sz="8" w:space="0"/>
            </w:tcBorders>
            <w:vAlign w:val="center"/>
          </w:tcPr>
          <w:p w14:paraId="778D4005">
            <w:pPr>
              <w:widowControl/>
              <w:rPr>
                <w:rFonts w:ascii="宋体" w:hAnsi="宋体" w:cs="宋体"/>
                <w:kern w:val="0"/>
                <w:sz w:val="20"/>
                <w:highlight w:val="none"/>
              </w:rPr>
            </w:pPr>
            <w:r>
              <w:rPr>
                <w:rFonts w:hint="eastAsia" w:ascii="宋体" w:hAnsi="宋体" w:cs="宋体"/>
                <w:kern w:val="0"/>
                <w:sz w:val="20"/>
                <w:highlight w:val="none"/>
              </w:rPr>
              <w:t>Z＜300</w:t>
            </w:r>
          </w:p>
        </w:tc>
      </w:tr>
      <w:tr w14:paraId="18CD328C">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F1D0EA7">
            <w:pPr>
              <w:widowControl/>
              <w:rPr>
                <w:rFonts w:ascii="宋体" w:hAnsi="宋体" w:cs="宋体"/>
                <w:kern w:val="0"/>
                <w:sz w:val="20"/>
                <w:highlight w:val="none"/>
              </w:rPr>
            </w:pPr>
            <w:r>
              <w:rPr>
                <w:rFonts w:hint="eastAsia" w:ascii="宋体" w:hAnsi="宋体" w:cs="宋体"/>
                <w:kern w:val="0"/>
                <w:sz w:val="20"/>
                <w:highlight w:val="none"/>
              </w:rPr>
              <w:t>4.批发业</w:t>
            </w:r>
          </w:p>
        </w:tc>
        <w:tc>
          <w:tcPr>
            <w:tcW w:w="1475" w:type="dxa"/>
            <w:tcBorders>
              <w:top w:val="nil"/>
              <w:left w:val="nil"/>
              <w:bottom w:val="single" w:color="auto" w:sz="4" w:space="0"/>
              <w:right w:val="single" w:color="auto" w:sz="4" w:space="0"/>
            </w:tcBorders>
            <w:vAlign w:val="center"/>
          </w:tcPr>
          <w:p w14:paraId="1A45C3C9">
            <w:pPr>
              <w:widowControl/>
              <w:rPr>
                <w:rFonts w:ascii="宋体" w:hAnsi="宋体" w:cs="宋体"/>
                <w:kern w:val="0"/>
                <w:sz w:val="20"/>
                <w:highlight w:val="none"/>
              </w:rPr>
            </w:pPr>
            <w:r>
              <w:rPr>
                <w:rFonts w:hint="eastAsia" w:ascii="宋体" w:hAnsi="宋体" w:cs="宋体"/>
                <w:kern w:val="0"/>
                <w:sz w:val="20"/>
                <w:highlight w:val="none"/>
              </w:rPr>
              <w:t xml:space="preserve"> 20≤X＜200</w:t>
            </w:r>
          </w:p>
        </w:tc>
        <w:tc>
          <w:tcPr>
            <w:tcW w:w="1736" w:type="dxa"/>
            <w:tcBorders>
              <w:top w:val="nil"/>
              <w:left w:val="nil"/>
              <w:bottom w:val="single" w:color="auto" w:sz="4" w:space="0"/>
              <w:right w:val="single" w:color="auto" w:sz="4" w:space="0"/>
            </w:tcBorders>
            <w:vAlign w:val="center"/>
          </w:tcPr>
          <w:p w14:paraId="267B6A0B">
            <w:pPr>
              <w:widowControl/>
              <w:rPr>
                <w:rFonts w:ascii="宋体" w:hAnsi="宋体" w:cs="宋体"/>
                <w:kern w:val="0"/>
                <w:sz w:val="20"/>
                <w:highlight w:val="none"/>
              </w:rPr>
            </w:pPr>
            <w:r>
              <w:rPr>
                <w:rFonts w:hint="eastAsia" w:ascii="宋体" w:hAnsi="宋体" w:cs="宋体"/>
                <w:kern w:val="0"/>
                <w:sz w:val="20"/>
                <w:highlight w:val="none"/>
              </w:rPr>
              <w:t>5000≤Y＜40000</w:t>
            </w:r>
          </w:p>
        </w:tc>
        <w:tc>
          <w:tcPr>
            <w:tcW w:w="1639" w:type="dxa"/>
            <w:tcBorders>
              <w:top w:val="nil"/>
              <w:left w:val="nil"/>
              <w:bottom w:val="single" w:color="auto" w:sz="4" w:space="0"/>
              <w:right w:val="single" w:color="auto" w:sz="8" w:space="0"/>
            </w:tcBorders>
            <w:vAlign w:val="center"/>
          </w:tcPr>
          <w:p w14:paraId="24F7C8F6">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6F9F1E8A">
            <w:pPr>
              <w:widowControl/>
              <w:rPr>
                <w:rFonts w:ascii="宋体" w:hAnsi="宋体" w:cs="宋体"/>
                <w:kern w:val="0"/>
                <w:sz w:val="20"/>
                <w:highlight w:val="none"/>
              </w:rPr>
            </w:pPr>
            <w:r>
              <w:rPr>
                <w:rFonts w:hint="eastAsia" w:ascii="宋体" w:hAnsi="宋体" w:cs="宋体"/>
                <w:kern w:val="0"/>
                <w:sz w:val="20"/>
                <w:highlight w:val="none"/>
              </w:rPr>
              <w:t xml:space="preserve"> 5≤X＜20</w:t>
            </w:r>
          </w:p>
        </w:tc>
        <w:tc>
          <w:tcPr>
            <w:tcW w:w="1458" w:type="dxa"/>
            <w:tcBorders>
              <w:top w:val="nil"/>
              <w:left w:val="nil"/>
              <w:bottom w:val="single" w:color="auto" w:sz="4" w:space="0"/>
              <w:right w:val="single" w:color="auto" w:sz="4" w:space="0"/>
            </w:tcBorders>
            <w:vAlign w:val="center"/>
          </w:tcPr>
          <w:p w14:paraId="0FFDED9E">
            <w:pPr>
              <w:widowControl/>
              <w:rPr>
                <w:rFonts w:ascii="宋体" w:hAnsi="宋体" w:cs="宋体"/>
                <w:kern w:val="0"/>
                <w:sz w:val="20"/>
                <w:highlight w:val="none"/>
              </w:rPr>
            </w:pPr>
            <w:r>
              <w:rPr>
                <w:rFonts w:hint="eastAsia" w:ascii="宋体" w:hAnsi="宋体" w:cs="宋体"/>
                <w:kern w:val="0"/>
                <w:sz w:val="20"/>
                <w:highlight w:val="none"/>
              </w:rPr>
              <w:t>1000≤Y＜5000</w:t>
            </w:r>
          </w:p>
        </w:tc>
        <w:tc>
          <w:tcPr>
            <w:tcW w:w="1501" w:type="dxa"/>
            <w:tcBorders>
              <w:top w:val="nil"/>
              <w:left w:val="nil"/>
              <w:bottom w:val="single" w:color="auto" w:sz="4" w:space="0"/>
              <w:right w:val="single" w:color="auto" w:sz="8" w:space="0"/>
            </w:tcBorders>
            <w:vAlign w:val="center"/>
          </w:tcPr>
          <w:p w14:paraId="4771E888">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78A472CF">
            <w:pPr>
              <w:widowControl/>
              <w:rPr>
                <w:rFonts w:ascii="宋体" w:hAnsi="宋体" w:cs="宋体"/>
                <w:kern w:val="0"/>
                <w:sz w:val="20"/>
                <w:highlight w:val="none"/>
              </w:rPr>
            </w:pPr>
            <w:r>
              <w:rPr>
                <w:rFonts w:hint="eastAsia" w:ascii="宋体" w:hAnsi="宋体" w:cs="宋体"/>
                <w:kern w:val="0"/>
                <w:sz w:val="20"/>
                <w:highlight w:val="none"/>
              </w:rPr>
              <w:t>X＜5</w:t>
            </w:r>
          </w:p>
        </w:tc>
        <w:tc>
          <w:tcPr>
            <w:tcW w:w="1256" w:type="dxa"/>
            <w:tcBorders>
              <w:top w:val="nil"/>
              <w:left w:val="nil"/>
              <w:bottom w:val="single" w:color="auto" w:sz="4" w:space="0"/>
              <w:right w:val="single" w:color="auto" w:sz="4" w:space="0"/>
            </w:tcBorders>
            <w:vAlign w:val="center"/>
          </w:tcPr>
          <w:p w14:paraId="54979028">
            <w:pPr>
              <w:widowControl/>
              <w:rPr>
                <w:rFonts w:ascii="宋体" w:hAnsi="宋体" w:cs="宋体"/>
                <w:kern w:val="0"/>
                <w:sz w:val="20"/>
                <w:highlight w:val="none"/>
              </w:rPr>
            </w:pPr>
            <w:r>
              <w:rPr>
                <w:rFonts w:hint="eastAsia" w:ascii="宋体" w:hAnsi="宋体" w:cs="宋体"/>
                <w:kern w:val="0"/>
                <w:sz w:val="20"/>
                <w:highlight w:val="none"/>
              </w:rPr>
              <w:t>Y＜1000</w:t>
            </w:r>
          </w:p>
        </w:tc>
        <w:tc>
          <w:tcPr>
            <w:tcW w:w="1205" w:type="dxa"/>
            <w:tcBorders>
              <w:top w:val="nil"/>
              <w:left w:val="nil"/>
              <w:bottom w:val="single" w:color="auto" w:sz="4" w:space="0"/>
              <w:right w:val="single" w:color="auto" w:sz="8" w:space="0"/>
            </w:tcBorders>
            <w:vAlign w:val="center"/>
          </w:tcPr>
          <w:p w14:paraId="3170FBA3">
            <w:pPr>
              <w:widowControl/>
              <w:rPr>
                <w:rFonts w:ascii="宋体" w:hAnsi="宋体" w:cs="宋体"/>
                <w:kern w:val="0"/>
                <w:sz w:val="20"/>
                <w:highlight w:val="none"/>
              </w:rPr>
            </w:pPr>
            <w:r>
              <w:rPr>
                <w:rFonts w:hint="eastAsia" w:ascii="宋体" w:hAnsi="宋体" w:cs="宋体"/>
                <w:kern w:val="0"/>
                <w:sz w:val="20"/>
                <w:highlight w:val="none"/>
              </w:rPr>
              <w:t>　</w:t>
            </w:r>
          </w:p>
        </w:tc>
      </w:tr>
      <w:tr w14:paraId="03DEB313">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3C646532">
            <w:pPr>
              <w:widowControl/>
              <w:rPr>
                <w:rFonts w:ascii="宋体" w:hAnsi="宋体" w:cs="宋体"/>
                <w:kern w:val="0"/>
                <w:sz w:val="20"/>
                <w:highlight w:val="none"/>
              </w:rPr>
            </w:pPr>
            <w:r>
              <w:rPr>
                <w:rFonts w:hint="eastAsia" w:ascii="宋体" w:hAnsi="宋体" w:cs="宋体"/>
                <w:kern w:val="0"/>
                <w:sz w:val="20"/>
                <w:highlight w:val="none"/>
              </w:rPr>
              <w:t>5.零售业</w:t>
            </w:r>
          </w:p>
        </w:tc>
        <w:tc>
          <w:tcPr>
            <w:tcW w:w="1475" w:type="dxa"/>
            <w:tcBorders>
              <w:top w:val="nil"/>
              <w:left w:val="nil"/>
              <w:bottom w:val="single" w:color="auto" w:sz="4" w:space="0"/>
              <w:right w:val="single" w:color="auto" w:sz="4" w:space="0"/>
            </w:tcBorders>
            <w:vAlign w:val="center"/>
          </w:tcPr>
          <w:p w14:paraId="0AEF7BFD">
            <w:pPr>
              <w:widowControl/>
              <w:rPr>
                <w:rFonts w:ascii="宋体" w:hAnsi="宋体" w:cs="宋体"/>
                <w:kern w:val="0"/>
                <w:sz w:val="20"/>
                <w:highlight w:val="none"/>
              </w:rPr>
            </w:pPr>
            <w:r>
              <w:rPr>
                <w:rFonts w:hint="eastAsia" w:ascii="宋体" w:hAnsi="宋体" w:cs="宋体"/>
                <w:kern w:val="0"/>
                <w:sz w:val="20"/>
                <w:highlight w:val="none"/>
              </w:rPr>
              <w:t xml:space="preserve"> 50≤X＜300</w:t>
            </w:r>
          </w:p>
        </w:tc>
        <w:tc>
          <w:tcPr>
            <w:tcW w:w="1736" w:type="dxa"/>
            <w:tcBorders>
              <w:top w:val="nil"/>
              <w:left w:val="nil"/>
              <w:bottom w:val="single" w:color="auto" w:sz="4" w:space="0"/>
              <w:right w:val="single" w:color="auto" w:sz="4" w:space="0"/>
            </w:tcBorders>
            <w:vAlign w:val="center"/>
          </w:tcPr>
          <w:p w14:paraId="0DA1BC9C">
            <w:pPr>
              <w:widowControl/>
              <w:rPr>
                <w:rFonts w:ascii="宋体" w:hAnsi="宋体" w:cs="宋体"/>
                <w:kern w:val="0"/>
                <w:sz w:val="20"/>
                <w:highlight w:val="none"/>
              </w:rPr>
            </w:pPr>
            <w:r>
              <w:rPr>
                <w:rFonts w:hint="eastAsia" w:ascii="宋体" w:hAnsi="宋体" w:cs="宋体"/>
                <w:kern w:val="0"/>
                <w:sz w:val="20"/>
                <w:highlight w:val="none"/>
              </w:rPr>
              <w:t xml:space="preserve"> 500≤Y＜20000</w:t>
            </w:r>
          </w:p>
        </w:tc>
        <w:tc>
          <w:tcPr>
            <w:tcW w:w="1639" w:type="dxa"/>
            <w:tcBorders>
              <w:top w:val="nil"/>
              <w:left w:val="nil"/>
              <w:bottom w:val="single" w:color="auto" w:sz="4" w:space="0"/>
              <w:right w:val="single" w:color="auto" w:sz="8" w:space="0"/>
            </w:tcBorders>
            <w:vAlign w:val="center"/>
          </w:tcPr>
          <w:p w14:paraId="7E285CFA">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7F8F43CF">
            <w:pPr>
              <w:widowControl/>
              <w:rPr>
                <w:rFonts w:ascii="宋体" w:hAnsi="宋体" w:cs="宋体"/>
                <w:kern w:val="0"/>
                <w:sz w:val="20"/>
                <w:highlight w:val="none"/>
              </w:rPr>
            </w:pPr>
            <w:r>
              <w:rPr>
                <w:rFonts w:hint="eastAsia" w:ascii="宋体" w:hAnsi="宋体" w:cs="宋体"/>
                <w:kern w:val="0"/>
                <w:sz w:val="20"/>
                <w:highlight w:val="none"/>
              </w:rPr>
              <w:t>10≤X＜50</w:t>
            </w:r>
          </w:p>
        </w:tc>
        <w:tc>
          <w:tcPr>
            <w:tcW w:w="1458" w:type="dxa"/>
            <w:tcBorders>
              <w:top w:val="nil"/>
              <w:left w:val="nil"/>
              <w:bottom w:val="single" w:color="auto" w:sz="4" w:space="0"/>
              <w:right w:val="single" w:color="auto" w:sz="4" w:space="0"/>
            </w:tcBorders>
            <w:vAlign w:val="center"/>
          </w:tcPr>
          <w:p w14:paraId="1299CC31">
            <w:pPr>
              <w:widowControl/>
              <w:rPr>
                <w:rFonts w:ascii="宋体" w:hAnsi="宋体" w:cs="宋体"/>
                <w:kern w:val="0"/>
                <w:sz w:val="20"/>
                <w:highlight w:val="none"/>
              </w:rPr>
            </w:pPr>
            <w:r>
              <w:rPr>
                <w:rFonts w:hint="eastAsia" w:ascii="宋体" w:hAnsi="宋体" w:cs="宋体"/>
                <w:kern w:val="0"/>
                <w:sz w:val="20"/>
                <w:highlight w:val="none"/>
              </w:rPr>
              <w:t>100≤Y＜500</w:t>
            </w:r>
          </w:p>
        </w:tc>
        <w:tc>
          <w:tcPr>
            <w:tcW w:w="1501" w:type="dxa"/>
            <w:tcBorders>
              <w:top w:val="nil"/>
              <w:left w:val="nil"/>
              <w:bottom w:val="single" w:color="auto" w:sz="4" w:space="0"/>
              <w:right w:val="single" w:color="auto" w:sz="8" w:space="0"/>
            </w:tcBorders>
            <w:vAlign w:val="center"/>
          </w:tcPr>
          <w:p w14:paraId="1F63EAE2">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2C45E45B">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4" w:space="0"/>
              <w:right w:val="single" w:color="auto" w:sz="4" w:space="0"/>
            </w:tcBorders>
            <w:vAlign w:val="center"/>
          </w:tcPr>
          <w:p w14:paraId="4C11FEB1">
            <w:pPr>
              <w:widowControl/>
              <w:rPr>
                <w:rFonts w:ascii="宋体" w:hAnsi="宋体" w:cs="宋体"/>
                <w:kern w:val="0"/>
                <w:sz w:val="20"/>
                <w:highlight w:val="none"/>
              </w:rPr>
            </w:pPr>
            <w:r>
              <w:rPr>
                <w:rFonts w:hint="eastAsia" w:ascii="宋体" w:hAnsi="宋体" w:cs="宋体"/>
                <w:kern w:val="0"/>
                <w:sz w:val="20"/>
                <w:highlight w:val="none"/>
              </w:rPr>
              <w:t>Y＜100</w:t>
            </w:r>
          </w:p>
        </w:tc>
        <w:tc>
          <w:tcPr>
            <w:tcW w:w="1205" w:type="dxa"/>
            <w:tcBorders>
              <w:top w:val="nil"/>
              <w:left w:val="nil"/>
              <w:bottom w:val="single" w:color="auto" w:sz="4" w:space="0"/>
              <w:right w:val="single" w:color="auto" w:sz="8" w:space="0"/>
            </w:tcBorders>
            <w:vAlign w:val="center"/>
          </w:tcPr>
          <w:p w14:paraId="51BBC2F3">
            <w:pPr>
              <w:widowControl/>
              <w:rPr>
                <w:rFonts w:ascii="宋体" w:hAnsi="宋体" w:cs="宋体"/>
                <w:kern w:val="0"/>
                <w:sz w:val="20"/>
                <w:highlight w:val="none"/>
              </w:rPr>
            </w:pPr>
            <w:r>
              <w:rPr>
                <w:rFonts w:hint="eastAsia" w:ascii="宋体" w:hAnsi="宋体" w:cs="宋体"/>
                <w:kern w:val="0"/>
                <w:sz w:val="20"/>
                <w:highlight w:val="none"/>
              </w:rPr>
              <w:t>　</w:t>
            </w:r>
          </w:p>
        </w:tc>
      </w:tr>
      <w:tr w14:paraId="61B5A8D4">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79C96FC7">
            <w:pPr>
              <w:widowControl/>
              <w:rPr>
                <w:rFonts w:ascii="宋体" w:hAnsi="宋体" w:cs="宋体"/>
                <w:kern w:val="0"/>
                <w:sz w:val="20"/>
                <w:highlight w:val="none"/>
              </w:rPr>
            </w:pPr>
            <w:r>
              <w:rPr>
                <w:rFonts w:hint="eastAsia" w:ascii="宋体" w:hAnsi="宋体" w:cs="宋体"/>
                <w:kern w:val="0"/>
                <w:sz w:val="20"/>
                <w:highlight w:val="none"/>
              </w:rPr>
              <w:t>6.交通运输业</w:t>
            </w:r>
          </w:p>
        </w:tc>
        <w:tc>
          <w:tcPr>
            <w:tcW w:w="1475" w:type="dxa"/>
            <w:tcBorders>
              <w:top w:val="nil"/>
              <w:left w:val="nil"/>
              <w:bottom w:val="single" w:color="auto" w:sz="4" w:space="0"/>
              <w:right w:val="single" w:color="auto" w:sz="4" w:space="0"/>
            </w:tcBorders>
            <w:vAlign w:val="center"/>
          </w:tcPr>
          <w:p w14:paraId="09998E33">
            <w:pPr>
              <w:widowControl/>
              <w:rPr>
                <w:rFonts w:ascii="宋体" w:hAnsi="宋体" w:cs="宋体"/>
                <w:kern w:val="0"/>
                <w:sz w:val="20"/>
                <w:highlight w:val="none"/>
              </w:rPr>
            </w:pPr>
            <w:r>
              <w:rPr>
                <w:rFonts w:hint="eastAsia" w:ascii="宋体" w:hAnsi="宋体" w:cs="宋体"/>
                <w:kern w:val="0"/>
                <w:sz w:val="20"/>
                <w:highlight w:val="none"/>
              </w:rPr>
              <w:t>300≤X＜1000</w:t>
            </w:r>
          </w:p>
        </w:tc>
        <w:tc>
          <w:tcPr>
            <w:tcW w:w="1736" w:type="dxa"/>
            <w:tcBorders>
              <w:top w:val="nil"/>
              <w:left w:val="nil"/>
              <w:bottom w:val="single" w:color="auto" w:sz="4" w:space="0"/>
              <w:right w:val="single" w:color="auto" w:sz="4" w:space="0"/>
            </w:tcBorders>
            <w:vAlign w:val="center"/>
          </w:tcPr>
          <w:p w14:paraId="093A140D">
            <w:pPr>
              <w:widowControl/>
              <w:rPr>
                <w:rFonts w:ascii="宋体" w:hAnsi="宋体" w:cs="宋体"/>
                <w:kern w:val="0"/>
                <w:sz w:val="20"/>
                <w:highlight w:val="none"/>
              </w:rPr>
            </w:pPr>
            <w:r>
              <w:rPr>
                <w:rFonts w:hint="eastAsia" w:ascii="宋体" w:hAnsi="宋体" w:cs="宋体"/>
                <w:kern w:val="0"/>
                <w:sz w:val="20"/>
                <w:highlight w:val="none"/>
              </w:rPr>
              <w:t>3000≤Y＜30000</w:t>
            </w:r>
          </w:p>
        </w:tc>
        <w:tc>
          <w:tcPr>
            <w:tcW w:w="1639" w:type="dxa"/>
            <w:tcBorders>
              <w:top w:val="nil"/>
              <w:left w:val="nil"/>
              <w:bottom w:val="single" w:color="auto" w:sz="4" w:space="0"/>
              <w:right w:val="single" w:color="auto" w:sz="8" w:space="0"/>
            </w:tcBorders>
            <w:vAlign w:val="center"/>
          </w:tcPr>
          <w:p w14:paraId="3D21D989">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2F78A9AE">
            <w:pPr>
              <w:widowControl/>
              <w:rPr>
                <w:rFonts w:ascii="宋体" w:hAnsi="宋体" w:cs="宋体"/>
                <w:kern w:val="0"/>
                <w:sz w:val="20"/>
                <w:highlight w:val="none"/>
              </w:rPr>
            </w:pPr>
            <w:r>
              <w:rPr>
                <w:rFonts w:hint="eastAsia" w:ascii="宋体" w:hAnsi="宋体" w:cs="宋体"/>
                <w:kern w:val="0"/>
                <w:sz w:val="20"/>
                <w:highlight w:val="none"/>
              </w:rPr>
              <w:t>20≤X＜300</w:t>
            </w:r>
          </w:p>
        </w:tc>
        <w:tc>
          <w:tcPr>
            <w:tcW w:w="1458" w:type="dxa"/>
            <w:tcBorders>
              <w:top w:val="nil"/>
              <w:left w:val="nil"/>
              <w:bottom w:val="single" w:color="auto" w:sz="4" w:space="0"/>
              <w:right w:val="single" w:color="auto" w:sz="4" w:space="0"/>
            </w:tcBorders>
            <w:vAlign w:val="center"/>
          </w:tcPr>
          <w:p w14:paraId="65918A0F">
            <w:pPr>
              <w:widowControl/>
              <w:rPr>
                <w:rFonts w:ascii="宋体" w:hAnsi="宋体" w:cs="宋体"/>
                <w:kern w:val="0"/>
                <w:sz w:val="20"/>
                <w:highlight w:val="none"/>
              </w:rPr>
            </w:pPr>
            <w:r>
              <w:rPr>
                <w:rFonts w:hint="eastAsia" w:ascii="宋体" w:hAnsi="宋体" w:cs="宋体"/>
                <w:kern w:val="0"/>
                <w:sz w:val="20"/>
                <w:highlight w:val="none"/>
              </w:rPr>
              <w:t>200≤Y＜3000</w:t>
            </w:r>
          </w:p>
        </w:tc>
        <w:tc>
          <w:tcPr>
            <w:tcW w:w="1501" w:type="dxa"/>
            <w:tcBorders>
              <w:top w:val="nil"/>
              <w:left w:val="nil"/>
              <w:bottom w:val="single" w:color="auto" w:sz="4" w:space="0"/>
              <w:right w:val="single" w:color="auto" w:sz="8" w:space="0"/>
            </w:tcBorders>
            <w:vAlign w:val="center"/>
          </w:tcPr>
          <w:p w14:paraId="293D5096">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08E3308D">
            <w:pPr>
              <w:widowControl/>
              <w:rPr>
                <w:rFonts w:ascii="宋体" w:hAnsi="宋体" w:cs="宋体"/>
                <w:kern w:val="0"/>
                <w:sz w:val="20"/>
                <w:highlight w:val="none"/>
              </w:rPr>
            </w:pPr>
            <w:r>
              <w:rPr>
                <w:rFonts w:hint="eastAsia" w:ascii="宋体" w:hAnsi="宋体" w:cs="宋体"/>
                <w:kern w:val="0"/>
                <w:sz w:val="20"/>
                <w:highlight w:val="none"/>
              </w:rPr>
              <w:t>X＜20</w:t>
            </w:r>
          </w:p>
        </w:tc>
        <w:tc>
          <w:tcPr>
            <w:tcW w:w="1256" w:type="dxa"/>
            <w:tcBorders>
              <w:top w:val="nil"/>
              <w:left w:val="nil"/>
              <w:bottom w:val="single" w:color="auto" w:sz="4" w:space="0"/>
              <w:right w:val="single" w:color="auto" w:sz="4" w:space="0"/>
            </w:tcBorders>
            <w:vAlign w:val="center"/>
          </w:tcPr>
          <w:p w14:paraId="6F7484CF">
            <w:pPr>
              <w:widowControl/>
              <w:rPr>
                <w:rFonts w:ascii="宋体" w:hAnsi="宋体" w:cs="宋体"/>
                <w:kern w:val="0"/>
                <w:sz w:val="20"/>
                <w:highlight w:val="none"/>
              </w:rPr>
            </w:pPr>
            <w:r>
              <w:rPr>
                <w:rFonts w:hint="eastAsia" w:ascii="宋体" w:hAnsi="宋体" w:cs="宋体"/>
                <w:kern w:val="0"/>
                <w:sz w:val="20"/>
                <w:highlight w:val="none"/>
              </w:rPr>
              <w:t>V＜200</w:t>
            </w:r>
          </w:p>
        </w:tc>
        <w:tc>
          <w:tcPr>
            <w:tcW w:w="1205" w:type="dxa"/>
            <w:tcBorders>
              <w:top w:val="nil"/>
              <w:left w:val="nil"/>
              <w:bottom w:val="single" w:color="auto" w:sz="4" w:space="0"/>
              <w:right w:val="single" w:color="auto" w:sz="8" w:space="0"/>
            </w:tcBorders>
            <w:vAlign w:val="center"/>
          </w:tcPr>
          <w:p w14:paraId="57D0AD52">
            <w:pPr>
              <w:widowControl/>
              <w:rPr>
                <w:rFonts w:ascii="宋体" w:hAnsi="宋体" w:cs="宋体"/>
                <w:kern w:val="0"/>
                <w:sz w:val="20"/>
                <w:highlight w:val="none"/>
              </w:rPr>
            </w:pPr>
            <w:r>
              <w:rPr>
                <w:rFonts w:hint="eastAsia" w:ascii="宋体" w:hAnsi="宋体" w:cs="宋体"/>
                <w:kern w:val="0"/>
                <w:sz w:val="20"/>
                <w:highlight w:val="none"/>
              </w:rPr>
              <w:t>　</w:t>
            </w:r>
          </w:p>
        </w:tc>
      </w:tr>
      <w:tr w14:paraId="461397E5">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24B483E7">
            <w:pPr>
              <w:widowControl/>
              <w:rPr>
                <w:rFonts w:ascii="宋体" w:hAnsi="宋体" w:cs="宋体"/>
                <w:kern w:val="0"/>
                <w:sz w:val="20"/>
                <w:highlight w:val="none"/>
              </w:rPr>
            </w:pPr>
            <w:r>
              <w:rPr>
                <w:rFonts w:hint="eastAsia" w:ascii="宋体" w:hAnsi="宋体" w:cs="宋体"/>
                <w:kern w:val="0"/>
                <w:sz w:val="20"/>
                <w:highlight w:val="none"/>
              </w:rPr>
              <w:t>7.仓储业</w:t>
            </w:r>
          </w:p>
        </w:tc>
        <w:tc>
          <w:tcPr>
            <w:tcW w:w="1475" w:type="dxa"/>
            <w:tcBorders>
              <w:top w:val="nil"/>
              <w:left w:val="nil"/>
              <w:bottom w:val="single" w:color="auto" w:sz="4" w:space="0"/>
              <w:right w:val="single" w:color="auto" w:sz="4" w:space="0"/>
            </w:tcBorders>
            <w:vAlign w:val="center"/>
          </w:tcPr>
          <w:p w14:paraId="135A3746">
            <w:pPr>
              <w:widowControl/>
              <w:rPr>
                <w:rFonts w:ascii="宋体" w:hAnsi="宋体" w:cs="宋体"/>
                <w:kern w:val="0"/>
                <w:sz w:val="20"/>
                <w:highlight w:val="none"/>
              </w:rPr>
            </w:pPr>
            <w:r>
              <w:rPr>
                <w:rFonts w:hint="eastAsia" w:ascii="宋体" w:hAnsi="宋体" w:cs="宋体"/>
                <w:kern w:val="0"/>
                <w:sz w:val="20"/>
                <w:highlight w:val="none"/>
              </w:rPr>
              <w:t>100≤X＜200</w:t>
            </w:r>
          </w:p>
        </w:tc>
        <w:tc>
          <w:tcPr>
            <w:tcW w:w="1736" w:type="dxa"/>
            <w:tcBorders>
              <w:top w:val="nil"/>
              <w:left w:val="nil"/>
              <w:bottom w:val="single" w:color="auto" w:sz="4" w:space="0"/>
              <w:right w:val="single" w:color="auto" w:sz="4" w:space="0"/>
            </w:tcBorders>
            <w:vAlign w:val="center"/>
          </w:tcPr>
          <w:p w14:paraId="01A7A650">
            <w:pPr>
              <w:widowControl/>
              <w:rPr>
                <w:rFonts w:ascii="宋体" w:hAnsi="宋体" w:cs="宋体"/>
                <w:kern w:val="0"/>
                <w:sz w:val="20"/>
                <w:highlight w:val="none"/>
              </w:rPr>
            </w:pPr>
            <w:r>
              <w:rPr>
                <w:rFonts w:hint="eastAsia" w:ascii="宋体" w:hAnsi="宋体" w:cs="宋体"/>
                <w:kern w:val="0"/>
                <w:sz w:val="20"/>
                <w:highlight w:val="none"/>
              </w:rPr>
              <w:t>1000≤Y＜30000</w:t>
            </w:r>
          </w:p>
        </w:tc>
        <w:tc>
          <w:tcPr>
            <w:tcW w:w="1639" w:type="dxa"/>
            <w:tcBorders>
              <w:top w:val="nil"/>
              <w:left w:val="nil"/>
              <w:bottom w:val="single" w:color="auto" w:sz="4" w:space="0"/>
              <w:right w:val="single" w:color="auto" w:sz="8" w:space="0"/>
            </w:tcBorders>
            <w:vAlign w:val="center"/>
          </w:tcPr>
          <w:p w14:paraId="6ADBEAAA">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4E9AEEF5">
            <w:pPr>
              <w:widowControl/>
              <w:rPr>
                <w:rFonts w:ascii="宋体" w:hAnsi="宋体" w:cs="宋体"/>
                <w:kern w:val="0"/>
                <w:sz w:val="20"/>
                <w:highlight w:val="none"/>
              </w:rPr>
            </w:pPr>
            <w:r>
              <w:rPr>
                <w:rFonts w:hint="eastAsia" w:ascii="宋体" w:hAnsi="宋体" w:cs="宋体"/>
                <w:kern w:val="0"/>
                <w:sz w:val="20"/>
                <w:highlight w:val="none"/>
              </w:rPr>
              <w:t>20≤X＜100</w:t>
            </w:r>
          </w:p>
        </w:tc>
        <w:tc>
          <w:tcPr>
            <w:tcW w:w="1458" w:type="dxa"/>
            <w:tcBorders>
              <w:top w:val="nil"/>
              <w:left w:val="nil"/>
              <w:bottom w:val="single" w:color="auto" w:sz="4" w:space="0"/>
              <w:right w:val="single" w:color="auto" w:sz="4" w:space="0"/>
            </w:tcBorders>
            <w:vAlign w:val="center"/>
          </w:tcPr>
          <w:p w14:paraId="2857E3A8">
            <w:pPr>
              <w:widowControl/>
              <w:rPr>
                <w:rFonts w:ascii="宋体" w:hAnsi="宋体" w:cs="宋体"/>
                <w:kern w:val="0"/>
                <w:sz w:val="20"/>
                <w:highlight w:val="none"/>
              </w:rPr>
            </w:pPr>
            <w:r>
              <w:rPr>
                <w:rFonts w:hint="eastAsia" w:ascii="宋体" w:hAnsi="宋体" w:cs="宋体"/>
                <w:kern w:val="0"/>
                <w:sz w:val="20"/>
                <w:highlight w:val="none"/>
              </w:rPr>
              <w:t>100≤Y＜1000</w:t>
            </w:r>
          </w:p>
        </w:tc>
        <w:tc>
          <w:tcPr>
            <w:tcW w:w="1501" w:type="dxa"/>
            <w:tcBorders>
              <w:top w:val="nil"/>
              <w:left w:val="nil"/>
              <w:bottom w:val="single" w:color="auto" w:sz="4" w:space="0"/>
              <w:right w:val="single" w:color="auto" w:sz="8" w:space="0"/>
            </w:tcBorders>
            <w:vAlign w:val="center"/>
          </w:tcPr>
          <w:p w14:paraId="71A2FAD8">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17E75D9C">
            <w:pPr>
              <w:widowControl/>
              <w:rPr>
                <w:rFonts w:ascii="宋体" w:hAnsi="宋体" w:cs="宋体"/>
                <w:kern w:val="0"/>
                <w:sz w:val="20"/>
                <w:highlight w:val="none"/>
              </w:rPr>
            </w:pPr>
            <w:r>
              <w:rPr>
                <w:rFonts w:hint="eastAsia" w:ascii="宋体" w:hAnsi="宋体" w:cs="宋体"/>
                <w:kern w:val="0"/>
                <w:sz w:val="20"/>
                <w:highlight w:val="none"/>
              </w:rPr>
              <w:t>X＜20</w:t>
            </w:r>
          </w:p>
        </w:tc>
        <w:tc>
          <w:tcPr>
            <w:tcW w:w="1256" w:type="dxa"/>
            <w:tcBorders>
              <w:top w:val="nil"/>
              <w:left w:val="nil"/>
              <w:bottom w:val="single" w:color="auto" w:sz="4" w:space="0"/>
              <w:right w:val="single" w:color="auto" w:sz="4" w:space="0"/>
            </w:tcBorders>
            <w:vAlign w:val="center"/>
          </w:tcPr>
          <w:p w14:paraId="21348F56">
            <w:pPr>
              <w:widowControl/>
              <w:rPr>
                <w:rFonts w:ascii="宋体" w:hAnsi="宋体" w:cs="宋体"/>
                <w:kern w:val="0"/>
                <w:sz w:val="20"/>
                <w:highlight w:val="none"/>
              </w:rPr>
            </w:pPr>
            <w:r>
              <w:rPr>
                <w:rFonts w:hint="eastAsia" w:ascii="宋体" w:hAnsi="宋体" w:cs="宋体"/>
                <w:kern w:val="0"/>
                <w:sz w:val="20"/>
                <w:highlight w:val="none"/>
              </w:rPr>
              <w:t>Y＜100</w:t>
            </w:r>
          </w:p>
        </w:tc>
        <w:tc>
          <w:tcPr>
            <w:tcW w:w="1205" w:type="dxa"/>
            <w:tcBorders>
              <w:top w:val="nil"/>
              <w:left w:val="nil"/>
              <w:bottom w:val="single" w:color="auto" w:sz="4" w:space="0"/>
              <w:right w:val="single" w:color="auto" w:sz="8" w:space="0"/>
            </w:tcBorders>
            <w:vAlign w:val="center"/>
          </w:tcPr>
          <w:p w14:paraId="4165E6E4">
            <w:pPr>
              <w:widowControl/>
              <w:rPr>
                <w:rFonts w:ascii="宋体" w:hAnsi="宋体" w:cs="宋体"/>
                <w:kern w:val="0"/>
                <w:sz w:val="20"/>
                <w:highlight w:val="none"/>
              </w:rPr>
            </w:pPr>
            <w:r>
              <w:rPr>
                <w:rFonts w:hint="eastAsia" w:ascii="宋体" w:hAnsi="宋体" w:cs="宋体"/>
                <w:kern w:val="0"/>
                <w:sz w:val="20"/>
                <w:highlight w:val="none"/>
              </w:rPr>
              <w:t>　</w:t>
            </w:r>
          </w:p>
        </w:tc>
      </w:tr>
      <w:tr w14:paraId="551F2D77">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73DB7DD3">
            <w:pPr>
              <w:widowControl/>
              <w:rPr>
                <w:rFonts w:ascii="宋体" w:hAnsi="宋体" w:cs="宋体"/>
                <w:kern w:val="0"/>
                <w:sz w:val="20"/>
                <w:highlight w:val="none"/>
              </w:rPr>
            </w:pPr>
            <w:r>
              <w:rPr>
                <w:rFonts w:hint="eastAsia" w:ascii="宋体" w:hAnsi="宋体" w:cs="宋体"/>
                <w:kern w:val="0"/>
                <w:sz w:val="20"/>
                <w:highlight w:val="none"/>
              </w:rPr>
              <w:t>8.邮政业</w:t>
            </w:r>
          </w:p>
        </w:tc>
        <w:tc>
          <w:tcPr>
            <w:tcW w:w="1475" w:type="dxa"/>
            <w:tcBorders>
              <w:top w:val="nil"/>
              <w:left w:val="nil"/>
              <w:bottom w:val="single" w:color="auto" w:sz="4" w:space="0"/>
              <w:right w:val="single" w:color="auto" w:sz="4" w:space="0"/>
            </w:tcBorders>
            <w:vAlign w:val="center"/>
          </w:tcPr>
          <w:p w14:paraId="5476F216">
            <w:pPr>
              <w:widowControl/>
              <w:rPr>
                <w:rFonts w:ascii="宋体" w:hAnsi="宋体" w:cs="宋体"/>
                <w:kern w:val="0"/>
                <w:sz w:val="20"/>
                <w:highlight w:val="none"/>
              </w:rPr>
            </w:pPr>
            <w:r>
              <w:rPr>
                <w:rFonts w:hint="eastAsia" w:ascii="宋体" w:hAnsi="宋体" w:cs="宋体"/>
                <w:kern w:val="0"/>
                <w:sz w:val="20"/>
                <w:highlight w:val="none"/>
              </w:rPr>
              <w:t>300≤X＜1000</w:t>
            </w:r>
          </w:p>
        </w:tc>
        <w:tc>
          <w:tcPr>
            <w:tcW w:w="1736" w:type="dxa"/>
            <w:tcBorders>
              <w:top w:val="nil"/>
              <w:left w:val="nil"/>
              <w:bottom w:val="single" w:color="auto" w:sz="4" w:space="0"/>
              <w:right w:val="single" w:color="auto" w:sz="4" w:space="0"/>
            </w:tcBorders>
            <w:vAlign w:val="center"/>
          </w:tcPr>
          <w:p w14:paraId="30C17541">
            <w:pPr>
              <w:widowControl/>
              <w:rPr>
                <w:rFonts w:ascii="宋体" w:hAnsi="宋体" w:cs="宋体"/>
                <w:kern w:val="0"/>
                <w:sz w:val="20"/>
                <w:highlight w:val="none"/>
              </w:rPr>
            </w:pPr>
            <w:r>
              <w:rPr>
                <w:rFonts w:hint="eastAsia" w:ascii="宋体" w:hAnsi="宋体" w:cs="宋体"/>
                <w:kern w:val="0"/>
                <w:sz w:val="20"/>
                <w:highlight w:val="none"/>
              </w:rPr>
              <w:t>2000≤Y＜30000</w:t>
            </w:r>
          </w:p>
        </w:tc>
        <w:tc>
          <w:tcPr>
            <w:tcW w:w="1639" w:type="dxa"/>
            <w:tcBorders>
              <w:top w:val="nil"/>
              <w:left w:val="nil"/>
              <w:bottom w:val="single" w:color="auto" w:sz="4" w:space="0"/>
              <w:right w:val="single" w:color="auto" w:sz="8" w:space="0"/>
            </w:tcBorders>
            <w:vAlign w:val="center"/>
          </w:tcPr>
          <w:p w14:paraId="3FB133D4">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40E616F6">
            <w:pPr>
              <w:widowControl/>
              <w:rPr>
                <w:rFonts w:ascii="宋体" w:hAnsi="宋体" w:cs="宋体"/>
                <w:kern w:val="0"/>
                <w:sz w:val="20"/>
                <w:highlight w:val="none"/>
              </w:rPr>
            </w:pPr>
            <w:r>
              <w:rPr>
                <w:rFonts w:hint="eastAsia" w:ascii="宋体" w:hAnsi="宋体" w:cs="宋体"/>
                <w:kern w:val="0"/>
                <w:sz w:val="20"/>
                <w:highlight w:val="none"/>
              </w:rPr>
              <w:t>20≤X＜300</w:t>
            </w:r>
          </w:p>
        </w:tc>
        <w:tc>
          <w:tcPr>
            <w:tcW w:w="1458" w:type="dxa"/>
            <w:tcBorders>
              <w:top w:val="nil"/>
              <w:left w:val="nil"/>
              <w:bottom w:val="single" w:color="auto" w:sz="4" w:space="0"/>
              <w:right w:val="single" w:color="auto" w:sz="4" w:space="0"/>
            </w:tcBorders>
            <w:vAlign w:val="center"/>
          </w:tcPr>
          <w:p w14:paraId="22A5574A">
            <w:pPr>
              <w:widowControl/>
              <w:rPr>
                <w:rFonts w:ascii="宋体" w:hAnsi="宋体" w:cs="宋体"/>
                <w:kern w:val="0"/>
                <w:sz w:val="20"/>
                <w:highlight w:val="none"/>
              </w:rPr>
            </w:pPr>
            <w:r>
              <w:rPr>
                <w:rFonts w:hint="eastAsia" w:ascii="宋体" w:hAnsi="宋体" w:cs="宋体"/>
                <w:kern w:val="0"/>
                <w:sz w:val="20"/>
                <w:highlight w:val="none"/>
              </w:rPr>
              <w:t>100≤Y＜2000</w:t>
            </w:r>
          </w:p>
        </w:tc>
        <w:tc>
          <w:tcPr>
            <w:tcW w:w="1501" w:type="dxa"/>
            <w:tcBorders>
              <w:top w:val="nil"/>
              <w:left w:val="nil"/>
              <w:bottom w:val="single" w:color="auto" w:sz="4" w:space="0"/>
              <w:right w:val="single" w:color="auto" w:sz="8" w:space="0"/>
            </w:tcBorders>
            <w:vAlign w:val="center"/>
          </w:tcPr>
          <w:p w14:paraId="0F82257A">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7E3A0917">
            <w:pPr>
              <w:widowControl/>
              <w:rPr>
                <w:rFonts w:ascii="宋体" w:hAnsi="宋体" w:cs="宋体"/>
                <w:kern w:val="0"/>
                <w:sz w:val="20"/>
                <w:highlight w:val="none"/>
              </w:rPr>
            </w:pPr>
            <w:r>
              <w:rPr>
                <w:rFonts w:hint="eastAsia" w:ascii="宋体" w:hAnsi="宋体" w:cs="宋体"/>
                <w:kern w:val="0"/>
                <w:sz w:val="20"/>
                <w:highlight w:val="none"/>
              </w:rPr>
              <w:t>X＜20</w:t>
            </w:r>
          </w:p>
        </w:tc>
        <w:tc>
          <w:tcPr>
            <w:tcW w:w="1256" w:type="dxa"/>
            <w:tcBorders>
              <w:top w:val="nil"/>
              <w:left w:val="nil"/>
              <w:bottom w:val="single" w:color="auto" w:sz="4" w:space="0"/>
              <w:right w:val="single" w:color="auto" w:sz="4" w:space="0"/>
            </w:tcBorders>
            <w:vAlign w:val="center"/>
          </w:tcPr>
          <w:p w14:paraId="1E615BCB">
            <w:pPr>
              <w:widowControl/>
              <w:rPr>
                <w:rFonts w:ascii="宋体" w:hAnsi="宋体" w:cs="宋体"/>
                <w:kern w:val="0"/>
                <w:sz w:val="20"/>
                <w:highlight w:val="none"/>
              </w:rPr>
            </w:pPr>
            <w:r>
              <w:rPr>
                <w:rFonts w:hint="eastAsia" w:ascii="宋体" w:hAnsi="宋体" w:cs="宋体"/>
                <w:kern w:val="0"/>
                <w:sz w:val="20"/>
                <w:highlight w:val="none"/>
              </w:rPr>
              <w:t>Y＜100</w:t>
            </w:r>
          </w:p>
        </w:tc>
        <w:tc>
          <w:tcPr>
            <w:tcW w:w="1205" w:type="dxa"/>
            <w:tcBorders>
              <w:top w:val="nil"/>
              <w:left w:val="nil"/>
              <w:bottom w:val="single" w:color="auto" w:sz="4" w:space="0"/>
              <w:right w:val="single" w:color="auto" w:sz="8" w:space="0"/>
            </w:tcBorders>
            <w:vAlign w:val="center"/>
          </w:tcPr>
          <w:p w14:paraId="3F27BD70">
            <w:pPr>
              <w:widowControl/>
              <w:rPr>
                <w:rFonts w:ascii="宋体" w:hAnsi="宋体" w:cs="宋体"/>
                <w:kern w:val="0"/>
                <w:sz w:val="20"/>
                <w:highlight w:val="none"/>
              </w:rPr>
            </w:pPr>
            <w:r>
              <w:rPr>
                <w:rFonts w:hint="eastAsia" w:ascii="宋体" w:hAnsi="宋体" w:cs="宋体"/>
                <w:kern w:val="0"/>
                <w:sz w:val="20"/>
                <w:highlight w:val="none"/>
              </w:rPr>
              <w:t>　</w:t>
            </w:r>
          </w:p>
        </w:tc>
      </w:tr>
      <w:tr w14:paraId="6B0AD8B4">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4349FD94">
            <w:pPr>
              <w:widowControl/>
              <w:rPr>
                <w:rFonts w:ascii="宋体" w:hAnsi="宋体" w:cs="宋体"/>
                <w:kern w:val="0"/>
                <w:sz w:val="20"/>
                <w:highlight w:val="none"/>
              </w:rPr>
            </w:pPr>
            <w:r>
              <w:rPr>
                <w:rFonts w:hint="eastAsia" w:ascii="宋体" w:hAnsi="宋体" w:cs="宋体"/>
                <w:kern w:val="0"/>
                <w:sz w:val="20"/>
                <w:highlight w:val="none"/>
              </w:rPr>
              <w:t>9.住宿业</w:t>
            </w:r>
          </w:p>
        </w:tc>
        <w:tc>
          <w:tcPr>
            <w:tcW w:w="1475" w:type="dxa"/>
            <w:tcBorders>
              <w:top w:val="nil"/>
              <w:left w:val="nil"/>
              <w:bottom w:val="single" w:color="auto" w:sz="4" w:space="0"/>
              <w:right w:val="single" w:color="auto" w:sz="4" w:space="0"/>
            </w:tcBorders>
            <w:vAlign w:val="center"/>
          </w:tcPr>
          <w:p w14:paraId="6FAB0E35">
            <w:pPr>
              <w:widowControl/>
              <w:rPr>
                <w:rFonts w:ascii="宋体" w:hAnsi="宋体" w:cs="宋体"/>
                <w:kern w:val="0"/>
                <w:sz w:val="20"/>
                <w:highlight w:val="none"/>
              </w:rPr>
            </w:pPr>
            <w:r>
              <w:rPr>
                <w:rFonts w:hint="eastAsia" w:ascii="宋体" w:hAnsi="宋体" w:cs="宋体"/>
                <w:kern w:val="0"/>
                <w:sz w:val="20"/>
                <w:highlight w:val="none"/>
              </w:rPr>
              <w:t>100≤X＜300</w:t>
            </w:r>
          </w:p>
        </w:tc>
        <w:tc>
          <w:tcPr>
            <w:tcW w:w="1736" w:type="dxa"/>
            <w:tcBorders>
              <w:top w:val="nil"/>
              <w:left w:val="nil"/>
              <w:bottom w:val="single" w:color="auto" w:sz="4" w:space="0"/>
              <w:right w:val="single" w:color="auto" w:sz="4" w:space="0"/>
            </w:tcBorders>
            <w:vAlign w:val="center"/>
          </w:tcPr>
          <w:p w14:paraId="608AF825">
            <w:pPr>
              <w:widowControl/>
              <w:rPr>
                <w:rFonts w:ascii="宋体" w:hAnsi="宋体" w:cs="宋体"/>
                <w:kern w:val="0"/>
                <w:sz w:val="20"/>
                <w:highlight w:val="none"/>
              </w:rPr>
            </w:pPr>
            <w:r>
              <w:rPr>
                <w:rFonts w:hint="eastAsia" w:ascii="宋体" w:hAnsi="宋体" w:cs="宋体"/>
                <w:kern w:val="0"/>
                <w:sz w:val="20"/>
                <w:highlight w:val="none"/>
              </w:rPr>
              <w:t>2000≤Y＜10000</w:t>
            </w:r>
          </w:p>
        </w:tc>
        <w:tc>
          <w:tcPr>
            <w:tcW w:w="1639" w:type="dxa"/>
            <w:tcBorders>
              <w:top w:val="nil"/>
              <w:left w:val="nil"/>
              <w:bottom w:val="single" w:color="auto" w:sz="4" w:space="0"/>
              <w:right w:val="single" w:color="auto" w:sz="8" w:space="0"/>
            </w:tcBorders>
            <w:vAlign w:val="center"/>
          </w:tcPr>
          <w:p w14:paraId="08831EC7">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1EA7D66B">
            <w:pPr>
              <w:widowControl/>
              <w:rPr>
                <w:rFonts w:ascii="宋体" w:hAnsi="宋体" w:cs="宋体"/>
                <w:kern w:val="0"/>
                <w:sz w:val="20"/>
                <w:highlight w:val="none"/>
              </w:rPr>
            </w:pPr>
            <w:r>
              <w:rPr>
                <w:rFonts w:hint="eastAsia" w:ascii="宋体" w:hAnsi="宋体" w:cs="宋体"/>
                <w:kern w:val="0"/>
                <w:sz w:val="20"/>
                <w:highlight w:val="none"/>
              </w:rPr>
              <w:t>10≤X＜100</w:t>
            </w:r>
          </w:p>
        </w:tc>
        <w:tc>
          <w:tcPr>
            <w:tcW w:w="1458" w:type="dxa"/>
            <w:tcBorders>
              <w:top w:val="nil"/>
              <w:left w:val="nil"/>
              <w:bottom w:val="single" w:color="auto" w:sz="4" w:space="0"/>
              <w:right w:val="single" w:color="auto" w:sz="4" w:space="0"/>
            </w:tcBorders>
            <w:vAlign w:val="center"/>
          </w:tcPr>
          <w:p w14:paraId="5B914DE0">
            <w:pPr>
              <w:widowControl/>
              <w:rPr>
                <w:rFonts w:ascii="宋体" w:hAnsi="宋体" w:cs="宋体"/>
                <w:kern w:val="0"/>
                <w:sz w:val="20"/>
                <w:highlight w:val="none"/>
              </w:rPr>
            </w:pPr>
            <w:r>
              <w:rPr>
                <w:rFonts w:hint="eastAsia" w:ascii="宋体" w:hAnsi="宋体" w:cs="宋体"/>
                <w:kern w:val="0"/>
                <w:sz w:val="20"/>
                <w:highlight w:val="none"/>
              </w:rPr>
              <w:t>100≤Y＜2000</w:t>
            </w:r>
          </w:p>
        </w:tc>
        <w:tc>
          <w:tcPr>
            <w:tcW w:w="1501" w:type="dxa"/>
            <w:tcBorders>
              <w:top w:val="nil"/>
              <w:left w:val="nil"/>
              <w:bottom w:val="single" w:color="auto" w:sz="4" w:space="0"/>
              <w:right w:val="single" w:color="auto" w:sz="8" w:space="0"/>
            </w:tcBorders>
            <w:vAlign w:val="center"/>
          </w:tcPr>
          <w:p w14:paraId="520AF41F">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7E17604A">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4" w:space="0"/>
              <w:right w:val="single" w:color="auto" w:sz="4" w:space="0"/>
            </w:tcBorders>
            <w:vAlign w:val="center"/>
          </w:tcPr>
          <w:p w14:paraId="4EF8F76D">
            <w:pPr>
              <w:widowControl/>
              <w:rPr>
                <w:rFonts w:ascii="宋体" w:hAnsi="宋体" w:cs="宋体"/>
                <w:kern w:val="0"/>
                <w:sz w:val="20"/>
                <w:highlight w:val="none"/>
              </w:rPr>
            </w:pPr>
            <w:r>
              <w:rPr>
                <w:rFonts w:hint="eastAsia" w:ascii="宋体" w:hAnsi="宋体" w:cs="宋体"/>
                <w:kern w:val="0"/>
                <w:sz w:val="20"/>
                <w:highlight w:val="none"/>
              </w:rPr>
              <w:t>Y＜100</w:t>
            </w:r>
          </w:p>
        </w:tc>
        <w:tc>
          <w:tcPr>
            <w:tcW w:w="1205" w:type="dxa"/>
            <w:tcBorders>
              <w:top w:val="nil"/>
              <w:left w:val="nil"/>
              <w:bottom w:val="single" w:color="auto" w:sz="4" w:space="0"/>
              <w:right w:val="single" w:color="auto" w:sz="8" w:space="0"/>
            </w:tcBorders>
            <w:vAlign w:val="center"/>
          </w:tcPr>
          <w:p w14:paraId="4A11A9EA">
            <w:pPr>
              <w:widowControl/>
              <w:rPr>
                <w:rFonts w:ascii="宋体" w:hAnsi="宋体" w:cs="宋体"/>
                <w:kern w:val="0"/>
                <w:sz w:val="20"/>
                <w:highlight w:val="none"/>
              </w:rPr>
            </w:pPr>
            <w:r>
              <w:rPr>
                <w:rFonts w:hint="eastAsia" w:ascii="宋体" w:hAnsi="宋体" w:cs="宋体"/>
                <w:kern w:val="0"/>
                <w:sz w:val="20"/>
                <w:highlight w:val="none"/>
              </w:rPr>
              <w:t>　</w:t>
            </w:r>
          </w:p>
        </w:tc>
      </w:tr>
      <w:tr w14:paraId="7B056918">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1F17E35">
            <w:pPr>
              <w:widowControl/>
              <w:rPr>
                <w:rFonts w:ascii="宋体" w:hAnsi="宋体" w:cs="宋体"/>
                <w:kern w:val="0"/>
                <w:sz w:val="20"/>
                <w:highlight w:val="none"/>
              </w:rPr>
            </w:pPr>
            <w:r>
              <w:rPr>
                <w:rFonts w:hint="eastAsia" w:ascii="宋体" w:hAnsi="宋体" w:cs="宋体"/>
                <w:kern w:val="0"/>
                <w:sz w:val="20"/>
                <w:highlight w:val="none"/>
              </w:rPr>
              <w:t>10.餐饮业</w:t>
            </w:r>
          </w:p>
        </w:tc>
        <w:tc>
          <w:tcPr>
            <w:tcW w:w="1475" w:type="dxa"/>
            <w:tcBorders>
              <w:top w:val="nil"/>
              <w:left w:val="nil"/>
              <w:bottom w:val="single" w:color="auto" w:sz="4" w:space="0"/>
              <w:right w:val="single" w:color="auto" w:sz="4" w:space="0"/>
            </w:tcBorders>
            <w:vAlign w:val="center"/>
          </w:tcPr>
          <w:p w14:paraId="13C1E9F6">
            <w:pPr>
              <w:widowControl/>
              <w:rPr>
                <w:rFonts w:ascii="宋体" w:hAnsi="宋体" w:cs="宋体"/>
                <w:kern w:val="0"/>
                <w:sz w:val="20"/>
                <w:highlight w:val="none"/>
              </w:rPr>
            </w:pPr>
            <w:r>
              <w:rPr>
                <w:rFonts w:hint="eastAsia" w:ascii="宋体" w:hAnsi="宋体" w:cs="宋体"/>
                <w:kern w:val="0"/>
                <w:sz w:val="20"/>
                <w:highlight w:val="none"/>
              </w:rPr>
              <w:t>100≤X＜300</w:t>
            </w:r>
          </w:p>
        </w:tc>
        <w:tc>
          <w:tcPr>
            <w:tcW w:w="1736" w:type="dxa"/>
            <w:tcBorders>
              <w:top w:val="nil"/>
              <w:left w:val="nil"/>
              <w:bottom w:val="single" w:color="auto" w:sz="4" w:space="0"/>
              <w:right w:val="single" w:color="auto" w:sz="4" w:space="0"/>
            </w:tcBorders>
            <w:vAlign w:val="center"/>
          </w:tcPr>
          <w:p w14:paraId="7971E81C">
            <w:pPr>
              <w:widowControl/>
              <w:rPr>
                <w:rFonts w:ascii="宋体" w:hAnsi="宋体" w:cs="宋体"/>
                <w:kern w:val="0"/>
                <w:sz w:val="20"/>
                <w:highlight w:val="none"/>
              </w:rPr>
            </w:pPr>
            <w:r>
              <w:rPr>
                <w:rFonts w:hint="eastAsia" w:ascii="宋体" w:hAnsi="宋体" w:cs="宋体"/>
                <w:kern w:val="0"/>
                <w:sz w:val="20"/>
                <w:highlight w:val="none"/>
              </w:rPr>
              <w:t>2000≤Y＜10000</w:t>
            </w:r>
          </w:p>
        </w:tc>
        <w:tc>
          <w:tcPr>
            <w:tcW w:w="1639" w:type="dxa"/>
            <w:tcBorders>
              <w:top w:val="nil"/>
              <w:left w:val="nil"/>
              <w:bottom w:val="single" w:color="auto" w:sz="4" w:space="0"/>
              <w:right w:val="single" w:color="auto" w:sz="8" w:space="0"/>
            </w:tcBorders>
            <w:vAlign w:val="center"/>
          </w:tcPr>
          <w:p w14:paraId="295F735A">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53D2B64E">
            <w:pPr>
              <w:widowControl/>
              <w:rPr>
                <w:rFonts w:ascii="宋体" w:hAnsi="宋体" w:cs="宋体"/>
                <w:kern w:val="0"/>
                <w:sz w:val="20"/>
                <w:highlight w:val="none"/>
              </w:rPr>
            </w:pPr>
            <w:r>
              <w:rPr>
                <w:rFonts w:hint="eastAsia" w:ascii="宋体" w:hAnsi="宋体" w:cs="宋体"/>
                <w:kern w:val="0"/>
                <w:sz w:val="20"/>
                <w:highlight w:val="none"/>
              </w:rPr>
              <w:t>10≤X＜100</w:t>
            </w:r>
          </w:p>
        </w:tc>
        <w:tc>
          <w:tcPr>
            <w:tcW w:w="1458" w:type="dxa"/>
            <w:tcBorders>
              <w:top w:val="nil"/>
              <w:left w:val="nil"/>
              <w:bottom w:val="single" w:color="auto" w:sz="4" w:space="0"/>
              <w:right w:val="single" w:color="auto" w:sz="4" w:space="0"/>
            </w:tcBorders>
            <w:vAlign w:val="center"/>
          </w:tcPr>
          <w:p w14:paraId="328BE8A8">
            <w:pPr>
              <w:widowControl/>
              <w:rPr>
                <w:rFonts w:ascii="宋体" w:hAnsi="宋体" w:cs="宋体"/>
                <w:kern w:val="0"/>
                <w:sz w:val="20"/>
                <w:highlight w:val="none"/>
              </w:rPr>
            </w:pPr>
            <w:r>
              <w:rPr>
                <w:rFonts w:hint="eastAsia" w:ascii="宋体" w:hAnsi="宋体" w:cs="宋体"/>
                <w:kern w:val="0"/>
                <w:sz w:val="20"/>
                <w:highlight w:val="none"/>
              </w:rPr>
              <w:t>100≤Y＜2000</w:t>
            </w:r>
          </w:p>
        </w:tc>
        <w:tc>
          <w:tcPr>
            <w:tcW w:w="1501" w:type="dxa"/>
            <w:tcBorders>
              <w:top w:val="nil"/>
              <w:left w:val="nil"/>
              <w:bottom w:val="single" w:color="auto" w:sz="4" w:space="0"/>
              <w:right w:val="single" w:color="auto" w:sz="8" w:space="0"/>
            </w:tcBorders>
            <w:vAlign w:val="center"/>
          </w:tcPr>
          <w:p w14:paraId="5B6E4755">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05347936">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4" w:space="0"/>
              <w:right w:val="single" w:color="auto" w:sz="4" w:space="0"/>
            </w:tcBorders>
            <w:vAlign w:val="center"/>
          </w:tcPr>
          <w:p w14:paraId="2486D52D">
            <w:pPr>
              <w:widowControl/>
              <w:rPr>
                <w:rFonts w:ascii="宋体" w:hAnsi="宋体" w:cs="宋体"/>
                <w:kern w:val="0"/>
                <w:sz w:val="20"/>
                <w:highlight w:val="none"/>
              </w:rPr>
            </w:pPr>
            <w:r>
              <w:rPr>
                <w:rFonts w:hint="eastAsia" w:ascii="宋体" w:hAnsi="宋体" w:cs="宋体"/>
                <w:kern w:val="0"/>
                <w:sz w:val="20"/>
                <w:highlight w:val="none"/>
              </w:rPr>
              <w:t>V＜100</w:t>
            </w:r>
          </w:p>
        </w:tc>
        <w:tc>
          <w:tcPr>
            <w:tcW w:w="1205" w:type="dxa"/>
            <w:tcBorders>
              <w:top w:val="nil"/>
              <w:left w:val="nil"/>
              <w:bottom w:val="single" w:color="auto" w:sz="4" w:space="0"/>
              <w:right w:val="single" w:color="auto" w:sz="8" w:space="0"/>
            </w:tcBorders>
            <w:vAlign w:val="center"/>
          </w:tcPr>
          <w:p w14:paraId="32F2B980">
            <w:pPr>
              <w:widowControl/>
              <w:rPr>
                <w:rFonts w:ascii="宋体" w:hAnsi="宋体" w:cs="宋体"/>
                <w:kern w:val="0"/>
                <w:sz w:val="20"/>
                <w:highlight w:val="none"/>
              </w:rPr>
            </w:pPr>
            <w:r>
              <w:rPr>
                <w:rFonts w:hint="eastAsia" w:ascii="宋体" w:hAnsi="宋体" w:cs="宋体"/>
                <w:kern w:val="0"/>
                <w:sz w:val="20"/>
                <w:highlight w:val="none"/>
              </w:rPr>
              <w:t>　</w:t>
            </w:r>
          </w:p>
        </w:tc>
      </w:tr>
      <w:tr w14:paraId="47D5F811">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F7BF173">
            <w:pPr>
              <w:widowControl/>
              <w:rPr>
                <w:rFonts w:ascii="宋体" w:hAnsi="宋体" w:cs="宋体"/>
                <w:kern w:val="0"/>
                <w:sz w:val="20"/>
                <w:highlight w:val="none"/>
              </w:rPr>
            </w:pPr>
            <w:r>
              <w:rPr>
                <w:rFonts w:hint="eastAsia" w:ascii="宋体" w:hAnsi="宋体" w:cs="宋体"/>
                <w:kern w:val="0"/>
                <w:sz w:val="20"/>
                <w:highlight w:val="none"/>
              </w:rPr>
              <w:t>11.信息传输业</w:t>
            </w:r>
          </w:p>
        </w:tc>
        <w:tc>
          <w:tcPr>
            <w:tcW w:w="1475" w:type="dxa"/>
            <w:tcBorders>
              <w:top w:val="nil"/>
              <w:left w:val="nil"/>
              <w:bottom w:val="single" w:color="auto" w:sz="4" w:space="0"/>
              <w:right w:val="single" w:color="auto" w:sz="4" w:space="0"/>
            </w:tcBorders>
            <w:vAlign w:val="center"/>
          </w:tcPr>
          <w:p w14:paraId="15086750">
            <w:pPr>
              <w:widowControl/>
              <w:rPr>
                <w:rFonts w:ascii="宋体" w:hAnsi="宋体" w:cs="宋体"/>
                <w:kern w:val="0"/>
                <w:sz w:val="20"/>
                <w:highlight w:val="none"/>
              </w:rPr>
            </w:pPr>
            <w:r>
              <w:rPr>
                <w:rFonts w:hint="eastAsia" w:ascii="宋体" w:hAnsi="宋体" w:cs="宋体"/>
                <w:kern w:val="0"/>
                <w:sz w:val="20"/>
                <w:highlight w:val="none"/>
              </w:rPr>
              <w:t>100≤X＜2000</w:t>
            </w:r>
          </w:p>
        </w:tc>
        <w:tc>
          <w:tcPr>
            <w:tcW w:w="1736" w:type="dxa"/>
            <w:tcBorders>
              <w:top w:val="nil"/>
              <w:left w:val="nil"/>
              <w:bottom w:val="single" w:color="auto" w:sz="4" w:space="0"/>
              <w:right w:val="single" w:color="auto" w:sz="4" w:space="0"/>
            </w:tcBorders>
            <w:vAlign w:val="center"/>
          </w:tcPr>
          <w:p w14:paraId="75DD7770">
            <w:pPr>
              <w:widowControl/>
              <w:rPr>
                <w:rFonts w:ascii="宋体" w:hAnsi="宋体" w:cs="宋体"/>
                <w:kern w:val="0"/>
                <w:sz w:val="20"/>
                <w:highlight w:val="none"/>
              </w:rPr>
            </w:pPr>
            <w:r>
              <w:rPr>
                <w:rFonts w:hint="eastAsia" w:ascii="宋体" w:hAnsi="宋体" w:cs="宋体"/>
                <w:kern w:val="0"/>
                <w:sz w:val="20"/>
                <w:highlight w:val="none"/>
              </w:rPr>
              <w:t>1000≤Y＜100000</w:t>
            </w:r>
          </w:p>
        </w:tc>
        <w:tc>
          <w:tcPr>
            <w:tcW w:w="1639" w:type="dxa"/>
            <w:tcBorders>
              <w:top w:val="nil"/>
              <w:left w:val="nil"/>
              <w:bottom w:val="single" w:color="auto" w:sz="4" w:space="0"/>
              <w:right w:val="single" w:color="auto" w:sz="8" w:space="0"/>
            </w:tcBorders>
            <w:vAlign w:val="center"/>
          </w:tcPr>
          <w:p w14:paraId="4CE5E85E">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10CEB88B">
            <w:pPr>
              <w:widowControl/>
              <w:rPr>
                <w:rFonts w:ascii="宋体" w:hAnsi="宋体" w:cs="宋体"/>
                <w:kern w:val="0"/>
                <w:sz w:val="20"/>
                <w:highlight w:val="none"/>
              </w:rPr>
            </w:pPr>
            <w:r>
              <w:rPr>
                <w:rFonts w:hint="eastAsia" w:ascii="宋体" w:hAnsi="宋体" w:cs="宋体"/>
                <w:kern w:val="0"/>
                <w:sz w:val="20"/>
                <w:highlight w:val="none"/>
              </w:rPr>
              <w:t>10≤X＜100</w:t>
            </w:r>
          </w:p>
        </w:tc>
        <w:tc>
          <w:tcPr>
            <w:tcW w:w="1458" w:type="dxa"/>
            <w:tcBorders>
              <w:top w:val="nil"/>
              <w:left w:val="nil"/>
              <w:bottom w:val="single" w:color="auto" w:sz="4" w:space="0"/>
              <w:right w:val="single" w:color="auto" w:sz="4" w:space="0"/>
            </w:tcBorders>
            <w:vAlign w:val="center"/>
          </w:tcPr>
          <w:p w14:paraId="471841C5">
            <w:pPr>
              <w:widowControl/>
              <w:rPr>
                <w:rFonts w:ascii="宋体" w:hAnsi="宋体" w:cs="宋体"/>
                <w:kern w:val="0"/>
                <w:sz w:val="20"/>
                <w:highlight w:val="none"/>
              </w:rPr>
            </w:pPr>
            <w:r>
              <w:rPr>
                <w:rFonts w:hint="eastAsia" w:ascii="宋体" w:hAnsi="宋体" w:cs="宋体"/>
                <w:kern w:val="0"/>
                <w:sz w:val="20"/>
                <w:highlight w:val="none"/>
              </w:rPr>
              <w:t>100≤Y＜1000</w:t>
            </w:r>
          </w:p>
        </w:tc>
        <w:tc>
          <w:tcPr>
            <w:tcW w:w="1501" w:type="dxa"/>
            <w:tcBorders>
              <w:top w:val="nil"/>
              <w:left w:val="nil"/>
              <w:bottom w:val="single" w:color="auto" w:sz="4" w:space="0"/>
              <w:right w:val="single" w:color="auto" w:sz="8" w:space="0"/>
            </w:tcBorders>
            <w:vAlign w:val="center"/>
          </w:tcPr>
          <w:p w14:paraId="1C5F702D">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5486F4A9">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4" w:space="0"/>
              <w:right w:val="single" w:color="auto" w:sz="4" w:space="0"/>
            </w:tcBorders>
            <w:vAlign w:val="center"/>
          </w:tcPr>
          <w:p w14:paraId="7635A2A0">
            <w:pPr>
              <w:widowControl/>
              <w:rPr>
                <w:rFonts w:ascii="宋体" w:hAnsi="宋体" w:cs="宋体"/>
                <w:kern w:val="0"/>
                <w:sz w:val="20"/>
                <w:highlight w:val="none"/>
              </w:rPr>
            </w:pPr>
            <w:r>
              <w:rPr>
                <w:rFonts w:hint="eastAsia" w:ascii="宋体" w:hAnsi="宋体" w:cs="宋体"/>
                <w:kern w:val="0"/>
                <w:sz w:val="20"/>
                <w:highlight w:val="none"/>
              </w:rPr>
              <w:t>Y＜100</w:t>
            </w:r>
          </w:p>
        </w:tc>
        <w:tc>
          <w:tcPr>
            <w:tcW w:w="1205" w:type="dxa"/>
            <w:tcBorders>
              <w:top w:val="nil"/>
              <w:left w:val="nil"/>
              <w:bottom w:val="single" w:color="auto" w:sz="4" w:space="0"/>
              <w:right w:val="single" w:color="auto" w:sz="8" w:space="0"/>
            </w:tcBorders>
            <w:vAlign w:val="center"/>
          </w:tcPr>
          <w:p w14:paraId="13F4B4B2">
            <w:pPr>
              <w:widowControl/>
              <w:rPr>
                <w:rFonts w:ascii="宋体" w:hAnsi="宋体" w:cs="宋体"/>
                <w:kern w:val="0"/>
                <w:sz w:val="20"/>
                <w:highlight w:val="none"/>
              </w:rPr>
            </w:pPr>
            <w:r>
              <w:rPr>
                <w:rFonts w:hint="eastAsia" w:ascii="宋体" w:hAnsi="宋体" w:cs="宋体"/>
                <w:kern w:val="0"/>
                <w:sz w:val="20"/>
                <w:highlight w:val="none"/>
              </w:rPr>
              <w:t>　</w:t>
            </w:r>
          </w:p>
        </w:tc>
      </w:tr>
      <w:tr w14:paraId="2BBC11C3">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30317D35">
            <w:pPr>
              <w:widowControl/>
              <w:rPr>
                <w:rFonts w:ascii="宋体" w:hAnsi="宋体" w:cs="宋体"/>
                <w:kern w:val="0"/>
                <w:sz w:val="20"/>
                <w:highlight w:val="none"/>
              </w:rPr>
            </w:pPr>
            <w:r>
              <w:rPr>
                <w:rFonts w:hint="eastAsia" w:ascii="宋体" w:hAnsi="宋体" w:cs="宋体"/>
                <w:kern w:val="0"/>
                <w:sz w:val="20"/>
                <w:highlight w:val="none"/>
              </w:rPr>
              <w:t>12.软件和信息技术服务业</w:t>
            </w:r>
          </w:p>
        </w:tc>
        <w:tc>
          <w:tcPr>
            <w:tcW w:w="1475" w:type="dxa"/>
            <w:tcBorders>
              <w:top w:val="nil"/>
              <w:left w:val="nil"/>
              <w:bottom w:val="single" w:color="auto" w:sz="4" w:space="0"/>
              <w:right w:val="single" w:color="auto" w:sz="4" w:space="0"/>
            </w:tcBorders>
            <w:vAlign w:val="center"/>
          </w:tcPr>
          <w:p w14:paraId="21340178">
            <w:pPr>
              <w:widowControl/>
              <w:rPr>
                <w:rFonts w:ascii="宋体" w:hAnsi="宋体" w:cs="宋体"/>
                <w:kern w:val="0"/>
                <w:sz w:val="20"/>
                <w:highlight w:val="none"/>
              </w:rPr>
            </w:pPr>
            <w:r>
              <w:rPr>
                <w:rFonts w:hint="eastAsia" w:ascii="宋体" w:hAnsi="宋体" w:cs="宋体"/>
                <w:kern w:val="0"/>
                <w:sz w:val="20"/>
                <w:highlight w:val="none"/>
              </w:rPr>
              <w:t>100≤X＜300</w:t>
            </w:r>
          </w:p>
        </w:tc>
        <w:tc>
          <w:tcPr>
            <w:tcW w:w="1736" w:type="dxa"/>
            <w:tcBorders>
              <w:top w:val="nil"/>
              <w:left w:val="nil"/>
              <w:bottom w:val="single" w:color="auto" w:sz="4" w:space="0"/>
              <w:right w:val="single" w:color="auto" w:sz="4" w:space="0"/>
            </w:tcBorders>
            <w:vAlign w:val="center"/>
          </w:tcPr>
          <w:p w14:paraId="2B4EF31F">
            <w:pPr>
              <w:widowControl/>
              <w:rPr>
                <w:rFonts w:ascii="宋体" w:hAnsi="宋体" w:cs="宋体"/>
                <w:kern w:val="0"/>
                <w:sz w:val="20"/>
                <w:highlight w:val="none"/>
              </w:rPr>
            </w:pPr>
            <w:r>
              <w:rPr>
                <w:rFonts w:hint="eastAsia" w:ascii="宋体" w:hAnsi="宋体" w:cs="宋体"/>
                <w:kern w:val="0"/>
                <w:sz w:val="20"/>
                <w:highlight w:val="none"/>
              </w:rPr>
              <w:t>1000≤Y＜10000</w:t>
            </w:r>
          </w:p>
        </w:tc>
        <w:tc>
          <w:tcPr>
            <w:tcW w:w="1639" w:type="dxa"/>
            <w:tcBorders>
              <w:top w:val="nil"/>
              <w:left w:val="nil"/>
              <w:bottom w:val="single" w:color="auto" w:sz="4" w:space="0"/>
              <w:right w:val="single" w:color="auto" w:sz="8" w:space="0"/>
            </w:tcBorders>
            <w:vAlign w:val="center"/>
          </w:tcPr>
          <w:p w14:paraId="184D33AD">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19E04DF9">
            <w:pPr>
              <w:widowControl/>
              <w:rPr>
                <w:rFonts w:ascii="宋体" w:hAnsi="宋体" w:cs="宋体"/>
                <w:kern w:val="0"/>
                <w:sz w:val="20"/>
                <w:highlight w:val="none"/>
              </w:rPr>
            </w:pPr>
            <w:r>
              <w:rPr>
                <w:rFonts w:hint="eastAsia" w:ascii="宋体" w:hAnsi="宋体" w:cs="宋体"/>
                <w:kern w:val="0"/>
                <w:sz w:val="20"/>
                <w:highlight w:val="none"/>
              </w:rPr>
              <w:t>10≤X＜100</w:t>
            </w:r>
          </w:p>
        </w:tc>
        <w:tc>
          <w:tcPr>
            <w:tcW w:w="1458" w:type="dxa"/>
            <w:tcBorders>
              <w:top w:val="nil"/>
              <w:left w:val="nil"/>
              <w:bottom w:val="single" w:color="auto" w:sz="4" w:space="0"/>
              <w:right w:val="single" w:color="auto" w:sz="4" w:space="0"/>
            </w:tcBorders>
            <w:vAlign w:val="center"/>
          </w:tcPr>
          <w:p w14:paraId="092330FE">
            <w:pPr>
              <w:widowControl/>
              <w:rPr>
                <w:rFonts w:ascii="宋体" w:hAnsi="宋体" w:cs="宋体"/>
                <w:kern w:val="0"/>
                <w:sz w:val="20"/>
                <w:highlight w:val="none"/>
              </w:rPr>
            </w:pPr>
            <w:r>
              <w:rPr>
                <w:rFonts w:hint="eastAsia" w:ascii="宋体" w:hAnsi="宋体" w:cs="宋体"/>
                <w:kern w:val="0"/>
                <w:sz w:val="20"/>
                <w:highlight w:val="none"/>
              </w:rPr>
              <w:t xml:space="preserve"> 50≤Y＜1000</w:t>
            </w:r>
          </w:p>
        </w:tc>
        <w:tc>
          <w:tcPr>
            <w:tcW w:w="1501" w:type="dxa"/>
            <w:tcBorders>
              <w:top w:val="nil"/>
              <w:left w:val="nil"/>
              <w:bottom w:val="single" w:color="auto" w:sz="4" w:space="0"/>
              <w:right w:val="single" w:color="auto" w:sz="8" w:space="0"/>
            </w:tcBorders>
            <w:vAlign w:val="center"/>
          </w:tcPr>
          <w:p w14:paraId="17A52816">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35A32D53">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4" w:space="0"/>
              <w:right w:val="single" w:color="auto" w:sz="4" w:space="0"/>
            </w:tcBorders>
            <w:vAlign w:val="center"/>
          </w:tcPr>
          <w:p w14:paraId="2664AE28">
            <w:pPr>
              <w:widowControl/>
              <w:rPr>
                <w:rFonts w:ascii="宋体" w:hAnsi="宋体" w:cs="宋体"/>
                <w:kern w:val="0"/>
                <w:sz w:val="20"/>
                <w:highlight w:val="none"/>
              </w:rPr>
            </w:pPr>
            <w:r>
              <w:rPr>
                <w:rFonts w:hint="eastAsia" w:ascii="宋体" w:hAnsi="宋体" w:cs="宋体"/>
                <w:kern w:val="0"/>
                <w:sz w:val="20"/>
                <w:highlight w:val="none"/>
              </w:rPr>
              <w:t>Y＜50</w:t>
            </w:r>
          </w:p>
        </w:tc>
        <w:tc>
          <w:tcPr>
            <w:tcW w:w="1205" w:type="dxa"/>
            <w:tcBorders>
              <w:top w:val="nil"/>
              <w:left w:val="nil"/>
              <w:bottom w:val="single" w:color="auto" w:sz="4" w:space="0"/>
              <w:right w:val="single" w:color="auto" w:sz="8" w:space="0"/>
            </w:tcBorders>
            <w:vAlign w:val="center"/>
          </w:tcPr>
          <w:p w14:paraId="757CC4A1">
            <w:pPr>
              <w:widowControl/>
              <w:rPr>
                <w:rFonts w:ascii="宋体" w:hAnsi="宋体" w:cs="宋体"/>
                <w:kern w:val="0"/>
                <w:sz w:val="20"/>
                <w:highlight w:val="none"/>
              </w:rPr>
            </w:pPr>
            <w:r>
              <w:rPr>
                <w:rFonts w:hint="eastAsia" w:ascii="宋体" w:hAnsi="宋体" w:cs="宋体"/>
                <w:kern w:val="0"/>
                <w:sz w:val="20"/>
                <w:highlight w:val="none"/>
              </w:rPr>
              <w:t>　</w:t>
            </w:r>
          </w:p>
        </w:tc>
      </w:tr>
      <w:tr w14:paraId="5DF6A980">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01FF43A">
            <w:pPr>
              <w:widowControl/>
              <w:rPr>
                <w:rFonts w:ascii="宋体" w:hAnsi="宋体" w:cs="宋体"/>
                <w:kern w:val="0"/>
                <w:sz w:val="20"/>
                <w:highlight w:val="none"/>
              </w:rPr>
            </w:pPr>
            <w:r>
              <w:rPr>
                <w:rFonts w:hint="eastAsia" w:ascii="宋体" w:hAnsi="宋体" w:cs="宋体"/>
                <w:kern w:val="0"/>
                <w:sz w:val="20"/>
                <w:highlight w:val="none"/>
              </w:rPr>
              <w:t>13.房地产开发经营</w:t>
            </w:r>
          </w:p>
        </w:tc>
        <w:tc>
          <w:tcPr>
            <w:tcW w:w="1475" w:type="dxa"/>
            <w:tcBorders>
              <w:top w:val="nil"/>
              <w:left w:val="nil"/>
              <w:bottom w:val="single" w:color="auto" w:sz="4" w:space="0"/>
              <w:right w:val="single" w:color="auto" w:sz="4" w:space="0"/>
            </w:tcBorders>
            <w:vAlign w:val="center"/>
          </w:tcPr>
          <w:p w14:paraId="15645CC8">
            <w:pPr>
              <w:widowControl/>
              <w:rPr>
                <w:rFonts w:ascii="宋体" w:hAnsi="宋体" w:cs="宋体"/>
                <w:kern w:val="0"/>
                <w:sz w:val="20"/>
                <w:highlight w:val="none"/>
              </w:rPr>
            </w:pPr>
            <w:r>
              <w:rPr>
                <w:rFonts w:hint="eastAsia" w:ascii="宋体" w:hAnsi="宋体" w:cs="宋体"/>
                <w:kern w:val="0"/>
                <w:sz w:val="20"/>
                <w:highlight w:val="none"/>
              </w:rPr>
              <w:t>　</w:t>
            </w:r>
          </w:p>
        </w:tc>
        <w:tc>
          <w:tcPr>
            <w:tcW w:w="1736" w:type="dxa"/>
            <w:tcBorders>
              <w:top w:val="nil"/>
              <w:left w:val="nil"/>
              <w:bottom w:val="single" w:color="auto" w:sz="4" w:space="0"/>
              <w:right w:val="single" w:color="auto" w:sz="4" w:space="0"/>
            </w:tcBorders>
            <w:vAlign w:val="center"/>
          </w:tcPr>
          <w:p w14:paraId="08F9F899">
            <w:pPr>
              <w:widowControl/>
              <w:rPr>
                <w:rFonts w:ascii="宋体" w:hAnsi="宋体" w:cs="宋体"/>
                <w:kern w:val="0"/>
                <w:sz w:val="20"/>
                <w:highlight w:val="none"/>
              </w:rPr>
            </w:pPr>
            <w:r>
              <w:rPr>
                <w:rFonts w:hint="eastAsia" w:ascii="宋体" w:hAnsi="宋体" w:cs="宋体"/>
                <w:kern w:val="0"/>
                <w:sz w:val="20"/>
                <w:highlight w:val="none"/>
              </w:rPr>
              <w:t>1000≤Y＜200000</w:t>
            </w:r>
          </w:p>
        </w:tc>
        <w:tc>
          <w:tcPr>
            <w:tcW w:w="1639" w:type="dxa"/>
            <w:tcBorders>
              <w:top w:val="nil"/>
              <w:left w:val="nil"/>
              <w:bottom w:val="single" w:color="auto" w:sz="4" w:space="0"/>
              <w:right w:val="single" w:color="auto" w:sz="8" w:space="0"/>
            </w:tcBorders>
            <w:vAlign w:val="center"/>
          </w:tcPr>
          <w:p w14:paraId="4F3038B3">
            <w:pPr>
              <w:widowControl/>
              <w:rPr>
                <w:rFonts w:ascii="宋体" w:hAnsi="宋体" w:cs="宋体"/>
                <w:kern w:val="0"/>
                <w:sz w:val="20"/>
                <w:highlight w:val="none"/>
              </w:rPr>
            </w:pPr>
            <w:r>
              <w:rPr>
                <w:rFonts w:hint="eastAsia" w:ascii="宋体" w:hAnsi="宋体" w:cs="宋体"/>
                <w:kern w:val="0"/>
                <w:sz w:val="20"/>
                <w:highlight w:val="none"/>
              </w:rPr>
              <w:t>5000≤Z＜10000</w:t>
            </w:r>
          </w:p>
        </w:tc>
        <w:tc>
          <w:tcPr>
            <w:tcW w:w="1221" w:type="dxa"/>
            <w:tcBorders>
              <w:top w:val="nil"/>
              <w:left w:val="nil"/>
              <w:bottom w:val="single" w:color="auto" w:sz="4" w:space="0"/>
              <w:right w:val="single" w:color="auto" w:sz="4" w:space="0"/>
            </w:tcBorders>
            <w:vAlign w:val="center"/>
          </w:tcPr>
          <w:p w14:paraId="1F96C539">
            <w:pPr>
              <w:widowControl/>
              <w:rPr>
                <w:rFonts w:ascii="宋体" w:hAnsi="宋体" w:cs="宋体"/>
                <w:kern w:val="0"/>
                <w:sz w:val="20"/>
                <w:highlight w:val="none"/>
              </w:rPr>
            </w:pPr>
            <w:r>
              <w:rPr>
                <w:rFonts w:hint="eastAsia" w:ascii="宋体" w:hAnsi="宋体" w:cs="宋体"/>
                <w:kern w:val="0"/>
                <w:sz w:val="20"/>
                <w:highlight w:val="none"/>
              </w:rPr>
              <w:t>　</w:t>
            </w:r>
          </w:p>
        </w:tc>
        <w:tc>
          <w:tcPr>
            <w:tcW w:w="1458" w:type="dxa"/>
            <w:tcBorders>
              <w:top w:val="nil"/>
              <w:left w:val="nil"/>
              <w:bottom w:val="single" w:color="auto" w:sz="4" w:space="0"/>
              <w:right w:val="single" w:color="auto" w:sz="4" w:space="0"/>
            </w:tcBorders>
            <w:vAlign w:val="center"/>
          </w:tcPr>
          <w:p w14:paraId="517A29EB">
            <w:pPr>
              <w:widowControl/>
              <w:rPr>
                <w:rFonts w:ascii="宋体" w:hAnsi="宋体" w:cs="宋体"/>
                <w:kern w:val="0"/>
                <w:sz w:val="20"/>
                <w:highlight w:val="none"/>
              </w:rPr>
            </w:pPr>
            <w:r>
              <w:rPr>
                <w:rFonts w:hint="eastAsia" w:ascii="宋体" w:hAnsi="宋体" w:cs="宋体"/>
                <w:kern w:val="0"/>
                <w:sz w:val="20"/>
                <w:highlight w:val="none"/>
              </w:rPr>
              <w:t>100≤Y＜1000</w:t>
            </w:r>
          </w:p>
        </w:tc>
        <w:tc>
          <w:tcPr>
            <w:tcW w:w="1501" w:type="dxa"/>
            <w:tcBorders>
              <w:top w:val="nil"/>
              <w:left w:val="nil"/>
              <w:bottom w:val="single" w:color="auto" w:sz="4" w:space="0"/>
              <w:right w:val="single" w:color="auto" w:sz="8" w:space="0"/>
            </w:tcBorders>
            <w:vAlign w:val="center"/>
          </w:tcPr>
          <w:p w14:paraId="28CB9A20">
            <w:pPr>
              <w:widowControl/>
              <w:rPr>
                <w:rFonts w:ascii="宋体" w:hAnsi="宋体" w:cs="宋体"/>
                <w:kern w:val="0"/>
                <w:sz w:val="20"/>
                <w:highlight w:val="none"/>
              </w:rPr>
            </w:pPr>
            <w:r>
              <w:rPr>
                <w:rFonts w:hint="eastAsia" w:ascii="宋体" w:hAnsi="宋体" w:cs="宋体"/>
                <w:kern w:val="0"/>
                <w:sz w:val="20"/>
                <w:highlight w:val="none"/>
              </w:rPr>
              <w:t>2000≤Z＜5000</w:t>
            </w:r>
          </w:p>
        </w:tc>
        <w:tc>
          <w:tcPr>
            <w:tcW w:w="1265" w:type="dxa"/>
            <w:tcBorders>
              <w:top w:val="nil"/>
              <w:left w:val="nil"/>
              <w:bottom w:val="single" w:color="auto" w:sz="4" w:space="0"/>
              <w:right w:val="single" w:color="auto" w:sz="4" w:space="0"/>
            </w:tcBorders>
            <w:vAlign w:val="center"/>
          </w:tcPr>
          <w:p w14:paraId="6ABE7DAA">
            <w:pPr>
              <w:widowControl/>
              <w:rPr>
                <w:rFonts w:ascii="宋体" w:hAnsi="宋体" w:cs="宋体"/>
                <w:kern w:val="0"/>
                <w:sz w:val="20"/>
                <w:highlight w:val="none"/>
              </w:rPr>
            </w:pPr>
            <w:r>
              <w:rPr>
                <w:rFonts w:hint="eastAsia" w:ascii="宋体" w:hAnsi="宋体" w:cs="宋体"/>
                <w:kern w:val="0"/>
                <w:sz w:val="20"/>
                <w:highlight w:val="none"/>
              </w:rPr>
              <w:t>　</w:t>
            </w:r>
          </w:p>
        </w:tc>
        <w:tc>
          <w:tcPr>
            <w:tcW w:w="1256" w:type="dxa"/>
            <w:tcBorders>
              <w:top w:val="nil"/>
              <w:left w:val="nil"/>
              <w:bottom w:val="single" w:color="auto" w:sz="4" w:space="0"/>
              <w:right w:val="single" w:color="auto" w:sz="4" w:space="0"/>
            </w:tcBorders>
            <w:vAlign w:val="center"/>
          </w:tcPr>
          <w:p w14:paraId="0782D5BB">
            <w:pPr>
              <w:widowControl/>
              <w:rPr>
                <w:rFonts w:ascii="宋体" w:hAnsi="宋体" w:cs="宋体"/>
                <w:kern w:val="0"/>
                <w:sz w:val="20"/>
                <w:highlight w:val="none"/>
              </w:rPr>
            </w:pPr>
            <w:r>
              <w:rPr>
                <w:rFonts w:hint="eastAsia" w:ascii="宋体" w:hAnsi="宋体" w:cs="宋体"/>
                <w:kern w:val="0"/>
                <w:sz w:val="20"/>
                <w:highlight w:val="none"/>
              </w:rPr>
              <w:t>Y＜100</w:t>
            </w:r>
          </w:p>
        </w:tc>
        <w:tc>
          <w:tcPr>
            <w:tcW w:w="1205" w:type="dxa"/>
            <w:tcBorders>
              <w:top w:val="nil"/>
              <w:left w:val="nil"/>
              <w:bottom w:val="single" w:color="auto" w:sz="4" w:space="0"/>
              <w:right w:val="single" w:color="auto" w:sz="8" w:space="0"/>
            </w:tcBorders>
            <w:vAlign w:val="center"/>
          </w:tcPr>
          <w:p w14:paraId="0990FA80">
            <w:pPr>
              <w:widowControl/>
              <w:rPr>
                <w:rFonts w:ascii="宋体" w:hAnsi="宋体" w:cs="宋体"/>
                <w:kern w:val="0"/>
                <w:sz w:val="20"/>
                <w:highlight w:val="none"/>
              </w:rPr>
            </w:pPr>
            <w:r>
              <w:rPr>
                <w:rFonts w:hint="eastAsia" w:ascii="宋体" w:hAnsi="宋体" w:cs="宋体"/>
                <w:kern w:val="0"/>
                <w:sz w:val="20"/>
                <w:highlight w:val="none"/>
              </w:rPr>
              <w:t>Z＜2000</w:t>
            </w:r>
          </w:p>
        </w:tc>
      </w:tr>
      <w:tr w14:paraId="45F63EEC">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BB8DDD1">
            <w:pPr>
              <w:widowControl/>
              <w:rPr>
                <w:rFonts w:ascii="宋体" w:hAnsi="宋体" w:cs="宋体"/>
                <w:kern w:val="0"/>
                <w:sz w:val="20"/>
                <w:highlight w:val="none"/>
              </w:rPr>
            </w:pPr>
            <w:r>
              <w:rPr>
                <w:rFonts w:hint="eastAsia" w:ascii="宋体" w:hAnsi="宋体" w:cs="宋体"/>
                <w:kern w:val="0"/>
                <w:sz w:val="20"/>
                <w:highlight w:val="none"/>
              </w:rPr>
              <w:t>14.物业管理</w:t>
            </w:r>
          </w:p>
        </w:tc>
        <w:tc>
          <w:tcPr>
            <w:tcW w:w="1475" w:type="dxa"/>
            <w:tcBorders>
              <w:top w:val="nil"/>
              <w:left w:val="nil"/>
              <w:bottom w:val="single" w:color="auto" w:sz="4" w:space="0"/>
              <w:right w:val="single" w:color="auto" w:sz="4" w:space="0"/>
            </w:tcBorders>
            <w:vAlign w:val="center"/>
          </w:tcPr>
          <w:p w14:paraId="0C897BD0">
            <w:pPr>
              <w:widowControl/>
              <w:rPr>
                <w:rFonts w:ascii="宋体" w:hAnsi="宋体" w:cs="宋体"/>
                <w:kern w:val="0"/>
                <w:sz w:val="20"/>
                <w:highlight w:val="none"/>
              </w:rPr>
            </w:pPr>
            <w:r>
              <w:rPr>
                <w:rFonts w:hint="eastAsia" w:ascii="宋体" w:hAnsi="宋体" w:cs="宋体"/>
                <w:kern w:val="0"/>
                <w:sz w:val="20"/>
                <w:highlight w:val="none"/>
              </w:rPr>
              <w:t>300≤X＜1000</w:t>
            </w:r>
          </w:p>
        </w:tc>
        <w:tc>
          <w:tcPr>
            <w:tcW w:w="1736" w:type="dxa"/>
            <w:tcBorders>
              <w:top w:val="nil"/>
              <w:left w:val="nil"/>
              <w:bottom w:val="single" w:color="auto" w:sz="4" w:space="0"/>
              <w:right w:val="single" w:color="auto" w:sz="4" w:space="0"/>
            </w:tcBorders>
            <w:vAlign w:val="center"/>
          </w:tcPr>
          <w:p w14:paraId="6ABAD6B3">
            <w:pPr>
              <w:widowControl/>
              <w:rPr>
                <w:rFonts w:ascii="宋体" w:hAnsi="宋体" w:cs="宋体"/>
                <w:kern w:val="0"/>
                <w:sz w:val="20"/>
                <w:highlight w:val="none"/>
              </w:rPr>
            </w:pPr>
            <w:r>
              <w:rPr>
                <w:rFonts w:hint="eastAsia" w:ascii="宋体" w:hAnsi="宋体" w:cs="宋体"/>
                <w:kern w:val="0"/>
                <w:sz w:val="20"/>
                <w:highlight w:val="none"/>
              </w:rPr>
              <w:t>1000≤Y＜5000</w:t>
            </w:r>
          </w:p>
        </w:tc>
        <w:tc>
          <w:tcPr>
            <w:tcW w:w="1639" w:type="dxa"/>
            <w:tcBorders>
              <w:top w:val="nil"/>
              <w:left w:val="nil"/>
              <w:bottom w:val="single" w:color="auto" w:sz="4" w:space="0"/>
              <w:right w:val="single" w:color="auto" w:sz="8" w:space="0"/>
            </w:tcBorders>
            <w:vAlign w:val="center"/>
          </w:tcPr>
          <w:p w14:paraId="7B82580B">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4" w:space="0"/>
              <w:right w:val="single" w:color="auto" w:sz="4" w:space="0"/>
            </w:tcBorders>
            <w:vAlign w:val="center"/>
          </w:tcPr>
          <w:p w14:paraId="6D71E698">
            <w:pPr>
              <w:widowControl/>
              <w:rPr>
                <w:rFonts w:ascii="宋体" w:hAnsi="宋体" w:cs="宋体"/>
                <w:kern w:val="0"/>
                <w:sz w:val="20"/>
                <w:highlight w:val="none"/>
              </w:rPr>
            </w:pPr>
            <w:r>
              <w:rPr>
                <w:rFonts w:hint="eastAsia" w:ascii="宋体" w:hAnsi="宋体" w:cs="宋体"/>
                <w:kern w:val="0"/>
                <w:sz w:val="20"/>
                <w:highlight w:val="none"/>
              </w:rPr>
              <w:t>100≤X＜300</w:t>
            </w:r>
          </w:p>
        </w:tc>
        <w:tc>
          <w:tcPr>
            <w:tcW w:w="1458" w:type="dxa"/>
            <w:tcBorders>
              <w:top w:val="nil"/>
              <w:left w:val="nil"/>
              <w:bottom w:val="single" w:color="auto" w:sz="4" w:space="0"/>
              <w:right w:val="single" w:color="auto" w:sz="4" w:space="0"/>
            </w:tcBorders>
            <w:vAlign w:val="center"/>
          </w:tcPr>
          <w:p w14:paraId="18EB9392">
            <w:pPr>
              <w:widowControl/>
              <w:rPr>
                <w:rFonts w:ascii="宋体" w:hAnsi="宋体" w:cs="宋体"/>
                <w:kern w:val="0"/>
                <w:sz w:val="20"/>
                <w:highlight w:val="none"/>
              </w:rPr>
            </w:pPr>
            <w:r>
              <w:rPr>
                <w:rFonts w:hint="eastAsia" w:ascii="宋体" w:hAnsi="宋体" w:cs="宋体"/>
                <w:kern w:val="0"/>
                <w:sz w:val="20"/>
                <w:highlight w:val="none"/>
              </w:rPr>
              <w:t>500≤Y＜1000</w:t>
            </w:r>
          </w:p>
        </w:tc>
        <w:tc>
          <w:tcPr>
            <w:tcW w:w="1501" w:type="dxa"/>
            <w:tcBorders>
              <w:top w:val="nil"/>
              <w:left w:val="nil"/>
              <w:bottom w:val="single" w:color="auto" w:sz="4" w:space="0"/>
              <w:right w:val="single" w:color="auto" w:sz="8" w:space="0"/>
            </w:tcBorders>
            <w:vAlign w:val="center"/>
          </w:tcPr>
          <w:p w14:paraId="45A910B3">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4" w:space="0"/>
              <w:right w:val="single" w:color="auto" w:sz="4" w:space="0"/>
            </w:tcBorders>
            <w:vAlign w:val="center"/>
          </w:tcPr>
          <w:p w14:paraId="1709C918">
            <w:pPr>
              <w:widowControl/>
              <w:rPr>
                <w:rFonts w:ascii="宋体" w:hAnsi="宋体" w:cs="宋体"/>
                <w:kern w:val="0"/>
                <w:sz w:val="20"/>
                <w:highlight w:val="none"/>
              </w:rPr>
            </w:pPr>
            <w:r>
              <w:rPr>
                <w:rFonts w:hint="eastAsia" w:ascii="宋体" w:hAnsi="宋体" w:cs="宋体"/>
                <w:kern w:val="0"/>
                <w:sz w:val="20"/>
                <w:highlight w:val="none"/>
              </w:rPr>
              <w:t>X＜100</w:t>
            </w:r>
          </w:p>
        </w:tc>
        <w:tc>
          <w:tcPr>
            <w:tcW w:w="1256" w:type="dxa"/>
            <w:tcBorders>
              <w:top w:val="nil"/>
              <w:left w:val="nil"/>
              <w:bottom w:val="single" w:color="auto" w:sz="4" w:space="0"/>
              <w:right w:val="single" w:color="auto" w:sz="4" w:space="0"/>
            </w:tcBorders>
            <w:vAlign w:val="center"/>
          </w:tcPr>
          <w:p w14:paraId="18168DD2">
            <w:pPr>
              <w:widowControl/>
              <w:rPr>
                <w:rFonts w:ascii="宋体" w:hAnsi="宋体" w:cs="宋体"/>
                <w:kern w:val="0"/>
                <w:sz w:val="20"/>
                <w:highlight w:val="none"/>
              </w:rPr>
            </w:pPr>
            <w:r>
              <w:rPr>
                <w:rFonts w:hint="eastAsia" w:ascii="宋体" w:hAnsi="宋体" w:cs="宋体"/>
                <w:kern w:val="0"/>
                <w:sz w:val="20"/>
                <w:highlight w:val="none"/>
              </w:rPr>
              <w:t>Y＜500</w:t>
            </w:r>
          </w:p>
        </w:tc>
        <w:tc>
          <w:tcPr>
            <w:tcW w:w="1205" w:type="dxa"/>
            <w:tcBorders>
              <w:top w:val="nil"/>
              <w:left w:val="nil"/>
              <w:bottom w:val="single" w:color="auto" w:sz="4" w:space="0"/>
              <w:right w:val="single" w:color="auto" w:sz="8" w:space="0"/>
            </w:tcBorders>
            <w:vAlign w:val="center"/>
          </w:tcPr>
          <w:p w14:paraId="7CECCD8F">
            <w:pPr>
              <w:widowControl/>
              <w:rPr>
                <w:rFonts w:ascii="宋体" w:hAnsi="宋体" w:cs="宋体"/>
                <w:kern w:val="0"/>
                <w:sz w:val="20"/>
                <w:highlight w:val="none"/>
              </w:rPr>
            </w:pPr>
            <w:r>
              <w:rPr>
                <w:rFonts w:hint="eastAsia" w:ascii="宋体" w:hAnsi="宋体" w:cs="宋体"/>
                <w:kern w:val="0"/>
                <w:sz w:val="20"/>
                <w:highlight w:val="none"/>
              </w:rPr>
              <w:t>　</w:t>
            </w:r>
          </w:p>
        </w:tc>
      </w:tr>
      <w:tr w14:paraId="015382D0">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361E4CF7">
            <w:pPr>
              <w:widowControl/>
              <w:rPr>
                <w:rFonts w:ascii="宋体" w:hAnsi="宋体" w:cs="宋体"/>
                <w:kern w:val="0"/>
                <w:sz w:val="20"/>
                <w:highlight w:val="none"/>
              </w:rPr>
            </w:pPr>
            <w:r>
              <w:rPr>
                <w:rFonts w:hint="eastAsia" w:ascii="宋体" w:hAnsi="宋体" w:cs="宋体"/>
                <w:kern w:val="0"/>
                <w:sz w:val="20"/>
                <w:highlight w:val="none"/>
              </w:rPr>
              <w:t>15.租赁和商务服务业</w:t>
            </w:r>
          </w:p>
        </w:tc>
        <w:tc>
          <w:tcPr>
            <w:tcW w:w="1475" w:type="dxa"/>
            <w:tcBorders>
              <w:top w:val="nil"/>
              <w:left w:val="nil"/>
              <w:bottom w:val="single" w:color="auto" w:sz="4" w:space="0"/>
              <w:right w:val="single" w:color="auto" w:sz="4" w:space="0"/>
            </w:tcBorders>
            <w:vAlign w:val="center"/>
          </w:tcPr>
          <w:p w14:paraId="0E3BB717">
            <w:pPr>
              <w:widowControl/>
              <w:rPr>
                <w:rFonts w:ascii="宋体" w:hAnsi="宋体" w:cs="宋体"/>
                <w:kern w:val="0"/>
                <w:sz w:val="20"/>
                <w:highlight w:val="none"/>
              </w:rPr>
            </w:pPr>
            <w:r>
              <w:rPr>
                <w:rFonts w:hint="eastAsia" w:ascii="宋体" w:hAnsi="宋体" w:cs="宋体"/>
                <w:kern w:val="0"/>
                <w:sz w:val="20"/>
                <w:highlight w:val="none"/>
              </w:rPr>
              <w:t>100≤X＜300</w:t>
            </w:r>
          </w:p>
        </w:tc>
        <w:tc>
          <w:tcPr>
            <w:tcW w:w="1736" w:type="dxa"/>
            <w:tcBorders>
              <w:top w:val="nil"/>
              <w:left w:val="nil"/>
              <w:bottom w:val="single" w:color="auto" w:sz="4" w:space="0"/>
              <w:right w:val="single" w:color="auto" w:sz="4" w:space="0"/>
            </w:tcBorders>
            <w:vAlign w:val="center"/>
          </w:tcPr>
          <w:p w14:paraId="076A5A4A">
            <w:pPr>
              <w:widowControl/>
              <w:rPr>
                <w:rFonts w:ascii="宋体" w:hAnsi="宋体" w:cs="宋体"/>
                <w:kern w:val="0"/>
                <w:sz w:val="20"/>
                <w:highlight w:val="none"/>
              </w:rPr>
            </w:pPr>
            <w:r>
              <w:rPr>
                <w:rFonts w:hint="eastAsia" w:ascii="宋体" w:hAnsi="宋体" w:cs="宋体"/>
                <w:kern w:val="0"/>
                <w:sz w:val="20"/>
                <w:highlight w:val="none"/>
              </w:rPr>
              <w:t>　</w:t>
            </w:r>
          </w:p>
        </w:tc>
        <w:tc>
          <w:tcPr>
            <w:tcW w:w="1639" w:type="dxa"/>
            <w:tcBorders>
              <w:top w:val="nil"/>
              <w:left w:val="nil"/>
              <w:bottom w:val="single" w:color="auto" w:sz="4" w:space="0"/>
              <w:right w:val="single" w:color="auto" w:sz="8" w:space="0"/>
            </w:tcBorders>
            <w:vAlign w:val="center"/>
          </w:tcPr>
          <w:p w14:paraId="15427A17">
            <w:pPr>
              <w:widowControl/>
              <w:rPr>
                <w:rFonts w:ascii="宋体" w:hAnsi="宋体" w:cs="宋体"/>
                <w:kern w:val="0"/>
                <w:sz w:val="20"/>
                <w:highlight w:val="none"/>
              </w:rPr>
            </w:pPr>
            <w:r>
              <w:rPr>
                <w:rFonts w:hint="eastAsia" w:ascii="宋体" w:hAnsi="宋体" w:cs="宋体"/>
                <w:kern w:val="0"/>
                <w:sz w:val="20"/>
                <w:highlight w:val="none"/>
              </w:rPr>
              <w:t>8000≤Z＜120000</w:t>
            </w:r>
          </w:p>
        </w:tc>
        <w:tc>
          <w:tcPr>
            <w:tcW w:w="1221" w:type="dxa"/>
            <w:tcBorders>
              <w:top w:val="nil"/>
              <w:left w:val="nil"/>
              <w:bottom w:val="single" w:color="auto" w:sz="4" w:space="0"/>
              <w:right w:val="single" w:color="auto" w:sz="4" w:space="0"/>
            </w:tcBorders>
            <w:vAlign w:val="center"/>
          </w:tcPr>
          <w:p w14:paraId="01B615C0">
            <w:pPr>
              <w:widowControl/>
              <w:rPr>
                <w:rFonts w:ascii="宋体" w:hAnsi="宋体" w:cs="宋体"/>
                <w:kern w:val="0"/>
                <w:sz w:val="20"/>
                <w:highlight w:val="none"/>
              </w:rPr>
            </w:pPr>
            <w:r>
              <w:rPr>
                <w:rFonts w:hint="eastAsia" w:ascii="宋体" w:hAnsi="宋体" w:cs="宋体"/>
                <w:kern w:val="0"/>
                <w:sz w:val="20"/>
                <w:highlight w:val="none"/>
              </w:rPr>
              <w:t>10≤X＜100</w:t>
            </w:r>
          </w:p>
        </w:tc>
        <w:tc>
          <w:tcPr>
            <w:tcW w:w="1458" w:type="dxa"/>
            <w:tcBorders>
              <w:top w:val="nil"/>
              <w:left w:val="nil"/>
              <w:bottom w:val="single" w:color="auto" w:sz="4" w:space="0"/>
              <w:right w:val="single" w:color="auto" w:sz="4" w:space="0"/>
            </w:tcBorders>
            <w:vAlign w:val="center"/>
          </w:tcPr>
          <w:p w14:paraId="2C50F8BC">
            <w:pPr>
              <w:widowControl/>
              <w:rPr>
                <w:rFonts w:ascii="宋体" w:hAnsi="宋体" w:cs="宋体"/>
                <w:kern w:val="0"/>
                <w:sz w:val="20"/>
                <w:highlight w:val="none"/>
              </w:rPr>
            </w:pPr>
            <w:r>
              <w:rPr>
                <w:rFonts w:hint="eastAsia" w:ascii="宋体" w:hAnsi="宋体" w:cs="宋体"/>
                <w:kern w:val="0"/>
                <w:sz w:val="20"/>
                <w:highlight w:val="none"/>
              </w:rPr>
              <w:t>　</w:t>
            </w:r>
          </w:p>
        </w:tc>
        <w:tc>
          <w:tcPr>
            <w:tcW w:w="1501" w:type="dxa"/>
            <w:tcBorders>
              <w:top w:val="nil"/>
              <w:left w:val="nil"/>
              <w:bottom w:val="single" w:color="auto" w:sz="4" w:space="0"/>
              <w:right w:val="single" w:color="auto" w:sz="8" w:space="0"/>
            </w:tcBorders>
            <w:vAlign w:val="center"/>
          </w:tcPr>
          <w:p w14:paraId="66DC02FD">
            <w:pPr>
              <w:widowControl/>
              <w:rPr>
                <w:rFonts w:ascii="宋体" w:hAnsi="宋体" w:cs="宋体"/>
                <w:kern w:val="0"/>
                <w:sz w:val="20"/>
                <w:highlight w:val="none"/>
              </w:rPr>
            </w:pPr>
            <w:r>
              <w:rPr>
                <w:rFonts w:hint="eastAsia" w:ascii="宋体" w:hAnsi="宋体" w:cs="宋体"/>
                <w:kern w:val="0"/>
                <w:sz w:val="20"/>
                <w:highlight w:val="none"/>
              </w:rPr>
              <w:t xml:space="preserve"> 100≤Z＜8000</w:t>
            </w:r>
          </w:p>
        </w:tc>
        <w:tc>
          <w:tcPr>
            <w:tcW w:w="1265" w:type="dxa"/>
            <w:tcBorders>
              <w:top w:val="nil"/>
              <w:left w:val="nil"/>
              <w:bottom w:val="single" w:color="auto" w:sz="4" w:space="0"/>
              <w:right w:val="single" w:color="auto" w:sz="4" w:space="0"/>
            </w:tcBorders>
            <w:vAlign w:val="center"/>
          </w:tcPr>
          <w:p w14:paraId="29976DB0">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4" w:space="0"/>
              <w:right w:val="single" w:color="auto" w:sz="4" w:space="0"/>
            </w:tcBorders>
            <w:vAlign w:val="center"/>
          </w:tcPr>
          <w:p w14:paraId="63286A98">
            <w:pPr>
              <w:widowControl/>
              <w:rPr>
                <w:rFonts w:ascii="宋体" w:hAnsi="宋体" w:cs="宋体"/>
                <w:kern w:val="0"/>
                <w:sz w:val="20"/>
                <w:highlight w:val="none"/>
              </w:rPr>
            </w:pPr>
            <w:r>
              <w:rPr>
                <w:rFonts w:hint="eastAsia" w:ascii="宋体" w:hAnsi="宋体" w:cs="宋体"/>
                <w:kern w:val="0"/>
                <w:sz w:val="20"/>
                <w:highlight w:val="none"/>
              </w:rPr>
              <w:t>　</w:t>
            </w:r>
          </w:p>
        </w:tc>
        <w:tc>
          <w:tcPr>
            <w:tcW w:w="1205" w:type="dxa"/>
            <w:tcBorders>
              <w:top w:val="nil"/>
              <w:left w:val="nil"/>
              <w:bottom w:val="single" w:color="auto" w:sz="4" w:space="0"/>
              <w:right w:val="single" w:color="auto" w:sz="8" w:space="0"/>
            </w:tcBorders>
            <w:vAlign w:val="center"/>
          </w:tcPr>
          <w:p w14:paraId="3411CC98">
            <w:pPr>
              <w:widowControl/>
              <w:rPr>
                <w:rFonts w:ascii="宋体" w:hAnsi="宋体" w:cs="宋体"/>
                <w:kern w:val="0"/>
                <w:sz w:val="20"/>
                <w:highlight w:val="none"/>
              </w:rPr>
            </w:pPr>
            <w:r>
              <w:rPr>
                <w:rFonts w:hint="eastAsia" w:ascii="宋体" w:hAnsi="宋体" w:cs="宋体"/>
                <w:kern w:val="0"/>
                <w:sz w:val="20"/>
                <w:highlight w:val="none"/>
              </w:rPr>
              <w:t>Z＜100</w:t>
            </w:r>
          </w:p>
        </w:tc>
      </w:tr>
      <w:tr w14:paraId="490DAE96">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8" w:space="0"/>
              <w:right w:val="single" w:color="auto" w:sz="8" w:space="0"/>
            </w:tcBorders>
            <w:vAlign w:val="center"/>
          </w:tcPr>
          <w:p w14:paraId="5B39144D">
            <w:pPr>
              <w:widowControl/>
              <w:rPr>
                <w:rFonts w:ascii="宋体" w:hAnsi="宋体" w:cs="宋体"/>
                <w:kern w:val="0"/>
                <w:sz w:val="20"/>
                <w:highlight w:val="none"/>
              </w:rPr>
            </w:pPr>
            <w:r>
              <w:rPr>
                <w:rFonts w:hint="eastAsia" w:ascii="宋体" w:hAnsi="宋体" w:cs="宋体"/>
                <w:kern w:val="0"/>
                <w:sz w:val="20"/>
                <w:highlight w:val="none"/>
              </w:rPr>
              <w:t>16.其他未列明行业</w:t>
            </w:r>
          </w:p>
        </w:tc>
        <w:tc>
          <w:tcPr>
            <w:tcW w:w="1475" w:type="dxa"/>
            <w:tcBorders>
              <w:top w:val="nil"/>
              <w:left w:val="nil"/>
              <w:bottom w:val="single" w:color="auto" w:sz="8" w:space="0"/>
              <w:right w:val="single" w:color="auto" w:sz="4" w:space="0"/>
            </w:tcBorders>
            <w:vAlign w:val="center"/>
          </w:tcPr>
          <w:p w14:paraId="075908EF">
            <w:pPr>
              <w:widowControl/>
              <w:rPr>
                <w:rFonts w:ascii="宋体" w:hAnsi="宋体" w:cs="宋体"/>
                <w:kern w:val="0"/>
                <w:sz w:val="20"/>
                <w:highlight w:val="none"/>
              </w:rPr>
            </w:pPr>
            <w:r>
              <w:rPr>
                <w:rFonts w:hint="eastAsia" w:ascii="宋体" w:hAnsi="宋体" w:cs="宋体"/>
                <w:kern w:val="0"/>
                <w:sz w:val="20"/>
                <w:highlight w:val="none"/>
              </w:rPr>
              <w:t>100≤X＜300</w:t>
            </w:r>
          </w:p>
        </w:tc>
        <w:tc>
          <w:tcPr>
            <w:tcW w:w="1736" w:type="dxa"/>
            <w:tcBorders>
              <w:top w:val="nil"/>
              <w:left w:val="nil"/>
              <w:bottom w:val="single" w:color="auto" w:sz="8" w:space="0"/>
              <w:right w:val="single" w:color="auto" w:sz="4" w:space="0"/>
            </w:tcBorders>
            <w:vAlign w:val="center"/>
          </w:tcPr>
          <w:p w14:paraId="3979F739">
            <w:pPr>
              <w:widowControl/>
              <w:rPr>
                <w:rFonts w:ascii="宋体" w:hAnsi="宋体" w:cs="宋体"/>
                <w:kern w:val="0"/>
                <w:sz w:val="20"/>
                <w:highlight w:val="none"/>
              </w:rPr>
            </w:pPr>
            <w:r>
              <w:rPr>
                <w:rFonts w:hint="eastAsia" w:ascii="宋体" w:hAnsi="宋体" w:cs="宋体"/>
                <w:kern w:val="0"/>
                <w:sz w:val="20"/>
                <w:highlight w:val="none"/>
              </w:rPr>
              <w:t>　</w:t>
            </w:r>
          </w:p>
        </w:tc>
        <w:tc>
          <w:tcPr>
            <w:tcW w:w="1639" w:type="dxa"/>
            <w:tcBorders>
              <w:top w:val="nil"/>
              <w:left w:val="nil"/>
              <w:bottom w:val="single" w:color="auto" w:sz="8" w:space="0"/>
              <w:right w:val="single" w:color="auto" w:sz="8" w:space="0"/>
            </w:tcBorders>
            <w:vAlign w:val="center"/>
          </w:tcPr>
          <w:p w14:paraId="3205919C">
            <w:pPr>
              <w:widowControl/>
              <w:rPr>
                <w:rFonts w:ascii="宋体" w:hAnsi="宋体" w:cs="宋体"/>
                <w:kern w:val="0"/>
                <w:sz w:val="20"/>
                <w:highlight w:val="none"/>
              </w:rPr>
            </w:pPr>
            <w:r>
              <w:rPr>
                <w:rFonts w:hint="eastAsia" w:ascii="宋体" w:hAnsi="宋体" w:cs="宋体"/>
                <w:kern w:val="0"/>
                <w:sz w:val="20"/>
                <w:highlight w:val="none"/>
              </w:rPr>
              <w:t>　</w:t>
            </w:r>
          </w:p>
        </w:tc>
        <w:tc>
          <w:tcPr>
            <w:tcW w:w="1221" w:type="dxa"/>
            <w:tcBorders>
              <w:top w:val="nil"/>
              <w:left w:val="nil"/>
              <w:bottom w:val="single" w:color="auto" w:sz="8" w:space="0"/>
              <w:right w:val="single" w:color="auto" w:sz="4" w:space="0"/>
            </w:tcBorders>
            <w:vAlign w:val="center"/>
          </w:tcPr>
          <w:p w14:paraId="55C3BA9B">
            <w:pPr>
              <w:widowControl/>
              <w:rPr>
                <w:rFonts w:ascii="宋体" w:hAnsi="宋体" w:cs="宋体"/>
                <w:kern w:val="0"/>
                <w:sz w:val="20"/>
                <w:highlight w:val="none"/>
              </w:rPr>
            </w:pPr>
            <w:r>
              <w:rPr>
                <w:rFonts w:hint="eastAsia" w:ascii="宋体" w:hAnsi="宋体" w:cs="宋体"/>
                <w:kern w:val="0"/>
                <w:sz w:val="20"/>
                <w:highlight w:val="none"/>
              </w:rPr>
              <w:t>10≤X＜100</w:t>
            </w:r>
          </w:p>
        </w:tc>
        <w:tc>
          <w:tcPr>
            <w:tcW w:w="1458" w:type="dxa"/>
            <w:tcBorders>
              <w:top w:val="nil"/>
              <w:left w:val="nil"/>
              <w:bottom w:val="single" w:color="auto" w:sz="8" w:space="0"/>
              <w:right w:val="single" w:color="auto" w:sz="4" w:space="0"/>
            </w:tcBorders>
            <w:vAlign w:val="center"/>
          </w:tcPr>
          <w:p w14:paraId="3695FE03">
            <w:pPr>
              <w:widowControl/>
              <w:rPr>
                <w:rFonts w:ascii="宋体" w:hAnsi="宋体" w:cs="宋体"/>
                <w:kern w:val="0"/>
                <w:sz w:val="20"/>
                <w:highlight w:val="none"/>
              </w:rPr>
            </w:pPr>
            <w:r>
              <w:rPr>
                <w:rFonts w:hint="eastAsia" w:ascii="宋体" w:hAnsi="宋体" w:cs="宋体"/>
                <w:kern w:val="0"/>
                <w:sz w:val="20"/>
                <w:highlight w:val="none"/>
              </w:rPr>
              <w:t>　</w:t>
            </w:r>
          </w:p>
        </w:tc>
        <w:tc>
          <w:tcPr>
            <w:tcW w:w="1501" w:type="dxa"/>
            <w:tcBorders>
              <w:top w:val="nil"/>
              <w:left w:val="nil"/>
              <w:bottom w:val="single" w:color="auto" w:sz="8" w:space="0"/>
              <w:right w:val="single" w:color="auto" w:sz="8" w:space="0"/>
            </w:tcBorders>
            <w:vAlign w:val="center"/>
          </w:tcPr>
          <w:p w14:paraId="77E9F576">
            <w:pPr>
              <w:widowControl/>
              <w:rPr>
                <w:rFonts w:ascii="宋体" w:hAnsi="宋体" w:cs="宋体"/>
                <w:kern w:val="0"/>
                <w:sz w:val="20"/>
                <w:highlight w:val="none"/>
              </w:rPr>
            </w:pPr>
            <w:r>
              <w:rPr>
                <w:rFonts w:hint="eastAsia" w:ascii="宋体" w:hAnsi="宋体" w:cs="宋体"/>
                <w:kern w:val="0"/>
                <w:sz w:val="20"/>
                <w:highlight w:val="none"/>
              </w:rPr>
              <w:t>　</w:t>
            </w:r>
          </w:p>
        </w:tc>
        <w:tc>
          <w:tcPr>
            <w:tcW w:w="1265" w:type="dxa"/>
            <w:tcBorders>
              <w:top w:val="nil"/>
              <w:left w:val="nil"/>
              <w:bottom w:val="single" w:color="auto" w:sz="8" w:space="0"/>
              <w:right w:val="single" w:color="auto" w:sz="4" w:space="0"/>
            </w:tcBorders>
            <w:vAlign w:val="center"/>
          </w:tcPr>
          <w:p w14:paraId="355FBB4D">
            <w:pPr>
              <w:widowControl/>
              <w:rPr>
                <w:rFonts w:ascii="宋体" w:hAnsi="宋体" w:cs="宋体"/>
                <w:kern w:val="0"/>
                <w:sz w:val="20"/>
                <w:highlight w:val="none"/>
              </w:rPr>
            </w:pPr>
            <w:r>
              <w:rPr>
                <w:rFonts w:hint="eastAsia" w:ascii="宋体" w:hAnsi="宋体" w:cs="宋体"/>
                <w:kern w:val="0"/>
                <w:sz w:val="20"/>
                <w:highlight w:val="none"/>
              </w:rPr>
              <w:t>X＜10</w:t>
            </w:r>
          </w:p>
        </w:tc>
        <w:tc>
          <w:tcPr>
            <w:tcW w:w="1256" w:type="dxa"/>
            <w:tcBorders>
              <w:top w:val="nil"/>
              <w:left w:val="nil"/>
              <w:bottom w:val="single" w:color="auto" w:sz="8" w:space="0"/>
              <w:right w:val="single" w:color="auto" w:sz="4" w:space="0"/>
            </w:tcBorders>
            <w:vAlign w:val="center"/>
          </w:tcPr>
          <w:p w14:paraId="547EC625">
            <w:pPr>
              <w:widowControl/>
              <w:rPr>
                <w:rFonts w:ascii="宋体" w:hAnsi="宋体" w:cs="宋体"/>
                <w:kern w:val="0"/>
                <w:sz w:val="20"/>
                <w:highlight w:val="none"/>
              </w:rPr>
            </w:pPr>
            <w:r>
              <w:rPr>
                <w:rFonts w:hint="eastAsia" w:ascii="宋体" w:hAnsi="宋体" w:cs="宋体"/>
                <w:kern w:val="0"/>
                <w:sz w:val="20"/>
                <w:highlight w:val="none"/>
              </w:rPr>
              <w:t>　</w:t>
            </w:r>
          </w:p>
        </w:tc>
        <w:tc>
          <w:tcPr>
            <w:tcW w:w="1205" w:type="dxa"/>
            <w:tcBorders>
              <w:top w:val="nil"/>
              <w:left w:val="nil"/>
              <w:bottom w:val="single" w:color="auto" w:sz="8" w:space="0"/>
              <w:right w:val="single" w:color="auto" w:sz="8" w:space="0"/>
            </w:tcBorders>
            <w:vAlign w:val="center"/>
          </w:tcPr>
          <w:p w14:paraId="353C05E8">
            <w:pPr>
              <w:widowControl/>
              <w:rPr>
                <w:rFonts w:ascii="宋体" w:hAnsi="宋体" w:cs="宋体"/>
                <w:kern w:val="0"/>
                <w:sz w:val="20"/>
                <w:highlight w:val="none"/>
              </w:rPr>
            </w:pPr>
            <w:r>
              <w:rPr>
                <w:rFonts w:hint="eastAsia" w:ascii="宋体" w:hAnsi="宋体" w:cs="宋体"/>
                <w:kern w:val="0"/>
                <w:sz w:val="20"/>
                <w:highlight w:val="none"/>
              </w:rPr>
              <w:t>　</w:t>
            </w:r>
          </w:p>
        </w:tc>
      </w:tr>
      <w:tr w14:paraId="77FD681F">
        <w:tblPrEx>
          <w:tblCellMar>
            <w:top w:w="0" w:type="dxa"/>
            <w:left w:w="108" w:type="dxa"/>
            <w:bottom w:w="0" w:type="dxa"/>
            <w:right w:w="108" w:type="dxa"/>
          </w:tblCellMar>
        </w:tblPrEx>
        <w:trPr>
          <w:trHeight w:val="832" w:hRule="atLeast"/>
          <w:jc w:val="center"/>
        </w:trPr>
        <w:tc>
          <w:tcPr>
            <w:tcW w:w="14720" w:type="dxa"/>
            <w:gridSpan w:val="11"/>
            <w:tcBorders>
              <w:top w:val="nil"/>
              <w:left w:val="nil"/>
              <w:bottom w:val="nil"/>
              <w:right w:val="nil"/>
            </w:tcBorders>
            <w:vAlign w:val="bottom"/>
          </w:tcPr>
          <w:p w14:paraId="4ACF987F">
            <w:pPr>
              <w:widowControl/>
              <w:jc w:val="left"/>
              <w:rPr>
                <w:rFonts w:ascii="宋体" w:hAnsi="宋体" w:cs="宋体"/>
                <w:kern w:val="0"/>
                <w:sz w:val="20"/>
                <w:highlight w:val="none"/>
              </w:rPr>
            </w:pPr>
            <w:r>
              <w:rPr>
                <w:rFonts w:hint="eastAsia" w:ascii="宋体" w:hAnsi="宋体" w:cs="宋体"/>
                <w:kern w:val="0"/>
                <w:sz w:val="20"/>
                <w:highlight w:val="none"/>
              </w:rPr>
              <w:t>说明　1</w:t>
            </w:r>
            <w:r>
              <w:rPr>
                <w:rFonts w:hint="eastAsia" w:ascii="宋体" w:hAnsi="宋体" w:cs="宋体"/>
                <w:bCs/>
                <w:szCs w:val="21"/>
                <w:highlight w:val="none"/>
              </w:rPr>
              <w:t>.</w:t>
            </w:r>
            <w:r>
              <w:rPr>
                <w:rFonts w:hint="eastAsia" w:ascii="宋体" w:hAnsi="宋体" w:cs="宋体"/>
                <w:kern w:val="0"/>
                <w:sz w:val="20"/>
                <w:highlight w:val="none"/>
              </w:rPr>
              <w:t>企业类型的划分以统计部门的统计数据为依据。</w:t>
            </w:r>
          </w:p>
          <w:p w14:paraId="67380A8E">
            <w:pPr>
              <w:widowControl/>
              <w:ind w:firstLine="600" w:firstLineChars="300"/>
              <w:jc w:val="left"/>
              <w:rPr>
                <w:rFonts w:ascii="宋体" w:hAnsi="宋体" w:cs="宋体"/>
                <w:kern w:val="0"/>
                <w:sz w:val="20"/>
                <w:highlight w:val="none"/>
              </w:rPr>
            </w:pPr>
            <w:r>
              <w:rPr>
                <w:rFonts w:hint="eastAsia" w:ascii="宋体" w:hAnsi="宋体" w:cs="宋体"/>
                <w:kern w:val="0"/>
                <w:sz w:val="20"/>
                <w:highlight w:val="none"/>
              </w:rPr>
              <w:t>2</w:t>
            </w:r>
            <w:r>
              <w:rPr>
                <w:rFonts w:hint="eastAsia" w:ascii="宋体" w:hAnsi="宋体" w:cs="宋体"/>
                <w:bCs/>
                <w:szCs w:val="21"/>
                <w:highlight w:val="none"/>
              </w:rPr>
              <w:t>.</w:t>
            </w:r>
            <w:r>
              <w:rPr>
                <w:rFonts w:hint="eastAsia" w:ascii="宋体" w:hAnsi="宋体" w:cs="宋体"/>
                <w:kern w:val="0"/>
                <w:sz w:val="20"/>
                <w:highlight w:val="none"/>
              </w:rPr>
              <w:t>个体工商户和本规定以外的行业，参照本规定进行划型。</w:t>
            </w:r>
          </w:p>
          <w:p w14:paraId="204B943A">
            <w:pPr>
              <w:widowControl/>
              <w:ind w:firstLine="600" w:firstLineChars="300"/>
              <w:jc w:val="left"/>
              <w:rPr>
                <w:rFonts w:ascii="宋体" w:hAnsi="宋体" w:cs="宋体"/>
                <w:kern w:val="0"/>
                <w:sz w:val="20"/>
                <w:highlight w:val="none"/>
              </w:rPr>
            </w:pPr>
            <w:r>
              <w:rPr>
                <w:rFonts w:hint="eastAsia" w:ascii="宋体" w:hAnsi="宋体" w:cs="宋体"/>
                <w:kern w:val="0"/>
                <w:sz w:val="20"/>
                <w:highlight w:val="none"/>
              </w:rPr>
              <w:t>3</w:t>
            </w:r>
            <w:r>
              <w:rPr>
                <w:rFonts w:hint="eastAsia" w:ascii="宋体" w:hAnsi="宋体" w:cs="宋体"/>
                <w:bCs/>
                <w:szCs w:val="21"/>
                <w:highlight w:val="none"/>
              </w:rPr>
              <w:t>.</w:t>
            </w:r>
            <w:r>
              <w:rPr>
                <w:rFonts w:hint="eastAsia" w:ascii="宋体" w:hAnsi="宋体" w:cs="宋体"/>
                <w:kern w:val="0"/>
                <w:sz w:val="20"/>
                <w:highlight w:val="none"/>
              </w:rPr>
              <w:t>本规定的中型企业标准上限即为大型企业标准的下限。</w:t>
            </w:r>
          </w:p>
        </w:tc>
      </w:tr>
    </w:tbl>
    <w:p w14:paraId="3C8DD626">
      <w:pPr>
        <w:pStyle w:val="30"/>
        <w:tabs>
          <w:tab w:val="left" w:pos="3450"/>
        </w:tabs>
        <w:spacing w:line="20" w:lineRule="exact"/>
        <w:jc w:val="left"/>
        <w:rPr>
          <w:rFonts w:hAnsi="宋体" w:cs="宋体"/>
          <w:sz w:val="36"/>
          <w:szCs w:val="36"/>
          <w:highlight w:val="none"/>
        </w:rPr>
      </w:pPr>
    </w:p>
    <w:sectPr>
      <w:pgSz w:w="16838" w:h="11905" w:orient="landscape"/>
      <w:pgMar w:top="1474" w:right="1474" w:bottom="1197" w:left="1474" w:header="907" w:footer="850"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font-weight : 400">
    <w:altName w:val="微软雅黑"/>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MicrosoftYaHei">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9D7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464B">
    <w:pPr>
      <w:pStyle w:val="33"/>
      <w:framePr w:wrap="around" w:vAnchor="text" w:hAnchor="margin" w:xAlign="center" w:y="1"/>
      <w:rPr>
        <w:rStyle w:val="57"/>
      </w:rPr>
    </w:pPr>
    <w:r>
      <w:fldChar w:fldCharType="begin"/>
    </w:r>
    <w:r>
      <w:rPr>
        <w:rStyle w:val="57"/>
      </w:rPr>
      <w:instrText xml:space="preserve">PAGE  </w:instrText>
    </w:r>
    <w:r>
      <w:fldChar w:fldCharType="separate"/>
    </w:r>
    <w:r>
      <w:rPr>
        <w:vanish/>
      </w:rPr>
      <w:t xml:space="preserve"> </w:t>
    </w:r>
    <w:r>
      <w:fldChar w:fldCharType="end"/>
    </w:r>
  </w:p>
  <w:p w14:paraId="3487BD2E">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85E5">
    <w:pPr>
      <w:pStyle w:val="33"/>
      <w:framePr w:w="333" w:h="340" w:hRule="exact" w:wrap="around" w:vAnchor="text" w:hAnchor="page" w:x="5726" w:y="-67"/>
      <w:rPr>
        <w:rStyle w:val="57"/>
        <w:sz w:val="21"/>
        <w:szCs w:val="21"/>
      </w:rPr>
    </w:pPr>
    <w:r>
      <w:fldChar w:fldCharType="begin"/>
    </w:r>
    <w:r>
      <w:rPr>
        <w:rStyle w:val="57"/>
      </w:rPr>
      <w:instrText xml:space="preserve">PAGE  </w:instrText>
    </w:r>
    <w:r>
      <w:fldChar w:fldCharType="separate"/>
    </w:r>
    <w:r>
      <w:rPr>
        <w:rStyle w:val="57"/>
      </w:rPr>
      <w:t>3</w:t>
    </w:r>
    <w:r>
      <w:fldChar w:fldCharType="end"/>
    </w:r>
    <w:r>
      <w:rPr>
        <w:rFonts w:hint="eastAsia"/>
      </w:rPr>
      <w:t xml:space="preserve"> </w:t>
    </w:r>
  </w:p>
  <w:p w14:paraId="37A2A706">
    <w:pPr>
      <w:pStyle w:val="3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A39D">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35</w:t>
    </w:r>
    <w:r>
      <w:fldChar w:fldCharType="end"/>
    </w:r>
  </w:p>
  <w:p w14:paraId="147B5607">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E042">
    <w:pPr>
      <w:pStyle w:val="33"/>
      <w:framePr w:wrap="around" w:vAnchor="text" w:hAnchor="margin" w:xAlign="center" w:y="-27"/>
      <w:jc w:val="center"/>
      <w:rPr>
        <w:rStyle w:val="57"/>
      </w:rPr>
    </w:pPr>
    <w:r>
      <w:fldChar w:fldCharType="begin"/>
    </w:r>
    <w:r>
      <w:rPr>
        <w:rStyle w:val="57"/>
      </w:rPr>
      <w:instrText xml:space="preserve">PAGE  </w:instrText>
    </w:r>
    <w:r>
      <w:fldChar w:fldCharType="separate"/>
    </w:r>
    <w:r>
      <w:rPr>
        <w:rStyle w:val="57"/>
      </w:rPr>
      <w:t>38</w:t>
    </w:r>
    <w:r>
      <w:fldChar w:fldCharType="end"/>
    </w:r>
  </w:p>
  <w:p w14:paraId="4BBA212F">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36F2">
    <w:pPr>
      <w:pStyle w:val="34"/>
      <w:pBdr>
        <w:bottom w:val="single" w:color="auto" w:sz="4" w:space="0"/>
      </w:pBdr>
      <w:jc w:val="both"/>
    </w:pPr>
    <w:r>
      <w:rPr>
        <w:rFonts w:hint="eastAsia" w:cs="宋体"/>
        <w:b/>
        <w:sz w:val="28"/>
        <w:szCs w:val="28"/>
      </w:rPr>
      <w:drawing>
        <wp:inline distT="0" distB="0" distL="114300" distR="114300">
          <wp:extent cx="1060450" cy="299720"/>
          <wp:effectExtent l="0" t="0" r="6350" b="5080"/>
          <wp:docPr id="3"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F215">
    <w:pPr>
      <w:pStyle w:val="34"/>
      <w:pBdr>
        <w:bottom w:val="single" w:color="auto" w:sz="4" w:space="0"/>
      </w:pBdr>
      <w:jc w:val="both"/>
    </w:pPr>
    <w:r>
      <w:rPr>
        <w:rFonts w:hint="eastAsia" w:cs="宋体"/>
        <w:b/>
        <w:sz w:val="28"/>
        <w:szCs w:val="28"/>
      </w:rPr>
      <w:drawing>
        <wp:inline distT="0" distB="0" distL="114300" distR="114300">
          <wp:extent cx="1060450" cy="299720"/>
          <wp:effectExtent l="0" t="0" r="6350" b="5080"/>
          <wp:docPr id="5"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ADCB">
    <w:pPr>
      <w:pStyle w:val="34"/>
      <w:pBdr>
        <w:bottom w:val="single" w:color="auto" w:sz="4" w:space="0"/>
      </w:pBdr>
      <w:jc w:val="both"/>
    </w:pPr>
    <w:r>
      <w:rPr>
        <w:rFonts w:hint="eastAsia" w:cs="宋体"/>
        <w:b/>
        <w:sz w:val="28"/>
        <w:szCs w:val="28"/>
      </w:rPr>
      <w:drawing>
        <wp:inline distT="0" distB="0" distL="114300" distR="114300">
          <wp:extent cx="1060450" cy="299720"/>
          <wp:effectExtent l="0" t="0" r="6350" b="5080"/>
          <wp:docPr id="8"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5F7D">
    <w:pPr>
      <w:pStyle w:val="34"/>
      <w:pBdr>
        <w:bottom w:val="single" w:color="auto" w:sz="4" w:space="0"/>
      </w:pBdr>
      <w:jc w:val="both"/>
    </w:pPr>
    <w:r>
      <w:rPr>
        <w:rFonts w:hint="eastAsia" w:cs="宋体"/>
        <w:b/>
        <w:sz w:val="28"/>
        <w:szCs w:val="28"/>
      </w:rPr>
      <w:drawing>
        <wp:inline distT="0" distB="0" distL="114300" distR="114300">
          <wp:extent cx="1060450" cy="299720"/>
          <wp:effectExtent l="0" t="0" r="6350" b="5080"/>
          <wp:docPr id="7"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74C8F"/>
    <w:multiLevelType w:val="singleLevel"/>
    <w:tmpl w:val="57A74C8F"/>
    <w:lvl w:ilvl="0" w:tentative="0">
      <w:start w:val="1"/>
      <w:numFmt w:val="chineseCounting"/>
      <w:pStyle w:val="204"/>
      <w:suff w:val="nothing"/>
      <w:lvlText w:val="%1、"/>
      <w:lvlJc w:val="left"/>
      <w:pPr>
        <w:tabs>
          <w:tab w:val="left" w:pos="0"/>
        </w:tabs>
        <w:ind w:left="0" w:firstLine="0"/>
      </w:pPr>
      <w:rPr>
        <w:rFonts w:hint="eastAsia" w:cs="Times New Roman"/>
      </w:rPr>
    </w:lvl>
  </w:abstractNum>
  <w:abstractNum w:abstractNumId="1">
    <w:nsid w:val="740A61AC"/>
    <w:multiLevelType w:val="multilevel"/>
    <w:tmpl w:val="740A61AC"/>
    <w:lvl w:ilvl="0" w:tentative="0">
      <w:start w:val="1"/>
      <w:numFmt w:val="decimalZero"/>
      <w:pStyle w:val="201"/>
      <w:lvlText w:val="【第%1条】"/>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WE5YWM0MjViYmRlMmVkNTI2NjQ1YmUyYjk2OTIifQ=="/>
  </w:docVars>
  <w:rsids>
    <w:rsidRoot w:val="00D719E6"/>
    <w:rsid w:val="00002915"/>
    <w:rsid w:val="00002B71"/>
    <w:rsid w:val="00006ACD"/>
    <w:rsid w:val="00007CA2"/>
    <w:rsid w:val="00011EC1"/>
    <w:rsid w:val="00012DFF"/>
    <w:rsid w:val="00022CD2"/>
    <w:rsid w:val="00031597"/>
    <w:rsid w:val="00035577"/>
    <w:rsid w:val="00041187"/>
    <w:rsid w:val="00045955"/>
    <w:rsid w:val="00045D27"/>
    <w:rsid w:val="00050224"/>
    <w:rsid w:val="00053DE2"/>
    <w:rsid w:val="00057DCB"/>
    <w:rsid w:val="000608D9"/>
    <w:rsid w:val="00061B1B"/>
    <w:rsid w:val="000663C7"/>
    <w:rsid w:val="00066FE0"/>
    <w:rsid w:val="00067550"/>
    <w:rsid w:val="0007014E"/>
    <w:rsid w:val="00074072"/>
    <w:rsid w:val="00077396"/>
    <w:rsid w:val="00077D6D"/>
    <w:rsid w:val="00077FE7"/>
    <w:rsid w:val="00082C80"/>
    <w:rsid w:val="00090FCE"/>
    <w:rsid w:val="0009780F"/>
    <w:rsid w:val="000A0674"/>
    <w:rsid w:val="000A69C1"/>
    <w:rsid w:val="000A7571"/>
    <w:rsid w:val="000B2FA6"/>
    <w:rsid w:val="000B5713"/>
    <w:rsid w:val="000C043D"/>
    <w:rsid w:val="000C0FF7"/>
    <w:rsid w:val="000C3222"/>
    <w:rsid w:val="000C4FCF"/>
    <w:rsid w:val="000C7437"/>
    <w:rsid w:val="000D5401"/>
    <w:rsid w:val="000D6127"/>
    <w:rsid w:val="000E41BB"/>
    <w:rsid w:val="000E5A5A"/>
    <w:rsid w:val="000E6723"/>
    <w:rsid w:val="00102FBF"/>
    <w:rsid w:val="0010334D"/>
    <w:rsid w:val="001055FB"/>
    <w:rsid w:val="0010599E"/>
    <w:rsid w:val="00105E58"/>
    <w:rsid w:val="00106A10"/>
    <w:rsid w:val="0011197E"/>
    <w:rsid w:val="0011338A"/>
    <w:rsid w:val="00122092"/>
    <w:rsid w:val="0012217D"/>
    <w:rsid w:val="00122D89"/>
    <w:rsid w:val="001239E7"/>
    <w:rsid w:val="00137A0D"/>
    <w:rsid w:val="001465F3"/>
    <w:rsid w:val="00150B2A"/>
    <w:rsid w:val="001523ED"/>
    <w:rsid w:val="00152C87"/>
    <w:rsid w:val="00153769"/>
    <w:rsid w:val="00154438"/>
    <w:rsid w:val="00154546"/>
    <w:rsid w:val="00154923"/>
    <w:rsid w:val="00163CA2"/>
    <w:rsid w:val="001647EC"/>
    <w:rsid w:val="0016520A"/>
    <w:rsid w:val="00166796"/>
    <w:rsid w:val="001673C4"/>
    <w:rsid w:val="00186587"/>
    <w:rsid w:val="001901BF"/>
    <w:rsid w:val="00191244"/>
    <w:rsid w:val="00193ABA"/>
    <w:rsid w:val="00194FEA"/>
    <w:rsid w:val="00196574"/>
    <w:rsid w:val="00197604"/>
    <w:rsid w:val="001A0516"/>
    <w:rsid w:val="001A058B"/>
    <w:rsid w:val="001A21D1"/>
    <w:rsid w:val="001A364A"/>
    <w:rsid w:val="001B18BF"/>
    <w:rsid w:val="001C1071"/>
    <w:rsid w:val="001C3D31"/>
    <w:rsid w:val="001C467B"/>
    <w:rsid w:val="001C4862"/>
    <w:rsid w:val="001C5974"/>
    <w:rsid w:val="001C63D3"/>
    <w:rsid w:val="001C6EA2"/>
    <w:rsid w:val="001C7A19"/>
    <w:rsid w:val="001C7BB8"/>
    <w:rsid w:val="001D03C6"/>
    <w:rsid w:val="001D0883"/>
    <w:rsid w:val="001D0E3D"/>
    <w:rsid w:val="001D160F"/>
    <w:rsid w:val="001D1799"/>
    <w:rsid w:val="001E2032"/>
    <w:rsid w:val="001E381F"/>
    <w:rsid w:val="001E47A6"/>
    <w:rsid w:val="001E560B"/>
    <w:rsid w:val="001E60CF"/>
    <w:rsid w:val="001F3A94"/>
    <w:rsid w:val="001F441F"/>
    <w:rsid w:val="001F53E1"/>
    <w:rsid w:val="001F5ECF"/>
    <w:rsid w:val="0020331E"/>
    <w:rsid w:val="00205824"/>
    <w:rsid w:val="00212513"/>
    <w:rsid w:val="00212C0B"/>
    <w:rsid w:val="00213255"/>
    <w:rsid w:val="002220F8"/>
    <w:rsid w:val="002223A0"/>
    <w:rsid w:val="002267AA"/>
    <w:rsid w:val="00230C3A"/>
    <w:rsid w:val="00233AED"/>
    <w:rsid w:val="00241995"/>
    <w:rsid w:val="00242293"/>
    <w:rsid w:val="00243EA5"/>
    <w:rsid w:val="00244A66"/>
    <w:rsid w:val="00246128"/>
    <w:rsid w:val="00250831"/>
    <w:rsid w:val="0025509C"/>
    <w:rsid w:val="00260BC0"/>
    <w:rsid w:val="00261134"/>
    <w:rsid w:val="002612D9"/>
    <w:rsid w:val="002645A0"/>
    <w:rsid w:val="00266980"/>
    <w:rsid w:val="00267BAC"/>
    <w:rsid w:val="00272740"/>
    <w:rsid w:val="00273A41"/>
    <w:rsid w:val="00273D82"/>
    <w:rsid w:val="002743E6"/>
    <w:rsid w:val="00287589"/>
    <w:rsid w:val="00291CF7"/>
    <w:rsid w:val="00293EB8"/>
    <w:rsid w:val="00293FD0"/>
    <w:rsid w:val="00296F65"/>
    <w:rsid w:val="00297762"/>
    <w:rsid w:val="002A0831"/>
    <w:rsid w:val="002A208B"/>
    <w:rsid w:val="002A49C9"/>
    <w:rsid w:val="002A4B11"/>
    <w:rsid w:val="002A521B"/>
    <w:rsid w:val="002B2CB5"/>
    <w:rsid w:val="002B3E59"/>
    <w:rsid w:val="002B6FBD"/>
    <w:rsid w:val="002B74A2"/>
    <w:rsid w:val="002C0541"/>
    <w:rsid w:val="002C26C8"/>
    <w:rsid w:val="002C4058"/>
    <w:rsid w:val="002C7EA4"/>
    <w:rsid w:val="002E3881"/>
    <w:rsid w:val="002E5815"/>
    <w:rsid w:val="002E604F"/>
    <w:rsid w:val="002F13E0"/>
    <w:rsid w:val="002F6358"/>
    <w:rsid w:val="00300554"/>
    <w:rsid w:val="003057E3"/>
    <w:rsid w:val="00305879"/>
    <w:rsid w:val="00306664"/>
    <w:rsid w:val="00307061"/>
    <w:rsid w:val="00311F9C"/>
    <w:rsid w:val="00314B06"/>
    <w:rsid w:val="00316D25"/>
    <w:rsid w:val="0032057E"/>
    <w:rsid w:val="003235E1"/>
    <w:rsid w:val="00335B18"/>
    <w:rsid w:val="00335FB8"/>
    <w:rsid w:val="00341336"/>
    <w:rsid w:val="00346A99"/>
    <w:rsid w:val="00351776"/>
    <w:rsid w:val="0035329F"/>
    <w:rsid w:val="003551AA"/>
    <w:rsid w:val="00356711"/>
    <w:rsid w:val="00356CB4"/>
    <w:rsid w:val="003643FC"/>
    <w:rsid w:val="00374EA0"/>
    <w:rsid w:val="00381C5B"/>
    <w:rsid w:val="0038207F"/>
    <w:rsid w:val="00387B82"/>
    <w:rsid w:val="00391E6D"/>
    <w:rsid w:val="00395E54"/>
    <w:rsid w:val="00397715"/>
    <w:rsid w:val="003A002D"/>
    <w:rsid w:val="003A5AB8"/>
    <w:rsid w:val="003A7CFD"/>
    <w:rsid w:val="003B0995"/>
    <w:rsid w:val="003C4EE8"/>
    <w:rsid w:val="003C5F1F"/>
    <w:rsid w:val="003D21B2"/>
    <w:rsid w:val="003D23B7"/>
    <w:rsid w:val="003D27C0"/>
    <w:rsid w:val="003D401D"/>
    <w:rsid w:val="003D6C60"/>
    <w:rsid w:val="003E3EE1"/>
    <w:rsid w:val="003F14D6"/>
    <w:rsid w:val="003F20B3"/>
    <w:rsid w:val="003F4575"/>
    <w:rsid w:val="003F6E4E"/>
    <w:rsid w:val="004022A0"/>
    <w:rsid w:val="00412574"/>
    <w:rsid w:val="00414845"/>
    <w:rsid w:val="00425D45"/>
    <w:rsid w:val="004278E6"/>
    <w:rsid w:val="00434BE0"/>
    <w:rsid w:val="00436572"/>
    <w:rsid w:val="00441919"/>
    <w:rsid w:val="00447B20"/>
    <w:rsid w:val="004557BB"/>
    <w:rsid w:val="00455D3A"/>
    <w:rsid w:val="004562C7"/>
    <w:rsid w:val="0046219E"/>
    <w:rsid w:val="00466D8C"/>
    <w:rsid w:val="00470E58"/>
    <w:rsid w:val="00473578"/>
    <w:rsid w:val="00482256"/>
    <w:rsid w:val="00495264"/>
    <w:rsid w:val="00495B1D"/>
    <w:rsid w:val="00497EEB"/>
    <w:rsid w:val="004A2C02"/>
    <w:rsid w:val="004A55CB"/>
    <w:rsid w:val="004B2A54"/>
    <w:rsid w:val="004B57CF"/>
    <w:rsid w:val="004B6A71"/>
    <w:rsid w:val="004C56EE"/>
    <w:rsid w:val="004D5801"/>
    <w:rsid w:val="004D6E7D"/>
    <w:rsid w:val="004D7775"/>
    <w:rsid w:val="004E08AF"/>
    <w:rsid w:val="004F4146"/>
    <w:rsid w:val="004F65FC"/>
    <w:rsid w:val="004F7823"/>
    <w:rsid w:val="004F7F7E"/>
    <w:rsid w:val="00500138"/>
    <w:rsid w:val="0050345D"/>
    <w:rsid w:val="00506D40"/>
    <w:rsid w:val="0051065F"/>
    <w:rsid w:val="00511A29"/>
    <w:rsid w:val="00511EB3"/>
    <w:rsid w:val="00512014"/>
    <w:rsid w:val="00515CC4"/>
    <w:rsid w:val="0052024F"/>
    <w:rsid w:val="00523EB0"/>
    <w:rsid w:val="005259C4"/>
    <w:rsid w:val="005311B0"/>
    <w:rsid w:val="00541977"/>
    <w:rsid w:val="005424B1"/>
    <w:rsid w:val="0054415B"/>
    <w:rsid w:val="005450AC"/>
    <w:rsid w:val="005452B2"/>
    <w:rsid w:val="005475DF"/>
    <w:rsid w:val="005524EA"/>
    <w:rsid w:val="005552A0"/>
    <w:rsid w:val="005577C6"/>
    <w:rsid w:val="0056281B"/>
    <w:rsid w:val="00563F8F"/>
    <w:rsid w:val="0056483F"/>
    <w:rsid w:val="005674F7"/>
    <w:rsid w:val="0057150D"/>
    <w:rsid w:val="00572F76"/>
    <w:rsid w:val="0057305B"/>
    <w:rsid w:val="00580206"/>
    <w:rsid w:val="005810BC"/>
    <w:rsid w:val="005816D1"/>
    <w:rsid w:val="0058607F"/>
    <w:rsid w:val="00587584"/>
    <w:rsid w:val="00587FCA"/>
    <w:rsid w:val="00594357"/>
    <w:rsid w:val="00594ED5"/>
    <w:rsid w:val="0059540B"/>
    <w:rsid w:val="005A2DDF"/>
    <w:rsid w:val="005A3484"/>
    <w:rsid w:val="005A5FCD"/>
    <w:rsid w:val="005B0F75"/>
    <w:rsid w:val="005B2FA5"/>
    <w:rsid w:val="005B331C"/>
    <w:rsid w:val="005B3A33"/>
    <w:rsid w:val="005B414A"/>
    <w:rsid w:val="005B5673"/>
    <w:rsid w:val="005C1974"/>
    <w:rsid w:val="005C7DA9"/>
    <w:rsid w:val="005D08C9"/>
    <w:rsid w:val="005D5361"/>
    <w:rsid w:val="005D563A"/>
    <w:rsid w:val="005D5EC3"/>
    <w:rsid w:val="005D60C2"/>
    <w:rsid w:val="005D7E12"/>
    <w:rsid w:val="005E06B3"/>
    <w:rsid w:val="005E0E1F"/>
    <w:rsid w:val="005E344A"/>
    <w:rsid w:val="005E6549"/>
    <w:rsid w:val="005E75C5"/>
    <w:rsid w:val="005F220E"/>
    <w:rsid w:val="005F3A10"/>
    <w:rsid w:val="005F3DFD"/>
    <w:rsid w:val="005F46CC"/>
    <w:rsid w:val="005F4E58"/>
    <w:rsid w:val="005F5325"/>
    <w:rsid w:val="005F7E0E"/>
    <w:rsid w:val="00601E80"/>
    <w:rsid w:val="0060217E"/>
    <w:rsid w:val="00602FD8"/>
    <w:rsid w:val="006069DC"/>
    <w:rsid w:val="0061323F"/>
    <w:rsid w:val="006222AE"/>
    <w:rsid w:val="00622D45"/>
    <w:rsid w:val="00624D7E"/>
    <w:rsid w:val="00625B70"/>
    <w:rsid w:val="00626A30"/>
    <w:rsid w:val="00626F6E"/>
    <w:rsid w:val="006426C8"/>
    <w:rsid w:val="00644294"/>
    <w:rsid w:val="0065070C"/>
    <w:rsid w:val="00652CDF"/>
    <w:rsid w:val="0065343E"/>
    <w:rsid w:val="006549B0"/>
    <w:rsid w:val="006549E8"/>
    <w:rsid w:val="00655D6E"/>
    <w:rsid w:val="00667CA2"/>
    <w:rsid w:val="0067002A"/>
    <w:rsid w:val="00673D0C"/>
    <w:rsid w:val="00675701"/>
    <w:rsid w:val="00677BB5"/>
    <w:rsid w:val="006802B4"/>
    <w:rsid w:val="006811C7"/>
    <w:rsid w:val="006813EC"/>
    <w:rsid w:val="006875CE"/>
    <w:rsid w:val="00690E22"/>
    <w:rsid w:val="006A0B17"/>
    <w:rsid w:val="006A22A2"/>
    <w:rsid w:val="006A573F"/>
    <w:rsid w:val="006B3CA5"/>
    <w:rsid w:val="006B773C"/>
    <w:rsid w:val="006C071F"/>
    <w:rsid w:val="006D22C6"/>
    <w:rsid w:val="006D3083"/>
    <w:rsid w:val="006D435C"/>
    <w:rsid w:val="006D633F"/>
    <w:rsid w:val="006F2BEE"/>
    <w:rsid w:val="006F2FD4"/>
    <w:rsid w:val="00702C85"/>
    <w:rsid w:val="007046B3"/>
    <w:rsid w:val="00715CD8"/>
    <w:rsid w:val="00721EEB"/>
    <w:rsid w:val="00722F85"/>
    <w:rsid w:val="007247C1"/>
    <w:rsid w:val="00730294"/>
    <w:rsid w:val="007363F7"/>
    <w:rsid w:val="00737208"/>
    <w:rsid w:val="007405FA"/>
    <w:rsid w:val="00742272"/>
    <w:rsid w:val="00746743"/>
    <w:rsid w:val="00746DB6"/>
    <w:rsid w:val="00750202"/>
    <w:rsid w:val="00753150"/>
    <w:rsid w:val="00754794"/>
    <w:rsid w:val="007550AA"/>
    <w:rsid w:val="00760FF8"/>
    <w:rsid w:val="00762C5B"/>
    <w:rsid w:val="00763945"/>
    <w:rsid w:val="0076399A"/>
    <w:rsid w:val="00772749"/>
    <w:rsid w:val="00774974"/>
    <w:rsid w:val="007760B6"/>
    <w:rsid w:val="00783F5B"/>
    <w:rsid w:val="007850AE"/>
    <w:rsid w:val="00785E81"/>
    <w:rsid w:val="00787007"/>
    <w:rsid w:val="007920DF"/>
    <w:rsid w:val="00793FB6"/>
    <w:rsid w:val="007A09BC"/>
    <w:rsid w:val="007B3F9B"/>
    <w:rsid w:val="007C07FC"/>
    <w:rsid w:val="007C2604"/>
    <w:rsid w:val="007C2D5A"/>
    <w:rsid w:val="007C2F7C"/>
    <w:rsid w:val="007C345E"/>
    <w:rsid w:val="007C4DD9"/>
    <w:rsid w:val="007D248C"/>
    <w:rsid w:val="007D78AF"/>
    <w:rsid w:val="007D7FA2"/>
    <w:rsid w:val="007E5D2E"/>
    <w:rsid w:val="007E6298"/>
    <w:rsid w:val="007E765D"/>
    <w:rsid w:val="007F56ED"/>
    <w:rsid w:val="008045FB"/>
    <w:rsid w:val="0081048D"/>
    <w:rsid w:val="00813DC2"/>
    <w:rsid w:val="0082170A"/>
    <w:rsid w:val="00822A75"/>
    <w:rsid w:val="00827B94"/>
    <w:rsid w:val="00831450"/>
    <w:rsid w:val="00831547"/>
    <w:rsid w:val="00833536"/>
    <w:rsid w:val="00833E78"/>
    <w:rsid w:val="00837F7E"/>
    <w:rsid w:val="008436A7"/>
    <w:rsid w:val="00846B28"/>
    <w:rsid w:val="00851468"/>
    <w:rsid w:val="00856348"/>
    <w:rsid w:val="008628A4"/>
    <w:rsid w:val="008639EC"/>
    <w:rsid w:val="0086457D"/>
    <w:rsid w:val="00864EEA"/>
    <w:rsid w:val="008651D7"/>
    <w:rsid w:val="00866258"/>
    <w:rsid w:val="00866FAD"/>
    <w:rsid w:val="00870B38"/>
    <w:rsid w:val="00873609"/>
    <w:rsid w:val="00894A6F"/>
    <w:rsid w:val="008A0834"/>
    <w:rsid w:val="008B27D3"/>
    <w:rsid w:val="008C07BC"/>
    <w:rsid w:val="008C0F26"/>
    <w:rsid w:val="008D1FDE"/>
    <w:rsid w:val="008D6BEA"/>
    <w:rsid w:val="008E266B"/>
    <w:rsid w:val="008E73FB"/>
    <w:rsid w:val="008F2B30"/>
    <w:rsid w:val="008F3064"/>
    <w:rsid w:val="008F325C"/>
    <w:rsid w:val="009045CC"/>
    <w:rsid w:val="00904CAE"/>
    <w:rsid w:val="00917848"/>
    <w:rsid w:val="00921D47"/>
    <w:rsid w:val="00921F12"/>
    <w:rsid w:val="009306B1"/>
    <w:rsid w:val="009319FE"/>
    <w:rsid w:val="00932DFB"/>
    <w:rsid w:val="00935922"/>
    <w:rsid w:val="009421C2"/>
    <w:rsid w:val="00942F73"/>
    <w:rsid w:val="009454D9"/>
    <w:rsid w:val="00947ABC"/>
    <w:rsid w:val="009520CE"/>
    <w:rsid w:val="00954901"/>
    <w:rsid w:val="00955F08"/>
    <w:rsid w:val="009570FD"/>
    <w:rsid w:val="009605B9"/>
    <w:rsid w:val="009615AD"/>
    <w:rsid w:val="00967443"/>
    <w:rsid w:val="009679AF"/>
    <w:rsid w:val="009760D3"/>
    <w:rsid w:val="00976FF7"/>
    <w:rsid w:val="00984D25"/>
    <w:rsid w:val="0099049F"/>
    <w:rsid w:val="00990743"/>
    <w:rsid w:val="00993752"/>
    <w:rsid w:val="00996D0D"/>
    <w:rsid w:val="009A1E37"/>
    <w:rsid w:val="009A34A4"/>
    <w:rsid w:val="009A3599"/>
    <w:rsid w:val="009A403C"/>
    <w:rsid w:val="009A4C87"/>
    <w:rsid w:val="009B1EAD"/>
    <w:rsid w:val="009B4B3C"/>
    <w:rsid w:val="009C63F4"/>
    <w:rsid w:val="009C761D"/>
    <w:rsid w:val="009D7823"/>
    <w:rsid w:val="009E308F"/>
    <w:rsid w:val="009E471A"/>
    <w:rsid w:val="009E50AD"/>
    <w:rsid w:val="009F4C02"/>
    <w:rsid w:val="009F63D4"/>
    <w:rsid w:val="009F7249"/>
    <w:rsid w:val="00A06BCC"/>
    <w:rsid w:val="00A10748"/>
    <w:rsid w:val="00A17427"/>
    <w:rsid w:val="00A227D0"/>
    <w:rsid w:val="00A30197"/>
    <w:rsid w:val="00A3282D"/>
    <w:rsid w:val="00A34EC2"/>
    <w:rsid w:val="00A35C38"/>
    <w:rsid w:val="00A44C23"/>
    <w:rsid w:val="00A460B9"/>
    <w:rsid w:val="00A475B3"/>
    <w:rsid w:val="00A50DCF"/>
    <w:rsid w:val="00A52066"/>
    <w:rsid w:val="00A60EB0"/>
    <w:rsid w:val="00A62A2F"/>
    <w:rsid w:val="00A65E25"/>
    <w:rsid w:val="00A72CE7"/>
    <w:rsid w:val="00A75973"/>
    <w:rsid w:val="00A76CC8"/>
    <w:rsid w:val="00A826CF"/>
    <w:rsid w:val="00A86807"/>
    <w:rsid w:val="00A87ED1"/>
    <w:rsid w:val="00A90183"/>
    <w:rsid w:val="00AA15CF"/>
    <w:rsid w:val="00AB10BD"/>
    <w:rsid w:val="00AB400A"/>
    <w:rsid w:val="00AB748C"/>
    <w:rsid w:val="00AC57BE"/>
    <w:rsid w:val="00AD0352"/>
    <w:rsid w:val="00AD08FE"/>
    <w:rsid w:val="00AD6C8A"/>
    <w:rsid w:val="00AD7D98"/>
    <w:rsid w:val="00AE380C"/>
    <w:rsid w:val="00AE3987"/>
    <w:rsid w:val="00AE5031"/>
    <w:rsid w:val="00AF197A"/>
    <w:rsid w:val="00AF55E9"/>
    <w:rsid w:val="00AF7031"/>
    <w:rsid w:val="00B0211F"/>
    <w:rsid w:val="00B02128"/>
    <w:rsid w:val="00B07E6E"/>
    <w:rsid w:val="00B13074"/>
    <w:rsid w:val="00B17B8B"/>
    <w:rsid w:val="00B20AAC"/>
    <w:rsid w:val="00B22A1B"/>
    <w:rsid w:val="00B25316"/>
    <w:rsid w:val="00B3162A"/>
    <w:rsid w:val="00B42B60"/>
    <w:rsid w:val="00B44B84"/>
    <w:rsid w:val="00B4762A"/>
    <w:rsid w:val="00B47C2F"/>
    <w:rsid w:val="00B510E9"/>
    <w:rsid w:val="00B53E48"/>
    <w:rsid w:val="00B544B1"/>
    <w:rsid w:val="00B54A6A"/>
    <w:rsid w:val="00B54BD3"/>
    <w:rsid w:val="00B6058D"/>
    <w:rsid w:val="00B642DD"/>
    <w:rsid w:val="00B646FA"/>
    <w:rsid w:val="00B748C7"/>
    <w:rsid w:val="00B77E57"/>
    <w:rsid w:val="00B84DCF"/>
    <w:rsid w:val="00B86CCF"/>
    <w:rsid w:val="00B90055"/>
    <w:rsid w:val="00B91EBC"/>
    <w:rsid w:val="00B96C09"/>
    <w:rsid w:val="00B971CD"/>
    <w:rsid w:val="00BA16D9"/>
    <w:rsid w:val="00BA2A7C"/>
    <w:rsid w:val="00BB07D7"/>
    <w:rsid w:val="00BB3570"/>
    <w:rsid w:val="00BC37CE"/>
    <w:rsid w:val="00BC465A"/>
    <w:rsid w:val="00BD02D0"/>
    <w:rsid w:val="00BD12A0"/>
    <w:rsid w:val="00BD2A74"/>
    <w:rsid w:val="00BD3565"/>
    <w:rsid w:val="00BD3768"/>
    <w:rsid w:val="00BD6F03"/>
    <w:rsid w:val="00BE66F8"/>
    <w:rsid w:val="00BE7D9F"/>
    <w:rsid w:val="00BF73AF"/>
    <w:rsid w:val="00BF76BE"/>
    <w:rsid w:val="00C00F56"/>
    <w:rsid w:val="00C05DBF"/>
    <w:rsid w:val="00C0623C"/>
    <w:rsid w:val="00C063BF"/>
    <w:rsid w:val="00C14063"/>
    <w:rsid w:val="00C17950"/>
    <w:rsid w:val="00C22D95"/>
    <w:rsid w:val="00C246DA"/>
    <w:rsid w:val="00C24FC2"/>
    <w:rsid w:val="00C2533B"/>
    <w:rsid w:val="00C30D59"/>
    <w:rsid w:val="00C34969"/>
    <w:rsid w:val="00C36823"/>
    <w:rsid w:val="00C372ED"/>
    <w:rsid w:val="00C42863"/>
    <w:rsid w:val="00C433E2"/>
    <w:rsid w:val="00C47578"/>
    <w:rsid w:val="00C56670"/>
    <w:rsid w:val="00C635B6"/>
    <w:rsid w:val="00C64B09"/>
    <w:rsid w:val="00C73A91"/>
    <w:rsid w:val="00C765D9"/>
    <w:rsid w:val="00C824D7"/>
    <w:rsid w:val="00C86520"/>
    <w:rsid w:val="00C907E3"/>
    <w:rsid w:val="00C9316D"/>
    <w:rsid w:val="00C95A26"/>
    <w:rsid w:val="00C96ABB"/>
    <w:rsid w:val="00C97455"/>
    <w:rsid w:val="00CA2289"/>
    <w:rsid w:val="00CB0863"/>
    <w:rsid w:val="00CB1682"/>
    <w:rsid w:val="00CB6395"/>
    <w:rsid w:val="00CB768C"/>
    <w:rsid w:val="00CC1A2E"/>
    <w:rsid w:val="00CC5C7F"/>
    <w:rsid w:val="00CC64C2"/>
    <w:rsid w:val="00CC6B71"/>
    <w:rsid w:val="00CD5706"/>
    <w:rsid w:val="00CD5804"/>
    <w:rsid w:val="00CE38D8"/>
    <w:rsid w:val="00CE48DA"/>
    <w:rsid w:val="00CE4F62"/>
    <w:rsid w:val="00CE5A5E"/>
    <w:rsid w:val="00D005D0"/>
    <w:rsid w:val="00D01E0C"/>
    <w:rsid w:val="00D04F8A"/>
    <w:rsid w:val="00D054A1"/>
    <w:rsid w:val="00D13AFF"/>
    <w:rsid w:val="00D200B8"/>
    <w:rsid w:val="00D22A0E"/>
    <w:rsid w:val="00D22EA3"/>
    <w:rsid w:val="00D25F5F"/>
    <w:rsid w:val="00D2616C"/>
    <w:rsid w:val="00D344C0"/>
    <w:rsid w:val="00D34EF8"/>
    <w:rsid w:val="00D35CFE"/>
    <w:rsid w:val="00D37B50"/>
    <w:rsid w:val="00D400DB"/>
    <w:rsid w:val="00D431EB"/>
    <w:rsid w:val="00D44770"/>
    <w:rsid w:val="00D44F02"/>
    <w:rsid w:val="00D47292"/>
    <w:rsid w:val="00D52065"/>
    <w:rsid w:val="00D565E2"/>
    <w:rsid w:val="00D60D37"/>
    <w:rsid w:val="00D617E9"/>
    <w:rsid w:val="00D61E89"/>
    <w:rsid w:val="00D6400E"/>
    <w:rsid w:val="00D719E6"/>
    <w:rsid w:val="00D748E5"/>
    <w:rsid w:val="00D755F3"/>
    <w:rsid w:val="00D76F66"/>
    <w:rsid w:val="00D8031C"/>
    <w:rsid w:val="00D82777"/>
    <w:rsid w:val="00D83B08"/>
    <w:rsid w:val="00D84F7E"/>
    <w:rsid w:val="00D869EB"/>
    <w:rsid w:val="00D92264"/>
    <w:rsid w:val="00D93782"/>
    <w:rsid w:val="00DA0CC9"/>
    <w:rsid w:val="00DA4520"/>
    <w:rsid w:val="00DA4958"/>
    <w:rsid w:val="00DB3A7E"/>
    <w:rsid w:val="00DB5205"/>
    <w:rsid w:val="00DB5AA5"/>
    <w:rsid w:val="00DC67AA"/>
    <w:rsid w:val="00DC7616"/>
    <w:rsid w:val="00DC781D"/>
    <w:rsid w:val="00DD029C"/>
    <w:rsid w:val="00DD2E1E"/>
    <w:rsid w:val="00DD41F4"/>
    <w:rsid w:val="00DD70A0"/>
    <w:rsid w:val="00DD7B10"/>
    <w:rsid w:val="00DE11AA"/>
    <w:rsid w:val="00DE3DBB"/>
    <w:rsid w:val="00DE44C1"/>
    <w:rsid w:val="00DE7B96"/>
    <w:rsid w:val="00DF4A23"/>
    <w:rsid w:val="00E1087E"/>
    <w:rsid w:val="00E16C93"/>
    <w:rsid w:val="00E16FE4"/>
    <w:rsid w:val="00E20300"/>
    <w:rsid w:val="00E20DF4"/>
    <w:rsid w:val="00E21A16"/>
    <w:rsid w:val="00E2353E"/>
    <w:rsid w:val="00E24CA4"/>
    <w:rsid w:val="00E261F9"/>
    <w:rsid w:val="00E26636"/>
    <w:rsid w:val="00E41C79"/>
    <w:rsid w:val="00E43507"/>
    <w:rsid w:val="00E441B9"/>
    <w:rsid w:val="00E45D5B"/>
    <w:rsid w:val="00E4726D"/>
    <w:rsid w:val="00E50057"/>
    <w:rsid w:val="00E505D6"/>
    <w:rsid w:val="00E6017C"/>
    <w:rsid w:val="00E6098C"/>
    <w:rsid w:val="00E6166B"/>
    <w:rsid w:val="00E6244F"/>
    <w:rsid w:val="00E666FA"/>
    <w:rsid w:val="00E71E23"/>
    <w:rsid w:val="00E7308F"/>
    <w:rsid w:val="00E81CC5"/>
    <w:rsid w:val="00E90C71"/>
    <w:rsid w:val="00E9209B"/>
    <w:rsid w:val="00E93054"/>
    <w:rsid w:val="00E9397C"/>
    <w:rsid w:val="00EA29BB"/>
    <w:rsid w:val="00EA4815"/>
    <w:rsid w:val="00EA4C75"/>
    <w:rsid w:val="00EC59E6"/>
    <w:rsid w:val="00EC781C"/>
    <w:rsid w:val="00ED3BF2"/>
    <w:rsid w:val="00ED619A"/>
    <w:rsid w:val="00ED64C0"/>
    <w:rsid w:val="00ED7E16"/>
    <w:rsid w:val="00EE02FA"/>
    <w:rsid w:val="00EE39F5"/>
    <w:rsid w:val="00EF21BC"/>
    <w:rsid w:val="00EF42CB"/>
    <w:rsid w:val="00F009A2"/>
    <w:rsid w:val="00F0347F"/>
    <w:rsid w:val="00F07B4A"/>
    <w:rsid w:val="00F15F9C"/>
    <w:rsid w:val="00F17AB2"/>
    <w:rsid w:val="00F24878"/>
    <w:rsid w:val="00F248DA"/>
    <w:rsid w:val="00F2503C"/>
    <w:rsid w:val="00F256FE"/>
    <w:rsid w:val="00F318EA"/>
    <w:rsid w:val="00F328D3"/>
    <w:rsid w:val="00F35455"/>
    <w:rsid w:val="00F45377"/>
    <w:rsid w:val="00F45791"/>
    <w:rsid w:val="00F458E0"/>
    <w:rsid w:val="00F468A3"/>
    <w:rsid w:val="00F4763E"/>
    <w:rsid w:val="00F526C6"/>
    <w:rsid w:val="00F53E09"/>
    <w:rsid w:val="00F55358"/>
    <w:rsid w:val="00F55D17"/>
    <w:rsid w:val="00F55ED3"/>
    <w:rsid w:val="00F56D30"/>
    <w:rsid w:val="00F6363C"/>
    <w:rsid w:val="00F64576"/>
    <w:rsid w:val="00F6586C"/>
    <w:rsid w:val="00F7186E"/>
    <w:rsid w:val="00F71F31"/>
    <w:rsid w:val="00F9195E"/>
    <w:rsid w:val="00F9541B"/>
    <w:rsid w:val="00F95734"/>
    <w:rsid w:val="00FA1FE0"/>
    <w:rsid w:val="00FA6F0B"/>
    <w:rsid w:val="00FA7378"/>
    <w:rsid w:val="00FB1240"/>
    <w:rsid w:val="00FB6271"/>
    <w:rsid w:val="00FC00E9"/>
    <w:rsid w:val="00FC6EAE"/>
    <w:rsid w:val="00FE1478"/>
    <w:rsid w:val="00FF33E3"/>
    <w:rsid w:val="00FF5AD2"/>
    <w:rsid w:val="00FF6071"/>
    <w:rsid w:val="01423520"/>
    <w:rsid w:val="018060F5"/>
    <w:rsid w:val="01AD5116"/>
    <w:rsid w:val="01BD4B8F"/>
    <w:rsid w:val="02070CCA"/>
    <w:rsid w:val="02214874"/>
    <w:rsid w:val="024644F3"/>
    <w:rsid w:val="024B1CD9"/>
    <w:rsid w:val="025739FF"/>
    <w:rsid w:val="02621DB3"/>
    <w:rsid w:val="027B5EE0"/>
    <w:rsid w:val="0282260D"/>
    <w:rsid w:val="029E2280"/>
    <w:rsid w:val="02B50726"/>
    <w:rsid w:val="02CB632B"/>
    <w:rsid w:val="02E73944"/>
    <w:rsid w:val="03072EA4"/>
    <w:rsid w:val="030D4DFC"/>
    <w:rsid w:val="032C5808"/>
    <w:rsid w:val="033930D8"/>
    <w:rsid w:val="034F0BBA"/>
    <w:rsid w:val="036D7BEB"/>
    <w:rsid w:val="03773C2D"/>
    <w:rsid w:val="038B0831"/>
    <w:rsid w:val="03984126"/>
    <w:rsid w:val="039C33DE"/>
    <w:rsid w:val="03B5196C"/>
    <w:rsid w:val="03BD578F"/>
    <w:rsid w:val="03DE5DE4"/>
    <w:rsid w:val="0410030A"/>
    <w:rsid w:val="04142EB6"/>
    <w:rsid w:val="042E253E"/>
    <w:rsid w:val="04387EA8"/>
    <w:rsid w:val="04536E7A"/>
    <w:rsid w:val="045B2258"/>
    <w:rsid w:val="047918CE"/>
    <w:rsid w:val="04CA7CC6"/>
    <w:rsid w:val="04D57717"/>
    <w:rsid w:val="04F54EB9"/>
    <w:rsid w:val="05207B86"/>
    <w:rsid w:val="053B04D5"/>
    <w:rsid w:val="053E604E"/>
    <w:rsid w:val="05442454"/>
    <w:rsid w:val="0554132D"/>
    <w:rsid w:val="05711AC4"/>
    <w:rsid w:val="057B074E"/>
    <w:rsid w:val="057C54D3"/>
    <w:rsid w:val="05A21435"/>
    <w:rsid w:val="05D21624"/>
    <w:rsid w:val="05D2339D"/>
    <w:rsid w:val="05D710DF"/>
    <w:rsid w:val="05DC27ED"/>
    <w:rsid w:val="05FE3289"/>
    <w:rsid w:val="06033F82"/>
    <w:rsid w:val="06055520"/>
    <w:rsid w:val="06080079"/>
    <w:rsid w:val="060E748D"/>
    <w:rsid w:val="06377CD2"/>
    <w:rsid w:val="06390D6C"/>
    <w:rsid w:val="06524B17"/>
    <w:rsid w:val="065E5339"/>
    <w:rsid w:val="06923E2F"/>
    <w:rsid w:val="06D60036"/>
    <w:rsid w:val="06DF2215"/>
    <w:rsid w:val="06EC048E"/>
    <w:rsid w:val="070A3A31"/>
    <w:rsid w:val="07235BE6"/>
    <w:rsid w:val="077B668D"/>
    <w:rsid w:val="077C68D3"/>
    <w:rsid w:val="078B2AA0"/>
    <w:rsid w:val="07B67FEE"/>
    <w:rsid w:val="07CA002B"/>
    <w:rsid w:val="07DC3370"/>
    <w:rsid w:val="081B727D"/>
    <w:rsid w:val="08283948"/>
    <w:rsid w:val="08380313"/>
    <w:rsid w:val="085668B9"/>
    <w:rsid w:val="08911D8F"/>
    <w:rsid w:val="089C2D9F"/>
    <w:rsid w:val="08BE59CA"/>
    <w:rsid w:val="08C72F61"/>
    <w:rsid w:val="08CC4A1B"/>
    <w:rsid w:val="08D057CA"/>
    <w:rsid w:val="08E52B9D"/>
    <w:rsid w:val="090C37C7"/>
    <w:rsid w:val="090E27CB"/>
    <w:rsid w:val="091D6C80"/>
    <w:rsid w:val="094366EC"/>
    <w:rsid w:val="0978425B"/>
    <w:rsid w:val="098D4117"/>
    <w:rsid w:val="09936D78"/>
    <w:rsid w:val="09AF6272"/>
    <w:rsid w:val="09C919C6"/>
    <w:rsid w:val="09EB2C7F"/>
    <w:rsid w:val="09EE1E7C"/>
    <w:rsid w:val="09F718C2"/>
    <w:rsid w:val="0A23663E"/>
    <w:rsid w:val="0A4C4192"/>
    <w:rsid w:val="0A577B6D"/>
    <w:rsid w:val="0A614627"/>
    <w:rsid w:val="0A630AA8"/>
    <w:rsid w:val="0A665CC9"/>
    <w:rsid w:val="0A6E024D"/>
    <w:rsid w:val="0A800542"/>
    <w:rsid w:val="0ABB157D"/>
    <w:rsid w:val="0B962613"/>
    <w:rsid w:val="0B9967A0"/>
    <w:rsid w:val="0BB240EC"/>
    <w:rsid w:val="0BD36BA1"/>
    <w:rsid w:val="0BD54713"/>
    <w:rsid w:val="0C176489"/>
    <w:rsid w:val="0C2B1BDF"/>
    <w:rsid w:val="0C712BAB"/>
    <w:rsid w:val="0C9A6418"/>
    <w:rsid w:val="0CA82015"/>
    <w:rsid w:val="0CE95576"/>
    <w:rsid w:val="0D0D6822"/>
    <w:rsid w:val="0D1F39BB"/>
    <w:rsid w:val="0D295CEC"/>
    <w:rsid w:val="0D2F3E70"/>
    <w:rsid w:val="0D3C65AD"/>
    <w:rsid w:val="0D430349"/>
    <w:rsid w:val="0D6671EC"/>
    <w:rsid w:val="0D810E0E"/>
    <w:rsid w:val="0D861A83"/>
    <w:rsid w:val="0D991370"/>
    <w:rsid w:val="0D9A660E"/>
    <w:rsid w:val="0DA41AC3"/>
    <w:rsid w:val="0DB02779"/>
    <w:rsid w:val="0DBF06AB"/>
    <w:rsid w:val="0E0A0318"/>
    <w:rsid w:val="0E107158"/>
    <w:rsid w:val="0E1D2241"/>
    <w:rsid w:val="0E30434A"/>
    <w:rsid w:val="0E883E64"/>
    <w:rsid w:val="0E9A44A0"/>
    <w:rsid w:val="0EB708E3"/>
    <w:rsid w:val="0EEC2730"/>
    <w:rsid w:val="0F366906"/>
    <w:rsid w:val="0F443B99"/>
    <w:rsid w:val="0F476230"/>
    <w:rsid w:val="0F4D1A20"/>
    <w:rsid w:val="0F750318"/>
    <w:rsid w:val="0F9F06F5"/>
    <w:rsid w:val="0FE807EA"/>
    <w:rsid w:val="100474BF"/>
    <w:rsid w:val="1029351F"/>
    <w:rsid w:val="10301D32"/>
    <w:rsid w:val="10365B09"/>
    <w:rsid w:val="10375DC2"/>
    <w:rsid w:val="10401F77"/>
    <w:rsid w:val="104411D3"/>
    <w:rsid w:val="10563548"/>
    <w:rsid w:val="106F700B"/>
    <w:rsid w:val="10836C5C"/>
    <w:rsid w:val="108C704C"/>
    <w:rsid w:val="10A1053B"/>
    <w:rsid w:val="10C00FFE"/>
    <w:rsid w:val="10C91E90"/>
    <w:rsid w:val="11005F19"/>
    <w:rsid w:val="112C2305"/>
    <w:rsid w:val="113A25BB"/>
    <w:rsid w:val="11410977"/>
    <w:rsid w:val="11432D0E"/>
    <w:rsid w:val="11B4471C"/>
    <w:rsid w:val="11C75D80"/>
    <w:rsid w:val="11D34725"/>
    <w:rsid w:val="11E35638"/>
    <w:rsid w:val="11E37A2B"/>
    <w:rsid w:val="12072620"/>
    <w:rsid w:val="121F796A"/>
    <w:rsid w:val="123B6893"/>
    <w:rsid w:val="12975449"/>
    <w:rsid w:val="12EF5E79"/>
    <w:rsid w:val="130A2CAA"/>
    <w:rsid w:val="131D034D"/>
    <w:rsid w:val="13360220"/>
    <w:rsid w:val="13366A55"/>
    <w:rsid w:val="13463279"/>
    <w:rsid w:val="139A488C"/>
    <w:rsid w:val="13C77774"/>
    <w:rsid w:val="13F57F6C"/>
    <w:rsid w:val="13FF1168"/>
    <w:rsid w:val="14086A03"/>
    <w:rsid w:val="140E6E4A"/>
    <w:rsid w:val="145A7716"/>
    <w:rsid w:val="146749BD"/>
    <w:rsid w:val="14CE3A29"/>
    <w:rsid w:val="14D55810"/>
    <w:rsid w:val="14DC7DB2"/>
    <w:rsid w:val="14F41582"/>
    <w:rsid w:val="151B6A54"/>
    <w:rsid w:val="15461D49"/>
    <w:rsid w:val="15612B32"/>
    <w:rsid w:val="15A15396"/>
    <w:rsid w:val="15AC59B8"/>
    <w:rsid w:val="15BF5ABC"/>
    <w:rsid w:val="15CC7E13"/>
    <w:rsid w:val="15EB2F47"/>
    <w:rsid w:val="16161084"/>
    <w:rsid w:val="164D02A2"/>
    <w:rsid w:val="16511225"/>
    <w:rsid w:val="1660066C"/>
    <w:rsid w:val="16816DC1"/>
    <w:rsid w:val="16A17AC3"/>
    <w:rsid w:val="16D0150A"/>
    <w:rsid w:val="17141A67"/>
    <w:rsid w:val="171C09AA"/>
    <w:rsid w:val="173D6D3E"/>
    <w:rsid w:val="1765564D"/>
    <w:rsid w:val="176A756C"/>
    <w:rsid w:val="177A622E"/>
    <w:rsid w:val="177F60AE"/>
    <w:rsid w:val="17B31280"/>
    <w:rsid w:val="17BA0860"/>
    <w:rsid w:val="17C21619"/>
    <w:rsid w:val="17DA6EDC"/>
    <w:rsid w:val="17ED289A"/>
    <w:rsid w:val="183758C4"/>
    <w:rsid w:val="18664CB9"/>
    <w:rsid w:val="186676C0"/>
    <w:rsid w:val="187D53EA"/>
    <w:rsid w:val="189F2F32"/>
    <w:rsid w:val="18A230A3"/>
    <w:rsid w:val="18CA1AC6"/>
    <w:rsid w:val="18D05AF0"/>
    <w:rsid w:val="18DA6CE0"/>
    <w:rsid w:val="18ED431E"/>
    <w:rsid w:val="191115B0"/>
    <w:rsid w:val="19426B2A"/>
    <w:rsid w:val="19636CD6"/>
    <w:rsid w:val="198820DE"/>
    <w:rsid w:val="19E33778"/>
    <w:rsid w:val="19E61F2D"/>
    <w:rsid w:val="19E6529B"/>
    <w:rsid w:val="1A0B6EA0"/>
    <w:rsid w:val="1A556088"/>
    <w:rsid w:val="1AC63078"/>
    <w:rsid w:val="1ACF18FF"/>
    <w:rsid w:val="1AF35E37"/>
    <w:rsid w:val="1B397052"/>
    <w:rsid w:val="1B5E5BC2"/>
    <w:rsid w:val="1B982519"/>
    <w:rsid w:val="1BC0247D"/>
    <w:rsid w:val="1BD258E5"/>
    <w:rsid w:val="1C092933"/>
    <w:rsid w:val="1C2420E9"/>
    <w:rsid w:val="1C2C2B51"/>
    <w:rsid w:val="1C314E69"/>
    <w:rsid w:val="1C366F3C"/>
    <w:rsid w:val="1C39407D"/>
    <w:rsid w:val="1C3A3DE5"/>
    <w:rsid w:val="1C67624A"/>
    <w:rsid w:val="1C7E0BD3"/>
    <w:rsid w:val="1C8C3EDE"/>
    <w:rsid w:val="1CAD1A3D"/>
    <w:rsid w:val="1CCA62A0"/>
    <w:rsid w:val="1CD001DE"/>
    <w:rsid w:val="1CDF70FE"/>
    <w:rsid w:val="1CE2194A"/>
    <w:rsid w:val="1CF80B3B"/>
    <w:rsid w:val="1D32474D"/>
    <w:rsid w:val="1D41732E"/>
    <w:rsid w:val="1D547647"/>
    <w:rsid w:val="1D6F66B1"/>
    <w:rsid w:val="1DBB6DC4"/>
    <w:rsid w:val="1E190469"/>
    <w:rsid w:val="1E200CF1"/>
    <w:rsid w:val="1E20131E"/>
    <w:rsid w:val="1E3B5B2B"/>
    <w:rsid w:val="1E3F3B3A"/>
    <w:rsid w:val="1E4621B3"/>
    <w:rsid w:val="1E540B6E"/>
    <w:rsid w:val="1E597827"/>
    <w:rsid w:val="1E893289"/>
    <w:rsid w:val="1ECF44C6"/>
    <w:rsid w:val="1ED27EF1"/>
    <w:rsid w:val="1F02489B"/>
    <w:rsid w:val="1F174C54"/>
    <w:rsid w:val="1F3B0F90"/>
    <w:rsid w:val="1F63358C"/>
    <w:rsid w:val="1F7C4A72"/>
    <w:rsid w:val="1F863C7E"/>
    <w:rsid w:val="1FB322C7"/>
    <w:rsid w:val="1FF14846"/>
    <w:rsid w:val="20002179"/>
    <w:rsid w:val="200D4EB0"/>
    <w:rsid w:val="201C12BD"/>
    <w:rsid w:val="202B2BDC"/>
    <w:rsid w:val="203B0065"/>
    <w:rsid w:val="20406A76"/>
    <w:rsid w:val="20452C91"/>
    <w:rsid w:val="205B4263"/>
    <w:rsid w:val="206F5EDD"/>
    <w:rsid w:val="2091237A"/>
    <w:rsid w:val="209E6CC6"/>
    <w:rsid w:val="20A70EE5"/>
    <w:rsid w:val="20A747F2"/>
    <w:rsid w:val="20B05E5E"/>
    <w:rsid w:val="20BC45CE"/>
    <w:rsid w:val="20C56C03"/>
    <w:rsid w:val="20EA3839"/>
    <w:rsid w:val="217557F8"/>
    <w:rsid w:val="21816057"/>
    <w:rsid w:val="21A55BFD"/>
    <w:rsid w:val="21BB36E7"/>
    <w:rsid w:val="21CB4C2F"/>
    <w:rsid w:val="21E21C06"/>
    <w:rsid w:val="21FA4499"/>
    <w:rsid w:val="21FD73C0"/>
    <w:rsid w:val="223C1E72"/>
    <w:rsid w:val="223E2D87"/>
    <w:rsid w:val="229F473A"/>
    <w:rsid w:val="22B2430B"/>
    <w:rsid w:val="22C95DFC"/>
    <w:rsid w:val="22E901BC"/>
    <w:rsid w:val="22EE2ABE"/>
    <w:rsid w:val="232A4FD6"/>
    <w:rsid w:val="232E179E"/>
    <w:rsid w:val="233174FD"/>
    <w:rsid w:val="234E00AF"/>
    <w:rsid w:val="23612762"/>
    <w:rsid w:val="2378337E"/>
    <w:rsid w:val="23894582"/>
    <w:rsid w:val="238A6F7F"/>
    <w:rsid w:val="23A14683"/>
    <w:rsid w:val="23BC1FB4"/>
    <w:rsid w:val="23C81C42"/>
    <w:rsid w:val="23CF042C"/>
    <w:rsid w:val="23D25AD3"/>
    <w:rsid w:val="24181233"/>
    <w:rsid w:val="241F0FA0"/>
    <w:rsid w:val="242B4AF5"/>
    <w:rsid w:val="245F1650"/>
    <w:rsid w:val="246102B6"/>
    <w:rsid w:val="2473547F"/>
    <w:rsid w:val="2481526D"/>
    <w:rsid w:val="24A012E5"/>
    <w:rsid w:val="24D30BB9"/>
    <w:rsid w:val="24D60223"/>
    <w:rsid w:val="25130550"/>
    <w:rsid w:val="252D6869"/>
    <w:rsid w:val="25396B3D"/>
    <w:rsid w:val="257336F0"/>
    <w:rsid w:val="257F6C45"/>
    <w:rsid w:val="2582739A"/>
    <w:rsid w:val="25940E0A"/>
    <w:rsid w:val="25B258CA"/>
    <w:rsid w:val="25C1725E"/>
    <w:rsid w:val="26216182"/>
    <w:rsid w:val="263B5621"/>
    <w:rsid w:val="267A6BDE"/>
    <w:rsid w:val="26881050"/>
    <w:rsid w:val="26D92F52"/>
    <w:rsid w:val="26F70A5D"/>
    <w:rsid w:val="26FD0EE8"/>
    <w:rsid w:val="270F6F41"/>
    <w:rsid w:val="27342766"/>
    <w:rsid w:val="2757414F"/>
    <w:rsid w:val="277023E9"/>
    <w:rsid w:val="27840B15"/>
    <w:rsid w:val="27962024"/>
    <w:rsid w:val="27A44031"/>
    <w:rsid w:val="27E71DB6"/>
    <w:rsid w:val="27EC7E96"/>
    <w:rsid w:val="27EF5E9D"/>
    <w:rsid w:val="280648C0"/>
    <w:rsid w:val="284F4B62"/>
    <w:rsid w:val="28557961"/>
    <w:rsid w:val="28695A0E"/>
    <w:rsid w:val="28EE2D47"/>
    <w:rsid w:val="290A5BF0"/>
    <w:rsid w:val="29161B72"/>
    <w:rsid w:val="291706BD"/>
    <w:rsid w:val="296F2A89"/>
    <w:rsid w:val="298711FE"/>
    <w:rsid w:val="29B5763E"/>
    <w:rsid w:val="29BA3665"/>
    <w:rsid w:val="2A210B79"/>
    <w:rsid w:val="2A670B43"/>
    <w:rsid w:val="2A677CA8"/>
    <w:rsid w:val="2A7A1FBE"/>
    <w:rsid w:val="2A7D63B6"/>
    <w:rsid w:val="2A90047E"/>
    <w:rsid w:val="2AB64BB5"/>
    <w:rsid w:val="2ABD25EB"/>
    <w:rsid w:val="2AD57308"/>
    <w:rsid w:val="2ADE61BC"/>
    <w:rsid w:val="2AE0136C"/>
    <w:rsid w:val="2AF42520"/>
    <w:rsid w:val="2AF71297"/>
    <w:rsid w:val="2B3060BD"/>
    <w:rsid w:val="2B392522"/>
    <w:rsid w:val="2B776CA9"/>
    <w:rsid w:val="2B894447"/>
    <w:rsid w:val="2BBD633A"/>
    <w:rsid w:val="2BD53DFD"/>
    <w:rsid w:val="2C1F30F2"/>
    <w:rsid w:val="2C2E4F21"/>
    <w:rsid w:val="2C3255D8"/>
    <w:rsid w:val="2C3E1AF5"/>
    <w:rsid w:val="2C484235"/>
    <w:rsid w:val="2C4E4363"/>
    <w:rsid w:val="2C732934"/>
    <w:rsid w:val="2C9B69BB"/>
    <w:rsid w:val="2CA37B48"/>
    <w:rsid w:val="2CA761EC"/>
    <w:rsid w:val="2CBF36E8"/>
    <w:rsid w:val="2CC03DCD"/>
    <w:rsid w:val="2D203184"/>
    <w:rsid w:val="2D5E0C8F"/>
    <w:rsid w:val="2D861347"/>
    <w:rsid w:val="2DA3696B"/>
    <w:rsid w:val="2DA41E30"/>
    <w:rsid w:val="2DAB231E"/>
    <w:rsid w:val="2DAB7EBB"/>
    <w:rsid w:val="2E0F48DF"/>
    <w:rsid w:val="2E3E5269"/>
    <w:rsid w:val="2E533277"/>
    <w:rsid w:val="2E743721"/>
    <w:rsid w:val="2E7B4030"/>
    <w:rsid w:val="2E9102A8"/>
    <w:rsid w:val="2EC46B8D"/>
    <w:rsid w:val="2EC85707"/>
    <w:rsid w:val="2ECB049F"/>
    <w:rsid w:val="2EEB0D06"/>
    <w:rsid w:val="2EEB70FA"/>
    <w:rsid w:val="2F1929B3"/>
    <w:rsid w:val="2F2148C9"/>
    <w:rsid w:val="2F462582"/>
    <w:rsid w:val="2F4C0E27"/>
    <w:rsid w:val="2F8D2BA8"/>
    <w:rsid w:val="2F9C35B2"/>
    <w:rsid w:val="2F9E6EAD"/>
    <w:rsid w:val="2F9F7B5B"/>
    <w:rsid w:val="2FA23C5C"/>
    <w:rsid w:val="2FAA688C"/>
    <w:rsid w:val="2FC42004"/>
    <w:rsid w:val="2FD22FBC"/>
    <w:rsid w:val="2FEA73B1"/>
    <w:rsid w:val="2FED29FE"/>
    <w:rsid w:val="300334C4"/>
    <w:rsid w:val="301158D2"/>
    <w:rsid w:val="30223E9C"/>
    <w:rsid w:val="302E1F9B"/>
    <w:rsid w:val="30515682"/>
    <w:rsid w:val="305C687C"/>
    <w:rsid w:val="306233EC"/>
    <w:rsid w:val="307F65FB"/>
    <w:rsid w:val="309602E8"/>
    <w:rsid w:val="3097733C"/>
    <w:rsid w:val="30B42CB5"/>
    <w:rsid w:val="30D33394"/>
    <w:rsid w:val="30DE108E"/>
    <w:rsid w:val="3179279B"/>
    <w:rsid w:val="317B3C63"/>
    <w:rsid w:val="31815AF3"/>
    <w:rsid w:val="31E03CD0"/>
    <w:rsid w:val="31F44517"/>
    <w:rsid w:val="3205125D"/>
    <w:rsid w:val="32081D71"/>
    <w:rsid w:val="32145040"/>
    <w:rsid w:val="3242018E"/>
    <w:rsid w:val="32751534"/>
    <w:rsid w:val="32925AEB"/>
    <w:rsid w:val="32A9353C"/>
    <w:rsid w:val="32B37F2E"/>
    <w:rsid w:val="32FB3261"/>
    <w:rsid w:val="33145A92"/>
    <w:rsid w:val="331577B1"/>
    <w:rsid w:val="33242675"/>
    <w:rsid w:val="33291F9F"/>
    <w:rsid w:val="33365B6C"/>
    <w:rsid w:val="333D16C1"/>
    <w:rsid w:val="33863C3A"/>
    <w:rsid w:val="33B74629"/>
    <w:rsid w:val="33CC3D88"/>
    <w:rsid w:val="33D41609"/>
    <w:rsid w:val="33E543FC"/>
    <w:rsid w:val="348902A8"/>
    <w:rsid w:val="34B93D1A"/>
    <w:rsid w:val="34C1457E"/>
    <w:rsid w:val="34D036D4"/>
    <w:rsid w:val="34E72CA7"/>
    <w:rsid w:val="34F27633"/>
    <w:rsid w:val="34F63C57"/>
    <w:rsid w:val="351C000D"/>
    <w:rsid w:val="35215933"/>
    <w:rsid w:val="35226463"/>
    <w:rsid w:val="35275692"/>
    <w:rsid w:val="352C5D76"/>
    <w:rsid w:val="353D61D5"/>
    <w:rsid w:val="353E3268"/>
    <w:rsid w:val="358A4142"/>
    <w:rsid w:val="35B209CA"/>
    <w:rsid w:val="35DF103A"/>
    <w:rsid w:val="35F85DB6"/>
    <w:rsid w:val="360D5BA8"/>
    <w:rsid w:val="36107D81"/>
    <w:rsid w:val="36533F02"/>
    <w:rsid w:val="365B4731"/>
    <w:rsid w:val="368366EE"/>
    <w:rsid w:val="36A8633F"/>
    <w:rsid w:val="36AD0EA9"/>
    <w:rsid w:val="36C80F8C"/>
    <w:rsid w:val="36D21F7B"/>
    <w:rsid w:val="36DA539D"/>
    <w:rsid w:val="36E7686C"/>
    <w:rsid w:val="36FD2792"/>
    <w:rsid w:val="37037C53"/>
    <w:rsid w:val="37204CD3"/>
    <w:rsid w:val="3747469B"/>
    <w:rsid w:val="377E2588"/>
    <w:rsid w:val="378E4AC6"/>
    <w:rsid w:val="379D4641"/>
    <w:rsid w:val="37A367C3"/>
    <w:rsid w:val="37CB2D9B"/>
    <w:rsid w:val="37E34481"/>
    <w:rsid w:val="37F35394"/>
    <w:rsid w:val="37F67133"/>
    <w:rsid w:val="37F77868"/>
    <w:rsid w:val="37FD1CC7"/>
    <w:rsid w:val="37FE01FA"/>
    <w:rsid w:val="38256DB8"/>
    <w:rsid w:val="382A461B"/>
    <w:rsid w:val="38697999"/>
    <w:rsid w:val="38774062"/>
    <w:rsid w:val="388101F7"/>
    <w:rsid w:val="389B7DEE"/>
    <w:rsid w:val="389C49A8"/>
    <w:rsid w:val="38A003CD"/>
    <w:rsid w:val="38AE2074"/>
    <w:rsid w:val="38B71DFB"/>
    <w:rsid w:val="38BB18EB"/>
    <w:rsid w:val="38BB7B3D"/>
    <w:rsid w:val="38C8225A"/>
    <w:rsid w:val="38CC3A47"/>
    <w:rsid w:val="38D45600"/>
    <w:rsid w:val="38E250CA"/>
    <w:rsid w:val="38E366CF"/>
    <w:rsid w:val="38EE0D7F"/>
    <w:rsid w:val="38FD1350"/>
    <w:rsid w:val="391464AF"/>
    <w:rsid w:val="39632693"/>
    <w:rsid w:val="396B4DB7"/>
    <w:rsid w:val="399A358E"/>
    <w:rsid w:val="39AB067A"/>
    <w:rsid w:val="39C67A31"/>
    <w:rsid w:val="39CD451A"/>
    <w:rsid w:val="39D1032B"/>
    <w:rsid w:val="3A0676E2"/>
    <w:rsid w:val="3A236C84"/>
    <w:rsid w:val="3A374606"/>
    <w:rsid w:val="3A3B346A"/>
    <w:rsid w:val="3A5257CB"/>
    <w:rsid w:val="3A6A1BCE"/>
    <w:rsid w:val="3A786573"/>
    <w:rsid w:val="3A86202B"/>
    <w:rsid w:val="3A994024"/>
    <w:rsid w:val="3AE570F3"/>
    <w:rsid w:val="3AF52BB4"/>
    <w:rsid w:val="3AFB63A9"/>
    <w:rsid w:val="3B0F526C"/>
    <w:rsid w:val="3B1B5586"/>
    <w:rsid w:val="3B3957AE"/>
    <w:rsid w:val="3B543EB9"/>
    <w:rsid w:val="3B7A446C"/>
    <w:rsid w:val="3B871415"/>
    <w:rsid w:val="3BBF5755"/>
    <w:rsid w:val="3BDD2CBF"/>
    <w:rsid w:val="3BEA76DC"/>
    <w:rsid w:val="3BFF66C8"/>
    <w:rsid w:val="3C040834"/>
    <w:rsid w:val="3C041324"/>
    <w:rsid w:val="3C1C08F2"/>
    <w:rsid w:val="3C3519B4"/>
    <w:rsid w:val="3C44036E"/>
    <w:rsid w:val="3CE02706"/>
    <w:rsid w:val="3CE82714"/>
    <w:rsid w:val="3D2C2191"/>
    <w:rsid w:val="3DAA4C34"/>
    <w:rsid w:val="3E160964"/>
    <w:rsid w:val="3E272EE8"/>
    <w:rsid w:val="3E2C4CB0"/>
    <w:rsid w:val="3E543547"/>
    <w:rsid w:val="3E555235"/>
    <w:rsid w:val="3E675CBA"/>
    <w:rsid w:val="3E892E66"/>
    <w:rsid w:val="3EBE43EA"/>
    <w:rsid w:val="3EC05EAD"/>
    <w:rsid w:val="3ECA5C3E"/>
    <w:rsid w:val="3EEF0540"/>
    <w:rsid w:val="3EFC4A0B"/>
    <w:rsid w:val="3F092ACC"/>
    <w:rsid w:val="3F0C1A6F"/>
    <w:rsid w:val="3F37544B"/>
    <w:rsid w:val="3F5D64C9"/>
    <w:rsid w:val="3F7C76DB"/>
    <w:rsid w:val="3FAF5B44"/>
    <w:rsid w:val="3FB44FF5"/>
    <w:rsid w:val="3FB5361E"/>
    <w:rsid w:val="3FC203C9"/>
    <w:rsid w:val="3FC5710B"/>
    <w:rsid w:val="3FDB426C"/>
    <w:rsid w:val="40220C31"/>
    <w:rsid w:val="40263997"/>
    <w:rsid w:val="40362BA5"/>
    <w:rsid w:val="406D6C25"/>
    <w:rsid w:val="40947AA3"/>
    <w:rsid w:val="409A7D69"/>
    <w:rsid w:val="40A67324"/>
    <w:rsid w:val="40F50CC2"/>
    <w:rsid w:val="410909E3"/>
    <w:rsid w:val="415428DD"/>
    <w:rsid w:val="415C6874"/>
    <w:rsid w:val="416E4682"/>
    <w:rsid w:val="419B7E97"/>
    <w:rsid w:val="41CE07F4"/>
    <w:rsid w:val="41E81277"/>
    <w:rsid w:val="42037F1B"/>
    <w:rsid w:val="42107A0D"/>
    <w:rsid w:val="421A58D4"/>
    <w:rsid w:val="422759B4"/>
    <w:rsid w:val="42311E19"/>
    <w:rsid w:val="42453BA2"/>
    <w:rsid w:val="42686225"/>
    <w:rsid w:val="42A072C4"/>
    <w:rsid w:val="42A930FC"/>
    <w:rsid w:val="42D47E2D"/>
    <w:rsid w:val="42E80618"/>
    <w:rsid w:val="432D3126"/>
    <w:rsid w:val="433F136A"/>
    <w:rsid w:val="436B61B9"/>
    <w:rsid w:val="43791C83"/>
    <w:rsid w:val="43A121E4"/>
    <w:rsid w:val="43A614FB"/>
    <w:rsid w:val="43BE2696"/>
    <w:rsid w:val="43DE480E"/>
    <w:rsid w:val="43E91CB4"/>
    <w:rsid w:val="43ED2FA9"/>
    <w:rsid w:val="44177C0D"/>
    <w:rsid w:val="442567B2"/>
    <w:rsid w:val="442622F1"/>
    <w:rsid w:val="4428290A"/>
    <w:rsid w:val="44285453"/>
    <w:rsid w:val="443019BB"/>
    <w:rsid w:val="44316F05"/>
    <w:rsid w:val="443F7874"/>
    <w:rsid w:val="444A2912"/>
    <w:rsid w:val="44533AE7"/>
    <w:rsid w:val="4469554B"/>
    <w:rsid w:val="446F5021"/>
    <w:rsid w:val="44751290"/>
    <w:rsid w:val="44957494"/>
    <w:rsid w:val="449E701D"/>
    <w:rsid w:val="44B3213C"/>
    <w:rsid w:val="44B55D88"/>
    <w:rsid w:val="44D07D65"/>
    <w:rsid w:val="45290A72"/>
    <w:rsid w:val="453F110C"/>
    <w:rsid w:val="454E66C8"/>
    <w:rsid w:val="454F78C2"/>
    <w:rsid w:val="45610118"/>
    <w:rsid w:val="45AF27D7"/>
    <w:rsid w:val="45D33F82"/>
    <w:rsid w:val="45FB0C9D"/>
    <w:rsid w:val="46056688"/>
    <w:rsid w:val="46102F1B"/>
    <w:rsid w:val="46606D5A"/>
    <w:rsid w:val="46A16E2A"/>
    <w:rsid w:val="46B3187C"/>
    <w:rsid w:val="46C44060"/>
    <w:rsid w:val="46D71FE6"/>
    <w:rsid w:val="46E27901"/>
    <w:rsid w:val="46EC22D2"/>
    <w:rsid w:val="47134FE8"/>
    <w:rsid w:val="47366A37"/>
    <w:rsid w:val="474D5DD8"/>
    <w:rsid w:val="47562F96"/>
    <w:rsid w:val="47781938"/>
    <w:rsid w:val="47A923AE"/>
    <w:rsid w:val="47AF53A3"/>
    <w:rsid w:val="47B045E5"/>
    <w:rsid w:val="47FE0DE2"/>
    <w:rsid w:val="48032416"/>
    <w:rsid w:val="480A324D"/>
    <w:rsid w:val="480C3F11"/>
    <w:rsid w:val="48120500"/>
    <w:rsid w:val="481904C5"/>
    <w:rsid w:val="48362283"/>
    <w:rsid w:val="48B3438D"/>
    <w:rsid w:val="48C07825"/>
    <w:rsid w:val="49340896"/>
    <w:rsid w:val="496D6C31"/>
    <w:rsid w:val="498F4DFA"/>
    <w:rsid w:val="49AD0404"/>
    <w:rsid w:val="49DA3B9B"/>
    <w:rsid w:val="49DF043B"/>
    <w:rsid w:val="49F84678"/>
    <w:rsid w:val="49FF5FEA"/>
    <w:rsid w:val="4A0A14D2"/>
    <w:rsid w:val="4A201EF6"/>
    <w:rsid w:val="4A342237"/>
    <w:rsid w:val="4A466ABF"/>
    <w:rsid w:val="4A484FA8"/>
    <w:rsid w:val="4A496362"/>
    <w:rsid w:val="4A54394D"/>
    <w:rsid w:val="4A5F72A3"/>
    <w:rsid w:val="4A610704"/>
    <w:rsid w:val="4A621DB5"/>
    <w:rsid w:val="4A7049A8"/>
    <w:rsid w:val="4AAD41BC"/>
    <w:rsid w:val="4ADB1B7B"/>
    <w:rsid w:val="4B2547F5"/>
    <w:rsid w:val="4B441EE7"/>
    <w:rsid w:val="4B630B06"/>
    <w:rsid w:val="4B897627"/>
    <w:rsid w:val="4B9D7F68"/>
    <w:rsid w:val="4BA05C1A"/>
    <w:rsid w:val="4BAB3A41"/>
    <w:rsid w:val="4BAD1B2E"/>
    <w:rsid w:val="4BAD7FA4"/>
    <w:rsid w:val="4BB27032"/>
    <w:rsid w:val="4BD51861"/>
    <w:rsid w:val="4C5C2280"/>
    <w:rsid w:val="4CCA439B"/>
    <w:rsid w:val="4CFE5DF2"/>
    <w:rsid w:val="4D062124"/>
    <w:rsid w:val="4D1C12A2"/>
    <w:rsid w:val="4D390A60"/>
    <w:rsid w:val="4D3D3284"/>
    <w:rsid w:val="4D5708D1"/>
    <w:rsid w:val="4D6501A9"/>
    <w:rsid w:val="4D855493"/>
    <w:rsid w:val="4DC411B8"/>
    <w:rsid w:val="4DD032EA"/>
    <w:rsid w:val="4DED0341"/>
    <w:rsid w:val="4E2D4CA9"/>
    <w:rsid w:val="4EAC3D58"/>
    <w:rsid w:val="4EC32946"/>
    <w:rsid w:val="4ED80FF1"/>
    <w:rsid w:val="4EE2777A"/>
    <w:rsid w:val="4EE52B42"/>
    <w:rsid w:val="4F193B4E"/>
    <w:rsid w:val="4F215707"/>
    <w:rsid w:val="4F460F98"/>
    <w:rsid w:val="4F4E0AD0"/>
    <w:rsid w:val="4F4E7E9B"/>
    <w:rsid w:val="4F564114"/>
    <w:rsid w:val="4F680366"/>
    <w:rsid w:val="4F831D37"/>
    <w:rsid w:val="50106568"/>
    <w:rsid w:val="501A1195"/>
    <w:rsid w:val="50285660"/>
    <w:rsid w:val="505F7455"/>
    <w:rsid w:val="509C2406"/>
    <w:rsid w:val="50B74C36"/>
    <w:rsid w:val="50C47282"/>
    <w:rsid w:val="50C51101"/>
    <w:rsid w:val="50FF269D"/>
    <w:rsid w:val="51176DB1"/>
    <w:rsid w:val="51273979"/>
    <w:rsid w:val="5140765E"/>
    <w:rsid w:val="51524BF1"/>
    <w:rsid w:val="51624BA2"/>
    <w:rsid w:val="51A95109"/>
    <w:rsid w:val="51D82CD4"/>
    <w:rsid w:val="51DF6C6B"/>
    <w:rsid w:val="51E63A25"/>
    <w:rsid w:val="520351A6"/>
    <w:rsid w:val="520F39C4"/>
    <w:rsid w:val="523C1BE3"/>
    <w:rsid w:val="52470153"/>
    <w:rsid w:val="526F5493"/>
    <w:rsid w:val="52807AF8"/>
    <w:rsid w:val="52B21C44"/>
    <w:rsid w:val="52C33D66"/>
    <w:rsid w:val="52D71FC3"/>
    <w:rsid w:val="52E96B8E"/>
    <w:rsid w:val="530F4D71"/>
    <w:rsid w:val="53421FA8"/>
    <w:rsid w:val="5344140E"/>
    <w:rsid w:val="53657C15"/>
    <w:rsid w:val="537A46AB"/>
    <w:rsid w:val="5385401A"/>
    <w:rsid w:val="53BB09A0"/>
    <w:rsid w:val="53C6336A"/>
    <w:rsid w:val="53D32D64"/>
    <w:rsid w:val="53D87392"/>
    <w:rsid w:val="53D9424C"/>
    <w:rsid w:val="54081DE7"/>
    <w:rsid w:val="54171207"/>
    <w:rsid w:val="54430A62"/>
    <w:rsid w:val="54501629"/>
    <w:rsid w:val="54520EFE"/>
    <w:rsid w:val="547020EE"/>
    <w:rsid w:val="54755E20"/>
    <w:rsid w:val="54803697"/>
    <w:rsid w:val="54E227E7"/>
    <w:rsid w:val="54E64075"/>
    <w:rsid w:val="550C02DF"/>
    <w:rsid w:val="55164D64"/>
    <w:rsid w:val="55171D5C"/>
    <w:rsid w:val="55237F6A"/>
    <w:rsid w:val="554D1730"/>
    <w:rsid w:val="555E76F2"/>
    <w:rsid w:val="55837096"/>
    <w:rsid w:val="55976B13"/>
    <w:rsid w:val="55EB6C18"/>
    <w:rsid w:val="55EC35D4"/>
    <w:rsid w:val="55F56A93"/>
    <w:rsid w:val="56096CFE"/>
    <w:rsid w:val="56590B9E"/>
    <w:rsid w:val="565A44C9"/>
    <w:rsid w:val="565E1815"/>
    <w:rsid w:val="5679256C"/>
    <w:rsid w:val="56807F55"/>
    <w:rsid w:val="568E49D8"/>
    <w:rsid w:val="56BE0ACC"/>
    <w:rsid w:val="56C94A91"/>
    <w:rsid w:val="56DF7F10"/>
    <w:rsid w:val="57056725"/>
    <w:rsid w:val="570D7EE4"/>
    <w:rsid w:val="572E69FB"/>
    <w:rsid w:val="575027BA"/>
    <w:rsid w:val="57726A34"/>
    <w:rsid w:val="57787556"/>
    <w:rsid w:val="579728E4"/>
    <w:rsid w:val="57E52089"/>
    <w:rsid w:val="57EF1159"/>
    <w:rsid w:val="58013909"/>
    <w:rsid w:val="58215685"/>
    <w:rsid w:val="582F4AFC"/>
    <w:rsid w:val="58406ED3"/>
    <w:rsid w:val="58686A98"/>
    <w:rsid w:val="58701559"/>
    <w:rsid w:val="58AE295F"/>
    <w:rsid w:val="58C91B01"/>
    <w:rsid w:val="58CD2AEF"/>
    <w:rsid w:val="58CE7418"/>
    <w:rsid w:val="58D158B1"/>
    <w:rsid w:val="58DF76E5"/>
    <w:rsid w:val="58E82747"/>
    <w:rsid w:val="58F44C79"/>
    <w:rsid w:val="59106827"/>
    <w:rsid w:val="593C2F1E"/>
    <w:rsid w:val="59554017"/>
    <w:rsid w:val="59623355"/>
    <w:rsid w:val="59826569"/>
    <w:rsid w:val="59A724BA"/>
    <w:rsid w:val="59C43109"/>
    <w:rsid w:val="59C77C98"/>
    <w:rsid w:val="59CE1B76"/>
    <w:rsid w:val="59EE4772"/>
    <w:rsid w:val="5A165F52"/>
    <w:rsid w:val="5A2E4827"/>
    <w:rsid w:val="5A416B85"/>
    <w:rsid w:val="5A552315"/>
    <w:rsid w:val="5AA601F5"/>
    <w:rsid w:val="5AAC05A7"/>
    <w:rsid w:val="5ABE5227"/>
    <w:rsid w:val="5AE96DAB"/>
    <w:rsid w:val="5AF866DE"/>
    <w:rsid w:val="5B5D160B"/>
    <w:rsid w:val="5B774641"/>
    <w:rsid w:val="5B794C2A"/>
    <w:rsid w:val="5B96718F"/>
    <w:rsid w:val="5BAA6197"/>
    <w:rsid w:val="5BC026BB"/>
    <w:rsid w:val="5BCD355F"/>
    <w:rsid w:val="5BFA1F91"/>
    <w:rsid w:val="5C0B14B0"/>
    <w:rsid w:val="5C2F22E4"/>
    <w:rsid w:val="5C5144CF"/>
    <w:rsid w:val="5C6106A0"/>
    <w:rsid w:val="5CBD4A27"/>
    <w:rsid w:val="5CC25873"/>
    <w:rsid w:val="5CE2303B"/>
    <w:rsid w:val="5D007D5C"/>
    <w:rsid w:val="5D400946"/>
    <w:rsid w:val="5D4756BB"/>
    <w:rsid w:val="5D8055D3"/>
    <w:rsid w:val="5D832450"/>
    <w:rsid w:val="5D867E6A"/>
    <w:rsid w:val="5D99194B"/>
    <w:rsid w:val="5D9A50C1"/>
    <w:rsid w:val="5DA04B8E"/>
    <w:rsid w:val="5DA368C6"/>
    <w:rsid w:val="5DB1622D"/>
    <w:rsid w:val="5DCD5EB5"/>
    <w:rsid w:val="5DDF2537"/>
    <w:rsid w:val="5DE21FDD"/>
    <w:rsid w:val="5E18532E"/>
    <w:rsid w:val="5E346BCA"/>
    <w:rsid w:val="5E4F668D"/>
    <w:rsid w:val="5E5B30A5"/>
    <w:rsid w:val="5E717985"/>
    <w:rsid w:val="5E7E688E"/>
    <w:rsid w:val="5E7F3669"/>
    <w:rsid w:val="5E9C496B"/>
    <w:rsid w:val="5EACB968"/>
    <w:rsid w:val="5F5A4218"/>
    <w:rsid w:val="5F607FFF"/>
    <w:rsid w:val="5F76381B"/>
    <w:rsid w:val="5F7F5CB9"/>
    <w:rsid w:val="5FA536BE"/>
    <w:rsid w:val="5FA5605A"/>
    <w:rsid w:val="5FAD29D7"/>
    <w:rsid w:val="5FDC0AAF"/>
    <w:rsid w:val="5FE436F2"/>
    <w:rsid w:val="600E37D3"/>
    <w:rsid w:val="6016461F"/>
    <w:rsid w:val="60233E26"/>
    <w:rsid w:val="602C4CF9"/>
    <w:rsid w:val="603A5F06"/>
    <w:rsid w:val="604F4E8B"/>
    <w:rsid w:val="605F76B6"/>
    <w:rsid w:val="60A54AAB"/>
    <w:rsid w:val="60AA442C"/>
    <w:rsid w:val="61047A23"/>
    <w:rsid w:val="61142591"/>
    <w:rsid w:val="61252DAF"/>
    <w:rsid w:val="616E588F"/>
    <w:rsid w:val="617F39BA"/>
    <w:rsid w:val="61AA3023"/>
    <w:rsid w:val="61AD3C17"/>
    <w:rsid w:val="61B73CAC"/>
    <w:rsid w:val="61B76844"/>
    <w:rsid w:val="61C45DDE"/>
    <w:rsid w:val="61E92446"/>
    <w:rsid w:val="61F66696"/>
    <w:rsid w:val="620B60B7"/>
    <w:rsid w:val="62245432"/>
    <w:rsid w:val="62312A9A"/>
    <w:rsid w:val="6281462A"/>
    <w:rsid w:val="628A6522"/>
    <w:rsid w:val="6294024D"/>
    <w:rsid w:val="62945E4C"/>
    <w:rsid w:val="629F6754"/>
    <w:rsid w:val="62CF7E75"/>
    <w:rsid w:val="62EA44D7"/>
    <w:rsid w:val="62FE19F3"/>
    <w:rsid w:val="63242340"/>
    <w:rsid w:val="633E268C"/>
    <w:rsid w:val="635A496D"/>
    <w:rsid w:val="63817262"/>
    <w:rsid w:val="63995F31"/>
    <w:rsid w:val="63D85A09"/>
    <w:rsid w:val="63EC1982"/>
    <w:rsid w:val="64095351"/>
    <w:rsid w:val="64103BEB"/>
    <w:rsid w:val="64113F83"/>
    <w:rsid w:val="644D6126"/>
    <w:rsid w:val="645422AA"/>
    <w:rsid w:val="6457430E"/>
    <w:rsid w:val="64590086"/>
    <w:rsid w:val="6477675E"/>
    <w:rsid w:val="649E4C19"/>
    <w:rsid w:val="64CE5B60"/>
    <w:rsid w:val="64D87E3F"/>
    <w:rsid w:val="64DE3499"/>
    <w:rsid w:val="64E45FA4"/>
    <w:rsid w:val="64F31CBD"/>
    <w:rsid w:val="654857CD"/>
    <w:rsid w:val="65534AD5"/>
    <w:rsid w:val="657452D8"/>
    <w:rsid w:val="658748E7"/>
    <w:rsid w:val="65A70C3C"/>
    <w:rsid w:val="65B31A18"/>
    <w:rsid w:val="65D92E5D"/>
    <w:rsid w:val="65FF3790"/>
    <w:rsid w:val="663674F0"/>
    <w:rsid w:val="665A4684"/>
    <w:rsid w:val="667064CE"/>
    <w:rsid w:val="66754A7F"/>
    <w:rsid w:val="66814C28"/>
    <w:rsid w:val="66A10D17"/>
    <w:rsid w:val="66A80E51"/>
    <w:rsid w:val="66C67529"/>
    <w:rsid w:val="66D00425"/>
    <w:rsid w:val="66E9560E"/>
    <w:rsid w:val="6713016C"/>
    <w:rsid w:val="673743FF"/>
    <w:rsid w:val="67537293"/>
    <w:rsid w:val="67545D9F"/>
    <w:rsid w:val="67686581"/>
    <w:rsid w:val="676B07FC"/>
    <w:rsid w:val="67994DD9"/>
    <w:rsid w:val="67BE5D14"/>
    <w:rsid w:val="67C92A9B"/>
    <w:rsid w:val="67E60C75"/>
    <w:rsid w:val="67E90220"/>
    <w:rsid w:val="67F23C6D"/>
    <w:rsid w:val="6813679E"/>
    <w:rsid w:val="681F1C7A"/>
    <w:rsid w:val="683A2B90"/>
    <w:rsid w:val="685B57E4"/>
    <w:rsid w:val="68784853"/>
    <w:rsid w:val="688E1B8B"/>
    <w:rsid w:val="68921DB9"/>
    <w:rsid w:val="68B8107B"/>
    <w:rsid w:val="68B879DB"/>
    <w:rsid w:val="68B9565F"/>
    <w:rsid w:val="691E53FA"/>
    <w:rsid w:val="69244E2A"/>
    <w:rsid w:val="693A0E53"/>
    <w:rsid w:val="69BE231D"/>
    <w:rsid w:val="69C40A70"/>
    <w:rsid w:val="69D402A6"/>
    <w:rsid w:val="69F858DF"/>
    <w:rsid w:val="6A2D18D4"/>
    <w:rsid w:val="6A3E5A11"/>
    <w:rsid w:val="6A6C4E94"/>
    <w:rsid w:val="6AAB4367"/>
    <w:rsid w:val="6ACB00DF"/>
    <w:rsid w:val="6AEA55A7"/>
    <w:rsid w:val="6AEC3BD4"/>
    <w:rsid w:val="6AFD486C"/>
    <w:rsid w:val="6AFE7291"/>
    <w:rsid w:val="6B040620"/>
    <w:rsid w:val="6B253075"/>
    <w:rsid w:val="6B261671"/>
    <w:rsid w:val="6B3453A9"/>
    <w:rsid w:val="6B3713F3"/>
    <w:rsid w:val="6B945E48"/>
    <w:rsid w:val="6BA73DCD"/>
    <w:rsid w:val="6BCF5685"/>
    <w:rsid w:val="6BD32EF5"/>
    <w:rsid w:val="6BDA5F51"/>
    <w:rsid w:val="6BF54B38"/>
    <w:rsid w:val="6C1B35E3"/>
    <w:rsid w:val="6C21592D"/>
    <w:rsid w:val="6C891A0E"/>
    <w:rsid w:val="6C99027D"/>
    <w:rsid w:val="6CA5100D"/>
    <w:rsid w:val="6CC53E5A"/>
    <w:rsid w:val="6CC60283"/>
    <w:rsid w:val="6CE177A5"/>
    <w:rsid w:val="6CEE4BEA"/>
    <w:rsid w:val="6CF82749"/>
    <w:rsid w:val="6D140FEE"/>
    <w:rsid w:val="6D3B72A8"/>
    <w:rsid w:val="6D5B51DA"/>
    <w:rsid w:val="6D603D34"/>
    <w:rsid w:val="6D6E2B20"/>
    <w:rsid w:val="6D7C6B93"/>
    <w:rsid w:val="6D7E3C86"/>
    <w:rsid w:val="6D896A57"/>
    <w:rsid w:val="6D8F43D6"/>
    <w:rsid w:val="6DAD31F1"/>
    <w:rsid w:val="6DAD4536"/>
    <w:rsid w:val="6DE93BAB"/>
    <w:rsid w:val="6DF73320"/>
    <w:rsid w:val="6E001573"/>
    <w:rsid w:val="6E0B0250"/>
    <w:rsid w:val="6E100EAB"/>
    <w:rsid w:val="6E172C32"/>
    <w:rsid w:val="6E314FE0"/>
    <w:rsid w:val="6E6913B9"/>
    <w:rsid w:val="6E880D45"/>
    <w:rsid w:val="6EB21FF6"/>
    <w:rsid w:val="6EDB1EAC"/>
    <w:rsid w:val="6F015CB7"/>
    <w:rsid w:val="6F1D19B3"/>
    <w:rsid w:val="6F1F2811"/>
    <w:rsid w:val="6F5558EE"/>
    <w:rsid w:val="6F710989"/>
    <w:rsid w:val="6F714D4C"/>
    <w:rsid w:val="6F977CB5"/>
    <w:rsid w:val="6FEA5CD0"/>
    <w:rsid w:val="6FFD4DB1"/>
    <w:rsid w:val="701F58F4"/>
    <w:rsid w:val="70385B69"/>
    <w:rsid w:val="70473489"/>
    <w:rsid w:val="70721C77"/>
    <w:rsid w:val="707270B8"/>
    <w:rsid w:val="707A362B"/>
    <w:rsid w:val="7086127D"/>
    <w:rsid w:val="708D5457"/>
    <w:rsid w:val="70CD6084"/>
    <w:rsid w:val="70E01D12"/>
    <w:rsid w:val="70E60EF4"/>
    <w:rsid w:val="70E83B9C"/>
    <w:rsid w:val="712A5353"/>
    <w:rsid w:val="71347E93"/>
    <w:rsid w:val="714F5A97"/>
    <w:rsid w:val="71517BF9"/>
    <w:rsid w:val="71663DE2"/>
    <w:rsid w:val="71826F70"/>
    <w:rsid w:val="71AD37BF"/>
    <w:rsid w:val="71F26F1E"/>
    <w:rsid w:val="72052CDD"/>
    <w:rsid w:val="723F4BAB"/>
    <w:rsid w:val="72600BC9"/>
    <w:rsid w:val="72A20473"/>
    <w:rsid w:val="72CE044A"/>
    <w:rsid w:val="72D10800"/>
    <w:rsid w:val="72DB0C33"/>
    <w:rsid w:val="72DF3591"/>
    <w:rsid w:val="72FA2A34"/>
    <w:rsid w:val="73065CEA"/>
    <w:rsid w:val="73091120"/>
    <w:rsid w:val="731B7466"/>
    <w:rsid w:val="731F693F"/>
    <w:rsid w:val="734D44BC"/>
    <w:rsid w:val="73532145"/>
    <w:rsid w:val="735707A4"/>
    <w:rsid w:val="736C4627"/>
    <w:rsid w:val="7387719A"/>
    <w:rsid w:val="73AD06F9"/>
    <w:rsid w:val="73BA1ED9"/>
    <w:rsid w:val="73D8739B"/>
    <w:rsid w:val="74000C7D"/>
    <w:rsid w:val="740A7E52"/>
    <w:rsid w:val="741379EF"/>
    <w:rsid w:val="741D2E7E"/>
    <w:rsid w:val="741D60E7"/>
    <w:rsid w:val="74212243"/>
    <w:rsid w:val="74482543"/>
    <w:rsid w:val="74554D06"/>
    <w:rsid w:val="748E4791"/>
    <w:rsid w:val="74911176"/>
    <w:rsid w:val="74A536E0"/>
    <w:rsid w:val="74AD4A43"/>
    <w:rsid w:val="74CA1B6B"/>
    <w:rsid w:val="74CA6E6E"/>
    <w:rsid w:val="74F5655F"/>
    <w:rsid w:val="74F87447"/>
    <w:rsid w:val="75016A59"/>
    <w:rsid w:val="75447961"/>
    <w:rsid w:val="758376DF"/>
    <w:rsid w:val="7592531A"/>
    <w:rsid w:val="75B60A89"/>
    <w:rsid w:val="75D90F8E"/>
    <w:rsid w:val="7628623B"/>
    <w:rsid w:val="7657350F"/>
    <w:rsid w:val="7669126E"/>
    <w:rsid w:val="76793892"/>
    <w:rsid w:val="768321D3"/>
    <w:rsid w:val="76B548DE"/>
    <w:rsid w:val="76F668E8"/>
    <w:rsid w:val="771F5768"/>
    <w:rsid w:val="774808B4"/>
    <w:rsid w:val="774D4AD7"/>
    <w:rsid w:val="778D115F"/>
    <w:rsid w:val="779E2D30"/>
    <w:rsid w:val="77A512BD"/>
    <w:rsid w:val="77A62F27"/>
    <w:rsid w:val="77B44EE0"/>
    <w:rsid w:val="77BC33C9"/>
    <w:rsid w:val="77DC6BAC"/>
    <w:rsid w:val="78017C7F"/>
    <w:rsid w:val="781B6E93"/>
    <w:rsid w:val="7831564D"/>
    <w:rsid w:val="78713799"/>
    <w:rsid w:val="78850FF2"/>
    <w:rsid w:val="78CF7A52"/>
    <w:rsid w:val="78DB53BC"/>
    <w:rsid w:val="78DB6E64"/>
    <w:rsid w:val="78FF7A27"/>
    <w:rsid w:val="7935592A"/>
    <w:rsid w:val="79541DE4"/>
    <w:rsid w:val="795D1F6F"/>
    <w:rsid w:val="79C06953"/>
    <w:rsid w:val="7A096020"/>
    <w:rsid w:val="7A1E188A"/>
    <w:rsid w:val="7A243BBC"/>
    <w:rsid w:val="7A5522A6"/>
    <w:rsid w:val="7A5C7F62"/>
    <w:rsid w:val="7A6510DB"/>
    <w:rsid w:val="7A6B656D"/>
    <w:rsid w:val="7A7E3F4B"/>
    <w:rsid w:val="7AC308C3"/>
    <w:rsid w:val="7ADB139D"/>
    <w:rsid w:val="7AE83ABA"/>
    <w:rsid w:val="7AF965F6"/>
    <w:rsid w:val="7B041922"/>
    <w:rsid w:val="7B2965AD"/>
    <w:rsid w:val="7B3957EC"/>
    <w:rsid w:val="7B5D0EC0"/>
    <w:rsid w:val="7B7449B2"/>
    <w:rsid w:val="7B83017F"/>
    <w:rsid w:val="7B846BA6"/>
    <w:rsid w:val="7BAF6D25"/>
    <w:rsid w:val="7C240B22"/>
    <w:rsid w:val="7C524001"/>
    <w:rsid w:val="7C773348"/>
    <w:rsid w:val="7C9A2DE2"/>
    <w:rsid w:val="7CC25607"/>
    <w:rsid w:val="7CF74215"/>
    <w:rsid w:val="7D0E13CF"/>
    <w:rsid w:val="7D3B041C"/>
    <w:rsid w:val="7D3B4375"/>
    <w:rsid w:val="7D640573"/>
    <w:rsid w:val="7D70203B"/>
    <w:rsid w:val="7D8D0318"/>
    <w:rsid w:val="7D9D411E"/>
    <w:rsid w:val="7DB53307"/>
    <w:rsid w:val="7E130004"/>
    <w:rsid w:val="7E1C4247"/>
    <w:rsid w:val="7E8C5B9B"/>
    <w:rsid w:val="7E9755DB"/>
    <w:rsid w:val="7EB10D93"/>
    <w:rsid w:val="7EB56006"/>
    <w:rsid w:val="7EB73ECF"/>
    <w:rsid w:val="7EB73F4C"/>
    <w:rsid w:val="7EBA60B3"/>
    <w:rsid w:val="7EE10DD5"/>
    <w:rsid w:val="7F101A04"/>
    <w:rsid w:val="7F147214"/>
    <w:rsid w:val="7F1629A4"/>
    <w:rsid w:val="7F1B7719"/>
    <w:rsid w:val="7F242BC9"/>
    <w:rsid w:val="7F3230AD"/>
    <w:rsid w:val="7F4229AA"/>
    <w:rsid w:val="7F7741B3"/>
    <w:rsid w:val="7F8D69DE"/>
    <w:rsid w:val="7FCB7160"/>
    <w:rsid w:val="7FEE2420"/>
    <w:rsid w:val="BC7A4892"/>
    <w:rsid w:val="BDEB84C9"/>
    <w:rsid w:val="E7BE1ED7"/>
    <w:rsid w:val="EB734C4E"/>
    <w:rsid w:val="ED7A6160"/>
    <w:rsid w:val="FF553001"/>
    <w:rsid w:val="FFEEDB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kern w:val="44"/>
      <w:sz w:val="44"/>
      <w:szCs w:val="44"/>
    </w:rPr>
  </w:style>
  <w:style w:type="paragraph" w:styleId="2">
    <w:name w:val="heading 2"/>
    <w:basedOn w:val="1"/>
    <w:next w:val="1"/>
    <w:qFormat/>
    <w:uiPriority w:val="0"/>
    <w:pPr>
      <w:keepNext/>
      <w:keepLines/>
      <w:tabs>
        <w:tab w:val="left" w:pos="578"/>
      </w:tabs>
      <w:spacing w:before="50" w:beforeLines="50" w:after="50" w:afterLines="50" w:line="360" w:lineRule="auto"/>
      <w:ind w:left="578" w:hanging="578"/>
      <w:outlineLvl w:val="1"/>
    </w:pPr>
    <w:rPr>
      <w:rFonts w:ascii="Cambria" w:hAnsi="Cambria"/>
      <w:szCs w:val="21"/>
    </w:rPr>
  </w:style>
  <w:style w:type="paragraph" w:styleId="4">
    <w:name w:val="heading 3"/>
    <w:basedOn w:val="1"/>
    <w:next w:val="1"/>
    <w:qFormat/>
    <w:uiPriority w:val="0"/>
    <w:pPr>
      <w:keepNext/>
      <w:keepLines/>
      <w:tabs>
        <w:tab w:val="left" w:pos="1620"/>
      </w:tabs>
      <w:spacing w:before="50" w:beforeLines="50" w:after="50" w:afterLines="50" w:line="360" w:lineRule="auto"/>
      <w:ind w:left="1620" w:hanging="720"/>
      <w:outlineLvl w:val="2"/>
    </w:pPr>
    <w:rPr>
      <w:rFonts w:ascii="宋体"/>
      <w:b/>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qFormat/>
    <w:uiPriority w:val="0"/>
    <w:pPr>
      <w:keepNext/>
      <w:keepLines/>
      <w:tabs>
        <w:tab w:val="left" w:pos="1548"/>
      </w:tabs>
      <w:spacing w:before="280" w:after="290" w:line="376" w:lineRule="auto"/>
      <w:ind w:left="1548" w:hanging="1548"/>
      <w:outlineLvl w:val="4"/>
    </w:pPr>
    <w:rPr>
      <w:b/>
      <w:sz w:val="28"/>
    </w:rPr>
  </w:style>
  <w:style w:type="paragraph" w:styleId="7">
    <w:name w:val="heading 6"/>
    <w:basedOn w:val="1"/>
    <w:next w:val="1"/>
    <w:qFormat/>
    <w:uiPriority w:val="0"/>
    <w:pPr>
      <w:keepNext/>
      <w:keepLines/>
      <w:spacing w:before="240" w:after="64" w:line="319" w:lineRule="auto"/>
      <w:outlineLvl w:val="5"/>
    </w:pPr>
    <w:rPr>
      <w:rFonts w:ascii="Cambria" w:hAnsi="Cambria"/>
      <w:b/>
      <w:sz w:val="24"/>
    </w:rPr>
  </w:style>
  <w:style w:type="paragraph" w:styleId="8">
    <w:name w:val="heading 7"/>
    <w:basedOn w:val="1"/>
    <w:next w:val="1"/>
    <w:qFormat/>
    <w:uiPriority w:val="0"/>
    <w:pPr>
      <w:keepNext/>
      <w:keepLines/>
      <w:tabs>
        <w:tab w:val="left" w:pos="1296"/>
      </w:tabs>
      <w:spacing w:before="240" w:after="64" w:line="316" w:lineRule="auto"/>
      <w:ind w:left="2940" w:hanging="420"/>
      <w:outlineLvl w:val="6"/>
    </w:pPr>
    <w:rPr>
      <w:b/>
      <w:sz w:val="24"/>
    </w:rPr>
  </w:style>
  <w:style w:type="paragraph" w:styleId="9">
    <w:name w:val="heading 8"/>
    <w:basedOn w:val="1"/>
    <w:next w:val="1"/>
    <w:qFormat/>
    <w:uiPriority w:val="0"/>
    <w:pPr>
      <w:keepNext/>
      <w:keepLines/>
      <w:tabs>
        <w:tab w:val="left" w:pos="1440"/>
      </w:tabs>
      <w:spacing w:before="240" w:after="64" w:line="316" w:lineRule="auto"/>
      <w:ind w:left="3360" w:hanging="42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16" w:lineRule="auto"/>
      <w:ind w:left="3780" w:hanging="420"/>
      <w:outlineLvl w:val="8"/>
    </w:pPr>
    <w:rPr>
      <w:rFonts w:ascii="Arial" w:hAnsi="Arial" w:eastAsia="黑体"/>
    </w:rPr>
  </w:style>
  <w:style w:type="character" w:default="1" w:styleId="55">
    <w:name w:val="Default Paragraph Font"/>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next w:val="1"/>
    <w:qFormat/>
    <w:uiPriority w:val="0"/>
    <w:pPr>
      <w:ind w:firstLine="200" w:firstLineChars="200"/>
    </w:pPr>
    <w:rPr>
      <w:rFonts w:ascii="宋体"/>
      <w:spacing w:val="14"/>
      <w:kern w:val="24"/>
      <w:sz w:val="24"/>
      <w:szCs w:val="24"/>
    </w:r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Document Map"/>
    <w:basedOn w:val="1"/>
    <w:qFormat/>
    <w:uiPriority w:val="0"/>
    <w:pPr>
      <w:shd w:val="clear" w:color="auto" w:fill="000080"/>
    </w:pPr>
  </w:style>
  <w:style w:type="paragraph" w:styleId="15">
    <w:name w:val="toa heading"/>
    <w:basedOn w:val="1"/>
    <w:next w:val="1"/>
    <w:qFormat/>
    <w:uiPriority w:val="0"/>
    <w:pPr>
      <w:spacing w:before="120"/>
    </w:pPr>
    <w:rPr>
      <w:rFonts w:ascii="Arial" w:hAnsi="Arial"/>
      <w:b/>
      <w:bCs/>
      <w:szCs w:val="24"/>
    </w:rPr>
  </w:style>
  <w:style w:type="paragraph" w:styleId="16">
    <w:name w:val="annotation text"/>
    <w:basedOn w:val="1"/>
    <w:qFormat/>
    <w:uiPriority w:val="0"/>
    <w:pPr>
      <w:jc w:val="left"/>
    </w:pPr>
    <w:rPr>
      <w:rFonts w:ascii="宋体"/>
      <w:szCs w:val="21"/>
    </w:rPr>
  </w:style>
  <w:style w:type="paragraph" w:styleId="17">
    <w:name w:val="Body Text 3"/>
    <w:basedOn w:val="1"/>
    <w:qFormat/>
    <w:uiPriority w:val="0"/>
    <w:pPr>
      <w:spacing w:after="120" w:line="360" w:lineRule="auto"/>
    </w:pPr>
    <w:rPr>
      <w:kern w:val="0"/>
      <w:sz w:val="16"/>
    </w:rPr>
  </w:style>
  <w:style w:type="paragraph" w:styleId="18">
    <w:name w:val="Body Text"/>
    <w:basedOn w:val="1"/>
    <w:next w:val="19"/>
    <w:qFormat/>
    <w:uiPriority w:val="0"/>
    <w:rPr>
      <w:rFonts w:ascii="宋体"/>
      <w:kern w:val="0"/>
      <w:sz w:val="20"/>
    </w:rPr>
  </w:style>
  <w:style w:type="paragraph" w:customStyle="1" w:styleId="1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Body Text Indent"/>
    <w:basedOn w:val="1"/>
    <w:next w:val="21"/>
    <w:link w:val="69"/>
    <w:qFormat/>
    <w:uiPriority w:val="0"/>
    <w:pPr>
      <w:spacing w:line="380" w:lineRule="exact"/>
      <w:ind w:firstLine="480"/>
    </w:pPr>
    <w:rPr>
      <w:rFonts w:eastAsia="方正书宋简体"/>
      <w:sz w:val="24"/>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widowControl/>
      <w:tabs>
        <w:tab w:val="left" w:pos="482"/>
      </w:tabs>
      <w:spacing w:after="50" w:afterLines="50"/>
      <w:ind w:left="482" w:hanging="340"/>
      <w:jc w:val="left"/>
    </w:pPr>
    <w:rPr>
      <w:kern w:val="0"/>
      <w:sz w:val="24"/>
    </w:rPr>
  </w:style>
  <w:style w:type="paragraph" w:styleId="23">
    <w:name w:val="List 2"/>
    <w:basedOn w:val="1"/>
    <w:qFormat/>
    <w:uiPriority w:val="0"/>
    <w:pPr>
      <w:ind w:left="400" w:leftChars="200" w:hanging="200" w:hangingChars="200"/>
    </w:pPr>
    <w:rPr>
      <w:sz w:val="28"/>
      <w:szCs w:val="24"/>
    </w:rPr>
  </w:style>
  <w:style w:type="paragraph" w:styleId="24">
    <w:name w:val="Block Text"/>
    <w:basedOn w:val="1"/>
    <w:qFormat/>
    <w:uiPriority w:val="0"/>
    <w:pPr>
      <w:spacing w:after="120"/>
      <w:ind w:left="700" w:leftChars="700" w:right="700" w:rightChars="700"/>
    </w:pPr>
  </w:style>
  <w:style w:type="paragraph" w:styleId="25">
    <w:name w:val="index 4"/>
    <w:basedOn w:val="1"/>
    <w:next w:val="1"/>
    <w:unhideWhenUsed/>
    <w:qFormat/>
    <w:uiPriority w:val="99"/>
    <w:pPr>
      <w:ind w:left="600" w:leftChars="600"/>
    </w:pPr>
    <w:rPr>
      <w:sz w:val="32"/>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rPr>
  </w:style>
  <w:style w:type="paragraph" w:styleId="28">
    <w:name w:val="Plain Text"/>
    <w:basedOn w:val="1"/>
    <w:next w:val="1"/>
    <w:qFormat/>
    <w:uiPriority w:val="0"/>
    <w:pPr>
      <w:widowControl/>
      <w:spacing w:before="100" w:beforeAutospacing="1" w:after="100" w:afterAutospacing="1"/>
      <w:jc w:val="left"/>
    </w:pPr>
    <w:rPr>
      <w:rFonts w:ascii="宋体"/>
      <w:kern w:val="0"/>
      <w:sz w:val="20"/>
    </w:rPr>
  </w:style>
  <w:style w:type="paragraph" w:styleId="29">
    <w:name w:val="toc 8"/>
    <w:basedOn w:val="1"/>
    <w:next w:val="1"/>
    <w:qFormat/>
    <w:uiPriority w:val="0"/>
    <w:pPr>
      <w:ind w:left="1470"/>
      <w:jc w:val="left"/>
    </w:pPr>
    <w:rPr>
      <w:sz w:val="18"/>
      <w:szCs w:val="18"/>
    </w:rPr>
  </w:style>
  <w:style w:type="paragraph" w:styleId="30">
    <w:name w:val="Date"/>
    <w:basedOn w:val="1"/>
    <w:next w:val="1"/>
    <w:qFormat/>
    <w:uiPriority w:val="0"/>
    <w:pPr>
      <w:adjustRightInd w:val="0"/>
      <w:spacing w:line="312" w:lineRule="atLeast"/>
      <w:jc w:val="right"/>
      <w:textAlignment w:val="baseline"/>
    </w:pPr>
    <w:rPr>
      <w:rFonts w:ascii="宋体"/>
      <w:kern w:val="0"/>
      <w:sz w:val="24"/>
    </w:rPr>
  </w:style>
  <w:style w:type="paragraph" w:styleId="31">
    <w:name w:val="Body Text Indent 2"/>
    <w:basedOn w:val="1"/>
    <w:qFormat/>
    <w:uiPriority w:val="0"/>
    <w:pPr>
      <w:spacing w:line="380" w:lineRule="exact"/>
      <w:ind w:left="840" w:hanging="45"/>
    </w:pPr>
    <w:rPr>
      <w:rFonts w:ascii="宋体"/>
      <w:sz w:val="24"/>
    </w:rPr>
  </w:style>
  <w:style w:type="paragraph" w:styleId="32">
    <w:name w:val="Balloon Text"/>
    <w:basedOn w:val="1"/>
    <w:qFormat/>
    <w:uiPriority w:val="0"/>
    <w:rPr>
      <w:rFonts w:ascii="宋体"/>
      <w:sz w:val="18"/>
      <w:szCs w:val="18"/>
    </w:rPr>
  </w:style>
  <w:style w:type="paragraph" w:styleId="33">
    <w:name w:val="footer"/>
    <w:basedOn w:val="1"/>
    <w:qFormat/>
    <w:uiPriority w:val="0"/>
    <w:pPr>
      <w:tabs>
        <w:tab w:val="center" w:pos="4153"/>
        <w:tab w:val="right" w:pos="8306"/>
      </w:tabs>
      <w:snapToGrid w:val="0"/>
      <w:jc w:val="left"/>
    </w:pPr>
    <w:rPr>
      <w:rFonts w:ascii="宋体"/>
      <w:sz w:val="18"/>
      <w:szCs w:val="18"/>
    </w:rPr>
  </w:style>
  <w:style w:type="paragraph" w:styleId="34">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35">
    <w:name w:val="toc 1"/>
    <w:basedOn w:val="1"/>
    <w:next w:val="1"/>
    <w:qFormat/>
    <w:uiPriority w:val="39"/>
    <w:pPr>
      <w:tabs>
        <w:tab w:val="right" w:leader="dot" w:pos="8721"/>
      </w:tabs>
      <w:spacing w:line="480" w:lineRule="auto"/>
    </w:pPr>
    <w:rPr>
      <w:rFonts w:ascii="宋体"/>
      <w:color w:val="000000"/>
      <w:sz w:val="32"/>
      <w:szCs w:val="32"/>
    </w:rPr>
  </w:style>
  <w:style w:type="paragraph" w:styleId="36">
    <w:name w:val="toc 4"/>
    <w:basedOn w:val="1"/>
    <w:next w:val="1"/>
    <w:qFormat/>
    <w:uiPriority w:val="0"/>
    <w:pPr>
      <w:ind w:left="630"/>
      <w:jc w:val="left"/>
    </w:pPr>
    <w:rPr>
      <w:sz w:val="18"/>
      <w:szCs w:val="18"/>
    </w:rPr>
  </w:style>
  <w:style w:type="paragraph" w:styleId="37">
    <w:name w:val="List Number 5"/>
    <w:basedOn w:val="1"/>
    <w:qFormat/>
    <w:uiPriority w:val="0"/>
    <w:pPr>
      <w:tabs>
        <w:tab w:val="left" w:pos="2608"/>
      </w:tabs>
      <w:spacing w:line="360" w:lineRule="auto"/>
      <w:ind w:left="840" w:hanging="360"/>
    </w:pPr>
    <w:rPr>
      <w:sz w:val="24"/>
      <w:szCs w:val="24"/>
    </w:rPr>
  </w:style>
  <w:style w:type="paragraph" w:styleId="38">
    <w:name w:val="List"/>
    <w:basedOn w:val="1"/>
    <w:qFormat/>
    <w:uiPriority w:val="0"/>
    <w:pPr>
      <w:ind w:left="200" w:hanging="200" w:hangingChars="200"/>
    </w:pPr>
    <w:rPr>
      <w:szCs w:val="22"/>
    </w:rPr>
  </w:style>
  <w:style w:type="paragraph" w:styleId="39">
    <w:name w:val="footnote text"/>
    <w:basedOn w:val="1"/>
    <w:qFormat/>
    <w:uiPriority w:val="99"/>
    <w:pPr>
      <w:snapToGrid w:val="0"/>
      <w:jc w:val="left"/>
    </w:pPr>
    <w:rPr>
      <w:rFonts w:ascii="Calibri" w:hAnsi="Calibri"/>
      <w:sz w:val="18"/>
      <w:szCs w:val="18"/>
    </w:rPr>
  </w:style>
  <w:style w:type="paragraph" w:styleId="40">
    <w:name w:val="toc 6"/>
    <w:basedOn w:val="1"/>
    <w:next w:val="1"/>
    <w:qFormat/>
    <w:uiPriority w:val="0"/>
    <w:pPr>
      <w:ind w:left="1050"/>
      <w:jc w:val="left"/>
    </w:pPr>
    <w:rPr>
      <w:sz w:val="18"/>
      <w:szCs w:val="18"/>
    </w:rPr>
  </w:style>
  <w:style w:type="paragraph" w:styleId="41">
    <w:name w:val="Body Text Indent 3"/>
    <w:basedOn w:val="1"/>
    <w:qFormat/>
    <w:uiPriority w:val="0"/>
    <w:pPr>
      <w:spacing w:line="380" w:lineRule="exact"/>
      <w:ind w:left="525"/>
    </w:pPr>
    <w:rPr>
      <w:rFonts w:ascii="宋体"/>
      <w:b/>
      <w:sz w:val="24"/>
      <w:szCs w:val="24"/>
    </w:rPr>
  </w:style>
  <w:style w:type="paragraph" w:styleId="42">
    <w:name w:val="table of figures"/>
    <w:basedOn w:val="1"/>
    <w:next w:val="1"/>
    <w:qFormat/>
    <w:uiPriority w:val="0"/>
    <w:pPr>
      <w:ind w:left="420" w:hanging="420"/>
      <w:jc w:val="left"/>
    </w:pPr>
    <w:rPr>
      <w:smallCaps/>
      <w:sz w:val="20"/>
    </w:rPr>
  </w:style>
  <w:style w:type="paragraph" w:styleId="43">
    <w:name w:val="toc 2"/>
    <w:basedOn w:val="1"/>
    <w:next w:val="1"/>
    <w:qFormat/>
    <w:uiPriority w:val="0"/>
    <w:pPr>
      <w:ind w:left="210"/>
      <w:jc w:val="left"/>
    </w:pPr>
    <w:rPr>
      <w:smallCaps/>
      <w:sz w:val="20"/>
    </w:rPr>
  </w:style>
  <w:style w:type="paragraph" w:styleId="44">
    <w:name w:val="toc 9"/>
    <w:basedOn w:val="1"/>
    <w:next w:val="1"/>
    <w:qFormat/>
    <w:uiPriority w:val="0"/>
    <w:pPr>
      <w:ind w:left="1680"/>
      <w:jc w:val="left"/>
    </w:pPr>
    <w:rPr>
      <w:sz w:val="18"/>
      <w:szCs w:val="18"/>
    </w:rPr>
  </w:style>
  <w:style w:type="paragraph" w:styleId="45">
    <w:name w:val="Body Text 2"/>
    <w:basedOn w:val="1"/>
    <w:qFormat/>
    <w:uiPriority w:val="0"/>
    <w:pPr>
      <w:spacing w:after="120" w:line="480" w:lineRule="auto"/>
    </w:pPr>
    <w:rPr>
      <w:kern w:val="0"/>
      <w:sz w:val="24"/>
    </w:rPr>
  </w:style>
  <w:style w:type="paragraph" w:styleId="46">
    <w:name w:val="HTML Preformatted"/>
    <w:basedOn w:val="1"/>
    <w:qFormat/>
    <w:uiPriority w:val="0"/>
    <w:rPr>
      <w:rFonts w:ascii="Courier New" w:hAnsi="Courier New"/>
      <w:sz w:val="20"/>
    </w:rPr>
  </w:style>
  <w:style w:type="paragraph" w:styleId="47">
    <w:name w:val="Normal (Web)"/>
    <w:basedOn w:val="1"/>
    <w:qFormat/>
    <w:uiPriority w:val="0"/>
    <w:pPr>
      <w:widowControl/>
      <w:spacing w:before="100" w:beforeAutospacing="1" w:after="100" w:afterAutospacing="1" w:line="300" w:lineRule="atLeast"/>
      <w:jc w:val="left"/>
    </w:pPr>
    <w:rPr>
      <w:rFonts w:ascii="宋体" w:cs="宋体"/>
      <w:kern w:val="0"/>
      <w:sz w:val="24"/>
      <w:szCs w:val="24"/>
    </w:rPr>
  </w:style>
  <w:style w:type="paragraph" w:styleId="48">
    <w:name w:val="index 1"/>
    <w:basedOn w:val="1"/>
    <w:next w:val="1"/>
    <w:qFormat/>
    <w:uiPriority w:val="0"/>
  </w:style>
  <w:style w:type="paragraph" w:styleId="49">
    <w:name w:val="Title"/>
    <w:basedOn w:val="1"/>
    <w:qFormat/>
    <w:uiPriority w:val="0"/>
    <w:pPr>
      <w:spacing w:before="240" w:after="60"/>
      <w:jc w:val="center"/>
      <w:outlineLvl w:val="0"/>
    </w:pPr>
    <w:rPr>
      <w:rFonts w:ascii="Cambria" w:hAnsi="Cambria"/>
      <w:b/>
      <w:bCs/>
      <w:kern w:val="0"/>
      <w:sz w:val="32"/>
      <w:szCs w:val="32"/>
    </w:rPr>
  </w:style>
  <w:style w:type="paragraph" w:styleId="50">
    <w:name w:val="annotation subject"/>
    <w:basedOn w:val="16"/>
    <w:next w:val="16"/>
    <w:qFormat/>
    <w:uiPriority w:val="0"/>
    <w:rPr>
      <w:b/>
    </w:rPr>
  </w:style>
  <w:style w:type="paragraph" w:styleId="51">
    <w:name w:val="Body Text First Indent"/>
    <w:basedOn w:val="18"/>
    <w:next w:val="1"/>
    <w:qFormat/>
    <w:uiPriority w:val="0"/>
    <w:pPr>
      <w:spacing w:after="120"/>
      <w:ind w:firstLine="100" w:firstLineChars="100"/>
    </w:pPr>
    <w:rPr>
      <w:i/>
      <w:kern w:val="2"/>
      <w:sz w:val="24"/>
    </w:rPr>
  </w:style>
  <w:style w:type="paragraph" w:styleId="52">
    <w:name w:val="Body Text First Indent 2"/>
    <w:basedOn w:val="20"/>
    <w:next w:val="18"/>
    <w:qFormat/>
    <w:uiPriority w:val="0"/>
    <w:pPr>
      <w:spacing w:line="360" w:lineRule="auto"/>
      <w:ind w:firstLine="0"/>
    </w:pPr>
    <w:rPr>
      <w:rFonts w:eastAsia="宋体"/>
      <w:kern w:val="0"/>
      <w:sz w:val="20"/>
      <w:lang w:val="zh-CN"/>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rPr>
  </w:style>
  <w:style w:type="character" w:styleId="57">
    <w:name w:val="page number"/>
    <w:basedOn w:val="55"/>
    <w:qFormat/>
    <w:uiPriority w:val="0"/>
    <w:rPr>
      <w:rFonts w:cs="Times New Roman"/>
      <w:lang w:bidi="ar-SA"/>
    </w:rPr>
  </w:style>
  <w:style w:type="character" w:styleId="58">
    <w:name w:val="FollowedHyperlink"/>
    <w:qFormat/>
    <w:uiPriority w:val="0"/>
    <w:rPr>
      <w:color w:val="800080"/>
      <w:u w:val="single"/>
    </w:rPr>
  </w:style>
  <w:style w:type="character" w:styleId="59">
    <w:name w:val="Emphasis"/>
    <w:qFormat/>
    <w:uiPriority w:val="0"/>
    <w:rPr>
      <w:i/>
    </w:rPr>
  </w:style>
  <w:style w:type="character" w:styleId="60">
    <w:name w:val="HTML Typewriter"/>
    <w:qFormat/>
    <w:uiPriority w:val="0"/>
    <w:rPr>
      <w:rFonts w:ascii="Courier New" w:hAnsi="Courier New"/>
      <w:sz w:val="20"/>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HTML Cite"/>
    <w:qFormat/>
    <w:uiPriority w:val="0"/>
    <w:rPr>
      <w:rFonts w:ascii="仿宋_GB2312" w:eastAsia="仿宋_GB2312"/>
      <w:b/>
      <w:color w:val="008000"/>
      <w:sz w:val="32"/>
      <w:szCs w:val="32"/>
    </w:rPr>
  </w:style>
  <w:style w:type="paragraph" w:customStyle="1" w:styleId="6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标题 3 字符"/>
    <w:qFormat/>
    <w:uiPriority w:val="0"/>
    <w:rPr>
      <w:rFonts w:ascii="宋体" w:eastAsia="宋体" w:cs="宋体"/>
      <w:b/>
      <w:kern w:val="2"/>
      <w:sz w:val="32"/>
      <w:szCs w:val="32"/>
      <w:lang w:val="en-US" w:eastAsia="zh-CN" w:bidi="ar-SA"/>
    </w:rPr>
  </w:style>
  <w:style w:type="character" w:customStyle="1" w:styleId="66">
    <w:name w:val="标题 2 字符"/>
    <w:qFormat/>
    <w:uiPriority w:val="0"/>
    <w:rPr>
      <w:rFonts w:ascii="Cambria" w:hAnsi="Cambria" w:eastAsia="宋体" w:cs="Cambria"/>
      <w:kern w:val="2"/>
      <w:sz w:val="21"/>
      <w:szCs w:val="21"/>
      <w:lang w:val="en-US" w:eastAsia="zh-CN" w:bidi="ar-SA"/>
    </w:rPr>
  </w:style>
  <w:style w:type="character" w:customStyle="1" w:styleId="67">
    <w:name w:val="标题 1 字符"/>
    <w:qFormat/>
    <w:uiPriority w:val="0"/>
    <w:rPr>
      <w:rFonts w:ascii="宋体" w:eastAsia="宋体" w:cs="宋体"/>
      <w:b/>
      <w:kern w:val="44"/>
      <w:sz w:val="44"/>
      <w:szCs w:val="44"/>
      <w:lang w:val="en-US" w:eastAsia="zh-CN" w:bidi="ar-SA"/>
    </w:rPr>
  </w:style>
  <w:style w:type="character" w:customStyle="1" w:styleId="68">
    <w:name w:val="标题 2 Char"/>
    <w:qFormat/>
    <w:uiPriority w:val="0"/>
    <w:rPr>
      <w:rFonts w:ascii="Arial" w:hAnsi="Arial" w:eastAsia="黑体"/>
      <w:b/>
      <w:kern w:val="2"/>
      <w:sz w:val="32"/>
      <w:lang w:val="en-US" w:eastAsia="zh-CN"/>
    </w:rPr>
  </w:style>
  <w:style w:type="character" w:customStyle="1" w:styleId="69">
    <w:name w:val="正文文本缩进 Char"/>
    <w:link w:val="20"/>
    <w:qFormat/>
    <w:uiPriority w:val="0"/>
    <w:rPr>
      <w:rFonts w:ascii="Times New Roman" w:hAnsi="Times New Roman" w:eastAsia="方正书宋简体" w:cs="Times New Roman"/>
      <w:kern w:val="2"/>
      <w:sz w:val="24"/>
    </w:rPr>
  </w:style>
  <w:style w:type="character" w:customStyle="1" w:styleId="70">
    <w:name w:val="纯文本 字符"/>
    <w:qFormat/>
    <w:uiPriority w:val="0"/>
    <w:rPr>
      <w:rFonts w:ascii="宋体" w:eastAsia="宋体" w:cs="宋体"/>
      <w:lang w:val="en-US" w:eastAsia="zh-CN" w:bidi="ar-SA"/>
    </w:rPr>
  </w:style>
  <w:style w:type="character" w:customStyle="1" w:styleId="71">
    <w:name w:val="HTML 预设格式 字符"/>
    <w:qFormat/>
    <w:uiPriority w:val="0"/>
    <w:rPr>
      <w:rFonts w:ascii="Courier New" w:hAnsi="Courier New"/>
      <w:kern w:val="2"/>
    </w:rPr>
  </w:style>
  <w:style w:type="character" w:customStyle="1" w:styleId="72">
    <w:name w:val="hui3"/>
    <w:qFormat/>
    <w:uiPriority w:val="0"/>
    <w:rPr>
      <w:color w:val="333333"/>
    </w:rPr>
  </w:style>
  <w:style w:type="character" w:customStyle="1" w:styleId="73">
    <w:name w:val="文档结构图 Char2"/>
    <w:qFormat/>
    <w:uiPriority w:val="0"/>
    <w:rPr>
      <w:rFonts w:ascii="宋体" w:eastAsia="宋体" w:cs="Times New Roman"/>
      <w:sz w:val="18"/>
      <w:szCs w:val="18"/>
      <w:lang w:bidi="ar-SA"/>
    </w:rPr>
  </w:style>
  <w:style w:type="character" w:customStyle="1" w:styleId="74">
    <w:name w:val="font161"/>
    <w:qFormat/>
    <w:uiPriority w:val="0"/>
    <w:rPr>
      <w:rFonts w:ascii="宋体" w:eastAsia="宋体" w:cs="宋体"/>
      <w:color w:val="000000"/>
      <w:sz w:val="22"/>
      <w:szCs w:val="22"/>
      <w:u w:val="none"/>
      <w:lang w:bidi="ar-SA"/>
    </w:rPr>
  </w:style>
  <w:style w:type="character" w:customStyle="1" w:styleId="75">
    <w:name w:val="font141"/>
    <w:qFormat/>
    <w:uiPriority w:val="0"/>
    <w:rPr>
      <w:rFonts w:ascii="Times New Roman" w:hAnsi="Times New Roman" w:cs="Times New Roman"/>
      <w:b/>
      <w:bCs/>
      <w:color w:val="000000"/>
      <w:sz w:val="22"/>
      <w:szCs w:val="22"/>
      <w:u w:val="none"/>
      <w:lang w:bidi="ar-SA"/>
    </w:rPr>
  </w:style>
  <w:style w:type="character" w:customStyle="1" w:styleId="76">
    <w:name w:val="op-map-singlepoint-info-right"/>
    <w:qFormat/>
    <w:uiPriority w:val="0"/>
    <w:rPr>
      <w:rFonts w:ascii="仿宋_GB2312" w:eastAsia="仿宋_GB2312"/>
      <w:b/>
      <w:sz w:val="32"/>
      <w:szCs w:val="32"/>
    </w:rPr>
  </w:style>
  <w:style w:type="character" w:customStyle="1" w:styleId="77">
    <w:name w:val="font112"/>
    <w:qFormat/>
    <w:uiPriority w:val="0"/>
    <w:rPr>
      <w:rFonts w:ascii="宋体" w:eastAsia="宋体" w:cs="宋体"/>
      <w:color w:val="000000"/>
      <w:sz w:val="22"/>
      <w:szCs w:val="22"/>
      <w:u w:val="none"/>
      <w:lang w:bidi="ar-SA"/>
    </w:rPr>
  </w:style>
  <w:style w:type="character" w:customStyle="1" w:styleId="78">
    <w:name w:val="标题 1 Char"/>
    <w:qFormat/>
    <w:uiPriority w:val="0"/>
    <w:rPr>
      <w:rFonts w:ascii="宋体" w:eastAsia="宋体"/>
      <w:b/>
      <w:kern w:val="2"/>
      <w:sz w:val="28"/>
      <w:lang w:val="en-US" w:eastAsia="zh-CN"/>
    </w:rPr>
  </w:style>
  <w:style w:type="character" w:customStyle="1" w:styleId="79">
    <w:name w:val="日期 字符"/>
    <w:qFormat/>
    <w:uiPriority w:val="0"/>
    <w:rPr>
      <w:rFonts w:ascii="宋体" w:hAnsi="宋体" w:cs="Times New Roman"/>
      <w:sz w:val="24"/>
      <w:lang w:bidi="ar-SA"/>
    </w:rPr>
  </w:style>
  <w:style w:type="character" w:customStyle="1" w:styleId="80">
    <w:name w:val="标题 4 字符"/>
    <w:qFormat/>
    <w:uiPriority w:val="0"/>
    <w:rPr>
      <w:rFonts w:ascii="Arial" w:hAnsi="Arial" w:eastAsia="黑体"/>
      <w:b/>
      <w:kern w:val="2"/>
      <w:sz w:val="28"/>
      <w:lang w:val="en-US" w:eastAsia="zh-CN"/>
    </w:rPr>
  </w:style>
  <w:style w:type="character" w:customStyle="1" w:styleId="81">
    <w:name w:val="正文文本缩进 3 字符1"/>
    <w:qFormat/>
    <w:uiPriority w:val="0"/>
    <w:rPr>
      <w:kern w:val="2"/>
      <w:sz w:val="16"/>
      <w:szCs w:val="16"/>
    </w:rPr>
  </w:style>
  <w:style w:type="character" w:customStyle="1" w:styleId="82">
    <w:name w:val="正文文本 2 字符"/>
    <w:qFormat/>
    <w:uiPriority w:val="0"/>
    <w:rPr>
      <w:rFonts w:eastAsia="宋体"/>
      <w:sz w:val="24"/>
    </w:rPr>
  </w:style>
  <w:style w:type="character" w:customStyle="1" w:styleId="83">
    <w:name w:val="正文文本缩进 字符1"/>
    <w:qFormat/>
    <w:uiPriority w:val="0"/>
    <w:rPr>
      <w:rFonts w:eastAsia="方正书宋简体"/>
      <w:kern w:val="2"/>
      <w:sz w:val="24"/>
      <w:lang w:val="en-US" w:eastAsia="zh-CN"/>
    </w:rPr>
  </w:style>
  <w:style w:type="character" w:customStyle="1" w:styleId="84">
    <w:name w:val="zbggmain style9"/>
    <w:qFormat/>
    <w:uiPriority w:val="0"/>
  </w:style>
  <w:style w:type="character" w:customStyle="1" w:styleId="85">
    <w:name w:val="apple-converted-space"/>
    <w:qFormat/>
    <w:uiPriority w:val="0"/>
    <w:rPr>
      <w:rFonts w:cs="Times New Roman"/>
      <w:lang w:bidi="ar-SA"/>
    </w:rPr>
  </w:style>
  <w:style w:type="character" w:customStyle="1" w:styleId="86">
    <w:name w:val="标题 Char1"/>
    <w:qFormat/>
    <w:uiPriority w:val="0"/>
    <w:rPr>
      <w:rFonts w:ascii="Cambria" w:hAnsi="Cambria" w:eastAsia="仿宋_GB2312" w:cs="Times New Roman"/>
      <w:b/>
      <w:bCs/>
      <w:kern w:val="2"/>
      <w:sz w:val="32"/>
      <w:szCs w:val="32"/>
      <w:lang w:bidi="ar-SA"/>
    </w:rPr>
  </w:style>
  <w:style w:type="character" w:customStyle="1" w:styleId="87">
    <w:name w:val="font122"/>
    <w:qFormat/>
    <w:uiPriority w:val="0"/>
    <w:rPr>
      <w:rFonts w:ascii="宋体" w:eastAsia="宋体" w:cs="宋体"/>
      <w:b/>
      <w:bCs/>
      <w:color w:val="000000"/>
      <w:sz w:val="21"/>
      <w:szCs w:val="21"/>
      <w:u w:val="none"/>
      <w:lang w:bidi="ar-SA"/>
    </w:rPr>
  </w:style>
  <w:style w:type="character" w:customStyle="1" w:styleId="88">
    <w:name w:val="页眉 字符1"/>
    <w:qFormat/>
    <w:uiPriority w:val="0"/>
    <w:rPr>
      <w:kern w:val="2"/>
      <w:sz w:val="18"/>
      <w:szCs w:val="18"/>
    </w:rPr>
  </w:style>
  <w:style w:type="character" w:customStyle="1" w:styleId="89">
    <w:name w:val="正文文本首行缩进 字符"/>
    <w:qFormat/>
    <w:uiPriority w:val="0"/>
  </w:style>
  <w:style w:type="character" w:customStyle="1" w:styleId="90">
    <w:name w:val="font131"/>
    <w:qFormat/>
    <w:uiPriority w:val="0"/>
    <w:rPr>
      <w:rFonts w:ascii="宋体" w:eastAsia="宋体"/>
      <w:color w:val="000000"/>
      <w:sz w:val="24"/>
      <w:szCs w:val="24"/>
      <w:u w:val="none"/>
    </w:rPr>
  </w:style>
  <w:style w:type="character" w:customStyle="1" w:styleId="91">
    <w:name w:val="正文文本缩进 3 字符"/>
    <w:qFormat/>
    <w:uiPriority w:val="0"/>
    <w:rPr>
      <w:rFonts w:ascii="宋体" w:eastAsia="宋体" w:cs="宋体"/>
      <w:b/>
      <w:kern w:val="2"/>
      <w:sz w:val="24"/>
      <w:szCs w:val="24"/>
      <w:lang w:val="en-US" w:eastAsia="zh-CN" w:bidi="ar-SA"/>
    </w:rPr>
  </w:style>
  <w:style w:type="character" w:customStyle="1" w:styleId="92">
    <w:name w:val="apple-style-span"/>
    <w:qFormat/>
    <w:uiPriority w:val="0"/>
    <w:rPr>
      <w:rFonts w:cs="Times New Roman"/>
      <w:lang w:bidi="ar-SA"/>
    </w:rPr>
  </w:style>
  <w:style w:type="character" w:customStyle="1" w:styleId="93">
    <w:name w:val="正文首行缩进 字符"/>
    <w:qFormat/>
    <w:uiPriority w:val="0"/>
    <w:rPr>
      <w:rFonts w:ascii="宋体" w:eastAsia="宋体" w:cs="宋体"/>
      <w:i/>
      <w:kern w:val="2"/>
      <w:sz w:val="24"/>
      <w:lang w:val="en-US" w:eastAsia="zh-CN" w:bidi="ar-SA"/>
    </w:rPr>
  </w:style>
  <w:style w:type="character" w:customStyle="1" w:styleId="94">
    <w:name w:val="批注框文本 字符1"/>
    <w:qFormat/>
    <w:uiPriority w:val="0"/>
    <w:rPr>
      <w:kern w:val="2"/>
      <w:sz w:val="18"/>
      <w:szCs w:val="18"/>
    </w:rPr>
  </w:style>
  <w:style w:type="character" w:customStyle="1" w:styleId="95">
    <w:name w:val="正文文本缩进 字符3"/>
    <w:qFormat/>
    <w:uiPriority w:val="0"/>
    <w:rPr>
      <w:rFonts w:eastAsia="方正书宋简体"/>
      <w:kern w:val="2"/>
      <w:sz w:val="24"/>
      <w:lang w:val="en-US" w:eastAsia="zh-CN"/>
    </w:rPr>
  </w:style>
  <w:style w:type="character" w:customStyle="1" w:styleId="96">
    <w:name w:val="纯文本 Char2"/>
    <w:qFormat/>
    <w:uiPriority w:val="0"/>
    <w:rPr>
      <w:rFonts w:ascii="宋体" w:eastAsia="宋体"/>
      <w:color w:val="000000"/>
      <w:sz w:val="24"/>
      <w:lang w:val="en-US" w:eastAsia="zh-CN"/>
    </w:rPr>
  </w:style>
  <w:style w:type="character" w:customStyle="1" w:styleId="97">
    <w:name w:val="正文文本缩进 3 Char2"/>
    <w:qFormat/>
    <w:uiPriority w:val="0"/>
    <w:rPr>
      <w:rFonts w:ascii="Times New Roman" w:hAnsi="Times New Roman" w:eastAsia="宋体" w:cs="Times New Roman"/>
      <w:sz w:val="16"/>
      <w:szCs w:val="16"/>
      <w:lang w:bidi="ar-SA"/>
    </w:rPr>
  </w:style>
  <w:style w:type="character" w:customStyle="1" w:styleId="98">
    <w:name w:val="纯文本 Char"/>
    <w:qFormat/>
    <w:uiPriority w:val="0"/>
    <w:rPr>
      <w:rFonts w:ascii="宋体" w:eastAsia="宋体"/>
      <w:color w:val="000000"/>
      <w:sz w:val="24"/>
      <w:lang w:val="en-US" w:eastAsia="zh-CN"/>
    </w:rPr>
  </w:style>
  <w:style w:type="character" w:customStyle="1" w:styleId="99">
    <w:name w:val="font81"/>
    <w:qFormat/>
    <w:uiPriority w:val="0"/>
    <w:rPr>
      <w:rFonts w:ascii="宋体" w:eastAsia="宋体" w:cs="宋体"/>
      <w:color w:val="000000"/>
      <w:sz w:val="22"/>
      <w:szCs w:val="22"/>
      <w:u w:val="none"/>
      <w:lang w:bidi="ar-SA"/>
    </w:rPr>
  </w:style>
  <w:style w:type="character" w:customStyle="1" w:styleId="100">
    <w:name w:val="font31"/>
    <w:qFormat/>
    <w:uiPriority w:val="0"/>
    <w:rPr>
      <w:rFonts w:ascii="宋体" w:eastAsia="宋体"/>
      <w:color w:val="000000"/>
      <w:sz w:val="24"/>
      <w:szCs w:val="24"/>
      <w:u w:val="none"/>
    </w:rPr>
  </w:style>
  <w:style w:type="character" w:customStyle="1" w:styleId="101">
    <w:name w:val="正文文本 字符"/>
    <w:qFormat/>
    <w:uiPriority w:val="0"/>
    <w:rPr>
      <w:rFonts w:ascii="宋体" w:eastAsia="宋体" w:cs="宋体"/>
      <w:lang w:val="en-US" w:eastAsia="zh-CN" w:bidi="ar-SA"/>
    </w:rPr>
  </w:style>
  <w:style w:type="character" w:customStyle="1" w:styleId="102">
    <w:name w:val="纯文本 字符2"/>
    <w:qFormat/>
    <w:uiPriority w:val="0"/>
    <w:rPr>
      <w:rFonts w:ascii="宋体" w:eastAsia="宋体" w:cs="宋体"/>
      <w:lang w:val="en-US" w:eastAsia="zh-CN" w:bidi="ar-SA"/>
    </w:rPr>
  </w:style>
  <w:style w:type="character" w:customStyle="1" w:styleId="103">
    <w:name w:val="正文缩进 Char"/>
    <w:qFormat/>
    <w:uiPriority w:val="0"/>
    <w:rPr>
      <w:rFonts w:eastAsia="宋体"/>
      <w:kern w:val="2"/>
      <w:sz w:val="24"/>
      <w:lang w:val="en-US" w:eastAsia="zh-CN"/>
    </w:rPr>
  </w:style>
  <w:style w:type="character" w:customStyle="1" w:styleId="104">
    <w:name w:val="正文文本缩进 3 Char"/>
    <w:qFormat/>
    <w:uiPriority w:val="0"/>
    <w:rPr>
      <w:rFonts w:ascii="宋体" w:eastAsia="宋体"/>
      <w:kern w:val="2"/>
      <w:sz w:val="24"/>
      <w:lang w:val="en-US" w:eastAsia="zh-CN"/>
    </w:rPr>
  </w:style>
  <w:style w:type="character" w:customStyle="1" w:styleId="105">
    <w:name w:val="页眉 字符"/>
    <w:qFormat/>
    <w:uiPriority w:val="0"/>
    <w:rPr>
      <w:rFonts w:ascii="宋体" w:eastAsia="宋体" w:cs="宋体"/>
      <w:kern w:val="2"/>
      <w:sz w:val="18"/>
      <w:szCs w:val="18"/>
      <w:lang w:val="en-US" w:eastAsia="zh-CN" w:bidi="ar-SA"/>
    </w:rPr>
  </w:style>
  <w:style w:type="character" w:customStyle="1" w:styleId="106">
    <w:name w:val="标题 9 字符"/>
    <w:qFormat/>
    <w:uiPriority w:val="0"/>
    <w:rPr>
      <w:rFonts w:ascii="Arial" w:hAnsi="Arial" w:eastAsia="黑体"/>
      <w:kern w:val="2"/>
      <w:sz w:val="21"/>
    </w:rPr>
  </w:style>
  <w:style w:type="character" w:customStyle="1" w:styleId="107">
    <w:name w:val="批注主题 字符1"/>
    <w:qFormat/>
    <w:uiPriority w:val="0"/>
    <w:rPr>
      <w:b/>
      <w:bCs/>
      <w:kern w:val="2"/>
      <w:sz w:val="21"/>
    </w:rPr>
  </w:style>
  <w:style w:type="character" w:customStyle="1" w:styleId="108">
    <w:name w:val="批注主题 Char"/>
    <w:qFormat/>
    <w:uiPriority w:val="0"/>
    <w:rPr>
      <w:rFonts w:cs="Times New Roman"/>
      <w:b/>
      <w:bCs/>
      <w:kern w:val="2"/>
      <w:sz w:val="21"/>
      <w:lang w:bidi="ar-SA"/>
    </w:rPr>
  </w:style>
  <w:style w:type="character" w:customStyle="1" w:styleId="109">
    <w:name w:val="c-icon16"/>
    <w:qFormat/>
    <w:uiPriority w:val="0"/>
  </w:style>
  <w:style w:type="character" w:customStyle="1" w:styleId="110">
    <w:name w:val="HTML 预设格式 Char1"/>
    <w:qFormat/>
    <w:uiPriority w:val="0"/>
    <w:rPr>
      <w:rFonts w:ascii="Courier New" w:hAnsi="Courier New" w:eastAsia="宋体" w:cs="Courier New"/>
      <w:sz w:val="20"/>
      <w:szCs w:val="20"/>
      <w:lang w:bidi="ar-SA"/>
    </w:rPr>
  </w:style>
  <w:style w:type="character" w:customStyle="1" w:styleId="111">
    <w:name w:val="批注框文本 字符"/>
    <w:qFormat/>
    <w:uiPriority w:val="0"/>
    <w:rPr>
      <w:rFonts w:ascii="宋体" w:eastAsia="宋体" w:cs="宋体"/>
      <w:kern w:val="2"/>
      <w:sz w:val="18"/>
      <w:szCs w:val="18"/>
      <w:lang w:val="en-US" w:eastAsia="zh-CN" w:bidi="ar-SA"/>
    </w:rPr>
  </w:style>
  <w:style w:type="character" w:customStyle="1" w:styleId="112">
    <w:name w:val="正文文本 3 Char1"/>
    <w:qFormat/>
    <w:uiPriority w:val="0"/>
    <w:rPr>
      <w:rFonts w:ascii="Times New Roman" w:hAnsi="Times New Roman" w:eastAsia="宋体" w:cs="Times New Roman"/>
      <w:sz w:val="16"/>
      <w:szCs w:val="16"/>
      <w:lang w:bidi="ar-SA"/>
    </w:rPr>
  </w:style>
  <w:style w:type="character" w:customStyle="1" w:styleId="113">
    <w:name w:val="正文文本 字符1"/>
    <w:qFormat/>
    <w:uiPriority w:val="0"/>
    <w:rPr>
      <w:kern w:val="2"/>
      <w:sz w:val="21"/>
    </w:rPr>
  </w:style>
  <w:style w:type="character" w:customStyle="1" w:styleId="114">
    <w:name w:val="批注主题 字符"/>
    <w:qFormat/>
    <w:uiPriority w:val="0"/>
    <w:rPr>
      <w:rFonts w:ascii="宋体" w:eastAsia="宋体" w:cs="宋体"/>
      <w:b/>
      <w:kern w:val="2"/>
      <w:sz w:val="21"/>
      <w:szCs w:val="21"/>
      <w:lang w:val="en-US" w:eastAsia="zh-CN" w:bidi="ar-SA"/>
    </w:rPr>
  </w:style>
  <w:style w:type="character" w:customStyle="1" w:styleId="115">
    <w:name w:val="正文文本缩进 字符"/>
    <w:qFormat/>
    <w:uiPriority w:val="0"/>
    <w:rPr>
      <w:rFonts w:ascii="Calibri" w:hAnsi="Calibri" w:cs="Calibri"/>
      <w:lang w:bidi="ar-SA"/>
    </w:rPr>
  </w:style>
  <w:style w:type="character" w:customStyle="1" w:styleId="116">
    <w:name w:val="font21"/>
    <w:basedOn w:val="55"/>
    <w:qFormat/>
    <w:uiPriority w:val="0"/>
    <w:rPr>
      <w:rFonts w:ascii="宋体" w:eastAsia="宋体" w:cs="宋体"/>
      <w:b/>
      <w:color w:val="000000"/>
      <w:sz w:val="22"/>
      <w:szCs w:val="22"/>
      <w:u w:val="none"/>
      <w:lang w:bidi="ar-SA"/>
    </w:rPr>
  </w:style>
  <w:style w:type="character" w:customStyle="1" w:styleId="117">
    <w:name w:val="正文文本 Char"/>
    <w:qFormat/>
    <w:uiPriority w:val="0"/>
    <w:rPr>
      <w:rFonts w:eastAsia="宋体"/>
      <w:i/>
      <w:kern w:val="2"/>
      <w:sz w:val="18"/>
      <w:lang w:val="en-US" w:eastAsia="zh-CN"/>
    </w:rPr>
  </w:style>
  <w:style w:type="character" w:customStyle="1" w:styleId="118">
    <w:name w:val="z-窗体底端 Char1"/>
    <w:qFormat/>
    <w:uiPriority w:val="0"/>
    <w:rPr>
      <w:rFonts w:ascii="Arial" w:hAnsi="Arial" w:cs="Arial"/>
      <w:vanish/>
      <w:kern w:val="2"/>
      <w:sz w:val="16"/>
      <w:szCs w:val="16"/>
      <w:lang w:bidi="ar-SA"/>
    </w:rPr>
  </w:style>
  <w:style w:type="character" w:customStyle="1" w:styleId="119">
    <w:name w:val="无"/>
    <w:qFormat/>
    <w:uiPriority w:val="0"/>
  </w:style>
  <w:style w:type="character" w:customStyle="1" w:styleId="120">
    <w:name w:val="标题 1 Char Char"/>
    <w:qFormat/>
    <w:uiPriority w:val="0"/>
    <w:rPr>
      <w:rFonts w:eastAsia="宋体"/>
      <w:b/>
      <w:spacing w:val="-2"/>
      <w:sz w:val="24"/>
      <w:lang w:val="en-US" w:eastAsia="zh-CN"/>
    </w:rPr>
  </w:style>
  <w:style w:type="character" w:customStyle="1" w:styleId="121">
    <w:name w:val="style171"/>
    <w:qFormat/>
    <w:uiPriority w:val="0"/>
    <w:rPr>
      <w:rFonts w:ascii="仿宋_GB2312" w:eastAsia="仿宋_GB2312"/>
      <w:b/>
      <w:bCs/>
      <w:color w:val="000000"/>
      <w:sz w:val="32"/>
      <w:szCs w:val="32"/>
    </w:rPr>
  </w:style>
  <w:style w:type="character" w:customStyle="1" w:styleId="122">
    <w:name w:val="style191"/>
    <w:qFormat/>
    <w:uiPriority w:val="0"/>
    <w:rPr>
      <w:rFonts w:ascii="仿宋_GB2312" w:eastAsia="仿宋_GB2312"/>
      <w:b/>
      <w:bCs/>
      <w:sz w:val="21"/>
      <w:szCs w:val="21"/>
    </w:rPr>
  </w:style>
  <w:style w:type="character" w:customStyle="1" w:styleId="123">
    <w:name w:val="HTML 预设格式 字符1"/>
    <w:qFormat/>
    <w:uiPriority w:val="0"/>
    <w:rPr>
      <w:rFonts w:ascii="Courier New" w:hAnsi="Courier New" w:cs="Courier New"/>
      <w:kern w:val="2"/>
      <w:lang w:bidi="ar-SA"/>
    </w:rPr>
  </w:style>
  <w:style w:type="character" w:customStyle="1" w:styleId="124">
    <w:name w:val="font151"/>
    <w:qFormat/>
    <w:uiPriority w:val="0"/>
    <w:rPr>
      <w:rFonts w:ascii="宋体" w:eastAsia="宋体" w:cs="宋体"/>
      <w:color w:val="000000"/>
      <w:sz w:val="21"/>
      <w:szCs w:val="21"/>
      <w:u w:val="none"/>
      <w:lang w:bidi="ar-SA"/>
    </w:rPr>
  </w:style>
  <w:style w:type="character" w:customStyle="1" w:styleId="125">
    <w:name w:val="批注文字 字符1"/>
    <w:qFormat/>
    <w:uiPriority w:val="0"/>
    <w:rPr>
      <w:kern w:val="2"/>
      <w:sz w:val="21"/>
    </w:rPr>
  </w:style>
  <w:style w:type="character" w:customStyle="1" w:styleId="126">
    <w:name w:val="标题 8 字符"/>
    <w:qFormat/>
    <w:uiPriority w:val="0"/>
    <w:rPr>
      <w:rFonts w:ascii="Arial" w:hAnsi="Arial" w:eastAsia="黑体"/>
      <w:kern w:val="2"/>
      <w:sz w:val="24"/>
    </w:rPr>
  </w:style>
  <w:style w:type="character" w:customStyle="1" w:styleId="127">
    <w:name w:val="标题 Char3"/>
    <w:qFormat/>
    <w:uiPriority w:val="0"/>
    <w:rPr>
      <w:rFonts w:ascii="Cambria" w:hAnsi="Cambria" w:cs="Times New Roman"/>
      <w:b/>
      <w:bCs/>
      <w:kern w:val="2"/>
      <w:sz w:val="32"/>
      <w:szCs w:val="32"/>
      <w:lang w:bidi="ar-SA"/>
    </w:rPr>
  </w:style>
  <w:style w:type="character" w:customStyle="1" w:styleId="128">
    <w:name w:val="font11"/>
    <w:qFormat/>
    <w:uiPriority w:val="0"/>
    <w:rPr>
      <w:rFonts w:ascii="Times New Roman" w:hAnsi="Times New Roman"/>
      <w:color w:val="000000"/>
      <w:sz w:val="24"/>
      <w:u w:val="none"/>
    </w:rPr>
  </w:style>
  <w:style w:type="character" w:customStyle="1" w:styleId="129">
    <w:name w:val="f11"/>
    <w:qFormat/>
    <w:uiPriority w:val="0"/>
    <w:rPr>
      <w:rFonts w:ascii="仿宋_GB2312" w:eastAsia="仿宋_GB2312"/>
      <w:b/>
      <w:sz w:val="24"/>
      <w:szCs w:val="24"/>
    </w:rPr>
  </w:style>
  <w:style w:type="character" w:customStyle="1" w:styleId="130">
    <w:name w:val="font12gray1"/>
    <w:qFormat/>
    <w:uiPriority w:val="0"/>
    <w:rPr>
      <w:rFonts w:ascii="仿宋_GB2312" w:eastAsia="仿宋_GB2312"/>
      <w:b/>
      <w:sz w:val="18"/>
      <w:szCs w:val="18"/>
    </w:rPr>
  </w:style>
  <w:style w:type="character" w:customStyle="1" w:styleId="131">
    <w:name w:val="z-窗体顶端 Char1"/>
    <w:qFormat/>
    <w:uiPriority w:val="0"/>
    <w:rPr>
      <w:rFonts w:ascii="Arial" w:hAnsi="Arial" w:cs="Arial"/>
      <w:vanish/>
      <w:kern w:val="2"/>
      <w:sz w:val="16"/>
      <w:szCs w:val="16"/>
      <w:lang w:bidi="ar-SA"/>
    </w:rPr>
  </w:style>
  <w:style w:type="character" w:customStyle="1" w:styleId="132">
    <w:name w:val="font91"/>
    <w:qFormat/>
    <w:uiPriority w:val="0"/>
    <w:rPr>
      <w:rFonts w:ascii="华文细黑" w:eastAsia="华文细黑"/>
      <w:color w:val="FF0000"/>
      <w:sz w:val="18"/>
      <w:szCs w:val="18"/>
      <w:u w:val="none"/>
    </w:rPr>
  </w:style>
  <w:style w:type="character" w:customStyle="1" w:styleId="133">
    <w:name w:val="正文文本 2 字符1"/>
    <w:qFormat/>
    <w:uiPriority w:val="0"/>
    <w:rPr>
      <w:kern w:val="2"/>
      <w:sz w:val="21"/>
    </w:rPr>
  </w:style>
  <w:style w:type="character" w:customStyle="1" w:styleId="134">
    <w:name w:val="标题 5 字符"/>
    <w:qFormat/>
    <w:uiPriority w:val="0"/>
    <w:rPr>
      <w:rFonts w:eastAsia="宋体"/>
      <w:b/>
      <w:kern w:val="2"/>
      <w:sz w:val="28"/>
      <w:lang w:val="en-US" w:eastAsia="zh-CN"/>
    </w:rPr>
  </w:style>
  <w:style w:type="character" w:customStyle="1" w:styleId="135">
    <w:name w:val="日期 字符1"/>
    <w:qFormat/>
    <w:uiPriority w:val="0"/>
    <w:rPr>
      <w:kern w:val="2"/>
      <w:sz w:val="21"/>
    </w:rPr>
  </w:style>
  <w:style w:type="character" w:customStyle="1" w:styleId="136">
    <w:name w:val="页脚 字符1"/>
    <w:qFormat/>
    <w:uiPriority w:val="0"/>
    <w:rPr>
      <w:kern w:val="2"/>
      <w:sz w:val="18"/>
      <w:szCs w:val="18"/>
    </w:rPr>
  </w:style>
  <w:style w:type="character" w:customStyle="1" w:styleId="137">
    <w:name w:val="font41"/>
    <w:qFormat/>
    <w:uiPriority w:val="0"/>
    <w:rPr>
      <w:rFonts w:ascii="font-weight : 400" w:hAnsi="font-weight : 400" w:eastAsia="font-weight : 400" w:cs="font-weight : 400"/>
      <w:b/>
      <w:color w:val="000000"/>
      <w:sz w:val="22"/>
      <w:szCs w:val="22"/>
      <w:u w:val="none"/>
      <w:lang w:bidi="ar-SA"/>
    </w:rPr>
  </w:style>
  <w:style w:type="character" w:customStyle="1" w:styleId="138">
    <w:name w:val="font61"/>
    <w:qFormat/>
    <w:uiPriority w:val="0"/>
    <w:rPr>
      <w:rFonts w:ascii="Times New Roman" w:hAnsi="Times New Roman"/>
      <w:color w:val="000000"/>
      <w:sz w:val="20"/>
      <w:u w:val="none"/>
    </w:rPr>
  </w:style>
  <w:style w:type="character" w:customStyle="1" w:styleId="139">
    <w:name w:val="正文文本缩进 Char1"/>
    <w:qFormat/>
    <w:uiPriority w:val="0"/>
    <w:rPr>
      <w:rFonts w:eastAsia="方正书宋简体"/>
      <w:kern w:val="2"/>
      <w:sz w:val="24"/>
      <w:lang w:val="en-US" w:eastAsia="zh-CN"/>
    </w:rPr>
  </w:style>
  <w:style w:type="character" w:customStyle="1" w:styleId="140">
    <w:name w:val="正文文本缩进 Char2"/>
    <w:qFormat/>
    <w:uiPriority w:val="0"/>
    <w:rPr>
      <w:rFonts w:ascii="Times New Roman" w:hAnsi="Times New Roman" w:eastAsia="宋体" w:cs="Times New Roman"/>
      <w:szCs w:val="24"/>
      <w:lang w:bidi="ar-SA"/>
    </w:rPr>
  </w:style>
  <w:style w:type="character" w:customStyle="1" w:styleId="141">
    <w:name w:val="正文缩进 字符"/>
    <w:qFormat/>
    <w:uiPriority w:val="0"/>
    <w:rPr>
      <w:rFonts w:ascii="宋体" w:eastAsia="宋体" w:cs="宋体"/>
      <w:spacing w:val="14"/>
      <w:kern w:val="24"/>
      <w:sz w:val="24"/>
      <w:szCs w:val="24"/>
      <w:lang w:val="en-US" w:eastAsia="zh-CN" w:bidi="ar-SA"/>
    </w:rPr>
  </w:style>
  <w:style w:type="character" w:customStyle="1" w:styleId="142">
    <w:name w:val="正文文本 3 字符1"/>
    <w:qFormat/>
    <w:uiPriority w:val="0"/>
    <w:rPr>
      <w:kern w:val="2"/>
      <w:sz w:val="16"/>
      <w:szCs w:val="16"/>
    </w:rPr>
  </w:style>
  <w:style w:type="character" w:customStyle="1" w:styleId="143">
    <w:name w:val="页眉 Char"/>
    <w:qFormat/>
    <w:uiPriority w:val="0"/>
    <w:rPr>
      <w:rFonts w:eastAsia="宋体"/>
      <w:kern w:val="2"/>
      <w:sz w:val="18"/>
      <w:lang w:val="en-US" w:eastAsia="zh-CN"/>
    </w:rPr>
  </w:style>
  <w:style w:type="character" w:customStyle="1" w:styleId="144">
    <w:name w:val="列出段落 字符"/>
    <w:qFormat/>
    <w:uiPriority w:val="0"/>
    <w:rPr>
      <w:rFonts w:eastAsia="宋体"/>
      <w:kern w:val="2"/>
      <w:sz w:val="24"/>
      <w:lang w:val="en-US" w:eastAsia="zh-CN"/>
    </w:rPr>
  </w:style>
  <w:style w:type="character" w:customStyle="1" w:styleId="145">
    <w:name w:val="页脚 字符"/>
    <w:qFormat/>
    <w:uiPriority w:val="0"/>
    <w:rPr>
      <w:rFonts w:ascii="宋体" w:eastAsia="宋体" w:cs="宋体"/>
      <w:kern w:val="2"/>
      <w:sz w:val="18"/>
      <w:szCs w:val="18"/>
      <w:lang w:val="en-US" w:eastAsia="zh-CN" w:bidi="ar-SA"/>
    </w:rPr>
  </w:style>
  <w:style w:type="character" w:customStyle="1" w:styleId="146">
    <w:name w:val="font71"/>
    <w:qFormat/>
    <w:uiPriority w:val="0"/>
    <w:rPr>
      <w:rFonts w:ascii="宋体" w:eastAsia="宋体" w:cs="宋体"/>
      <w:b/>
      <w:color w:val="0000FF"/>
      <w:sz w:val="22"/>
      <w:szCs w:val="22"/>
      <w:u w:val="none"/>
      <w:lang w:bidi="ar-SA"/>
    </w:rPr>
  </w:style>
  <w:style w:type="character" w:customStyle="1" w:styleId="147">
    <w:name w:val="font101"/>
    <w:qFormat/>
    <w:uiPriority w:val="0"/>
    <w:rPr>
      <w:rFonts w:ascii="Times New Roman" w:hAnsi="Times New Roman" w:cs="Times New Roman"/>
      <w:b/>
      <w:color w:val="000000"/>
      <w:sz w:val="22"/>
      <w:szCs w:val="22"/>
      <w:u w:val="none"/>
      <w:lang w:bidi="ar-SA"/>
    </w:rPr>
  </w:style>
  <w:style w:type="character" w:customStyle="1" w:styleId="148">
    <w:name w:val="正文文本缩进 2 字符"/>
    <w:qFormat/>
    <w:uiPriority w:val="0"/>
    <w:rPr>
      <w:rFonts w:ascii="宋体" w:eastAsia="宋体"/>
      <w:kern w:val="2"/>
      <w:sz w:val="24"/>
      <w:lang w:val="en-US" w:eastAsia="zh-CN"/>
    </w:rPr>
  </w:style>
  <w:style w:type="character" w:customStyle="1" w:styleId="149">
    <w:name w:val="日期 字符2"/>
    <w:qFormat/>
    <w:uiPriority w:val="0"/>
    <w:rPr>
      <w:rFonts w:ascii="宋体" w:hAnsi="宋体" w:cs="Times New Roman"/>
      <w:sz w:val="24"/>
      <w:lang w:bidi="ar-SA"/>
    </w:rPr>
  </w:style>
  <w:style w:type="character" w:customStyle="1" w:styleId="150">
    <w:name w:val="正文文本缩进 2 字符1"/>
    <w:qFormat/>
    <w:uiPriority w:val="0"/>
    <w:rPr>
      <w:kern w:val="2"/>
      <w:sz w:val="21"/>
    </w:rPr>
  </w:style>
  <w:style w:type="character" w:customStyle="1" w:styleId="151">
    <w:name w:val="文档结构图 字符"/>
    <w:qFormat/>
    <w:uiPriority w:val="0"/>
    <w:rPr>
      <w:rFonts w:eastAsia="宋体"/>
      <w:kern w:val="2"/>
      <w:sz w:val="21"/>
      <w:lang w:val="en-US" w:eastAsia="zh-CN"/>
    </w:rPr>
  </w:style>
  <w:style w:type="character" w:customStyle="1" w:styleId="152">
    <w:name w:val="正文文本 3 字符"/>
    <w:qFormat/>
    <w:uiPriority w:val="0"/>
    <w:rPr>
      <w:rFonts w:eastAsia="宋体"/>
      <w:sz w:val="16"/>
    </w:rPr>
  </w:style>
  <w:style w:type="character" w:customStyle="1" w:styleId="153">
    <w:name w:val="pubtime"/>
    <w:qFormat/>
    <w:uiPriority w:val="0"/>
    <w:rPr>
      <w:rFonts w:ascii="仿宋_GB2312" w:eastAsia="仿宋_GB2312"/>
      <w:color w:val="000000"/>
      <w:sz w:val="14"/>
      <w:szCs w:val="14"/>
    </w:rPr>
  </w:style>
  <w:style w:type="character" w:customStyle="1" w:styleId="154">
    <w:name w:val="op_dict3_lineone_result_tip"/>
    <w:qFormat/>
    <w:uiPriority w:val="0"/>
    <w:rPr>
      <w:color w:val="999999"/>
    </w:rPr>
  </w:style>
  <w:style w:type="character" w:customStyle="1" w:styleId="155">
    <w:name w:val="p12"/>
    <w:qFormat/>
    <w:uiPriority w:val="0"/>
  </w:style>
  <w:style w:type="character" w:customStyle="1" w:styleId="156">
    <w:name w:val="批注文字 字符"/>
    <w:qFormat/>
    <w:uiPriority w:val="0"/>
    <w:rPr>
      <w:rFonts w:ascii="宋体" w:eastAsia="宋体" w:cs="宋体"/>
      <w:kern w:val="2"/>
      <w:sz w:val="21"/>
      <w:szCs w:val="21"/>
      <w:lang w:val="en-US" w:eastAsia="zh-CN" w:bidi="ar-SA"/>
    </w:rPr>
  </w:style>
  <w:style w:type="character" w:customStyle="1" w:styleId="157">
    <w:name w:val="font111"/>
    <w:qFormat/>
    <w:uiPriority w:val="0"/>
    <w:rPr>
      <w:rFonts w:ascii="Times New Roman" w:hAnsi="Times New Roman" w:cs="Times New Roman"/>
      <w:color w:val="000000"/>
      <w:sz w:val="24"/>
      <w:szCs w:val="24"/>
      <w:u w:val="none"/>
      <w:lang w:bidi="ar-SA"/>
    </w:rPr>
  </w:style>
  <w:style w:type="character" w:customStyle="1" w:styleId="158">
    <w:name w:val="批注框文本 Char"/>
    <w:qFormat/>
    <w:uiPriority w:val="0"/>
    <w:rPr>
      <w:rFonts w:cs="Times New Roman"/>
      <w:kern w:val="2"/>
      <w:sz w:val="18"/>
      <w:szCs w:val="18"/>
      <w:lang w:bidi="ar-SA"/>
    </w:rPr>
  </w:style>
  <w:style w:type="character" w:customStyle="1" w:styleId="159">
    <w:name w:val="标题 3 Char"/>
    <w:qFormat/>
    <w:uiPriority w:val="9"/>
    <w:rPr>
      <w:rFonts w:ascii="Arial" w:hAnsi="Arial" w:eastAsia="黑体"/>
      <w:b/>
      <w:kern w:val="2"/>
      <w:sz w:val="32"/>
      <w:lang w:val="en-US" w:eastAsia="zh-CN"/>
    </w:rPr>
  </w:style>
  <w:style w:type="character" w:customStyle="1" w:styleId="160">
    <w:name w:val="bookmark-item"/>
    <w:qFormat/>
    <w:uiPriority w:val="0"/>
  </w:style>
  <w:style w:type="character" w:customStyle="1" w:styleId="161">
    <w:name w:val="文档结构图 Char1"/>
    <w:qFormat/>
    <w:uiPriority w:val="0"/>
    <w:rPr>
      <w:rFonts w:ascii="宋体" w:hAnsi="宋体" w:eastAsia="仿宋_GB2312"/>
      <w:b/>
      <w:kern w:val="2"/>
      <w:sz w:val="18"/>
      <w:szCs w:val="18"/>
    </w:rPr>
  </w:style>
  <w:style w:type="character" w:customStyle="1" w:styleId="162">
    <w:name w:val="正文文本 Char1"/>
    <w:qFormat/>
    <w:uiPriority w:val="0"/>
    <w:rPr>
      <w:rFonts w:ascii="Times New Roman" w:hAnsi="Times New Roman" w:eastAsia="宋体" w:cs="Times New Roman"/>
      <w:sz w:val="24"/>
      <w:szCs w:val="24"/>
      <w:lang w:bidi="ar-SA"/>
    </w:rPr>
  </w:style>
  <w:style w:type="character" w:customStyle="1" w:styleId="163">
    <w:name w:val="font51"/>
    <w:qFormat/>
    <w:uiPriority w:val="0"/>
    <w:rPr>
      <w:rFonts w:ascii="宋体" w:eastAsia="宋体"/>
      <w:color w:val="000000"/>
      <w:sz w:val="24"/>
      <w:szCs w:val="24"/>
      <w:u w:val="none"/>
    </w:rPr>
  </w:style>
  <w:style w:type="character" w:customStyle="1" w:styleId="164">
    <w:name w:val="批注文字 Char"/>
    <w:qFormat/>
    <w:uiPriority w:val="0"/>
    <w:rPr>
      <w:rFonts w:cs="Times New Roman"/>
      <w:kern w:val="2"/>
      <w:sz w:val="21"/>
      <w:lang w:bidi="ar-SA"/>
    </w:rPr>
  </w:style>
  <w:style w:type="character" w:customStyle="1" w:styleId="165">
    <w:name w:val="页脚 Char"/>
    <w:qFormat/>
    <w:uiPriority w:val="0"/>
    <w:rPr>
      <w:rFonts w:eastAsia="宋体"/>
      <w:kern w:val="2"/>
      <w:sz w:val="18"/>
      <w:lang w:val="en-US" w:eastAsia="zh-CN"/>
    </w:rPr>
  </w:style>
  <w:style w:type="character" w:customStyle="1" w:styleId="166">
    <w:name w:val="h6 Char"/>
    <w:qFormat/>
    <w:uiPriority w:val="0"/>
    <w:rPr>
      <w:rFonts w:ascii="Arial" w:hAnsi="Arial" w:eastAsia="宋体"/>
      <w:b/>
      <w:kern w:val="2"/>
      <w:sz w:val="24"/>
      <w:lang w:val="en-US" w:eastAsia="zh-CN"/>
    </w:rPr>
  </w:style>
  <w:style w:type="character" w:customStyle="1" w:styleId="167">
    <w:name w:val="纯文本 字符1"/>
    <w:qFormat/>
    <w:uiPriority w:val="0"/>
    <w:rPr>
      <w:rFonts w:ascii="等线" w:eastAsia="等线" w:cs="Courier New"/>
      <w:kern w:val="2"/>
      <w:sz w:val="21"/>
      <w:lang w:bidi="ar-SA"/>
    </w:rPr>
  </w:style>
  <w:style w:type="character" w:customStyle="1" w:styleId="168">
    <w:name w:val="h Char Char"/>
    <w:qFormat/>
    <w:uiPriority w:val="0"/>
    <w:rPr>
      <w:rFonts w:ascii="仿宋_GB2312" w:eastAsia="仿宋_GB2312"/>
      <w:b/>
      <w:kern w:val="2"/>
      <w:sz w:val="18"/>
      <w:szCs w:val="18"/>
    </w:rPr>
  </w:style>
  <w:style w:type="character" w:customStyle="1" w:styleId="169">
    <w:name w:val="正文文本缩进 字符2"/>
    <w:qFormat/>
    <w:uiPriority w:val="0"/>
    <w:rPr>
      <w:kern w:val="2"/>
      <w:sz w:val="21"/>
    </w:rPr>
  </w:style>
  <w:style w:type="character" w:customStyle="1" w:styleId="170">
    <w:name w:val="文档结构图 字符1"/>
    <w:qFormat/>
    <w:uiPriority w:val="0"/>
    <w:rPr>
      <w:rFonts w:ascii="Microsoft YaHei UI" w:hAnsi="Microsoft YaHei UI" w:eastAsia="Microsoft YaHei UI"/>
      <w:kern w:val="2"/>
      <w:sz w:val="18"/>
      <w:szCs w:val="18"/>
    </w:rPr>
  </w:style>
  <w:style w:type="character" w:customStyle="1" w:styleId="171">
    <w:name w:val="标题 7 字符"/>
    <w:qFormat/>
    <w:uiPriority w:val="0"/>
    <w:rPr>
      <w:b/>
      <w:kern w:val="2"/>
      <w:sz w:val="24"/>
    </w:rPr>
  </w:style>
  <w:style w:type="character" w:customStyle="1" w:styleId="172">
    <w:name w:val="font01"/>
    <w:qFormat/>
    <w:uiPriority w:val="0"/>
    <w:rPr>
      <w:rFonts w:ascii="宋体" w:eastAsia="宋体"/>
      <w:color w:val="000000"/>
      <w:sz w:val="24"/>
      <w:u w:val="none"/>
    </w:rPr>
  </w:style>
  <w:style w:type="character" w:customStyle="1" w:styleId="173">
    <w:name w:val="标题 Char2"/>
    <w:qFormat/>
    <w:uiPriority w:val="0"/>
    <w:rPr>
      <w:rFonts w:ascii="Cambria" w:hAnsi="Cambria" w:eastAsia="宋体" w:cs="Times New Roman"/>
      <w:b/>
      <w:bCs/>
      <w:sz w:val="32"/>
      <w:szCs w:val="32"/>
      <w:lang w:bidi="ar-SA"/>
    </w:rPr>
  </w:style>
  <w:style w:type="character" w:customStyle="1" w:styleId="174">
    <w:name w:val="style2 bin1"/>
    <w:qFormat/>
    <w:uiPriority w:val="0"/>
    <w:rPr>
      <w:rFonts w:ascii="仿宋_GB2312" w:eastAsia="仿宋_GB2312"/>
      <w:b/>
      <w:sz w:val="32"/>
      <w:szCs w:val="32"/>
    </w:rPr>
  </w:style>
  <w:style w:type="character" w:customStyle="1" w:styleId="175">
    <w:name w:val="标题 6 字符"/>
    <w:qFormat/>
    <w:uiPriority w:val="0"/>
    <w:rPr>
      <w:rFonts w:ascii="Cambria" w:hAnsi="Cambria" w:eastAsia="宋体"/>
      <w:b/>
      <w:kern w:val="2"/>
      <w:sz w:val="24"/>
      <w:lang w:val="en-US" w:eastAsia="zh-CN"/>
    </w:rPr>
  </w:style>
  <w:style w:type="paragraph" w:customStyle="1" w:styleId="176">
    <w:name w:val="et3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77">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8">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79">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180">
    <w:name w:val="正文文本缩进1"/>
    <w:basedOn w:val="1"/>
    <w:qFormat/>
    <w:uiPriority w:val="0"/>
    <w:pPr>
      <w:spacing w:after="120"/>
      <w:ind w:left="420" w:leftChars="200"/>
    </w:pPr>
  </w:style>
  <w:style w:type="paragraph" w:customStyle="1" w:styleId="181">
    <w:name w:val="et35"/>
    <w:basedOn w:val="1"/>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182">
    <w:name w:val="默认段落字体 Para Char Char Char Char Char Char Char Char Char Char"/>
    <w:basedOn w:val="1"/>
    <w:qFormat/>
    <w:uiPriority w:val="0"/>
    <w:rPr>
      <w:rFonts w:ascii="Tahoma" w:hAnsi="Tahoma"/>
      <w:sz w:val="24"/>
    </w:rPr>
  </w:style>
  <w:style w:type="paragraph" w:customStyle="1" w:styleId="183">
    <w:name w:val="工可正文"/>
    <w:basedOn w:val="1"/>
    <w:qFormat/>
    <w:uiPriority w:val="0"/>
    <w:pPr>
      <w:spacing w:line="360" w:lineRule="auto"/>
      <w:ind w:firstLine="200" w:firstLineChars="200"/>
    </w:pPr>
    <w:rPr>
      <w:rFonts w:ascii="宋体"/>
      <w:kern w:val="0"/>
      <w:sz w:val="28"/>
    </w:rPr>
  </w:style>
  <w:style w:type="paragraph" w:customStyle="1" w:styleId="184">
    <w:name w:val="首行缩进"/>
    <w:basedOn w:val="1"/>
    <w:qFormat/>
    <w:uiPriority w:val="0"/>
    <w:pPr>
      <w:spacing w:line="360" w:lineRule="auto"/>
      <w:ind w:firstLine="200" w:firstLineChars="200"/>
      <w:jc w:val="left"/>
    </w:pPr>
    <w:rPr>
      <w:rFonts w:ascii="宋体"/>
      <w:sz w:val="24"/>
    </w:rPr>
  </w:style>
  <w:style w:type="paragraph" w:customStyle="1" w:styleId="185">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86">
    <w:name w:val="p0"/>
    <w:basedOn w:val="1"/>
    <w:qFormat/>
    <w:uiPriority w:val="0"/>
    <w:pPr>
      <w:widowControl/>
    </w:pPr>
    <w:rPr>
      <w:kern w:val="0"/>
      <w:szCs w:val="21"/>
    </w:rPr>
  </w:style>
  <w:style w:type="paragraph" w:customStyle="1" w:styleId="187">
    <w:name w:val="正文（缩进）"/>
    <w:basedOn w:val="1"/>
    <w:qFormat/>
    <w:uiPriority w:val="0"/>
    <w:pPr>
      <w:widowControl/>
      <w:spacing w:before="156" w:after="156"/>
      <w:ind w:firstLine="200" w:firstLineChars="200"/>
      <w:jc w:val="left"/>
    </w:pPr>
    <w:rPr>
      <w:rFonts w:ascii="Arial" w:hAnsi="Arial" w:eastAsia="Arial"/>
      <w:kern w:val="0"/>
      <w:sz w:val="24"/>
      <w:szCs w:val="24"/>
    </w:rPr>
  </w:style>
  <w:style w:type="paragraph" w:customStyle="1" w:styleId="188">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189">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190">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91">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192">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3">
    <w:name w:val="表格1"/>
    <w:basedOn w:val="1"/>
    <w:qFormat/>
    <w:uiPriority w:val="99"/>
    <w:rPr>
      <w:rFonts w:ascii="仿宋_GB2312"/>
      <w:sz w:val="24"/>
      <w:szCs w:val="24"/>
    </w:rPr>
  </w:style>
  <w:style w:type="paragraph" w:customStyle="1" w:styleId="194">
    <w:name w:val="样式 标题 2 + Times New Roman 四号 非加粗 段前: 5 磅 段后: 0 磅 行距: 固定值 20..."/>
    <w:basedOn w:val="2"/>
    <w:qFormat/>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195">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96">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7">
    <w:name w:val="et3"/>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98">
    <w:name w:val="正文编码"/>
    <w:basedOn w:val="5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99">
    <w:name w:val="样式1"/>
    <w:basedOn w:val="2"/>
    <w:qFormat/>
    <w:uiPriority w:val="0"/>
    <w:pPr>
      <w:tabs>
        <w:tab w:val="clear" w:pos="578"/>
      </w:tabs>
      <w:spacing w:beforeLines="0" w:afterLines="0"/>
      <w:ind w:left="0" w:firstLine="0"/>
    </w:pPr>
    <w:rPr>
      <w:rFonts w:ascii="黑体" w:eastAsia="黑体"/>
      <w:b/>
      <w:sz w:val="32"/>
      <w:szCs w:val="20"/>
    </w:rPr>
  </w:style>
  <w:style w:type="paragraph" w:customStyle="1" w:styleId="200">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1">
    <w:name w:val="【条文】"/>
    <w:basedOn w:val="202"/>
    <w:qFormat/>
    <w:uiPriority w:val="0"/>
    <w:pPr>
      <w:widowControl/>
      <w:numPr>
        <w:ilvl w:val="0"/>
        <w:numId w:val="1"/>
      </w:numPr>
      <w:spacing w:line="300" w:lineRule="auto"/>
      <w:ind w:firstLine="0" w:firstLineChars="0"/>
      <w:contextualSpacing/>
      <w:jc w:val="left"/>
    </w:pPr>
    <w:rPr>
      <w:kern w:val="0"/>
      <w:sz w:val="22"/>
    </w:rPr>
  </w:style>
  <w:style w:type="paragraph" w:styleId="202">
    <w:name w:val="List Paragraph"/>
    <w:basedOn w:val="1"/>
    <w:qFormat/>
    <w:uiPriority w:val="0"/>
    <w:pPr>
      <w:spacing w:line="360" w:lineRule="auto"/>
      <w:ind w:firstLine="200" w:firstLineChars="200"/>
    </w:pPr>
    <w:rPr>
      <w:sz w:val="24"/>
    </w:rPr>
  </w:style>
  <w:style w:type="paragraph" w:customStyle="1" w:styleId="203">
    <w:name w:val="font9"/>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04">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05">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6">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207">
    <w:name w:val="Char2"/>
    <w:basedOn w:val="1"/>
    <w:qFormat/>
    <w:uiPriority w:val="0"/>
    <w:pPr>
      <w:tabs>
        <w:tab w:val="left" w:pos="1200"/>
      </w:tabs>
      <w:ind w:left="1200" w:hanging="720"/>
    </w:pPr>
    <w:rPr>
      <w:sz w:val="24"/>
      <w:szCs w:val="24"/>
    </w:rPr>
  </w:style>
  <w:style w:type="paragraph" w:customStyle="1" w:styleId="208">
    <w:name w:val="_Style 204"/>
    <w:basedOn w:val="1"/>
    <w:next w:val="1"/>
    <w:qFormat/>
    <w:uiPriority w:val="0"/>
    <w:pPr>
      <w:pBdr>
        <w:top w:val="single" w:color="auto" w:sz="6" w:space="1"/>
      </w:pBdr>
      <w:jc w:val="center"/>
    </w:pPr>
    <w:rPr>
      <w:rFonts w:ascii="Arial" w:hAnsi="Arial"/>
      <w:vanish/>
      <w:kern w:val="0"/>
      <w:sz w:val="16"/>
      <w:szCs w:val="24"/>
    </w:rPr>
  </w:style>
  <w:style w:type="paragraph" w:customStyle="1" w:styleId="209">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10">
    <w:name w:val="样式2"/>
    <w:basedOn w:val="4"/>
    <w:qFormat/>
    <w:uiPriority w:val="0"/>
    <w:pPr>
      <w:adjustRightInd w:val="0"/>
      <w:spacing w:beforeLines="0" w:afterLines="0"/>
      <w:ind w:left="0" w:firstLine="0"/>
      <w:textAlignment w:val="baseline"/>
    </w:pPr>
    <w:rPr>
      <w:rFonts w:ascii="黑体" w:eastAsia="黑体"/>
      <w:b w:val="0"/>
      <w:color w:val="FF0000"/>
      <w:szCs w:val="20"/>
    </w:rPr>
  </w:style>
  <w:style w:type="paragraph" w:customStyle="1" w:styleId="211">
    <w:name w:val="方案－正文"/>
    <w:basedOn w:val="1"/>
    <w:qFormat/>
    <w:uiPriority w:val="0"/>
    <w:pPr>
      <w:spacing w:line="360" w:lineRule="auto"/>
      <w:ind w:firstLine="200" w:firstLineChars="200"/>
    </w:pPr>
    <w:rPr>
      <w:rFonts w:ascii="仿宋_GB2312" w:hAnsi="仿宋_GB2312"/>
      <w:kern w:val="0"/>
      <w:sz w:val="24"/>
    </w:rPr>
  </w:style>
  <w:style w:type="paragraph" w:customStyle="1" w:styleId="212">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13">
    <w:name w:val="正文缩进1"/>
    <w:basedOn w:val="1"/>
    <w:next w:val="20"/>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214">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15">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16">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17">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218">
    <w:name w:val="符号 2"/>
    <w:basedOn w:val="219"/>
    <w:qFormat/>
    <w:uiPriority w:val="0"/>
    <w:pPr>
      <w:tabs>
        <w:tab w:val="left" w:pos="900"/>
        <w:tab w:val="left" w:pos="1320"/>
      </w:tabs>
      <w:ind w:left="1320" w:hanging="420"/>
    </w:pPr>
  </w:style>
  <w:style w:type="paragraph" w:customStyle="1" w:styleId="219">
    <w:name w:val="符号 1"/>
    <w:basedOn w:val="20"/>
    <w:qFormat/>
    <w:uiPriority w:val="0"/>
    <w:pPr>
      <w:tabs>
        <w:tab w:val="left" w:pos="900"/>
      </w:tabs>
      <w:spacing w:line="360" w:lineRule="auto"/>
      <w:ind w:left="1200" w:hanging="720"/>
    </w:pPr>
    <w:rPr>
      <w:rFonts w:eastAsia="宋体"/>
      <w:kern w:val="28"/>
      <w:szCs w:val="24"/>
    </w:rPr>
  </w:style>
  <w:style w:type="paragraph" w:customStyle="1" w:styleId="220">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1">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2">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24">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5">
    <w:name w:val="Char Char2 Char Char"/>
    <w:basedOn w:val="1"/>
    <w:qFormat/>
    <w:uiPriority w:val="0"/>
    <w:rPr>
      <w:rFonts w:ascii="Tahoma" w:hAnsi="Tahoma"/>
      <w:sz w:val="24"/>
    </w:rPr>
  </w:style>
  <w:style w:type="paragraph" w:customStyle="1" w:styleId="226">
    <w:name w:val="正文首行缩进 21"/>
    <w:basedOn w:val="180"/>
    <w:qFormat/>
    <w:uiPriority w:val="0"/>
    <w:pPr>
      <w:ind w:firstLine="420"/>
    </w:pPr>
  </w:style>
  <w:style w:type="paragraph" w:customStyle="1" w:styleId="227">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228">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229">
    <w:name w:val="Char Char"/>
    <w:basedOn w:val="1"/>
    <w:qFormat/>
    <w:uiPriority w:val="0"/>
    <w:pPr>
      <w:spacing w:line="360" w:lineRule="auto"/>
    </w:pPr>
    <w:rPr>
      <w:rFonts w:ascii="Tahoma" w:hAnsi="Tahoma"/>
      <w:sz w:val="24"/>
    </w:rPr>
  </w:style>
  <w:style w:type="paragraph" w:customStyle="1" w:styleId="230">
    <w:name w:val="et4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1">
    <w:name w:val="Char Char Char"/>
    <w:basedOn w:val="1"/>
    <w:qFormat/>
    <w:uiPriority w:val="0"/>
    <w:pPr>
      <w:spacing w:before="120" w:after="120" w:line="360" w:lineRule="auto"/>
      <w:ind w:firstLine="200" w:firstLineChars="200"/>
    </w:pPr>
    <w:rPr>
      <w:rFonts w:ascii="Tahoma" w:hAnsi="Tahoma"/>
      <w:sz w:val="24"/>
    </w:rPr>
  </w:style>
  <w:style w:type="paragraph" w:customStyle="1" w:styleId="232">
    <w:name w:val="正文 居中"/>
    <w:basedOn w:val="1"/>
    <w:qFormat/>
    <w:uiPriority w:val="0"/>
    <w:pPr>
      <w:spacing w:line="360" w:lineRule="auto"/>
      <w:jc w:val="center"/>
    </w:pPr>
    <w:rPr>
      <w:rFonts w:cs="宋体"/>
      <w:sz w:val="24"/>
    </w:rPr>
  </w:style>
  <w:style w:type="paragraph" w:customStyle="1" w:styleId="233">
    <w:name w:val="Char Char1 Char Char Char Char"/>
    <w:basedOn w:val="1"/>
    <w:qFormat/>
    <w:uiPriority w:val="0"/>
    <w:rPr>
      <w:rFonts w:ascii="Tahoma" w:hAnsi="Tahoma"/>
      <w:sz w:val="24"/>
    </w:rPr>
  </w:style>
  <w:style w:type="paragraph" w:customStyle="1" w:styleId="234">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235">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36">
    <w:name w:val="et5"/>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7">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8">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9">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240">
    <w:name w:val="Char Char Char Char Char Char Char"/>
    <w:basedOn w:val="1"/>
    <w:qFormat/>
    <w:uiPriority w:val="0"/>
    <w:pPr>
      <w:widowControl/>
      <w:spacing w:after="160" w:line="240" w:lineRule="exact"/>
      <w:jc w:val="left"/>
    </w:pPr>
    <w:rPr>
      <w:rFonts w:ascii="Verdana" w:hAnsi="Verdana"/>
      <w:kern w:val="0"/>
      <w:szCs w:val="24"/>
    </w:rPr>
  </w:style>
  <w:style w:type="paragraph" w:customStyle="1" w:styleId="241">
    <w:name w:val="标题6"/>
    <w:basedOn w:val="1"/>
    <w:next w:val="3"/>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242">
    <w:name w:val="Char23"/>
    <w:basedOn w:val="1"/>
    <w:qFormat/>
    <w:uiPriority w:val="0"/>
    <w:rPr>
      <w:rFonts w:ascii="仿宋_GB2312" w:eastAsia="仿宋_GB2312"/>
      <w:b/>
      <w:sz w:val="32"/>
      <w:szCs w:val="32"/>
    </w:rPr>
  </w:style>
  <w:style w:type="paragraph" w:customStyle="1" w:styleId="243">
    <w:name w:val="Char3"/>
    <w:basedOn w:val="1"/>
    <w:qFormat/>
    <w:uiPriority w:val="0"/>
    <w:rPr>
      <w:rFonts w:ascii="Tahoma" w:hAnsi="Tahoma"/>
      <w:sz w:val="24"/>
    </w:rPr>
  </w:style>
  <w:style w:type="paragraph" w:customStyle="1" w:styleId="244">
    <w:name w:val="xl1113"/>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245">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246">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7">
    <w:name w:val="Char1"/>
    <w:basedOn w:val="1"/>
    <w:qFormat/>
    <w:uiPriority w:val="0"/>
    <w:rPr>
      <w:rFonts w:ascii="仿宋_GB2312" w:eastAsia="仿宋_GB2312"/>
      <w:b/>
      <w:sz w:val="32"/>
      <w:szCs w:val="32"/>
    </w:rPr>
  </w:style>
  <w:style w:type="paragraph" w:customStyle="1" w:styleId="248">
    <w:name w:val="标题2正文 Char"/>
    <w:basedOn w:val="1"/>
    <w:qFormat/>
    <w:uiPriority w:val="0"/>
    <w:pPr>
      <w:spacing w:before="50" w:beforeLines="50" w:after="50" w:afterLines="50"/>
      <w:ind w:right="18" w:rightChars="18" w:firstLine="420"/>
    </w:pPr>
    <w:rPr>
      <w:kern w:val="0"/>
      <w:sz w:val="24"/>
    </w:rPr>
  </w:style>
  <w:style w:type="paragraph" w:customStyle="1" w:styleId="249">
    <w:name w:val="Char5"/>
    <w:basedOn w:val="1"/>
    <w:qFormat/>
    <w:uiPriority w:val="0"/>
    <w:rPr>
      <w:rFonts w:ascii="Tahoma" w:hAnsi="Tahoma"/>
      <w:sz w:val="24"/>
    </w:rPr>
  </w:style>
  <w:style w:type="paragraph" w:customStyle="1" w:styleId="250">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25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2">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53">
    <w:name w:val="itemlistintable"/>
    <w:basedOn w:val="1"/>
    <w:qFormat/>
    <w:uiPriority w:val="0"/>
    <w:pPr>
      <w:widowControl/>
      <w:spacing w:before="100" w:beforeAutospacing="1" w:after="100" w:afterAutospacing="1"/>
      <w:jc w:val="left"/>
    </w:pPr>
    <w:rPr>
      <w:rFonts w:ascii="宋体" w:cs="宋体"/>
      <w:kern w:val="0"/>
      <w:sz w:val="24"/>
      <w:szCs w:val="24"/>
    </w:rPr>
  </w:style>
  <w:style w:type="paragraph" w:customStyle="1" w:styleId="254">
    <w:name w:val="正文文本缩进 + 四号"/>
    <w:basedOn w:val="20"/>
    <w:qFormat/>
    <w:uiPriority w:val="0"/>
    <w:pPr>
      <w:spacing w:line="360" w:lineRule="auto"/>
      <w:ind w:firstLine="200" w:firstLineChars="200"/>
    </w:pPr>
    <w:rPr>
      <w:rFonts w:ascii="仿宋_GB2312" w:eastAsia="仿宋_GB2312"/>
      <w:color w:val="000000"/>
      <w:sz w:val="28"/>
      <w:szCs w:val="28"/>
    </w:rPr>
  </w:style>
  <w:style w:type="paragraph" w:customStyle="1" w:styleId="255">
    <w:name w:val="et1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56">
    <w:name w:val="文档正文"/>
    <w:basedOn w:val="1"/>
    <w:qFormat/>
    <w:uiPriority w:val="0"/>
    <w:pPr>
      <w:adjustRightInd w:val="0"/>
      <w:spacing w:line="480" w:lineRule="atLeast"/>
      <w:ind w:firstLine="200" w:firstLineChars="200"/>
      <w:textAlignment w:val="baseline"/>
    </w:pPr>
    <w:rPr>
      <w:rFonts w:ascii="长城仿宋" w:eastAsia="长城仿宋"/>
      <w:kern w:val="0"/>
      <w:sz w:val="28"/>
    </w:rPr>
  </w:style>
  <w:style w:type="paragraph" w:customStyle="1" w:styleId="257">
    <w:name w:val="Char11"/>
    <w:basedOn w:val="1"/>
    <w:qFormat/>
    <w:uiPriority w:val="0"/>
    <w:rPr>
      <w:szCs w:val="24"/>
    </w:rPr>
  </w:style>
  <w:style w:type="paragraph" w:customStyle="1" w:styleId="258">
    <w:name w:val="Default"/>
    <w:next w:val="1"/>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59">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60">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261">
    <w:name w:val="无间距"/>
    <w:qFormat/>
    <w:uiPriority w:val="0"/>
    <w:rPr>
      <w:rFonts w:ascii="Times New Roman" w:hAnsi="Times New Roman" w:eastAsia="宋体" w:cs="Times New Roman"/>
      <w:sz w:val="22"/>
      <w:lang w:val="en-US" w:eastAsia="zh-CN" w:bidi="ar-SA"/>
    </w:rPr>
  </w:style>
  <w:style w:type="paragraph" w:customStyle="1" w:styleId="262">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3">
    <w:name w:val="列出段落1"/>
    <w:basedOn w:val="1"/>
    <w:qFormat/>
    <w:uiPriority w:val="0"/>
    <w:pPr>
      <w:ind w:firstLine="200" w:firstLineChars="200"/>
    </w:pPr>
    <w:rPr>
      <w:rFonts w:ascii="Calibri" w:hAnsi="Calibri"/>
      <w:sz w:val="22"/>
    </w:rPr>
  </w:style>
  <w:style w:type="paragraph" w:customStyle="1" w:styleId="264">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6">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7">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68">
    <w:name w:val="font1"/>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269">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0">
    <w:name w:val="表格"/>
    <w:basedOn w:val="1"/>
    <w:qFormat/>
    <w:uiPriority w:val="0"/>
    <w:pPr>
      <w:spacing w:line="276" w:lineRule="auto"/>
      <w:jc w:val="center"/>
    </w:pPr>
    <w:rPr>
      <w:rFonts w:ascii="宋体"/>
      <w:szCs w:val="22"/>
    </w:rPr>
  </w:style>
  <w:style w:type="paragraph" w:customStyle="1" w:styleId="271">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2">
    <w:name w:val="Char Char Char Char Char Char2 Char Char Char Char2"/>
    <w:basedOn w:val="1"/>
    <w:qFormat/>
    <w:uiPriority w:val="0"/>
    <w:rPr>
      <w:szCs w:val="24"/>
    </w:rPr>
  </w:style>
  <w:style w:type="paragraph" w:customStyle="1" w:styleId="273">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Table Text"/>
    <w:basedOn w:val="1"/>
    <w:qFormat/>
    <w:uiPriority w:val="0"/>
    <w:pPr>
      <w:widowControl/>
      <w:jc w:val="left"/>
    </w:pPr>
    <w:rPr>
      <w:rFonts w:ascii="Arial" w:hAnsi="Arial"/>
      <w:kern w:val="0"/>
      <w:szCs w:val="21"/>
    </w:rPr>
  </w:style>
  <w:style w:type="paragraph" w:customStyle="1" w:styleId="276">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277">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78">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279">
    <w:name w:val="Char22"/>
    <w:basedOn w:val="1"/>
    <w:qFormat/>
    <w:uiPriority w:val="0"/>
    <w:rPr>
      <w:rFonts w:ascii="仿宋_GB2312" w:eastAsia="仿宋_GB2312"/>
      <w:b/>
      <w:sz w:val="32"/>
      <w:szCs w:val="32"/>
    </w:rPr>
  </w:style>
  <w:style w:type="paragraph" w:customStyle="1" w:styleId="280">
    <w:name w:val="Char13"/>
    <w:basedOn w:val="1"/>
    <w:qFormat/>
    <w:uiPriority w:val="0"/>
    <w:rPr>
      <w:szCs w:val="22"/>
    </w:rPr>
  </w:style>
  <w:style w:type="paragraph" w:customStyle="1" w:styleId="281">
    <w:name w:val="_Style 277"/>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282">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3">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284">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285">
    <w:name w:val="Char Char Char Char Char Char Char11"/>
    <w:basedOn w:val="1"/>
    <w:qFormat/>
    <w:uiPriority w:val="0"/>
    <w:pPr>
      <w:tabs>
        <w:tab w:val="left" w:pos="432"/>
      </w:tabs>
      <w:ind w:left="432" w:hanging="432"/>
    </w:pPr>
    <w:rPr>
      <w:rFonts w:ascii="Tahoma" w:hAnsi="Tahoma"/>
      <w:sz w:val="24"/>
    </w:rPr>
  </w:style>
  <w:style w:type="paragraph" w:customStyle="1" w:styleId="286">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7">
    <w:name w:val="标题3"/>
    <w:basedOn w:val="4"/>
    <w:qFormat/>
    <w:uiPriority w:val="0"/>
    <w:pPr>
      <w:tabs>
        <w:tab w:val="left" w:pos="113"/>
        <w:tab w:val="left" w:pos="840"/>
        <w:tab w:val="clear" w:pos="1620"/>
      </w:tabs>
      <w:spacing w:before="100"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288">
    <w:name w:val="样式4"/>
    <w:basedOn w:val="3"/>
    <w:qFormat/>
    <w:uiPriority w:val="0"/>
    <w:pPr>
      <w:keepLines/>
      <w:spacing w:line="360" w:lineRule="auto"/>
    </w:pPr>
    <w:rPr>
      <w:rFonts w:ascii="黑体" w:eastAsia="黑体"/>
      <w:b w:val="0"/>
      <w:szCs w:val="20"/>
    </w:rPr>
  </w:style>
  <w:style w:type="paragraph" w:customStyle="1" w:styleId="289">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290">
    <w:name w:val="哈哈正文"/>
    <w:basedOn w:val="1"/>
    <w:qFormat/>
    <w:uiPriority w:val="0"/>
    <w:pPr>
      <w:spacing w:line="360" w:lineRule="auto"/>
      <w:ind w:firstLine="200" w:firstLineChars="200"/>
    </w:pPr>
    <w:rPr>
      <w:rFonts w:ascii="宋体"/>
      <w:sz w:val="24"/>
    </w:rPr>
  </w:style>
  <w:style w:type="paragraph" w:customStyle="1" w:styleId="291">
    <w:name w:val="et3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2">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3">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9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95">
    <w:name w:val="Char21"/>
    <w:basedOn w:val="1"/>
    <w:qFormat/>
    <w:uiPriority w:val="0"/>
    <w:rPr>
      <w:rFonts w:ascii="仿宋_GB2312" w:eastAsia="仿宋_GB2312"/>
      <w:b/>
      <w:sz w:val="32"/>
      <w:szCs w:val="32"/>
    </w:rPr>
  </w:style>
  <w:style w:type="paragraph" w:customStyle="1" w:styleId="296">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97">
    <w:name w:val="样式 标题 3 + (中文) 黑体 小四 非加粗 段前: 7.8 磅 段后: 0 磅 行距: 固定值 20 磅"/>
    <w:basedOn w:val="4"/>
    <w:qFormat/>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eastAsia="黑体" w:cs="宋体"/>
      <w:b w:val="0"/>
      <w:bCs/>
      <w:kern w:val="0"/>
      <w:sz w:val="24"/>
      <w:szCs w:val="20"/>
    </w:rPr>
  </w:style>
  <w:style w:type="paragraph" w:customStyle="1" w:styleId="298">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99">
    <w:name w:val="2"/>
    <w:basedOn w:val="1"/>
    <w:next w:val="1"/>
    <w:qFormat/>
    <w:uiPriority w:val="0"/>
    <w:rPr>
      <w:rFonts w:ascii="Calibri" w:hAnsi="Calibri" w:eastAsia="仿宋_GB2312"/>
      <w:sz w:val="18"/>
    </w:rPr>
  </w:style>
  <w:style w:type="paragraph" w:customStyle="1" w:styleId="300">
    <w:name w:val="Char4"/>
    <w:basedOn w:val="1"/>
    <w:qFormat/>
    <w:uiPriority w:val="0"/>
    <w:rPr>
      <w:rFonts w:ascii="Tahoma" w:hAnsi="Tahoma"/>
      <w:sz w:val="24"/>
    </w:rPr>
  </w:style>
  <w:style w:type="paragraph" w:customStyle="1" w:styleId="301">
    <w:name w:val="Char Char Char1 Char"/>
    <w:basedOn w:val="1"/>
    <w:qFormat/>
    <w:uiPriority w:val="0"/>
    <w:pPr>
      <w:spacing w:line="360" w:lineRule="auto"/>
      <w:ind w:firstLine="200" w:firstLineChars="200"/>
    </w:pPr>
  </w:style>
  <w:style w:type="paragraph" w:customStyle="1" w:styleId="302">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3">
    <w:name w:val="Proposals body"/>
    <w:basedOn w:val="1"/>
    <w:next w:val="1"/>
    <w:qFormat/>
    <w:uiPriority w:val="0"/>
    <w:pPr>
      <w:widowControl/>
      <w:spacing w:line="360" w:lineRule="auto"/>
      <w:jc w:val="left"/>
    </w:pPr>
    <w:rPr>
      <w:rFonts w:ascii="宋体"/>
      <w:color w:val="000000"/>
      <w:kern w:val="0"/>
      <w:sz w:val="24"/>
    </w:rPr>
  </w:style>
  <w:style w:type="paragraph" w:customStyle="1" w:styleId="304">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05">
    <w:name w:val="xl25"/>
    <w:basedOn w:val="1"/>
    <w:qFormat/>
    <w:uiPriority w:val="0"/>
    <w:pPr>
      <w:widowControl/>
      <w:spacing w:before="100" w:beforeAutospacing="1" w:after="100" w:afterAutospacing="1"/>
      <w:jc w:val="center"/>
      <w:textAlignment w:val="center"/>
    </w:pPr>
    <w:rPr>
      <w:rFonts w:ascii="宋体"/>
      <w:kern w:val="0"/>
      <w:sz w:val="20"/>
    </w:rPr>
  </w:style>
  <w:style w:type="paragraph" w:customStyle="1" w:styleId="306">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07">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8">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9">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310">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311">
    <w:name w:val="列出段落11"/>
    <w:basedOn w:val="1"/>
    <w:qFormat/>
    <w:uiPriority w:val="0"/>
    <w:pPr>
      <w:ind w:firstLine="200" w:firstLineChars="200"/>
    </w:pPr>
    <w:rPr>
      <w:szCs w:val="24"/>
    </w:rPr>
  </w:style>
  <w:style w:type="paragraph" w:customStyle="1" w:styleId="312">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13">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314">
    <w:name w:val="金保标题3"/>
    <w:basedOn w:val="4"/>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315">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316">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317">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18">
    <w:name w:val="Char Char Char Char Char Char2 Char Char Char Char"/>
    <w:basedOn w:val="1"/>
    <w:qFormat/>
    <w:uiPriority w:val="0"/>
    <w:rPr>
      <w:szCs w:val="24"/>
    </w:rPr>
  </w:style>
  <w:style w:type="paragraph" w:customStyle="1" w:styleId="319">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320">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21">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2">
    <w:name w:val="标准小四"/>
    <w:basedOn w:val="1"/>
    <w:qFormat/>
    <w:uiPriority w:val="0"/>
    <w:pPr>
      <w:spacing w:line="360" w:lineRule="auto"/>
      <w:ind w:firstLine="200" w:firstLineChars="200"/>
    </w:pPr>
    <w:rPr>
      <w:rFonts w:ascii="Arial" w:hAnsi="Arial"/>
      <w:sz w:val="24"/>
      <w:szCs w:val="21"/>
    </w:rPr>
  </w:style>
  <w:style w:type="paragraph" w:customStyle="1" w:styleId="323">
    <w:name w:val="Char12"/>
    <w:basedOn w:val="1"/>
    <w:qFormat/>
    <w:uiPriority w:val="0"/>
    <w:rPr>
      <w:szCs w:val="22"/>
    </w:rPr>
  </w:style>
  <w:style w:type="paragraph" w:customStyle="1" w:styleId="324">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25">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6">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27">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328">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9">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30">
    <w:name w:val="标准正文"/>
    <w:basedOn w:val="1"/>
    <w:qFormat/>
    <w:uiPriority w:val="0"/>
    <w:pPr>
      <w:adjustRightInd w:val="0"/>
      <w:spacing w:line="360" w:lineRule="auto"/>
      <w:ind w:firstLine="200" w:firstLineChars="200"/>
    </w:pPr>
    <w:rPr>
      <w:kern w:val="0"/>
      <w:sz w:val="24"/>
    </w:rPr>
  </w:style>
  <w:style w:type="paragraph" w:customStyle="1" w:styleId="331">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3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333">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334">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35">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36">
    <w:name w:val="Char Char Char Char Char Char Char1"/>
    <w:basedOn w:val="1"/>
    <w:qFormat/>
    <w:uiPriority w:val="0"/>
    <w:rPr>
      <w:rFonts w:ascii="仿宋_GB2312" w:eastAsia="仿宋_GB2312"/>
      <w:b/>
      <w:sz w:val="32"/>
      <w:szCs w:val="32"/>
    </w:rPr>
  </w:style>
  <w:style w:type="paragraph" w:customStyle="1" w:styleId="337">
    <w:name w:val="et2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38">
    <w:name w:val="样式3"/>
    <w:basedOn w:val="28"/>
    <w:next w:val="1"/>
    <w:qFormat/>
    <w:uiPriority w:val="0"/>
    <w:pPr>
      <w:tabs>
        <w:tab w:val="left" w:pos="709"/>
      </w:tabs>
      <w:spacing w:before="0" w:after="0"/>
      <w:ind w:left="709" w:hanging="709"/>
    </w:pPr>
    <w:rPr>
      <w:rFonts w:ascii="Tahoma" w:hAnsi="Tahoma"/>
      <w:sz w:val="28"/>
    </w:rPr>
  </w:style>
  <w:style w:type="paragraph" w:customStyle="1" w:styleId="339">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40">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341">
    <w:name w:val="中等深浅网格 1 - 强调文字颜色 21"/>
    <w:basedOn w:val="1"/>
    <w:qFormat/>
    <w:uiPriority w:val="0"/>
    <w:pPr>
      <w:ind w:firstLine="200" w:firstLineChars="200"/>
    </w:pPr>
    <w:rPr>
      <w:rFonts w:ascii="Calibri" w:hAnsi="Calibri"/>
      <w:sz w:val="22"/>
    </w:rPr>
  </w:style>
  <w:style w:type="paragraph" w:customStyle="1" w:styleId="342">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343">
    <w:name w:val="招标_表格2"/>
    <w:basedOn w:val="1"/>
    <w:next w:val="1"/>
    <w:qFormat/>
    <w:uiPriority w:val="0"/>
    <w:rPr>
      <w:rFonts w:ascii="宋体" w:hAnsi="宋体"/>
      <w:sz w:val="20"/>
    </w:rPr>
  </w:style>
  <w:style w:type="paragraph" w:customStyle="1" w:styleId="344">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45">
    <w:name w:val="Char"/>
    <w:basedOn w:val="1"/>
    <w:qFormat/>
    <w:uiPriority w:val="0"/>
    <w:pPr>
      <w:widowControl/>
      <w:spacing w:after="160" w:line="240" w:lineRule="exact"/>
      <w:ind w:left="-62" w:right="15" w:rightChars="15"/>
      <w:jc w:val="left"/>
    </w:pPr>
    <w:rPr>
      <w:rFonts w:ascii="Arial" w:hAnsi="Arial"/>
      <w:kern w:val="0"/>
      <w:sz w:val="20"/>
    </w:rPr>
  </w:style>
  <w:style w:type="paragraph" w:customStyle="1" w:styleId="346">
    <w:name w:val="et5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47">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348">
    <w:name w:val="纯文本1"/>
    <w:basedOn w:val="1"/>
    <w:qFormat/>
    <w:uiPriority w:val="0"/>
    <w:rPr>
      <w:rFonts w:ascii="宋体"/>
    </w:rPr>
  </w:style>
  <w:style w:type="paragraph" w:customStyle="1" w:styleId="349">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350">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51">
    <w:name w:val="font7"/>
    <w:basedOn w:val="1"/>
    <w:qFormat/>
    <w:uiPriority w:val="0"/>
    <w:pPr>
      <w:widowControl/>
      <w:spacing w:before="100" w:beforeAutospacing="1" w:after="100" w:afterAutospacing="1"/>
      <w:jc w:val="left"/>
    </w:pPr>
    <w:rPr>
      <w:kern w:val="0"/>
      <w:sz w:val="20"/>
    </w:rPr>
  </w:style>
  <w:style w:type="paragraph" w:customStyle="1" w:styleId="352">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353">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4">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5">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56">
    <w:name w:val="Table Paragraph"/>
    <w:basedOn w:val="1"/>
    <w:qFormat/>
    <w:uiPriority w:val="0"/>
    <w:pPr>
      <w:spacing w:before="100" w:beforeAutospacing="1" w:after="100" w:afterAutospacing="1" w:line="360" w:lineRule="auto"/>
    </w:pPr>
    <w:rPr>
      <w:sz w:val="24"/>
      <w:szCs w:val="24"/>
    </w:rPr>
  </w:style>
  <w:style w:type="paragraph" w:customStyle="1" w:styleId="357">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58">
    <w:name w:val="et4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59">
    <w:name w:val="彩色列表 - 强调文字颜色 11"/>
    <w:basedOn w:val="1"/>
    <w:qFormat/>
    <w:uiPriority w:val="0"/>
    <w:pPr>
      <w:ind w:firstLine="200" w:firstLineChars="200"/>
    </w:pPr>
    <w:rPr>
      <w:rFonts w:ascii="Calibri" w:hAnsi="Calibri"/>
      <w:szCs w:val="22"/>
    </w:rPr>
  </w:style>
  <w:style w:type="paragraph" w:customStyle="1" w:styleId="360">
    <w:name w:val="et3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1">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362">
    <w:name w:val="Char Char Char Char"/>
    <w:basedOn w:val="1"/>
    <w:qFormat/>
    <w:uiPriority w:val="0"/>
    <w:pPr>
      <w:widowControl/>
      <w:spacing w:line="400" w:lineRule="exact"/>
      <w:jc w:val="center"/>
    </w:pPr>
    <w:rPr>
      <w:rFonts w:ascii="Verdana" w:hAnsi="Verdana"/>
      <w:kern w:val="0"/>
    </w:rPr>
  </w:style>
  <w:style w:type="paragraph" w:customStyle="1" w:styleId="363">
    <w:name w:val="Char Char Char Char Char Char Char2"/>
    <w:basedOn w:val="1"/>
    <w:qFormat/>
    <w:uiPriority w:val="0"/>
    <w:rPr>
      <w:rFonts w:ascii="仿宋_GB2312" w:eastAsia="仿宋_GB2312"/>
      <w:b/>
      <w:sz w:val="32"/>
      <w:szCs w:val="32"/>
    </w:rPr>
  </w:style>
  <w:style w:type="paragraph" w:customStyle="1" w:styleId="364">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65">
    <w:name w:val="表格正文"/>
    <w:basedOn w:val="1"/>
    <w:qFormat/>
    <w:uiPriority w:val="0"/>
    <w:rPr>
      <w:rFonts w:eastAsia="黑体"/>
    </w:rPr>
  </w:style>
  <w:style w:type="paragraph" w:customStyle="1" w:styleId="366">
    <w:name w:val="_Style 363"/>
    <w:basedOn w:val="1"/>
    <w:next w:val="1"/>
    <w:qFormat/>
    <w:uiPriority w:val="0"/>
    <w:pPr>
      <w:pBdr>
        <w:bottom w:val="single" w:color="auto" w:sz="6" w:space="1"/>
      </w:pBdr>
      <w:jc w:val="center"/>
    </w:pPr>
    <w:rPr>
      <w:rFonts w:ascii="Arial" w:hAnsi="Arial"/>
      <w:vanish/>
      <w:kern w:val="0"/>
      <w:sz w:val="16"/>
      <w:szCs w:val="24"/>
    </w:rPr>
  </w:style>
  <w:style w:type="paragraph" w:customStyle="1" w:styleId="367">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8">
    <w:name w:val="默认段落字体 Para Char Char Char Char Char Char Char Char Char1 Char Char Char Char"/>
    <w:basedOn w:val="1"/>
    <w:qFormat/>
    <w:uiPriority w:val="0"/>
    <w:rPr>
      <w:rFonts w:ascii="Tahoma" w:hAnsi="Tahoma"/>
      <w:sz w:val="24"/>
    </w:rPr>
  </w:style>
  <w:style w:type="paragraph" w:customStyle="1" w:styleId="369">
    <w:name w:val="Char Char Char Char2"/>
    <w:basedOn w:val="1"/>
    <w:qFormat/>
    <w:uiPriority w:val="0"/>
    <w:rPr>
      <w:rFonts w:ascii="Tahoma" w:hAnsi="Tahoma"/>
      <w:sz w:val="24"/>
    </w:rPr>
  </w:style>
  <w:style w:type="paragraph" w:customStyle="1" w:styleId="370">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7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72">
    <w:name w:val="Char Char Char Char1"/>
    <w:basedOn w:val="1"/>
    <w:qFormat/>
    <w:uiPriority w:val="0"/>
    <w:rPr>
      <w:rFonts w:ascii="Tahoma" w:hAnsi="Tahoma"/>
      <w:sz w:val="24"/>
    </w:rPr>
  </w:style>
  <w:style w:type="paragraph" w:customStyle="1" w:styleId="37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374">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75">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376">
    <w:name w:val="Char Char Char Char Char Char2 Char Char Char Char1"/>
    <w:basedOn w:val="1"/>
    <w:qFormat/>
    <w:uiPriority w:val="0"/>
    <w:rPr>
      <w:szCs w:val="24"/>
    </w:rPr>
  </w:style>
  <w:style w:type="paragraph" w:customStyle="1" w:styleId="377">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378">
    <w:name w:val="Char1 Char Char Char"/>
    <w:basedOn w:val="1"/>
    <w:qFormat/>
    <w:uiPriority w:val="0"/>
    <w:rPr>
      <w:rFonts w:ascii="Tahoma" w:hAnsi="Tahoma"/>
      <w:sz w:val="24"/>
    </w:rPr>
  </w:style>
  <w:style w:type="paragraph" w:customStyle="1" w:styleId="379">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381">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82">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383">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384">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styleId="385">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et6"/>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87">
    <w:name w:val="正文段"/>
    <w:basedOn w:val="1"/>
    <w:qFormat/>
    <w:uiPriority w:val="0"/>
    <w:pPr>
      <w:widowControl/>
      <w:snapToGrid w:val="0"/>
      <w:spacing w:after="50" w:afterLines="50"/>
      <w:ind w:firstLine="200" w:firstLineChars="200"/>
    </w:pPr>
    <w:rPr>
      <w:kern w:val="0"/>
      <w:sz w:val="24"/>
    </w:rPr>
  </w:style>
  <w:style w:type="paragraph" w:customStyle="1" w:styleId="388">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9">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390">
    <w:name w:val="正文2"/>
    <w:basedOn w:val="1"/>
    <w:qFormat/>
    <w:uiPriority w:val="0"/>
    <w:pPr>
      <w:spacing w:before="50" w:beforeLines="50" w:after="50" w:afterLines="50" w:line="360" w:lineRule="auto"/>
      <w:ind w:firstLine="200" w:firstLineChars="200"/>
    </w:pPr>
    <w:rPr>
      <w:rFonts w:ascii="宋体"/>
      <w:sz w:val="24"/>
      <w:szCs w:val="24"/>
    </w:rPr>
  </w:style>
  <w:style w:type="paragraph" w:customStyle="1" w:styleId="391">
    <w:name w:val="1册标题1"/>
    <w:basedOn w:val="1"/>
    <w:next w:val="1"/>
    <w:qFormat/>
    <w:uiPriority w:val="0"/>
    <w:pPr>
      <w:spacing w:before="50" w:beforeLines="50" w:after="50" w:afterLines="50" w:line="300" w:lineRule="auto"/>
      <w:jc w:val="center"/>
      <w:outlineLvl w:val="0"/>
    </w:pPr>
    <w:rPr>
      <w:rFonts w:ascii="Arial" w:hAnsi="Arial" w:eastAsia="黑体"/>
      <w:b/>
      <w:bCs/>
      <w:sz w:val="48"/>
    </w:rPr>
  </w:style>
  <w:style w:type="paragraph" w:customStyle="1" w:styleId="392">
    <w:name w:val="_Style 5"/>
    <w:basedOn w:val="1"/>
    <w:qFormat/>
    <w:uiPriority w:val="0"/>
    <w:pPr>
      <w:widowControl/>
      <w:spacing w:after="160" w:line="360" w:lineRule="auto"/>
      <w:ind w:firstLine="200" w:firstLineChars="200"/>
      <w:jc w:val="left"/>
    </w:pPr>
    <w:rPr>
      <w:rFonts w:ascii="宋体"/>
      <w:sz w:val="24"/>
    </w:rPr>
  </w:style>
  <w:style w:type="paragraph" w:customStyle="1" w:styleId="393">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4">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5">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9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397">
    <w:name w:val="DAS正文"/>
    <w:basedOn w:val="1"/>
    <w:qFormat/>
    <w:uiPriority w:val="0"/>
    <w:pPr>
      <w:spacing w:line="360" w:lineRule="auto"/>
      <w:ind w:right="181" w:firstLine="480" w:firstLineChars="200"/>
    </w:pPr>
    <w:rPr>
      <w:rFonts w:ascii="Verdana" w:hAnsi="Verdana"/>
      <w:sz w:val="24"/>
    </w:rPr>
  </w:style>
  <w:style w:type="paragraph" w:customStyle="1" w:styleId="398">
    <w:name w:val="石墨文档正文"/>
    <w:qFormat/>
    <w:uiPriority w:val="0"/>
    <w:rPr>
      <w:rFonts w:ascii="Arial Unicode MS" w:hAnsi="Arial Unicode MS" w:eastAsia="MicrosoftYaHei" w:cs="Arial Unicode MS"/>
      <w:sz w:val="22"/>
      <w:szCs w:val="22"/>
      <w:lang w:val="en-US" w:eastAsia="zh-CN" w:bidi="ar-SA"/>
    </w:rPr>
  </w:style>
  <w:style w:type="paragraph" w:customStyle="1" w:styleId="39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30844</Words>
  <Characters>33075</Characters>
  <Lines>262</Lines>
  <Paragraphs>73</Paragraphs>
  <TotalTime>15</TotalTime>
  <ScaleCrop>false</ScaleCrop>
  <LinksUpToDate>false</LinksUpToDate>
  <CharactersWithSpaces>34692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2024-08-14T11:07:00Z</dcterms:created>
  <dc:creator>dyp</dc:creator>
  <cp:lastModifiedBy>国际招标</cp:lastModifiedBy>
  <cp:lastPrinted>2024-01-26T02:19:00Z</cp:lastPrinted>
  <dcterms:modified xsi:type="dcterms:W3CDTF">2024-08-27T09:59:00Z</dcterms:modified>
  <dc:title>第一部分  投标方须知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A6FAECE552FA6A2E02EBB9668EC77805_43</vt:lpwstr>
  </property>
</Properties>
</file>