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4474669">
      <w:pPr>
        <w:spacing w:before="156"/>
        <w:jc w:val="center"/>
        <w:rPr>
          <w:b/>
          <w:color w:val="auto"/>
          <w:kern w:val="1"/>
          <w:sz w:val="48"/>
          <w:highlight w:val="none"/>
        </w:rPr>
      </w:pPr>
      <w:bookmarkStart w:id="95" w:name="_GoBack"/>
      <w:bookmarkEnd w:id="95"/>
    </w:p>
    <w:p w14:paraId="4A7A3567">
      <w:pPr>
        <w:spacing w:before="156" w:line="360" w:lineRule="auto"/>
        <w:jc w:val="center"/>
        <w:rPr>
          <w:rFonts w:hint="eastAsia"/>
          <w:b/>
          <w:color w:val="auto"/>
          <w:kern w:val="1"/>
          <w:sz w:val="44"/>
          <w:szCs w:val="20"/>
          <w:highlight w:val="none"/>
        </w:rPr>
      </w:pPr>
      <w:r>
        <w:rPr>
          <w:rFonts w:hint="eastAsia"/>
          <w:b/>
          <w:color w:val="auto"/>
          <w:kern w:val="1"/>
          <w:sz w:val="48"/>
          <w:szCs w:val="20"/>
          <w:highlight w:val="none"/>
          <w:lang w:eastAsia="zh-CN"/>
        </w:rPr>
        <w:t>2025年度义乌市社会治理中心调处工作服务项目</w:t>
      </w:r>
    </w:p>
    <w:p w14:paraId="26A8FB01">
      <w:pPr>
        <w:spacing w:before="156"/>
        <w:jc w:val="center"/>
        <w:rPr>
          <w:b/>
          <w:color w:val="auto"/>
          <w:kern w:val="1"/>
          <w:sz w:val="47"/>
          <w:highlight w:val="none"/>
        </w:rPr>
      </w:pPr>
    </w:p>
    <w:p w14:paraId="040013EC">
      <w:pPr>
        <w:pStyle w:val="52"/>
        <w:rPr>
          <w:color w:val="auto"/>
          <w:highlight w:val="none"/>
        </w:rPr>
      </w:pPr>
    </w:p>
    <w:p w14:paraId="7CC9695A">
      <w:pPr>
        <w:pStyle w:val="52"/>
        <w:rPr>
          <w:color w:val="auto"/>
          <w:highlight w:val="none"/>
        </w:rPr>
      </w:pPr>
    </w:p>
    <w:p w14:paraId="55ECBF59">
      <w:pPr>
        <w:spacing w:line="360" w:lineRule="auto"/>
        <w:jc w:val="center"/>
        <w:rPr>
          <w:b/>
          <w:color w:val="auto"/>
          <w:kern w:val="1"/>
          <w:sz w:val="84"/>
          <w:highlight w:val="none"/>
        </w:rPr>
      </w:pPr>
      <w:r>
        <w:rPr>
          <w:b/>
          <w:color w:val="auto"/>
          <w:kern w:val="1"/>
          <w:sz w:val="84"/>
          <w:highlight w:val="none"/>
        </w:rPr>
        <w:t>招 标 文 件</w:t>
      </w:r>
    </w:p>
    <w:p w14:paraId="3CA8E8BA">
      <w:pPr>
        <w:jc w:val="center"/>
        <w:rPr>
          <w:rFonts w:hint="eastAsia"/>
          <w:b/>
          <w:color w:val="auto"/>
          <w:kern w:val="1"/>
          <w:sz w:val="32"/>
          <w:szCs w:val="22"/>
          <w:highlight w:val="none"/>
        </w:rPr>
      </w:pPr>
    </w:p>
    <w:p w14:paraId="29A3B84A">
      <w:pPr>
        <w:jc w:val="center"/>
        <w:rPr>
          <w:rFonts w:hint="eastAsia" w:eastAsia="宋体"/>
          <w:b/>
          <w:color w:val="auto"/>
          <w:kern w:val="1"/>
          <w:sz w:val="32"/>
          <w:highlight w:val="none"/>
          <w:lang w:eastAsia="zh-CN"/>
        </w:rPr>
      </w:pPr>
      <w:r>
        <w:rPr>
          <w:b/>
          <w:color w:val="auto"/>
          <w:kern w:val="1"/>
          <w:sz w:val="32"/>
          <w:highlight w:val="none"/>
        </w:rPr>
        <w:t>采购编号：</w:t>
      </w:r>
      <w:r>
        <w:rPr>
          <w:rFonts w:hint="eastAsia"/>
          <w:b/>
          <w:color w:val="auto"/>
          <w:kern w:val="1"/>
          <w:sz w:val="32"/>
          <w:szCs w:val="22"/>
          <w:highlight w:val="none"/>
          <w:lang w:eastAsia="zh-CN"/>
        </w:rPr>
        <w:t>KXYC2024066FG</w:t>
      </w:r>
    </w:p>
    <w:p w14:paraId="0A00092A">
      <w:pPr>
        <w:jc w:val="center"/>
        <w:rPr>
          <w:b/>
          <w:color w:val="auto"/>
          <w:kern w:val="1"/>
          <w:sz w:val="32"/>
          <w:highlight w:val="none"/>
        </w:rPr>
      </w:pPr>
      <w:r>
        <w:rPr>
          <w:b/>
          <w:color w:val="auto"/>
          <w:kern w:val="1"/>
          <w:sz w:val="32"/>
          <w:highlight w:val="none"/>
        </w:rPr>
        <w:t xml:space="preserve"> </w:t>
      </w:r>
    </w:p>
    <w:p w14:paraId="26430F62">
      <w:pPr>
        <w:jc w:val="center"/>
        <w:rPr>
          <w:b/>
          <w:color w:val="auto"/>
          <w:kern w:val="1"/>
          <w:sz w:val="32"/>
          <w:highlight w:val="none"/>
        </w:rPr>
      </w:pPr>
    </w:p>
    <w:p w14:paraId="3B7506DA">
      <w:pPr>
        <w:jc w:val="both"/>
        <w:rPr>
          <w:b/>
          <w:color w:val="auto"/>
          <w:kern w:val="1"/>
          <w:sz w:val="33"/>
          <w:szCs w:val="33"/>
          <w:highlight w:val="none"/>
        </w:rPr>
      </w:pPr>
    </w:p>
    <w:p w14:paraId="12E404F2">
      <w:pPr>
        <w:jc w:val="center"/>
        <w:rPr>
          <w:b/>
          <w:color w:val="auto"/>
          <w:kern w:val="1"/>
          <w:sz w:val="30"/>
          <w:szCs w:val="30"/>
          <w:highlight w:val="none"/>
        </w:rPr>
      </w:pPr>
    </w:p>
    <w:p w14:paraId="1AB0E18B">
      <w:pPr>
        <w:jc w:val="center"/>
        <w:rPr>
          <w:b/>
          <w:color w:val="auto"/>
          <w:kern w:val="1"/>
          <w:sz w:val="30"/>
          <w:szCs w:val="30"/>
          <w:highlight w:val="none"/>
        </w:rPr>
      </w:pPr>
    </w:p>
    <w:p w14:paraId="1AD5C1AF">
      <w:pPr>
        <w:jc w:val="center"/>
        <w:rPr>
          <w:b/>
          <w:color w:val="auto"/>
          <w:kern w:val="1"/>
          <w:sz w:val="30"/>
          <w:szCs w:val="30"/>
          <w:highlight w:val="none"/>
        </w:rPr>
      </w:pPr>
    </w:p>
    <w:p w14:paraId="555FAE00">
      <w:pPr>
        <w:jc w:val="center"/>
        <w:rPr>
          <w:b/>
          <w:color w:val="auto"/>
          <w:kern w:val="1"/>
          <w:sz w:val="28"/>
          <w:szCs w:val="16"/>
          <w:highlight w:val="none"/>
        </w:rPr>
      </w:pPr>
    </w:p>
    <w:p w14:paraId="08D4927F">
      <w:pPr>
        <w:pStyle w:val="28"/>
        <w:spacing w:before="120" w:after="120" w:line="480" w:lineRule="auto"/>
        <w:ind w:firstLine="960" w:firstLineChars="300"/>
        <w:jc w:val="both"/>
        <w:rPr>
          <w:rFonts w:hint="default" w:ascii="Times New Roman" w:hAnsi="Times New Roman" w:eastAsia="宋体"/>
          <w:bCs/>
          <w:color w:val="auto"/>
          <w:sz w:val="33"/>
          <w:szCs w:val="33"/>
          <w:highlight w:val="none"/>
          <w:lang w:val="en-US" w:eastAsia="zh-CN"/>
        </w:rPr>
      </w:pPr>
      <w:r>
        <w:rPr>
          <w:rFonts w:ascii="Times New Roman" w:hAnsi="Times New Roman"/>
          <w:bCs/>
          <w:color w:val="auto"/>
          <w:sz w:val="32"/>
          <w:szCs w:val="32"/>
          <w:highlight w:val="none"/>
        </w:rPr>
        <w:t>采</w:t>
      </w:r>
      <w:r>
        <w:rPr>
          <w:rFonts w:hint="eastAsia" w:ascii="Times New Roman" w:hAnsi="Times New Roman"/>
          <w:bCs/>
          <w:color w:val="auto"/>
          <w:sz w:val="32"/>
          <w:szCs w:val="32"/>
          <w:highlight w:val="none"/>
          <w:lang w:val="en-US" w:eastAsia="zh-CN"/>
        </w:rPr>
        <w:t xml:space="preserve"> </w:t>
      </w:r>
      <w:r>
        <w:rPr>
          <w:rFonts w:ascii="Times New Roman" w:hAnsi="Times New Roman"/>
          <w:bCs/>
          <w:color w:val="auto"/>
          <w:sz w:val="32"/>
          <w:szCs w:val="32"/>
          <w:highlight w:val="none"/>
        </w:rPr>
        <w:t>购</w:t>
      </w:r>
      <w:r>
        <w:rPr>
          <w:rFonts w:hint="eastAsia" w:ascii="Times New Roman" w:hAnsi="Times New Roman"/>
          <w:bCs/>
          <w:color w:val="auto"/>
          <w:sz w:val="32"/>
          <w:szCs w:val="32"/>
          <w:highlight w:val="none"/>
          <w:lang w:val="en-US" w:eastAsia="zh-CN"/>
        </w:rPr>
        <w:t xml:space="preserve"> </w:t>
      </w:r>
      <w:r>
        <w:rPr>
          <w:rFonts w:ascii="Times New Roman" w:hAnsi="Times New Roman"/>
          <w:bCs/>
          <w:color w:val="auto"/>
          <w:sz w:val="32"/>
          <w:szCs w:val="32"/>
          <w:highlight w:val="none"/>
        </w:rPr>
        <w:t>人：</w:t>
      </w:r>
      <w:r>
        <w:rPr>
          <w:rFonts w:hint="eastAsia" w:ascii="Times New Roman" w:hAnsi="Times New Roman"/>
          <w:bCs/>
          <w:color w:val="auto"/>
          <w:sz w:val="32"/>
          <w:szCs w:val="32"/>
          <w:highlight w:val="none"/>
          <w:u w:val="single"/>
          <w:lang w:val="en-US" w:eastAsia="zh-CN"/>
        </w:rPr>
        <w:t xml:space="preserve">      </w:t>
      </w:r>
      <w:r>
        <w:rPr>
          <w:rFonts w:hint="eastAsia" w:ascii="Times New Roman" w:hAnsi="Times New Roman"/>
          <w:bCs/>
          <w:color w:val="auto"/>
          <w:sz w:val="32"/>
          <w:szCs w:val="32"/>
          <w:highlight w:val="none"/>
          <w:u w:val="single"/>
          <w:lang w:eastAsia="zh-CN"/>
        </w:rPr>
        <w:t>义乌市社会治理中心</w:t>
      </w:r>
      <w:r>
        <w:rPr>
          <w:rFonts w:hint="eastAsia" w:ascii="Times New Roman" w:hAnsi="Times New Roman"/>
          <w:bCs/>
          <w:color w:val="auto"/>
          <w:sz w:val="32"/>
          <w:szCs w:val="32"/>
          <w:highlight w:val="none"/>
          <w:u w:val="single"/>
          <w:lang w:val="en-US" w:eastAsia="zh-CN"/>
        </w:rPr>
        <w:t xml:space="preserve">        </w:t>
      </w:r>
    </w:p>
    <w:p w14:paraId="3E5B003E">
      <w:pPr>
        <w:pStyle w:val="28"/>
        <w:spacing w:before="120" w:after="120" w:line="480" w:lineRule="auto"/>
        <w:ind w:firstLine="960" w:firstLineChars="300"/>
        <w:rPr>
          <w:rFonts w:hint="default" w:ascii="Times New Roman" w:hAnsi="Times New Roman" w:eastAsia="宋体"/>
          <w:bCs/>
          <w:color w:val="auto"/>
          <w:sz w:val="32"/>
          <w:highlight w:val="none"/>
          <w:lang w:val="en-US" w:eastAsia="zh-CN"/>
        </w:rPr>
      </w:pPr>
      <w:r>
        <w:rPr>
          <w:rFonts w:ascii="Times New Roman" w:hAnsi="Times New Roman"/>
          <w:bCs/>
          <w:color w:val="auto"/>
          <w:sz w:val="32"/>
          <w:szCs w:val="32"/>
          <w:highlight w:val="none"/>
        </w:rPr>
        <w:t>代理机构：</w:t>
      </w:r>
      <w:r>
        <w:rPr>
          <w:rFonts w:hint="eastAsia" w:ascii="Times New Roman" w:hAnsi="Times New Roman"/>
          <w:bCs/>
          <w:color w:val="auto"/>
          <w:sz w:val="32"/>
          <w:szCs w:val="32"/>
          <w:highlight w:val="none"/>
          <w:u w:val="single"/>
          <w:lang w:val="en-US" w:eastAsia="zh-CN"/>
        </w:rPr>
        <w:t xml:space="preserve">    </w:t>
      </w:r>
      <w:r>
        <w:rPr>
          <w:rFonts w:hint="eastAsia" w:ascii="Times New Roman" w:hAnsi="Times New Roman"/>
          <w:bCs/>
          <w:color w:val="auto"/>
          <w:sz w:val="32"/>
          <w:szCs w:val="32"/>
          <w:highlight w:val="none"/>
          <w:u w:val="single"/>
          <w:lang w:eastAsia="zh-CN"/>
        </w:rPr>
        <w:t>科信联合工程咨询有限公司</w:t>
      </w:r>
      <w:r>
        <w:rPr>
          <w:rFonts w:hint="eastAsia" w:ascii="Times New Roman" w:hAnsi="Times New Roman"/>
          <w:bCs/>
          <w:color w:val="auto"/>
          <w:sz w:val="32"/>
          <w:szCs w:val="32"/>
          <w:highlight w:val="none"/>
          <w:u w:val="single"/>
          <w:lang w:val="en-US" w:eastAsia="zh-CN"/>
        </w:rPr>
        <w:t xml:space="preserve">    </w:t>
      </w:r>
    </w:p>
    <w:p w14:paraId="59B8C4AF">
      <w:pPr>
        <w:jc w:val="center"/>
        <w:rPr>
          <w:b/>
          <w:color w:val="auto"/>
          <w:kern w:val="1"/>
          <w:sz w:val="36"/>
          <w:highlight w:val="none"/>
        </w:rPr>
      </w:pPr>
    </w:p>
    <w:p w14:paraId="0792ADA5">
      <w:pPr>
        <w:jc w:val="center"/>
        <w:rPr>
          <w:b/>
          <w:color w:val="auto"/>
          <w:kern w:val="1"/>
          <w:sz w:val="36"/>
          <w:highlight w:val="none"/>
        </w:rPr>
      </w:pPr>
    </w:p>
    <w:p w14:paraId="3DCEBE74">
      <w:pPr>
        <w:spacing w:line="600" w:lineRule="auto"/>
        <w:jc w:val="center"/>
        <w:rPr>
          <w:bCs/>
          <w:color w:val="auto"/>
          <w:kern w:val="1"/>
          <w:sz w:val="44"/>
          <w:highlight w:val="none"/>
        </w:rPr>
        <w:sectPr>
          <w:headerReference r:id="rId4" w:type="first"/>
          <w:headerReference r:id="rId3" w:type="default"/>
          <w:footerReference r:id="rId5" w:type="default"/>
          <w:pgSz w:w="11906" w:h="16838"/>
          <w:pgMar w:top="1247" w:right="1361" w:bottom="1247" w:left="1417" w:header="851" w:footer="992" w:gutter="0"/>
          <w:pgBorders>
            <w:top w:val="none" w:sz="0" w:space="0"/>
            <w:left w:val="none" w:sz="0" w:space="0"/>
            <w:bottom w:val="none" w:sz="0" w:space="0"/>
            <w:right w:val="none" w:sz="0" w:space="0"/>
          </w:pgBorders>
          <w:pgNumType w:fmt="numberInDash" w:start="0"/>
          <w:cols w:space="720" w:num="1"/>
          <w:titlePg/>
          <w:rtlGutter w:val="1"/>
        </w:sectPr>
      </w:pPr>
      <w:r>
        <w:rPr>
          <w:bCs/>
          <w:color w:val="auto"/>
          <w:kern w:val="1"/>
          <w:sz w:val="32"/>
          <w:highlight w:val="none"/>
        </w:rPr>
        <w:t>二〇二</w:t>
      </w:r>
      <w:r>
        <w:rPr>
          <w:rFonts w:hint="eastAsia"/>
          <w:bCs/>
          <w:color w:val="auto"/>
          <w:kern w:val="1"/>
          <w:sz w:val="32"/>
          <w:highlight w:val="none"/>
          <w:lang w:val="en-US" w:eastAsia="zh-CN"/>
        </w:rPr>
        <w:t>四</w:t>
      </w:r>
      <w:r>
        <w:rPr>
          <w:bCs/>
          <w:color w:val="auto"/>
          <w:kern w:val="1"/>
          <w:sz w:val="32"/>
          <w:highlight w:val="none"/>
        </w:rPr>
        <w:t>年</w:t>
      </w:r>
      <w:r>
        <w:rPr>
          <w:rFonts w:hint="eastAsia"/>
          <w:bCs/>
          <w:color w:val="auto"/>
          <w:kern w:val="1"/>
          <w:sz w:val="32"/>
          <w:highlight w:val="none"/>
          <w:lang w:val="en-US" w:eastAsia="zh-CN"/>
        </w:rPr>
        <w:t>十二</w:t>
      </w:r>
      <w:r>
        <w:rPr>
          <w:bCs/>
          <w:color w:val="auto"/>
          <w:kern w:val="1"/>
          <w:sz w:val="32"/>
          <w:highlight w:val="none"/>
        </w:rPr>
        <w:t>月</w:t>
      </w:r>
    </w:p>
    <w:p w14:paraId="4B6DC9DB">
      <w:pPr>
        <w:spacing w:line="480" w:lineRule="auto"/>
        <w:jc w:val="center"/>
        <w:rPr>
          <w:b/>
          <w:color w:val="auto"/>
          <w:kern w:val="1"/>
          <w:sz w:val="44"/>
          <w:highlight w:val="none"/>
        </w:rPr>
      </w:pPr>
      <w:r>
        <w:rPr>
          <w:b/>
          <w:color w:val="auto"/>
          <w:kern w:val="1"/>
          <w:sz w:val="44"/>
          <w:highlight w:val="none"/>
        </w:rPr>
        <w:t>目    录</w:t>
      </w:r>
    </w:p>
    <w:p w14:paraId="0576B225">
      <w:pPr>
        <w:pStyle w:val="36"/>
        <w:tabs>
          <w:tab w:val="right" w:leader="dot" w:pos="9128"/>
          <w:tab w:val="clear" w:pos="9127"/>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TOC \o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第一章　采购公告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_Toc31956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- 2 -</w:t>
      </w:r>
      <w:r>
        <w:rPr>
          <w:rFonts w:hint="eastAsia" w:ascii="宋体" w:hAnsi="宋体" w:eastAsia="宋体" w:cs="宋体"/>
          <w:color w:val="auto"/>
          <w:sz w:val="24"/>
          <w:szCs w:val="24"/>
          <w:highlight w:val="none"/>
        </w:rPr>
        <w:fldChar w:fldCharType="end"/>
      </w:r>
    </w:p>
    <w:p w14:paraId="67C13A7F">
      <w:pPr>
        <w:pStyle w:val="36"/>
        <w:tabs>
          <w:tab w:val="right" w:leader="dot" w:pos="9128"/>
          <w:tab w:val="clear" w:pos="9127"/>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第二章　投标须知和投标须知前附表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_Toc13673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- 5 -</w:t>
      </w:r>
      <w:r>
        <w:rPr>
          <w:rFonts w:hint="eastAsia" w:ascii="宋体" w:hAnsi="宋体" w:eastAsia="宋体" w:cs="宋体"/>
          <w:color w:val="auto"/>
          <w:sz w:val="24"/>
          <w:szCs w:val="24"/>
          <w:highlight w:val="none"/>
        </w:rPr>
        <w:fldChar w:fldCharType="end"/>
      </w:r>
    </w:p>
    <w:p w14:paraId="60C33BD8">
      <w:pPr>
        <w:pStyle w:val="36"/>
        <w:tabs>
          <w:tab w:val="right" w:leader="dot" w:pos="9128"/>
          <w:tab w:val="clear" w:pos="9127"/>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_Toc9454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- 8 -</w:t>
      </w:r>
      <w:r>
        <w:rPr>
          <w:rFonts w:hint="eastAsia" w:ascii="宋体" w:hAnsi="宋体" w:eastAsia="宋体" w:cs="宋体"/>
          <w:color w:val="auto"/>
          <w:sz w:val="24"/>
          <w:szCs w:val="24"/>
          <w:highlight w:val="none"/>
        </w:rPr>
        <w:fldChar w:fldCharType="end"/>
      </w:r>
    </w:p>
    <w:p w14:paraId="1B5965F1">
      <w:pPr>
        <w:pStyle w:val="45"/>
        <w:tabs>
          <w:tab w:val="right" w:leader="dot" w:pos="9128"/>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一、说明</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_Toc3460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- 8 -</w:t>
      </w:r>
      <w:r>
        <w:rPr>
          <w:rFonts w:hint="eastAsia" w:ascii="宋体" w:hAnsi="宋体" w:eastAsia="宋体" w:cs="宋体"/>
          <w:color w:val="auto"/>
          <w:sz w:val="24"/>
          <w:szCs w:val="24"/>
          <w:highlight w:val="none"/>
        </w:rPr>
        <w:fldChar w:fldCharType="end"/>
      </w:r>
    </w:p>
    <w:p w14:paraId="0BF1C488">
      <w:pPr>
        <w:pStyle w:val="45"/>
        <w:tabs>
          <w:tab w:val="right" w:leader="dot" w:pos="9128"/>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二、招标文件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_Toc25988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- 9 -</w:t>
      </w:r>
      <w:r>
        <w:rPr>
          <w:rFonts w:hint="eastAsia" w:ascii="宋体" w:hAnsi="宋体" w:eastAsia="宋体" w:cs="宋体"/>
          <w:color w:val="auto"/>
          <w:sz w:val="24"/>
          <w:szCs w:val="24"/>
          <w:highlight w:val="none"/>
        </w:rPr>
        <w:fldChar w:fldCharType="end"/>
      </w:r>
    </w:p>
    <w:p w14:paraId="12ECAC6F">
      <w:pPr>
        <w:pStyle w:val="45"/>
        <w:tabs>
          <w:tab w:val="right" w:leader="dot" w:pos="9128"/>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三、投标文件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_Toc17064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- 10 -</w:t>
      </w:r>
      <w:r>
        <w:rPr>
          <w:rFonts w:hint="eastAsia" w:ascii="宋体" w:hAnsi="宋体" w:eastAsia="宋体" w:cs="宋体"/>
          <w:color w:val="auto"/>
          <w:sz w:val="24"/>
          <w:szCs w:val="24"/>
          <w:highlight w:val="none"/>
        </w:rPr>
        <w:fldChar w:fldCharType="end"/>
      </w:r>
    </w:p>
    <w:p w14:paraId="3E764A6C">
      <w:pPr>
        <w:pStyle w:val="45"/>
        <w:tabs>
          <w:tab w:val="right" w:leader="dot" w:pos="9128"/>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四、投标文件的递交</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_Toc27776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- 13 -</w:t>
      </w:r>
      <w:r>
        <w:rPr>
          <w:rFonts w:hint="eastAsia" w:ascii="宋体" w:hAnsi="宋体" w:eastAsia="宋体" w:cs="宋体"/>
          <w:color w:val="auto"/>
          <w:sz w:val="24"/>
          <w:szCs w:val="24"/>
          <w:highlight w:val="none"/>
        </w:rPr>
        <w:fldChar w:fldCharType="end"/>
      </w:r>
    </w:p>
    <w:p w14:paraId="06008272">
      <w:pPr>
        <w:pStyle w:val="36"/>
        <w:tabs>
          <w:tab w:val="right" w:leader="dot" w:pos="9128"/>
          <w:tab w:val="clear" w:pos="9127"/>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第三章 招标项目要求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_Toc2809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- 15 -</w:t>
      </w:r>
      <w:r>
        <w:rPr>
          <w:rFonts w:hint="eastAsia" w:ascii="宋体" w:hAnsi="宋体" w:eastAsia="宋体" w:cs="宋体"/>
          <w:color w:val="auto"/>
          <w:sz w:val="24"/>
          <w:szCs w:val="24"/>
          <w:highlight w:val="none"/>
        </w:rPr>
        <w:fldChar w:fldCharType="end"/>
      </w:r>
    </w:p>
    <w:p w14:paraId="60A28341">
      <w:pPr>
        <w:pStyle w:val="36"/>
        <w:tabs>
          <w:tab w:val="right" w:leader="dot" w:pos="9128"/>
          <w:tab w:val="clear" w:pos="9127"/>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第四章 开标、评标和定标须知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_Toc3678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- 19 -</w:t>
      </w:r>
      <w:r>
        <w:rPr>
          <w:rFonts w:hint="eastAsia" w:ascii="宋体" w:hAnsi="宋体" w:eastAsia="宋体" w:cs="宋体"/>
          <w:color w:val="auto"/>
          <w:sz w:val="24"/>
          <w:szCs w:val="24"/>
          <w:highlight w:val="none"/>
        </w:rPr>
        <w:fldChar w:fldCharType="end"/>
      </w:r>
    </w:p>
    <w:p w14:paraId="42BABC21">
      <w:pPr>
        <w:pStyle w:val="45"/>
        <w:tabs>
          <w:tab w:val="right" w:leader="dot" w:pos="9128"/>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一、开标</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_Toc24763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- 19 -</w:t>
      </w:r>
      <w:r>
        <w:rPr>
          <w:rFonts w:hint="eastAsia" w:ascii="宋体" w:hAnsi="宋体" w:eastAsia="宋体" w:cs="宋体"/>
          <w:color w:val="auto"/>
          <w:sz w:val="24"/>
          <w:szCs w:val="24"/>
          <w:highlight w:val="none"/>
        </w:rPr>
        <w:fldChar w:fldCharType="end"/>
      </w:r>
    </w:p>
    <w:p w14:paraId="63434D16">
      <w:pPr>
        <w:pStyle w:val="45"/>
        <w:tabs>
          <w:tab w:val="right" w:leader="dot" w:pos="9128"/>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二、评标</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_Toc24524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- 19 -</w:t>
      </w:r>
      <w:r>
        <w:rPr>
          <w:rFonts w:hint="eastAsia" w:ascii="宋体" w:hAnsi="宋体" w:eastAsia="宋体" w:cs="宋体"/>
          <w:color w:val="auto"/>
          <w:sz w:val="24"/>
          <w:szCs w:val="24"/>
          <w:highlight w:val="none"/>
        </w:rPr>
        <w:fldChar w:fldCharType="end"/>
      </w:r>
    </w:p>
    <w:p w14:paraId="471B8300">
      <w:pPr>
        <w:pStyle w:val="45"/>
        <w:tabs>
          <w:tab w:val="right" w:leader="dot" w:pos="9128"/>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三、定标</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_Toc4236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- 21 -</w:t>
      </w:r>
      <w:r>
        <w:rPr>
          <w:rFonts w:hint="eastAsia" w:ascii="宋体" w:hAnsi="宋体" w:eastAsia="宋体" w:cs="宋体"/>
          <w:color w:val="auto"/>
          <w:sz w:val="24"/>
          <w:szCs w:val="24"/>
          <w:highlight w:val="none"/>
        </w:rPr>
        <w:fldChar w:fldCharType="end"/>
      </w:r>
    </w:p>
    <w:p w14:paraId="0DAF87EE">
      <w:pPr>
        <w:pStyle w:val="45"/>
        <w:tabs>
          <w:tab w:val="right" w:leader="dot" w:pos="9128"/>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四、质疑和投诉</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_Toc800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- 22 -</w:t>
      </w:r>
      <w:r>
        <w:rPr>
          <w:rFonts w:hint="eastAsia" w:ascii="宋体" w:hAnsi="宋体" w:eastAsia="宋体" w:cs="宋体"/>
          <w:color w:val="auto"/>
          <w:sz w:val="24"/>
          <w:szCs w:val="24"/>
          <w:highlight w:val="none"/>
        </w:rPr>
        <w:fldChar w:fldCharType="end"/>
      </w:r>
    </w:p>
    <w:p w14:paraId="1703E0AF">
      <w:pPr>
        <w:pStyle w:val="36"/>
        <w:tabs>
          <w:tab w:val="right" w:leader="dot" w:pos="9128"/>
          <w:tab w:val="clear" w:pos="9127"/>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第五章  投标文件的有效性</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_Toc12505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- 23 -</w:t>
      </w:r>
      <w:r>
        <w:rPr>
          <w:rFonts w:hint="eastAsia" w:ascii="宋体" w:hAnsi="宋体" w:eastAsia="宋体" w:cs="宋体"/>
          <w:color w:val="auto"/>
          <w:sz w:val="24"/>
          <w:szCs w:val="24"/>
          <w:highlight w:val="none"/>
        </w:rPr>
        <w:fldChar w:fldCharType="end"/>
      </w:r>
    </w:p>
    <w:p w14:paraId="583C2769">
      <w:pPr>
        <w:pStyle w:val="36"/>
        <w:tabs>
          <w:tab w:val="right" w:leader="dot" w:pos="9128"/>
          <w:tab w:val="clear" w:pos="9127"/>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第六章  评标办法</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_Toc7043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- 25 -</w:t>
      </w:r>
      <w:r>
        <w:rPr>
          <w:rFonts w:hint="eastAsia" w:ascii="宋体" w:hAnsi="宋体" w:eastAsia="宋体" w:cs="宋体"/>
          <w:color w:val="auto"/>
          <w:sz w:val="24"/>
          <w:szCs w:val="24"/>
          <w:highlight w:val="none"/>
        </w:rPr>
        <w:fldChar w:fldCharType="end"/>
      </w:r>
    </w:p>
    <w:p w14:paraId="7072D758">
      <w:pPr>
        <w:pStyle w:val="45"/>
        <w:tabs>
          <w:tab w:val="right" w:leader="dot" w:pos="9128"/>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一、评审程序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_Toc13171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- 25 -</w:t>
      </w:r>
      <w:r>
        <w:rPr>
          <w:rFonts w:hint="eastAsia" w:ascii="宋体" w:hAnsi="宋体" w:eastAsia="宋体" w:cs="宋体"/>
          <w:color w:val="auto"/>
          <w:sz w:val="24"/>
          <w:szCs w:val="24"/>
          <w:highlight w:val="none"/>
        </w:rPr>
        <w:fldChar w:fldCharType="end"/>
      </w:r>
    </w:p>
    <w:p w14:paraId="4DF0EF5F">
      <w:pPr>
        <w:pStyle w:val="45"/>
        <w:tabs>
          <w:tab w:val="right" w:leader="dot" w:pos="9128"/>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二、评审办法</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_Toc2442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- 25 -</w:t>
      </w:r>
      <w:r>
        <w:rPr>
          <w:rFonts w:hint="eastAsia" w:ascii="宋体" w:hAnsi="宋体" w:eastAsia="宋体" w:cs="宋体"/>
          <w:color w:val="auto"/>
          <w:sz w:val="24"/>
          <w:szCs w:val="24"/>
          <w:highlight w:val="none"/>
        </w:rPr>
        <w:fldChar w:fldCharType="end"/>
      </w:r>
    </w:p>
    <w:p w14:paraId="6527BF59">
      <w:pPr>
        <w:pStyle w:val="36"/>
        <w:tabs>
          <w:tab w:val="right" w:leader="dot" w:pos="9128"/>
          <w:tab w:val="clear" w:pos="9127"/>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第七章  合同主要条款</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_Toc31872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- 28 -</w:t>
      </w:r>
      <w:r>
        <w:rPr>
          <w:rFonts w:hint="eastAsia" w:ascii="宋体" w:hAnsi="宋体" w:eastAsia="宋体" w:cs="宋体"/>
          <w:color w:val="auto"/>
          <w:sz w:val="24"/>
          <w:szCs w:val="24"/>
          <w:highlight w:val="none"/>
        </w:rPr>
        <w:fldChar w:fldCharType="end"/>
      </w:r>
    </w:p>
    <w:p w14:paraId="06E06282">
      <w:pPr>
        <w:pStyle w:val="36"/>
        <w:tabs>
          <w:tab w:val="right" w:leader="dot" w:pos="9128"/>
          <w:tab w:val="clear" w:pos="9127"/>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第八章  投标文件部分格式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_Toc5918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- 32 -</w:t>
      </w:r>
      <w:r>
        <w:rPr>
          <w:rFonts w:hint="eastAsia" w:ascii="宋体" w:hAnsi="宋体" w:eastAsia="宋体" w:cs="宋体"/>
          <w:color w:val="auto"/>
          <w:sz w:val="24"/>
          <w:szCs w:val="24"/>
          <w:highlight w:val="none"/>
        </w:rPr>
        <w:fldChar w:fldCharType="end"/>
      </w:r>
    </w:p>
    <w:p w14:paraId="3A4BA9EC">
      <w:pPr>
        <w:pStyle w:val="5"/>
        <w:spacing w:before="0" w:after="0" w:line="360" w:lineRule="auto"/>
        <w:rPr>
          <w:b w:val="0"/>
          <w:color w:val="auto"/>
          <w:sz w:val="24"/>
          <w:highlight w:val="none"/>
        </w:rPr>
      </w:pPr>
      <w:r>
        <w:rPr>
          <w:rFonts w:hint="eastAsia" w:ascii="宋体" w:hAnsi="宋体" w:eastAsia="宋体" w:cs="宋体"/>
          <w:color w:val="auto"/>
          <w:sz w:val="24"/>
          <w:szCs w:val="24"/>
          <w:highlight w:val="none"/>
        </w:rPr>
        <w:fldChar w:fldCharType="end"/>
      </w:r>
    </w:p>
    <w:p w14:paraId="09E0F21D">
      <w:pPr>
        <w:rPr>
          <w:color w:val="auto"/>
          <w:kern w:val="1"/>
          <w:highlight w:val="none"/>
        </w:rPr>
      </w:pPr>
    </w:p>
    <w:p w14:paraId="75E03B52">
      <w:pPr>
        <w:rPr>
          <w:color w:val="auto"/>
          <w:kern w:val="1"/>
          <w:highlight w:val="none"/>
        </w:rPr>
      </w:pPr>
    </w:p>
    <w:p w14:paraId="753EA6C3">
      <w:pPr>
        <w:pStyle w:val="5"/>
        <w:spacing w:before="0" w:after="0" w:line="360" w:lineRule="auto"/>
        <w:jc w:val="center"/>
        <w:rPr>
          <w:color w:val="auto"/>
          <w:sz w:val="36"/>
          <w:highlight w:val="none"/>
        </w:rPr>
      </w:pPr>
      <w:r>
        <w:rPr>
          <w:color w:val="auto"/>
          <w:highlight w:val="none"/>
        </w:rPr>
        <w:br w:type="page"/>
      </w:r>
      <w:bookmarkStart w:id="0" w:name="_Toc31956"/>
      <w:r>
        <w:rPr>
          <w:color w:val="auto"/>
          <w:sz w:val="32"/>
          <w:highlight w:val="none"/>
        </w:rPr>
        <w:t>第一章　采购公告</w:t>
      </w:r>
      <w:bookmarkEnd w:id="0"/>
    </w:p>
    <w:tbl>
      <w:tblPr>
        <w:tblStyle w:val="53"/>
        <w:tblW w:w="9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4"/>
      </w:tblGrid>
      <w:tr w14:paraId="6AF95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94" w:type="dxa"/>
            <w:noWrap w:val="0"/>
            <w:vAlign w:val="top"/>
          </w:tcPr>
          <w:p w14:paraId="294B539A">
            <w:pPr>
              <w:pStyle w:val="49"/>
              <w:spacing w:before="0" w:beforeAutospacing="0" w:after="0" w:afterAutospacing="0" w:line="400" w:lineRule="exact"/>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项目概况</w:t>
            </w:r>
          </w:p>
          <w:p w14:paraId="5DC4C891">
            <w:pPr>
              <w:spacing w:line="400" w:lineRule="exact"/>
              <w:ind w:firstLine="440" w:firstLineChars="200"/>
              <w:rPr>
                <w:rStyle w:val="56"/>
                <w:rFonts w:hint="eastAsia" w:ascii="宋体" w:hAnsi="宋体" w:eastAsia="宋体" w:cs="宋体"/>
                <w:snapToGrid w:val="0"/>
                <w:color w:val="auto"/>
                <w:sz w:val="22"/>
                <w:szCs w:val="22"/>
                <w:highlight w:val="none"/>
              </w:rPr>
            </w:pPr>
            <w:r>
              <w:rPr>
                <w:rFonts w:hint="eastAsia" w:ascii="宋体" w:hAnsi="宋体" w:cs="宋体"/>
                <w:snapToGrid w:val="0"/>
                <w:color w:val="auto"/>
                <w:sz w:val="22"/>
                <w:szCs w:val="22"/>
                <w:highlight w:val="none"/>
                <w:u w:val="single"/>
                <w:lang w:eastAsia="zh-CN"/>
              </w:rPr>
              <w:t>2025年度义乌市社会治理中心调处工作服务项目</w:t>
            </w:r>
            <w:r>
              <w:rPr>
                <w:rFonts w:hint="eastAsia" w:ascii="宋体" w:hAnsi="宋体" w:eastAsia="宋体" w:cs="宋体"/>
                <w:snapToGrid w:val="0"/>
                <w:color w:val="auto"/>
                <w:sz w:val="22"/>
                <w:szCs w:val="22"/>
                <w:highlight w:val="none"/>
              </w:rPr>
              <w:t>招标项目的潜在投标人应在</w:t>
            </w:r>
            <w:r>
              <w:rPr>
                <w:rFonts w:hint="eastAsia" w:ascii="宋体" w:hAnsi="宋体" w:eastAsia="宋体" w:cs="宋体"/>
                <w:snapToGrid w:val="0"/>
                <w:color w:val="auto"/>
                <w:sz w:val="22"/>
                <w:szCs w:val="22"/>
                <w:highlight w:val="none"/>
                <w:u w:val="single"/>
              </w:rPr>
              <w:t>浙江政府采购网</w:t>
            </w:r>
            <w:r>
              <w:rPr>
                <w:rFonts w:hint="eastAsia" w:ascii="宋体" w:hAnsi="宋体" w:eastAsia="宋体" w:cs="宋体"/>
                <w:snapToGrid w:val="0"/>
                <w:color w:val="auto"/>
                <w:sz w:val="22"/>
                <w:szCs w:val="22"/>
                <w:highlight w:val="none"/>
              </w:rPr>
              <w:t>获取（下载）招标文件，并于</w:t>
            </w:r>
            <w:r>
              <w:rPr>
                <w:rFonts w:hint="eastAsia" w:ascii="宋体" w:hAnsi="宋体" w:cs="宋体"/>
                <w:snapToGrid w:val="0"/>
                <w:color w:val="auto"/>
                <w:sz w:val="22"/>
                <w:szCs w:val="22"/>
                <w:highlight w:val="none"/>
                <w:lang w:eastAsia="zh-CN"/>
              </w:rPr>
              <w:t>2025年03月21日</w:t>
            </w:r>
            <w:r>
              <w:rPr>
                <w:rFonts w:hint="eastAsia" w:ascii="宋体" w:hAnsi="宋体" w:eastAsia="宋体" w:cs="宋体"/>
                <w:snapToGrid w:val="0"/>
                <w:color w:val="auto"/>
                <w:sz w:val="22"/>
                <w:szCs w:val="22"/>
                <w:highlight w:val="none"/>
                <w:lang w:eastAsia="zh-CN"/>
              </w:rPr>
              <w:t>09:30</w:t>
            </w:r>
            <w:r>
              <w:rPr>
                <w:rFonts w:hint="eastAsia" w:ascii="宋体" w:hAnsi="宋体" w:eastAsia="宋体" w:cs="宋体"/>
                <w:snapToGrid w:val="0"/>
                <w:color w:val="auto"/>
                <w:sz w:val="22"/>
                <w:szCs w:val="22"/>
                <w:highlight w:val="none"/>
              </w:rPr>
              <w:t>（北京时间）前递交（上传）投标文件。</w:t>
            </w:r>
          </w:p>
        </w:tc>
      </w:tr>
    </w:tbl>
    <w:p w14:paraId="38FA2841">
      <w:pPr>
        <w:pStyle w:val="49"/>
        <w:spacing w:before="0" w:beforeAutospacing="0" w:after="0" w:afterAutospacing="0" w:line="400" w:lineRule="exact"/>
        <w:jc w:val="both"/>
        <w:rPr>
          <w:rFonts w:hint="eastAsia" w:ascii="宋体" w:hAnsi="宋体" w:eastAsia="宋体" w:cs="宋体"/>
          <w:snapToGrid w:val="0"/>
          <w:color w:val="auto"/>
          <w:sz w:val="22"/>
          <w:szCs w:val="22"/>
          <w:highlight w:val="none"/>
        </w:rPr>
      </w:pPr>
      <w:r>
        <w:rPr>
          <w:rStyle w:val="56"/>
          <w:rFonts w:hint="eastAsia" w:ascii="宋体" w:hAnsi="宋体" w:eastAsia="宋体" w:cs="宋体"/>
          <w:snapToGrid w:val="0"/>
          <w:color w:val="auto"/>
          <w:sz w:val="22"/>
          <w:szCs w:val="22"/>
          <w:highlight w:val="none"/>
        </w:rPr>
        <w:t>一、项目基本情况</w:t>
      </w:r>
    </w:p>
    <w:p w14:paraId="72277B43">
      <w:pPr>
        <w:pStyle w:val="49"/>
        <w:spacing w:before="0" w:beforeAutospacing="0" w:after="0" w:afterAutospacing="0" w:line="400" w:lineRule="exact"/>
        <w:ind w:firstLine="440" w:firstLineChars="200"/>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项目编号：</w:t>
      </w:r>
      <w:r>
        <w:rPr>
          <w:rFonts w:hint="eastAsia" w:cs="宋体"/>
          <w:snapToGrid w:val="0"/>
          <w:color w:val="auto"/>
          <w:sz w:val="22"/>
          <w:szCs w:val="22"/>
          <w:highlight w:val="none"/>
          <w:shd w:val="clear" w:color="auto" w:fill="FFFFFF"/>
          <w:lang w:eastAsia="zh-CN"/>
        </w:rPr>
        <w:t>KXYC2024066FG</w:t>
      </w:r>
      <w:r>
        <w:rPr>
          <w:rFonts w:hint="eastAsia" w:ascii="宋体" w:hAnsi="宋体" w:eastAsia="宋体" w:cs="宋体"/>
          <w:snapToGrid w:val="0"/>
          <w:color w:val="auto"/>
          <w:sz w:val="22"/>
          <w:szCs w:val="22"/>
          <w:highlight w:val="none"/>
        </w:rPr>
        <w:t> </w:t>
      </w:r>
    </w:p>
    <w:p w14:paraId="206BE1DA">
      <w:pPr>
        <w:pStyle w:val="49"/>
        <w:spacing w:before="0" w:beforeAutospacing="0" w:after="0" w:afterAutospacing="0" w:line="400" w:lineRule="exact"/>
        <w:ind w:firstLine="440" w:firstLineChars="200"/>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项目名称：</w:t>
      </w:r>
      <w:r>
        <w:rPr>
          <w:rFonts w:hint="eastAsia" w:cs="宋体"/>
          <w:snapToGrid w:val="0"/>
          <w:color w:val="auto"/>
          <w:sz w:val="22"/>
          <w:szCs w:val="22"/>
          <w:highlight w:val="none"/>
          <w:lang w:eastAsia="zh-CN"/>
        </w:rPr>
        <w:t>2025年度义乌市社会治理中心调处工作服务项目</w:t>
      </w:r>
    </w:p>
    <w:p w14:paraId="31D0BBB7">
      <w:pPr>
        <w:pStyle w:val="28"/>
        <w:adjustRightInd w:val="0"/>
        <w:snapToGrid w:val="0"/>
        <w:spacing w:line="400" w:lineRule="exact"/>
        <w:ind w:firstLine="440" w:firstLineChars="200"/>
        <w:rPr>
          <w:rFonts w:hint="eastAsia" w:ascii="宋体" w:hAnsi="宋体" w:eastAsia="宋体" w:cs="宋体"/>
          <w:snapToGrid w:val="0"/>
          <w:color w:val="auto"/>
          <w:sz w:val="22"/>
          <w:szCs w:val="22"/>
          <w:highlight w:val="none"/>
          <w:lang w:eastAsia="zh-CN" w:bidi="ar"/>
        </w:rPr>
      </w:pPr>
      <w:r>
        <w:rPr>
          <w:rFonts w:hint="eastAsia" w:ascii="宋体" w:hAnsi="宋体" w:eastAsia="宋体" w:cs="宋体"/>
          <w:snapToGrid w:val="0"/>
          <w:color w:val="auto"/>
          <w:sz w:val="22"/>
          <w:szCs w:val="22"/>
          <w:highlight w:val="none"/>
        </w:rPr>
        <w:t>采购预算</w:t>
      </w:r>
      <w:r>
        <w:rPr>
          <w:rFonts w:hint="eastAsia" w:ascii="宋体" w:hAnsi="宋体" w:eastAsia="宋体" w:cs="宋体"/>
          <w:snapToGrid w:val="0"/>
          <w:color w:val="auto"/>
          <w:sz w:val="22"/>
          <w:szCs w:val="22"/>
          <w:highlight w:val="none"/>
          <w:lang w:bidi="ar"/>
        </w:rPr>
        <w:t>：</w:t>
      </w:r>
      <w:r>
        <w:rPr>
          <w:rFonts w:hint="eastAsia" w:ascii="宋体" w:hAnsi="宋体" w:eastAsia="宋体" w:cs="宋体"/>
          <w:color w:val="auto"/>
          <w:sz w:val="22"/>
          <w:szCs w:val="22"/>
          <w:highlight w:val="none"/>
          <w:lang w:val="en-US" w:eastAsia="zh-CN"/>
        </w:rPr>
        <w:t>预算单价230元/件，总价约395万元。</w:t>
      </w:r>
      <w:r>
        <w:rPr>
          <w:rFonts w:hint="eastAsia" w:ascii="宋体" w:hAnsi="宋体" w:eastAsia="宋体" w:cs="宋体"/>
          <w:color w:val="auto"/>
          <w:sz w:val="22"/>
          <w:szCs w:val="22"/>
          <w:highlight w:val="none"/>
        </w:rPr>
        <w:t>本项目</w:t>
      </w:r>
      <w:r>
        <w:rPr>
          <w:rFonts w:hint="eastAsia" w:ascii="宋体" w:hAnsi="宋体" w:eastAsia="宋体" w:cs="宋体"/>
          <w:color w:val="auto"/>
          <w:sz w:val="22"/>
          <w:szCs w:val="22"/>
          <w:highlight w:val="none"/>
          <w:lang w:val="en-US" w:eastAsia="zh-CN"/>
        </w:rPr>
        <w:t>单价设最高限价230元/件</w:t>
      </w:r>
      <w:r>
        <w:rPr>
          <w:rFonts w:hint="eastAsia" w:ascii="宋体" w:hAnsi="宋体" w:eastAsia="宋体" w:cs="宋体"/>
          <w:snapToGrid w:val="0"/>
          <w:color w:val="auto"/>
          <w:sz w:val="22"/>
          <w:szCs w:val="22"/>
          <w:highlight w:val="none"/>
          <w:lang w:eastAsia="zh-CN" w:bidi="ar"/>
        </w:rPr>
        <w:t>。</w:t>
      </w:r>
    </w:p>
    <w:p w14:paraId="675F1B09">
      <w:pPr>
        <w:pStyle w:val="49"/>
        <w:spacing w:before="0" w:beforeAutospacing="0" w:after="0" w:afterAutospacing="0" w:line="400" w:lineRule="exact"/>
        <w:ind w:firstLine="440" w:firstLineChars="200"/>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 xml:space="preserve">采购需求： </w:t>
      </w:r>
    </w:p>
    <w:tbl>
      <w:tblPr>
        <w:tblStyle w:val="53"/>
        <w:tblW w:w="9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23"/>
        <w:gridCol w:w="2170"/>
        <w:gridCol w:w="2359"/>
        <w:gridCol w:w="3830"/>
        <w:gridCol w:w="695"/>
      </w:tblGrid>
      <w:tr w14:paraId="7F6F0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jc w:val="center"/>
        </w:trPr>
        <w:tc>
          <w:tcPr>
            <w:tcW w:w="523" w:type="dxa"/>
            <w:noWrap w:val="0"/>
            <w:tcMar>
              <w:top w:w="60" w:type="dxa"/>
              <w:left w:w="120" w:type="dxa"/>
              <w:bottom w:w="60" w:type="dxa"/>
              <w:right w:w="120" w:type="dxa"/>
            </w:tcMar>
            <w:vAlign w:val="center"/>
          </w:tcPr>
          <w:p w14:paraId="71ADE9C9">
            <w:pPr>
              <w:widowControl/>
              <w:wordWrap w:val="0"/>
              <w:spacing w:line="400" w:lineRule="atLeast"/>
              <w:jc w:val="center"/>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lang w:bidi="ar"/>
              </w:rPr>
              <w:t>标项</w:t>
            </w:r>
          </w:p>
        </w:tc>
        <w:tc>
          <w:tcPr>
            <w:tcW w:w="2170" w:type="dxa"/>
            <w:noWrap w:val="0"/>
            <w:tcMar>
              <w:top w:w="60" w:type="dxa"/>
              <w:left w:w="120" w:type="dxa"/>
              <w:bottom w:w="60" w:type="dxa"/>
              <w:right w:w="120" w:type="dxa"/>
            </w:tcMar>
            <w:vAlign w:val="center"/>
          </w:tcPr>
          <w:p w14:paraId="273135B1">
            <w:pPr>
              <w:widowControl/>
              <w:wordWrap w:val="0"/>
              <w:spacing w:line="400" w:lineRule="atLeast"/>
              <w:jc w:val="center"/>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lang w:bidi="ar"/>
              </w:rPr>
              <w:t>标项名称</w:t>
            </w:r>
          </w:p>
        </w:tc>
        <w:tc>
          <w:tcPr>
            <w:tcW w:w="2359" w:type="dxa"/>
            <w:noWrap w:val="0"/>
            <w:tcMar>
              <w:top w:w="60" w:type="dxa"/>
              <w:left w:w="120" w:type="dxa"/>
              <w:bottom w:w="60" w:type="dxa"/>
              <w:right w:w="120" w:type="dxa"/>
            </w:tcMar>
            <w:vAlign w:val="center"/>
          </w:tcPr>
          <w:p w14:paraId="1F3818C1">
            <w:pPr>
              <w:widowControl/>
              <w:wordWrap w:val="0"/>
              <w:spacing w:line="400" w:lineRule="atLeast"/>
              <w:jc w:val="center"/>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lang w:bidi="ar"/>
              </w:rPr>
              <w:t>预算金额</w:t>
            </w:r>
          </w:p>
        </w:tc>
        <w:tc>
          <w:tcPr>
            <w:tcW w:w="3830" w:type="dxa"/>
            <w:noWrap w:val="0"/>
            <w:tcMar>
              <w:top w:w="60" w:type="dxa"/>
              <w:left w:w="120" w:type="dxa"/>
              <w:bottom w:w="60" w:type="dxa"/>
              <w:right w:w="120" w:type="dxa"/>
            </w:tcMar>
            <w:vAlign w:val="center"/>
          </w:tcPr>
          <w:p w14:paraId="39A7448F">
            <w:pPr>
              <w:widowControl/>
              <w:wordWrap w:val="0"/>
              <w:spacing w:line="400" w:lineRule="atLeast"/>
              <w:jc w:val="center"/>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lang w:bidi="ar"/>
              </w:rPr>
              <w:t>简要规格描述</w:t>
            </w:r>
          </w:p>
        </w:tc>
        <w:tc>
          <w:tcPr>
            <w:tcW w:w="695" w:type="dxa"/>
            <w:noWrap w:val="0"/>
            <w:tcMar>
              <w:top w:w="60" w:type="dxa"/>
              <w:left w:w="120" w:type="dxa"/>
              <w:bottom w:w="60" w:type="dxa"/>
              <w:right w:w="120" w:type="dxa"/>
            </w:tcMar>
            <w:vAlign w:val="center"/>
          </w:tcPr>
          <w:p w14:paraId="5B388774">
            <w:pPr>
              <w:widowControl/>
              <w:wordWrap w:val="0"/>
              <w:spacing w:line="400" w:lineRule="atLeast"/>
              <w:jc w:val="center"/>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lang w:bidi="ar"/>
              </w:rPr>
              <w:t>备注</w:t>
            </w:r>
          </w:p>
        </w:tc>
      </w:tr>
      <w:tr w14:paraId="7C130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16" w:hRule="atLeast"/>
          <w:jc w:val="center"/>
        </w:trPr>
        <w:tc>
          <w:tcPr>
            <w:tcW w:w="523" w:type="dxa"/>
            <w:noWrap w:val="0"/>
            <w:tcMar>
              <w:top w:w="60" w:type="dxa"/>
              <w:left w:w="120" w:type="dxa"/>
              <w:bottom w:w="60" w:type="dxa"/>
              <w:right w:w="120" w:type="dxa"/>
            </w:tcMar>
            <w:vAlign w:val="center"/>
          </w:tcPr>
          <w:p w14:paraId="668742AA">
            <w:pPr>
              <w:widowControl/>
              <w:wordWrap w:val="0"/>
              <w:spacing w:line="400" w:lineRule="atLeast"/>
              <w:jc w:val="center"/>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lang w:bidi="ar"/>
              </w:rPr>
              <w:t>1</w:t>
            </w:r>
          </w:p>
        </w:tc>
        <w:tc>
          <w:tcPr>
            <w:tcW w:w="2170" w:type="dxa"/>
            <w:noWrap w:val="0"/>
            <w:tcMar>
              <w:top w:w="60" w:type="dxa"/>
              <w:left w:w="120" w:type="dxa"/>
              <w:bottom w:w="60" w:type="dxa"/>
              <w:right w:w="120" w:type="dxa"/>
            </w:tcMar>
            <w:vAlign w:val="center"/>
          </w:tcPr>
          <w:p w14:paraId="5BCEF429">
            <w:pPr>
              <w:widowControl/>
              <w:wordWrap w:val="0"/>
              <w:spacing w:line="400" w:lineRule="atLeast"/>
              <w:jc w:val="center"/>
              <w:rPr>
                <w:rFonts w:hint="eastAsia" w:ascii="宋体" w:hAnsi="宋体" w:eastAsia="宋体" w:cs="宋体"/>
                <w:snapToGrid w:val="0"/>
                <w:color w:val="auto"/>
                <w:sz w:val="22"/>
                <w:szCs w:val="22"/>
                <w:highlight w:val="none"/>
                <w:lang w:eastAsia="zh-CN"/>
              </w:rPr>
            </w:pPr>
            <w:r>
              <w:rPr>
                <w:rFonts w:hint="eastAsia" w:ascii="宋体" w:hAnsi="宋体" w:cs="宋体"/>
                <w:snapToGrid w:val="0"/>
                <w:color w:val="auto"/>
                <w:sz w:val="22"/>
                <w:szCs w:val="22"/>
                <w:highlight w:val="none"/>
                <w:lang w:eastAsia="zh-CN"/>
              </w:rPr>
              <w:t>2025年度义乌市社会治理中心调处工作服务项目</w:t>
            </w:r>
          </w:p>
        </w:tc>
        <w:tc>
          <w:tcPr>
            <w:tcW w:w="2359" w:type="dxa"/>
            <w:noWrap w:val="0"/>
            <w:tcMar>
              <w:top w:w="60" w:type="dxa"/>
              <w:left w:w="120" w:type="dxa"/>
              <w:bottom w:w="60" w:type="dxa"/>
              <w:right w:w="120" w:type="dxa"/>
            </w:tcMar>
            <w:vAlign w:val="center"/>
          </w:tcPr>
          <w:p w14:paraId="3D27D860">
            <w:pPr>
              <w:widowControl/>
              <w:wordWrap w:val="0"/>
              <w:spacing w:line="400" w:lineRule="atLeast"/>
              <w:jc w:val="center"/>
              <w:rPr>
                <w:rFonts w:hint="eastAsia" w:ascii="宋体" w:hAnsi="宋体" w:eastAsia="宋体" w:cs="宋体"/>
                <w:snapToGrid w:val="0"/>
                <w:color w:val="auto"/>
                <w:sz w:val="22"/>
                <w:szCs w:val="22"/>
                <w:highlight w:val="none"/>
              </w:rPr>
            </w:pPr>
            <w:r>
              <w:rPr>
                <w:rFonts w:hint="eastAsia" w:ascii="宋体" w:hAnsi="宋体" w:eastAsia="宋体" w:cs="宋体"/>
                <w:color w:val="auto"/>
                <w:sz w:val="22"/>
                <w:szCs w:val="22"/>
                <w:highlight w:val="none"/>
                <w:lang w:val="en-US" w:eastAsia="zh-CN" w:bidi="ar"/>
              </w:rPr>
              <w:t>预算单价230元/件，总价约395万元</w:t>
            </w:r>
          </w:p>
        </w:tc>
        <w:tc>
          <w:tcPr>
            <w:tcW w:w="3830" w:type="dxa"/>
            <w:noWrap w:val="0"/>
            <w:tcMar>
              <w:top w:w="60" w:type="dxa"/>
              <w:left w:w="120" w:type="dxa"/>
              <w:bottom w:w="60" w:type="dxa"/>
              <w:right w:w="120" w:type="dxa"/>
            </w:tcMar>
            <w:vAlign w:val="center"/>
          </w:tcPr>
          <w:p w14:paraId="286B61C0">
            <w:pPr>
              <w:widowControl/>
              <w:wordWrap w:val="0"/>
              <w:spacing w:line="400" w:lineRule="atLeast"/>
              <w:jc w:val="center"/>
              <w:rPr>
                <w:rFonts w:hint="eastAsia" w:ascii="宋体" w:hAnsi="宋体" w:eastAsia="宋体" w:cs="宋体"/>
                <w:snapToGrid w:val="0"/>
                <w:color w:val="auto"/>
                <w:sz w:val="22"/>
                <w:szCs w:val="22"/>
                <w:highlight w:val="none"/>
              </w:rPr>
            </w:pPr>
            <w:r>
              <w:rPr>
                <w:rFonts w:hint="eastAsia" w:ascii="宋体" w:hAnsi="宋体" w:eastAsia="宋体" w:cs="宋体"/>
                <w:color w:val="auto"/>
                <w:sz w:val="22"/>
                <w:szCs w:val="22"/>
                <w:highlight w:val="none"/>
              </w:rPr>
              <w:t>主要包括2025年度义乌市级社会矛盾纠纷调处化解工作</w:t>
            </w:r>
            <w:r>
              <w:rPr>
                <w:rFonts w:hint="eastAsia" w:ascii="宋体" w:hAnsi="宋体" w:eastAsia="宋体" w:cs="宋体"/>
                <w:snapToGrid w:val="0"/>
                <w:color w:val="auto"/>
                <w:sz w:val="22"/>
                <w:szCs w:val="22"/>
                <w:highlight w:val="none"/>
              </w:rPr>
              <w:t>。具体内容及要求详见第三章“招标项目要求”。</w:t>
            </w:r>
          </w:p>
        </w:tc>
        <w:tc>
          <w:tcPr>
            <w:tcW w:w="695" w:type="dxa"/>
            <w:noWrap w:val="0"/>
            <w:tcMar>
              <w:top w:w="60" w:type="dxa"/>
              <w:left w:w="120" w:type="dxa"/>
              <w:bottom w:w="60" w:type="dxa"/>
              <w:right w:w="120" w:type="dxa"/>
            </w:tcMar>
            <w:vAlign w:val="center"/>
          </w:tcPr>
          <w:p w14:paraId="2533B300">
            <w:pPr>
              <w:widowControl/>
              <w:wordWrap w:val="0"/>
              <w:spacing w:line="400" w:lineRule="atLeast"/>
              <w:jc w:val="center"/>
              <w:rPr>
                <w:rFonts w:hint="eastAsia" w:ascii="宋体" w:hAnsi="宋体" w:eastAsia="宋体" w:cs="宋体"/>
                <w:snapToGrid w:val="0"/>
                <w:color w:val="auto"/>
                <w:sz w:val="22"/>
                <w:szCs w:val="22"/>
                <w:highlight w:val="none"/>
              </w:rPr>
            </w:pPr>
          </w:p>
        </w:tc>
      </w:tr>
    </w:tbl>
    <w:p w14:paraId="42487E7D">
      <w:pPr>
        <w:pStyle w:val="49"/>
        <w:spacing w:before="0" w:beforeAutospacing="0" w:after="0" w:afterAutospacing="0" w:line="400" w:lineRule="exact"/>
        <w:ind w:firstLine="442" w:firstLineChars="200"/>
        <w:rPr>
          <w:rFonts w:hint="eastAsia" w:ascii="宋体" w:hAnsi="宋体" w:eastAsia="宋体" w:cs="宋体"/>
          <w:snapToGrid w:val="0"/>
          <w:color w:val="auto"/>
          <w:sz w:val="22"/>
          <w:szCs w:val="22"/>
          <w:highlight w:val="none"/>
        </w:rPr>
      </w:pPr>
      <w:r>
        <w:rPr>
          <w:rStyle w:val="56"/>
          <w:rFonts w:hint="eastAsia" w:ascii="宋体" w:hAnsi="宋体" w:eastAsia="宋体" w:cs="宋体"/>
          <w:snapToGrid w:val="0"/>
          <w:color w:val="auto"/>
          <w:sz w:val="22"/>
          <w:szCs w:val="22"/>
          <w:highlight w:val="none"/>
        </w:rPr>
        <w:t> 二、申请人的资格要求：</w:t>
      </w:r>
    </w:p>
    <w:p w14:paraId="09147444">
      <w:pPr>
        <w:pStyle w:val="49"/>
        <w:shd w:val="clear" w:color="auto" w:fill="auto"/>
        <w:spacing w:before="0" w:beforeAutospacing="0" w:after="0" w:afterAutospacing="0" w:line="420" w:lineRule="exact"/>
        <w:ind w:firstLine="360"/>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lang w:eastAsia="zh-CN"/>
        </w:rPr>
        <w:t>1.</w:t>
      </w:r>
      <w:r>
        <w:rPr>
          <w:rFonts w:hint="eastAsia" w:ascii="宋体" w:hAnsi="宋体" w:eastAsia="宋体" w:cs="宋体"/>
          <w:snapToGrid w:val="0"/>
          <w:color w:val="auto"/>
          <w:sz w:val="22"/>
          <w:szCs w:val="22"/>
          <w:highlight w:val="none"/>
        </w:rPr>
        <w:t>满足《中华人民共和国政府采购法》第二十二条规定或符合浙财采监【2013】24号《关于规范政府采购供应商资格设定及资格审查的通知》第六条规定；</w:t>
      </w:r>
    </w:p>
    <w:p w14:paraId="120A7588">
      <w:pPr>
        <w:pStyle w:val="49"/>
        <w:shd w:val="clear" w:color="auto" w:fill="auto"/>
        <w:spacing w:before="0" w:beforeAutospacing="0" w:after="0" w:afterAutospacing="0" w:line="420" w:lineRule="exact"/>
        <w:ind w:firstLine="360"/>
        <w:rPr>
          <w:rFonts w:hint="eastAsia" w:ascii="宋体" w:hAnsi="宋体" w:eastAsia="宋体" w:cs="宋体"/>
          <w:snapToGrid w:val="0"/>
          <w:color w:val="auto"/>
          <w:sz w:val="22"/>
          <w:szCs w:val="22"/>
          <w:highlight w:val="none"/>
        </w:rPr>
      </w:pPr>
      <w:r>
        <w:rPr>
          <w:rFonts w:hint="eastAsia" w:cs="宋体"/>
          <w:snapToGrid w:val="0"/>
          <w:color w:val="auto"/>
          <w:sz w:val="22"/>
          <w:szCs w:val="22"/>
          <w:highlight w:val="none"/>
          <w:lang w:val="en-US" w:eastAsia="zh-CN"/>
        </w:rPr>
        <w:t>2</w:t>
      </w:r>
      <w:r>
        <w:rPr>
          <w:rFonts w:hint="eastAsia" w:ascii="宋体" w:hAnsi="宋体" w:eastAsia="宋体" w:cs="宋体"/>
          <w:snapToGrid w:val="0"/>
          <w:color w:val="auto"/>
          <w:sz w:val="22"/>
          <w:szCs w:val="22"/>
          <w:highlight w:val="none"/>
          <w:lang w:val="en-US" w:eastAsia="zh-CN"/>
        </w:rPr>
        <w:t>.</w:t>
      </w:r>
      <w:r>
        <w:rPr>
          <w:rFonts w:hint="eastAsia" w:ascii="宋体" w:hAnsi="宋体" w:eastAsia="宋体" w:cs="宋体"/>
          <w:snapToGrid w:val="0"/>
          <w:color w:val="auto"/>
          <w:sz w:val="22"/>
          <w:szCs w:val="22"/>
          <w:highlight w:val="none"/>
        </w:rPr>
        <w:t>供应商自202</w:t>
      </w:r>
      <w:r>
        <w:rPr>
          <w:rFonts w:hint="eastAsia" w:cs="宋体"/>
          <w:snapToGrid w:val="0"/>
          <w:color w:val="auto"/>
          <w:sz w:val="22"/>
          <w:szCs w:val="22"/>
          <w:highlight w:val="none"/>
          <w:lang w:val="en-US" w:eastAsia="zh-CN"/>
        </w:rPr>
        <w:t>2</w:t>
      </w:r>
      <w:r>
        <w:rPr>
          <w:rFonts w:hint="eastAsia" w:ascii="宋体" w:hAnsi="宋体" w:eastAsia="宋体" w:cs="宋体"/>
          <w:snapToGrid w:val="0"/>
          <w:color w:val="auto"/>
          <w:sz w:val="22"/>
          <w:szCs w:val="22"/>
          <w:highlight w:val="none"/>
        </w:rPr>
        <w:t>年01月01日起</w:t>
      </w:r>
      <w:r>
        <w:rPr>
          <w:rFonts w:hint="eastAsia" w:ascii="宋体" w:hAnsi="宋体" w:eastAsia="宋体" w:cs="宋体"/>
          <w:snapToGrid w:val="0"/>
          <w:color w:val="auto"/>
          <w:sz w:val="22"/>
          <w:szCs w:val="22"/>
          <w:highlight w:val="none"/>
          <w:lang w:eastAsia="zh-CN"/>
        </w:rPr>
        <w:t>至</w:t>
      </w:r>
      <w:r>
        <w:rPr>
          <w:rFonts w:hint="eastAsia" w:ascii="宋体" w:hAnsi="宋体" w:eastAsia="宋体" w:cs="宋体"/>
          <w:snapToGrid w:val="0"/>
          <w:color w:val="auto"/>
          <w:sz w:val="22"/>
          <w:szCs w:val="22"/>
          <w:highlight w:val="none"/>
        </w:rPr>
        <w:t>中标公告期结束前无行贿犯罪记录［以中国裁判文书网（http://wenshu.court.gov.cn/）查询结果为准］；</w:t>
      </w:r>
    </w:p>
    <w:p w14:paraId="1DE5EB85">
      <w:pPr>
        <w:pStyle w:val="49"/>
        <w:shd w:val="clear" w:color="auto" w:fill="auto"/>
        <w:spacing w:before="0" w:beforeAutospacing="0" w:after="0" w:afterAutospacing="0" w:line="420" w:lineRule="exact"/>
        <w:ind w:firstLine="360"/>
        <w:rPr>
          <w:rFonts w:hint="eastAsia" w:ascii="宋体" w:hAnsi="宋体" w:eastAsia="宋体" w:cs="宋体"/>
          <w:snapToGrid w:val="0"/>
          <w:color w:val="auto"/>
          <w:sz w:val="22"/>
          <w:szCs w:val="22"/>
          <w:highlight w:val="none"/>
        </w:rPr>
      </w:pPr>
      <w:r>
        <w:rPr>
          <w:rFonts w:hint="eastAsia" w:cs="宋体"/>
          <w:snapToGrid w:val="0"/>
          <w:color w:val="auto"/>
          <w:sz w:val="22"/>
          <w:szCs w:val="22"/>
          <w:highlight w:val="none"/>
          <w:lang w:val="en-US" w:eastAsia="zh-CN"/>
        </w:rPr>
        <w:t>3</w:t>
      </w:r>
      <w:r>
        <w:rPr>
          <w:rFonts w:hint="eastAsia" w:ascii="宋体" w:hAnsi="宋体" w:eastAsia="宋体" w:cs="宋体"/>
          <w:snapToGrid w:val="0"/>
          <w:color w:val="auto"/>
          <w:sz w:val="22"/>
          <w:szCs w:val="22"/>
          <w:highlight w:val="none"/>
          <w:lang w:val="en-US" w:eastAsia="zh-CN"/>
        </w:rPr>
        <w:t>.</w:t>
      </w:r>
      <w:r>
        <w:rPr>
          <w:rFonts w:hint="eastAsia" w:ascii="宋体" w:hAnsi="宋体" w:eastAsia="宋体" w:cs="宋体"/>
          <w:snapToGrid w:val="0"/>
          <w:color w:val="auto"/>
          <w:sz w:val="22"/>
          <w:szCs w:val="22"/>
          <w:highlight w:val="none"/>
          <w:lang w:eastAsia="zh-CN"/>
        </w:rPr>
        <w:t>根据《浙江省公共信用信息管理条例》第二十六条的规定，未列入严重失信名单的（查询结果以开标当日网站页面显示为准）</w:t>
      </w:r>
      <w:r>
        <w:rPr>
          <w:rFonts w:hint="eastAsia" w:ascii="宋体" w:hAnsi="宋体" w:eastAsia="宋体" w:cs="宋体"/>
          <w:snapToGrid w:val="0"/>
          <w:color w:val="auto"/>
          <w:sz w:val="22"/>
          <w:szCs w:val="22"/>
          <w:highlight w:val="none"/>
        </w:rPr>
        <w:t>；</w:t>
      </w:r>
    </w:p>
    <w:p w14:paraId="179F3F12">
      <w:pPr>
        <w:pStyle w:val="49"/>
        <w:shd w:val="clear" w:color="auto" w:fill="auto"/>
        <w:spacing w:before="0" w:beforeAutospacing="0" w:after="0" w:afterAutospacing="0" w:line="420" w:lineRule="exact"/>
        <w:ind w:firstLine="360"/>
        <w:rPr>
          <w:rFonts w:hint="eastAsia" w:ascii="宋体" w:hAnsi="宋体" w:eastAsia="宋体" w:cs="宋体"/>
          <w:snapToGrid w:val="0"/>
          <w:color w:val="auto"/>
          <w:sz w:val="22"/>
          <w:szCs w:val="22"/>
          <w:highlight w:val="none"/>
        </w:rPr>
      </w:pPr>
      <w:r>
        <w:rPr>
          <w:rFonts w:hint="eastAsia" w:cs="宋体"/>
          <w:snapToGrid w:val="0"/>
          <w:color w:val="auto"/>
          <w:sz w:val="22"/>
          <w:szCs w:val="22"/>
          <w:highlight w:val="none"/>
          <w:lang w:val="en-US" w:eastAsia="zh-CN"/>
        </w:rPr>
        <w:t>4</w:t>
      </w:r>
      <w:r>
        <w:rPr>
          <w:rFonts w:hint="eastAsia" w:ascii="宋体" w:hAnsi="宋体" w:eastAsia="宋体" w:cs="宋体"/>
          <w:snapToGrid w:val="0"/>
          <w:color w:val="auto"/>
          <w:sz w:val="22"/>
          <w:szCs w:val="22"/>
          <w:highlight w:val="none"/>
          <w:lang w:val="en-US" w:eastAsia="zh-CN"/>
        </w:rPr>
        <w:t>.</w:t>
      </w:r>
      <w:r>
        <w:rPr>
          <w:rFonts w:hint="eastAsia" w:ascii="宋体" w:hAnsi="宋体" w:eastAsia="宋体" w:cs="宋体"/>
          <w:snapToGrid w:val="0"/>
          <w:color w:val="auto"/>
          <w:sz w:val="22"/>
          <w:szCs w:val="22"/>
          <w:highlight w:val="none"/>
        </w:rPr>
        <w:t>参加政府采购活动前三年内，供应商在经营活动中没有重大违法记录，且无以下不良行为：开标当日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示期内的或者处于暂停政府采购资格期的；或被“信用中国”（www.creditchina.gov.cn）、中国政府采购网（www.ccgp.gov.cn）列入失信被执行人、重大税收违法案件当事人名单、政府采购严重违法失信行为记录名单的；</w:t>
      </w:r>
    </w:p>
    <w:p w14:paraId="2C1503F2">
      <w:pPr>
        <w:pStyle w:val="49"/>
        <w:shd w:val="clear" w:color="auto" w:fill="auto"/>
        <w:spacing w:before="0" w:beforeAutospacing="0" w:after="0" w:afterAutospacing="0" w:line="420" w:lineRule="exact"/>
        <w:ind w:firstLine="360"/>
        <w:rPr>
          <w:rFonts w:hint="eastAsia" w:ascii="宋体" w:hAnsi="宋体" w:eastAsia="宋体" w:cs="宋体"/>
          <w:snapToGrid w:val="0"/>
          <w:color w:val="auto"/>
          <w:sz w:val="22"/>
          <w:szCs w:val="22"/>
          <w:highlight w:val="none"/>
        </w:rPr>
      </w:pPr>
      <w:r>
        <w:rPr>
          <w:rFonts w:hint="eastAsia" w:cs="宋体"/>
          <w:snapToGrid w:val="0"/>
          <w:color w:val="auto"/>
          <w:sz w:val="22"/>
          <w:szCs w:val="22"/>
          <w:highlight w:val="none"/>
          <w:lang w:val="en-US" w:eastAsia="zh-CN"/>
        </w:rPr>
        <w:t>5</w:t>
      </w:r>
      <w:r>
        <w:rPr>
          <w:rFonts w:hint="eastAsia" w:ascii="宋体" w:hAnsi="宋体" w:eastAsia="宋体" w:cs="宋体"/>
          <w:snapToGrid w:val="0"/>
          <w:color w:val="auto"/>
          <w:sz w:val="22"/>
          <w:szCs w:val="22"/>
          <w:highlight w:val="none"/>
          <w:lang w:val="en-US" w:eastAsia="zh-CN"/>
        </w:rPr>
        <w:t>.</w:t>
      </w:r>
      <w:r>
        <w:rPr>
          <w:rFonts w:hint="eastAsia" w:cs="宋体"/>
          <w:snapToGrid w:val="0"/>
          <w:color w:val="auto"/>
          <w:sz w:val="22"/>
          <w:szCs w:val="22"/>
          <w:highlight w:val="none"/>
          <w:lang w:eastAsia="zh-CN"/>
        </w:rPr>
        <w:t>本项目不接受公益一类事业单位，或使用事业编制且由财政拨款保障的群团组织参与投标</w:t>
      </w:r>
      <w:r>
        <w:rPr>
          <w:rFonts w:hint="eastAsia" w:ascii="宋体" w:hAnsi="宋体" w:eastAsia="宋体" w:cs="宋体"/>
          <w:snapToGrid w:val="0"/>
          <w:color w:val="auto"/>
          <w:sz w:val="22"/>
          <w:szCs w:val="22"/>
          <w:highlight w:val="none"/>
        </w:rPr>
        <w:t>。</w:t>
      </w:r>
    </w:p>
    <w:p w14:paraId="170BE1DC">
      <w:pPr>
        <w:pStyle w:val="49"/>
        <w:spacing w:before="0" w:beforeAutospacing="0" w:after="0" w:afterAutospacing="0" w:line="420" w:lineRule="exact"/>
        <w:ind w:firstLine="360"/>
        <w:rPr>
          <w:rFonts w:hint="eastAsia" w:ascii="宋体" w:hAnsi="宋体" w:eastAsia="宋体" w:cs="宋体"/>
          <w:snapToGrid w:val="0"/>
          <w:color w:val="auto"/>
          <w:sz w:val="22"/>
          <w:szCs w:val="22"/>
          <w:highlight w:val="none"/>
        </w:rPr>
      </w:pPr>
      <w:r>
        <w:rPr>
          <w:rFonts w:hint="eastAsia" w:cs="宋体"/>
          <w:snapToGrid w:val="0"/>
          <w:color w:val="auto"/>
          <w:sz w:val="22"/>
          <w:szCs w:val="22"/>
          <w:highlight w:val="none"/>
          <w:lang w:val="en-US" w:eastAsia="zh-CN"/>
        </w:rPr>
        <w:t>6</w:t>
      </w:r>
      <w:r>
        <w:rPr>
          <w:rFonts w:hint="eastAsia" w:ascii="宋体" w:hAnsi="宋体" w:eastAsia="宋体" w:cs="宋体"/>
          <w:snapToGrid w:val="0"/>
          <w:color w:val="auto"/>
          <w:sz w:val="22"/>
          <w:szCs w:val="22"/>
          <w:highlight w:val="none"/>
          <w:lang w:val="en-US" w:eastAsia="zh-CN"/>
        </w:rPr>
        <w:t>.</w:t>
      </w:r>
      <w:r>
        <w:rPr>
          <w:rFonts w:hint="eastAsia" w:ascii="宋体" w:hAnsi="宋体" w:eastAsia="宋体" w:cs="宋体"/>
          <w:snapToGrid w:val="0"/>
          <w:color w:val="auto"/>
          <w:sz w:val="22"/>
          <w:szCs w:val="22"/>
          <w:highlight w:val="none"/>
        </w:rPr>
        <w:t>本项目接受联合体投标。</w:t>
      </w:r>
    </w:p>
    <w:p w14:paraId="7470F423">
      <w:pPr>
        <w:pStyle w:val="49"/>
        <w:spacing w:before="0" w:beforeAutospacing="0" w:after="0" w:afterAutospacing="0" w:line="420" w:lineRule="exact"/>
        <w:ind w:firstLine="360"/>
        <w:rPr>
          <w:rFonts w:hint="eastAsia" w:ascii="宋体" w:hAnsi="宋体" w:eastAsia="宋体" w:cs="宋体"/>
          <w:snapToGrid w:val="0"/>
          <w:color w:val="auto"/>
          <w:sz w:val="22"/>
          <w:szCs w:val="22"/>
          <w:highlight w:val="none"/>
          <w:lang w:val="en-US"/>
        </w:rPr>
      </w:pPr>
      <w:r>
        <w:rPr>
          <w:rFonts w:hint="eastAsia" w:cs="宋体"/>
          <w:snapToGrid w:val="0"/>
          <w:color w:val="auto"/>
          <w:sz w:val="22"/>
          <w:szCs w:val="22"/>
          <w:highlight w:val="none"/>
          <w:lang w:val="en-US" w:eastAsia="zh-CN"/>
        </w:rPr>
        <w:t>7</w:t>
      </w:r>
      <w:r>
        <w:rPr>
          <w:rFonts w:hint="eastAsia" w:ascii="宋体" w:hAnsi="宋体" w:eastAsia="宋体" w:cs="宋体"/>
          <w:snapToGrid w:val="0"/>
          <w:color w:val="auto"/>
          <w:sz w:val="22"/>
          <w:szCs w:val="22"/>
          <w:highlight w:val="none"/>
          <w:lang w:val="en-US" w:eastAsia="zh-CN"/>
        </w:rPr>
        <w:t>.</w:t>
      </w:r>
      <w:r>
        <w:rPr>
          <w:rFonts w:hint="eastAsia" w:ascii="宋体" w:hAnsi="宋体" w:eastAsia="宋体" w:cs="宋体"/>
          <w:snapToGrid w:val="0"/>
          <w:color w:val="auto"/>
          <w:sz w:val="22"/>
          <w:szCs w:val="22"/>
          <w:highlight w:val="none"/>
        </w:rPr>
        <w:t>落实政府采购政策需满足的资格要求：本项目非专门面向中小企业采购，执行价格评审优惠。</w:t>
      </w:r>
    </w:p>
    <w:p w14:paraId="2F67CDA9">
      <w:pPr>
        <w:pStyle w:val="49"/>
        <w:spacing w:before="0" w:beforeAutospacing="0" w:after="0" w:afterAutospacing="0" w:line="420" w:lineRule="exact"/>
        <w:jc w:val="both"/>
        <w:rPr>
          <w:rFonts w:hint="eastAsia" w:ascii="宋体" w:hAnsi="宋体" w:eastAsia="宋体" w:cs="宋体"/>
          <w:snapToGrid w:val="0"/>
          <w:color w:val="auto"/>
          <w:sz w:val="22"/>
          <w:szCs w:val="22"/>
          <w:highlight w:val="none"/>
        </w:rPr>
      </w:pPr>
      <w:r>
        <w:rPr>
          <w:rStyle w:val="56"/>
          <w:rFonts w:hint="eastAsia" w:ascii="宋体" w:hAnsi="宋体" w:eastAsia="宋体" w:cs="宋体"/>
          <w:snapToGrid w:val="0"/>
          <w:color w:val="auto"/>
          <w:sz w:val="22"/>
          <w:szCs w:val="22"/>
          <w:highlight w:val="none"/>
        </w:rPr>
        <w:t>三、获取招标文件</w:t>
      </w:r>
    </w:p>
    <w:p w14:paraId="0D1E46B1">
      <w:pPr>
        <w:pStyle w:val="49"/>
        <w:spacing w:before="0" w:beforeAutospacing="0" w:after="0" w:afterAutospacing="0" w:line="420" w:lineRule="exact"/>
        <w:ind w:firstLine="440" w:firstLineChars="200"/>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时间：</w:t>
      </w:r>
      <w:r>
        <w:rPr>
          <w:rFonts w:hint="eastAsia" w:ascii="宋体" w:hAnsi="宋体" w:eastAsia="宋体" w:cs="宋体"/>
          <w:snapToGrid w:val="0"/>
          <w:color w:val="auto"/>
          <w:sz w:val="22"/>
          <w:szCs w:val="22"/>
          <w:highlight w:val="none"/>
          <w:u w:val="single"/>
          <w:shd w:val="clear" w:color="auto" w:fill="FFFFFF"/>
        </w:rPr>
        <w:t>公告发布日期</w:t>
      </w:r>
      <w:r>
        <w:rPr>
          <w:rFonts w:hint="eastAsia" w:ascii="宋体" w:hAnsi="宋体" w:eastAsia="宋体" w:cs="宋体"/>
          <w:snapToGrid w:val="0"/>
          <w:color w:val="auto"/>
          <w:sz w:val="22"/>
          <w:szCs w:val="22"/>
          <w:highlight w:val="none"/>
        </w:rPr>
        <w:t>至</w:t>
      </w:r>
      <w:r>
        <w:rPr>
          <w:rFonts w:hint="eastAsia" w:cs="宋体"/>
          <w:snapToGrid w:val="0"/>
          <w:color w:val="auto"/>
          <w:sz w:val="22"/>
          <w:szCs w:val="22"/>
          <w:highlight w:val="none"/>
          <w:u w:val="single"/>
          <w:lang w:eastAsia="zh-CN"/>
        </w:rPr>
        <w:t>2025年03月21日</w:t>
      </w:r>
      <w:r>
        <w:rPr>
          <w:rFonts w:hint="eastAsia" w:ascii="宋体" w:hAnsi="宋体" w:eastAsia="宋体" w:cs="宋体"/>
          <w:snapToGrid w:val="0"/>
          <w:color w:val="auto"/>
          <w:sz w:val="22"/>
          <w:szCs w:val="22"/>
          <w:highlight w:val="none"/>
        </w:rPr>
        <w:t>，每天上午</w:t>
      </w:r>
      <w:r>
        <w:rPr>
          <w:rFonts w:hint="eastAsia" w:ascii="宋体" w:hAnsi="宋体" w:eastAsia="宋体" w:cs="宋体"/>
          <w:snapToGrid w:val="0"/>
          <w:color w:val="auto"/>
          <w:sz w:val="22"/>
          <w:szCs w:val="22"/>
          <w:highlight w:val="none"/>
          <w:u w:val="single"/>
        </w:rPr>
        <w:t>00:00至12:00</w:t>
      </w:r>
      <w:r>
        <w:rPr>
          <w:rFonts w:hint="eastAsia" w:ascii="宋体" w:hAnsi="宋体" w:eastAsia="宋体" w:cs="宋体"/>
          <w:snapToGrid w:val="0"/>
          <w:color w:val="auto"/>
          <w:sz w:val="22"/>
          <w:szCs w:val="22"/>
          <w:highlight w:val="none"/>
        </w:rPr>
        <w:t>，下午</w:t>
      </w:r>
      <w:r>
        <w:rPr>
          <w:rFonts w:hint="eastAsia" w:ascii="宋体" w:hAnsi="宋体" w:eastAsia="宋体" w:cs="宋体"/>
          <w:snapToGrid w:val="0"/>
          <w:color w:val="auto"/>
          <w:sz w:val="22"/>
          <w:szCs w:val="22"/>
          <w:highlight w:val="none"/>
          <w:u w:val="single"/>
        </w:rPr>
        <w:t>12:00至23:59</w:t>
      </w:r>
      <w:r>
        <w:rPr>
          <w:rFonts w:hint="eastAsia" w:ascii="宋体" w:hAnsi="宋体" w:eastAsia="宋体" w:cs="宋体"/>
          <w:snapToGrid w:val="0"/>
          <w:color w:val="auto"/>
          <w:sz w:val="22"/>
          <w:szCs w:val="22"/>
          <w:highlight w:val="none"/>
        </w:rPr>
        <w:t>（北京时间，线上获取法定节假日均可，线下获取文件法定节假日除外）</w:t>
      </w:r>
    </w:p>
    <w:p w14:paraId="461DB54C">
      <w:pPr>
        <w:pStyle w:val="49"/>
        <w:spacing w:before="0" w:beforeAutospacing="0" w:after="0" w:afterAutospacing="0" w:line="420" w:lineRule="exact"/>
        <w:ind w:firstLine="440" w:firstLineChars="200"/>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地点（网址）： 浙江政府采购网 </w:t>
      </w:r>
    </w:p>
    <w:p w14:paraId="4FB58CE9">
      <w:pPr>
        <w:pStyle w:val="49"/>
        <w:spacing w:before="0" w:beforeAutospacing="0" w:after="0" w:afterAutospacing="0" w:line="420" w:lineRule="exact"/>
        <w:ind w:firstLine="440" w:firstLineChars="200"/>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方式：投标人请自行登录浙江政府采购网（http://www.zjzfcg.gov.cn/ ）免费下载且无需报名【登录政采云平台账号→点击获取招标文件→填写获取招标文件信息（包含联系人、联系方式、邮箱、地址）或至公告附件处下载】。 </w:t>
      </w:r>
    </w:p>
    <w:p w14:paraId="583CDE2B">
      <w:pPr>
        <w:pStyle w:val="49"/>
        <w:spacing w:before="0" w:beforeAutospacing="0" w:after="0" w:afterAutospacing="0" w:line="420" w:lineRule="exact"/>
        <w:jc w:val="both"/>
        <w:rPr>
          <w:rFonts w:hint="eastAsia" w:ascii="宋体" w:hAnsi="宋体" w:eastAsia="宋体" w:cs="宋体"/>
          <w:snapToGrid w:val="0"/>
          <w:color w:val="auto"/>
          <w:sz w:val="22"/>
          <w:szCs w:val="22"/>
          <w:highlight w:val="none"/>
        </w:rPr>
      </w:pPr>
      <w:r>
        <w:rPr>
          <w:rStyle w:val="56"/>
          <w:rFonts w:hint="eastAsia" w:ascii="宋体" w:hAnsi="宋体" w:eastAsia="宋体" w:cs="宋体"/>
          <w:snapToGrid w:val="0"/>
          <w:color w:val="auto"/>
          <w:sz w:val="22"/>
          <w:szCs w:val="22"/>
          <w:highlight w:val="none"/>
        </w:rPr>
        <w:t>四、提交投标文件截止时间、开标时间和地点</w:t>
      </w:r>
    </w:p>
    <w:p w14:paraId="2D8C2AA9">
      <w:pPr>
        <w:pStyle w:val="49"/>
        <w:spacing w:before="0" w:beforeAutospacing="0" w:after="0" w:afterAutospacing="0" w:line="420" w:lineRule="exact"/>
        <w:ind w:firstLine="440" w:firstLineChars="200"/>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提交投标文件截止时间：</w:t>
      </w:r>
      <w:r>
        <w:rPr>
          <w:rFonts w:hint="eastAsia" w:cs="宋体"/>
          <w:snapToGrid w:val="0"/>
          <w:color w:val="auto"/>
          <w:sz w:val="22"/>
          <w:szCs w:val="22"/>
          <w:highlight w:val="none"/>
          <w:u w:val="single"/>
          <w:lang w:eastAsia="zh-CN"/>
        </w:rPr>
        <w:t>2025年03月21日</w:t>
      </w:r>
      <w:r>
        <w:rPr>
          <w:rFonts w:hint="eastAsia" w:ascii="宋体" w:hAnsi="宋体" w:eastAsia="宋体" w:cs="宋体"/>
          <w:snapToGrid w:val="0"/>
          <w:color w:val="auto"/>
          <w:sz w:val="22"/>
          <w:szCs w:val="22"/>
          <w:highlight w:val="none"/>
          <w:u w:val="single"/>
          <w:lang w:eastAsia="zh-CN"/>
        </w:rPr>
        <w:t>09:30</w:t>
      </w:r>
      <w:r>
        <w:rPr>
          <w:rFonts w:hint="eastAsia" w:ascii="宋体" w:hAnsi="宋体" w:eastAsia="宋体" w:cs="宋体"/>
          <w:snapToGrid w:val="0"/>
          <w:color w:val="auto"/>
          <w:sz w:val="22"/>
          <w:szCs w:val="22"/>
          <w:highlight w:val="none"/>
        </w:rPr>
        <w:t>（北京时间，下同）</w:t>
      </w:r>
    </w:p>
    <w:p w14:paraId="1BD60E94">
      <w:pPr>
        <w:pStyle w:val="49"/>
        <w:spacing w:before="0" w:beforeAutospacing="0" w:after="0" w:afterAutospacing="0" w:line="420" w:lineRule="exact"/>
        <w:ind w:firstLine="440" w:firstLineChars="200"/>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投标地点（网址）：</w:t>
      </w:r>
      <w:r>
        <w:rPr>
          <w:rFonts w:hint="eastAsia" w:ascii="宋体" w:hAnsi="宋体" w:eastAsia="宋体" w:cs="宋体"/>
          <w:snapToGrid w:val="0"/>
          <w:color w:val="auto"/>
          <w:sz w:val="22"/>
          <w:szCs w:val="22"/>
          <w:highlight w:val="none"/>
          <w:u w:val="single"/>
        </w:rPr>
        <w:t> 在浙江政府采购网“政采云”平台上传投标文件 </w:t>
      </w:r>
    </w:p>
    <w:p w14:paraId="5F954FB5">
      <w:pPr>
        <w:pStyle w:val="49"/>
        <w:spacing w:before="0" w:beforeAutospacing="0" w:after="0" w:afterAutospacing="0" w:line="420" w:lineRule="exact"/>
        <w:ind w:firstLine="440" w:firstLineChars="200"/>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开标时间：</w:t>
      </w:r>
      <w:r>
        <w:rPr>
          <w:rFonts w:hint="eastAsia" w:cs="宋体"/>
          <w:snapToGrid w:val="0"/>
          <w:color w:val="auto"/>
          <w:sz w:val="22"/>
          <w:szCs w:val="22"/>
          <w:highlight w:val="none"/>
          <w:u w:val="single"/>
          <w:lang w:eastAsia="zh-CN"/>
        </w:rPr>
        <w:t>2025年03月21日</w:t>
      </w:r>
      <w:r>
        <w:rPr>
          <w:rFonts w:hint="eastAsia" w:ascii="宋体" w:hAnsi="宋体" w:eastAsia="宋体" w:cs="宋体"/>
          <w:snapToGrid w:val="0"/>
          <w:color w:val="auto"/>
          <w:sz w:val="22"/>
          <w:szCs w:val="22"/>
          <w:highlight w:val="none"/>
          <w:u w:val="single"/>
          <w:lang w:eastAsia="zh-CN"/>
        </w:rPr>
        <w:t>09:30</w:t>
      </w:r>
      <w:r>
        <w:rPr>
          <w:rFonts w:hint="eastAsia" w:ascii="宋体" w:hAnsi="宋体" w:eastAsia="宋体" w:cs="宋体"/>
          <w:snapToGrid w:val="0"/>
          <w:color w:val="auto"/>
          <w:sz w:val="22"/>
          <w:szCs w:val="22"/>
          <w:highlight w:val="none"/>
          <w:u w:val="single"/>
        </w:rPr>
        <w:t> </w:t>
      </w:r>
    </w:p>
    <w:p w14:paraId="762F0F24">
      <w:pPr>
        <w:pStyle w:val="49"/>
        <w:spacing w:before="0" w:beforeAutospacing="0" w:after="0" w:afterAutospacing="0" w:line="420" w:lineRule="exact"/>
        <w:ind w:firstLine="440" w:firstLineChars="200"/>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开标地点（网址）：</w:t>
      </w:r>
      <w:r>
        <w:rPr>
          <w:rFonts w:hint="eastAsia" w:ascii="宋体" w:hAnsi="宋体" w:eastAsia="宋体" w:cs="宋体"/>
          <w:snapToGrid w:val="0"/>
          <w:color w:val="auto"/>
          <w:sz w:val="22"/>
          <w:szCs w:val="22"/>
          <w:highlight w:val="none"/>
          <w:u w:val="single"/>
        </w:rPr>
        <w:t> 浙江政府采购网“政采云”平台 </w:t>
      </w:r>
    </w:p>
    <w:p w14:paraId="2AC87AA9">
      <w:pPr>
        <w:pStyle w:val="49"/>
        <w:spacing w:before="0" w:beforeAutospacing="0" w:after="0" w:afterAutospacing="0" w:line="420" w:lineRule="exact"/>
        <w:jc w:val="both"/>
        <w:rPr>
          <w:rFonts w:hint="eastAsia" w:ascii="宋体" w:hAnsi="宋体" w:eastAsia="宋体" w:cs="宋体"/>
          <w:snapToGrid w:val="0"/>
          <w:color w:val="auto"/>
          <w:sz w:val="22"/>
          <w:szCs w:val="22"/>
          <w:highlight w:val="none"/>
        </w:rPr>
      </w:pPr>
      <w:r>
        <w:rPr>
          <w:rStyle w:val="56"/>
          <w:rFonts w:hint="eastAsia" w:ascii="宋体" w:hAnsi="宋体" w:eastAsia="宋体" w:cs="宋体"/>
          <w:snapToGrid w:val="0"/>
          <w:color w:val="auto"/>
          <w:sz w:val="22"/>
          <w:szCs w:val="22"/>
          <w:highlight w:val="none"/>
        </w:rPr>
        <w:t>五、公告期限</w:t>
      </w:r>
    </w:p>
    <w:p w14:paraId="1325B4D9">
      <w:pPr>
        <w:pStyle w:val="49"/>
        <w:spacing w:before="0" w:beforeAutospacing="0" w:after="0" w:afterAutospacing="0" w:line="420" w:lineRule="exact"/>
        <w:ind w:firstLine="440" w:firstLineChars="200"/>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自本公告发布之日起5个工作日。</w:t>
      </w:r>
    </w:p>
    <w:p w14:paraId="331AA1FA">
      <w:pPr>
        <w:pStyle w:val="49"/>
        <w:spacing w:before="0" w:beforeAutospacing="0" w:after="0" w:afterAutospacing="0" w:line="420" w:lineRule="exact"/>
        <w:jc w:val="both"/>
        <w:rPr>
          <w:rFonts w:hint="eastAsia" w:ascii="宋体" w:hAnsi="宋体" w:eastAsia="宋体" w:cs="宋体"/>
          <w:snapToGrid w:val="0"/>
          <w:color w:val="auto"/>
          <w:sz w:val="22"/>
          <w:szCs w:val="22"/>
          <w:highlight w:val="none"/>
        </w:rPr>
      </w:pPr>
      <w:r>
        <w:rPr>
          <w:rStyle w:val="56"/>
          <w:rFonts w:hint="eastAsia" w:ascii="宋体" w:hAnsi="宋体" w:eastAsia="宋体" w:cs="宋体"/>
          <w:snapToGrid w:val="0"/>
          <w:color w:val="auto"/>
          <w:sz w:val="22"/>
          <w:szCs w:val="22"/>
          <w:highlight w:val="none"/>
        </w:rPr>
        <w:t>六、其他补充事宜</w:t>
      </w:r>
    </w:p>
    <w:p w14:paraId="7DF889E6">
      <w:pPr>
        <w:pStyle w:val="49"/>
        <w:shd w:val="clear" w:color="auto" w:fill="auto"/>
        <w:spacing w:before="0" w:beforeAutospacing="0" w:after="0" w:afterAutospacing="0" w:line="420" w:lineRule="exact"/>
        <w:ind w:firstLine="440" w:firstLineChars="200"/>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lang w:eastAsia="zh-CN"/>
        </w:rPr>
        <w:t>1.</w:t>
      </w:r>
      <w:r>
        <w:rPr>
          <w:rFonts w:hint="eastAsia" w:ascii="宋体" w:hAnsi="宋体" w:eastAsia="宋体" w:cs="宋体"/>
          <w:snapToGrid w:val="0"/>
          <w:color w:val="auto"/>
          <w:sz w:val="22"/>
          <w:szCs w:val="22"/>
          <w:highlight w:val="none"/>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00FDE0D">
      <w:pPr>
        <w:pStyle w:val="49"/>
        <w:shd w:val="clear" w:color="auto" w:fill="auto"/>
        <w:spacing w:before="0" w:beforeAutospacing="0" w:after="0" w:afterAutospacing="0" w:line="420" w:lineRule="exact"/>
        <w:ind w:firstLine="440" w:firstLineChars="200"/>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lang w:eastAsia="zh-CN"/>
        </w:rPr>
        <w:t>2.</w:t>
      </w:r>
      <w:r>
        <w:rPr>
          <w:rFonts w:hint="eastAsia" w:ascii="宋体" w:hAnsi="宋体" w:eastAsia="宋体" w:cs="宋体"/>
          <w:snapToGrid w:val="0"/>
          <w:color w:val="auto"/>
          <w:sz w:val="22"/>
          <w:szCs w:val="22"/>
          <w:highlight w:val="none"/>
        </w:rPr>
        <w:t>其他事项： </w:t>
      </w:r>
    </w:p>
    <w:p w14:paraId="0F5A25A8">
      <w:pPr>
        <w:pStyle w:val="28"/>
        <w:widowControl w:val="0"/>
        <w:shd w:val="clear" w:color="auto" w:fill="auto"/>
        <w:adjustRightInd w:val="0"/>
        <w:snapToGrid w:val="0"/>
        <w:spacing w:line="420" w:lineRule="exact"/>
        <w:ind w:firstLine="440" w:firstLineChars="200"/>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①本项目实行网上投标，以潜在投标人身份获取文件后投标人即可参投，投标方在投标截止时间之前上传电子投标文件。投标人参与投标，需自行承担投标一切费用。</w:t>
      </w:r>
    </w:p>
    <w:p w14:paraId="3829E130">
      <w:pPr>
        <w:pStyle w:val="28"/>
        <w:widowControl w:val="0"/>
        <w:shd w:val="clear" w:color="auto" w:fill="auto"/>
        <w:wordWrap w:val="0"/>
        <w:adjustRightInd w:val="0"/>
        <w:snapToGrid w:val="0"/>
        <w:spacing w:line="420" w:lineRule="exact"/>
        <w:ind w:firstLine="440" w:firstLineChars="200"/>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②标前准备：各投标人应在开标前确保成为浙江省政府采购网正式注册入库供应商，并完成CA数字证书办理。【办理流程详见http://www.zjzfcg.gov.cn/download/index.html?_=1571296580459&amp;tdsourcetag=s_pcqq_aiomsg下载，（目前“政采云”平台仅支持浙江汇信或天谷CA锁，个体工商户投标仅支持浙江汇信CA锁），申领操作流程】。因未注册入库、未办理CA数字证书等原因造成无法投标或投标失败等后果由供应商自行承担。</w:t>
      </w:r>
    </w:p>
    <w:p w14:paraId="672E8E9F">
      <w:pPr>
        <w:pStyle w:val="28"/>
        <w:widowControl w:val="0"/>
        <w:wordWrap w:val="0"/>
        <w:adjustRightInd w:val="0"/>
        <w:snapToGrid w:val="0"/>
        <w:spacing w:line="420" w:lineRule="exact"/>
        <w:ind w:firstLine="440" w:firstLineChars="200"/>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③投标文件制作：投标人通过“政采云”平台电子投标工具制作投标文件，电子投标工具请供应商自行前往http://www.zjzfcg.gov.cn/download/index.html?_=1571296580459&amp;tdsourcetag=s_pcqq_aiomsg下载并安装，投标文件制作具体流程详见“政采云供应商项目采购-电子招投标操作指南”（请投标供应商</w:t>
      </w:r>
      <w:r>
        <w:rPr>
          <w:rFonts w:hint="eastAsia" w:ascii="宋体" w:hAnsi="宋体" w:eastAsia="宋体" w:cs="宋体"/>
          <w:snapToGrid w:val="0"/>
          <w:color w:val="auto"/>
          <w:sz w:val="22"/>
          <w:szCs w:val="22"/>
          <w:highlight w:val="none"/>
          <w:lang w:eastAsia="zh-CN"/>
        </w:rPr>
        <w:t>登录</w:t>
      </w:r>
      <w:r>
        <w:rPr>
          <w:rFonts w:hint="eastAsia" w:ascii="宋体" w:hAnsi="宋体" w:eastAsia="宋体" w:cs="宋体"/>
          <w:snapToGrid w:val="0"/>
          <w:color w:val="auto"/>
          <w:sz w:val="22"/>
          <w:szCs w:val="22"/>
          <w:highlight w:val="none"/>
        </w:rPr>
        <w:t>政采云平台政府采购电子卖场后，点击链接https://service.zcygov.cn/#/knowledges/CW1EtGwBFdiHxlNd6I3m/6IMVAG0BFdiHxlNdQ8Na）以获取最新操作指南。</w:t>
      </w:r>
      <w:r>
        <w:rPr>
          <w:rFonts w:hint="eastAsia" w:ascii="宋体" w:hAnsi="宋体" w:eastAsia="宋体" w:cs="宋体"/>
          <w:snapToGrid w:val="0"/>
          <w:color w:val="auto"/>
          <w:sz w:val="22"/>
          <w:szCs w:val="22"/>
          <w:highlight w:val="none"/>
          <w:shd w:val="clear" w:color="auto" w:fill="FFFFFF"/>
        </w:rPr>
        <w:t>　　</w:t>
      </w:r>
    </w:p>
    <w:p w14:paraId="5C266E3B">
      <w:pPr>
        <w:pStyle w:val="49"/>
        <w:spacing w:before="0" w:beforeAutospacing="0" w:after="0" w:afterAutospacing="0" w:line="420" w:lineRule="exact"/>
        <w:jc w:val="both"/>
        <w:rPr>
          <w:rFonts w:hint="eastAsia" w:ascii="宋体" w:hAnsi="宋体" w:eastAsia="宋体" w:cs="宋体"/>
          <w:snapToGrid w:val="0"/>
          <w:color w:val="auto"/>
          <w:sz w:val="22"/>
          <w:szCs w:val="22"/>
          <w:highlight w:val="none"/>
        </w:rPr>
      </w:pPr>
      <w:r>
        <w:rPr>
          <w:rStyle w:val="56"/>
          <w:rFonts w:hint="eastAsia" w:ascii="宋体" w:hAnsi="宋体" w:eastAsia="宋体" w:cs="宋体"/>
          <w:snapToGrid w:val="0"/>
          <w:color w:val="auto"/>
          <w:sz w:val="22"/>
          <w:szCs w:val="22"/>
          <w:highlight w:val="none"/>
        </w:rPr>
        <w:t>七、对本次招标提出询问、质疑、投诉，请按以下方式联系。</w:t>
      </w:r>
      <w:r>
        <w:rPr>
          <w:rFonts w:hint="eastAsia" w:ascii="宋体" w:hAnsi="宋体" w:eastAsia="宋体" w:cs="宋体"/>
          <w:snapToGrid w:val="0"/>
          <w:color w:val="auto"/>
          <w:sz w:val="22"/>
          <w:szCs w:val="22"/>
          <w:highlight w:val="none"/>
        </w:rPr>
        <w:t>　　　　　　　　　　　　</w:t>
      </w:r>
    </w:p>
    <w:p w14:paraId="1FACE1E1">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440" w:firstLineChars="200"/>
        <w:textAlignment w:val="auto"/>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1.采购人信息</w:t>
      </w:r>
    </w:p>
    <w:p w14:paraId="42AD997D">
      <w:pPr>
        <w:pStyle w:val="28"/>
        <w:adjustRightInd w:val="0"/>
        <w:snapToGrid w:val="0"/>
        <w:spacing w:line="400" w:lineRule="exact"/>
        <w:ind w:firstLine="440" w:firstLineChars="200"/>
        <w:rPr>
          <w:rFonts w:hint="eastAsia" w:ascii="宋体" w:hAnsi="宋体" w:eastAsia="宋体" w:cs="宋体"/>
          <w:color w:val="auto"/>
          <w:sz w:val="22"/>
          <w:szCs w:val="22"/>
          <w:highlight w:val="none"/>
          <w:u w:val="single"/>
          <w:lang w:eastAsia="zh-CN"/>
        </w:rPr>
      </w:pPr>
      <w:r>
        <w:rPr>
          <w:rFonts w:hint="eastAsia" w:ascii="宋体" w:hAnsi="宋体" w:eastAsia="宋体" w:cs="宋体"/>
          <w:color w:val="auto"/>
          <w:sz w:val="22"/>
          <w:szCs w:val="22"/>
          <w:highlight w:val="none"/>
          <w:lang w:eastAsia="zh-CN"/>
        </w:rPr>
        <w:t>名称：</w:t>
      </w:r>
      <w:r>
        <w:rPr>
          <w:rFonts w:hint="eastAsia" w:ascii="宋体" w:hAnsi="宋体" w:eastAsia="宋体" w:cs="宋体"/>
          <w:color w:val="auto"/>
          <w:sz w:val="22"/>
          <w:szCs w:val="22"/>
          <w:highlight w:val="none"/>
          <w:u w:val="single"/>
          <w:lang w:eastAsia="zh-CN"/>
        </w:rPr>
        <w:t>义乌市社会治理中心</w:t>
      </w:r>
    </w:p>
    <w:p w14:paraId="037E3CFB">
      <w:pPr>
        <w:pStyle w:val="28"/>
        <w:adjustRightInd w:val="0"/>
        <w:snapToGrid w:val="0"/>
        <w:spacing w:line="400" w:lineRule="exact"/>
        <w:ind w:firstLine="440" w:firstLineChars="200"/>
        <w:rPr>
          <w:rFonts w:hint="eastAsia" w:ascii="宋体" w:hAnsi="宋体" w:eastAsia="宋体" w:cs="宋体"/>
          <w:color w:val="auto"/>
          <w:sz w:val="22"/>
          <w:szCs w:val="22"/>
          <w:highlight w:val="none"/>
          <w:u w:val="single"/>
          <w:lang w:eastAsia="zh-CN"/>
        </w:rPr>
      </w:pPr>
      <w:r>
        <w:rPr>
          <w:rFonts w:hint="eastAsia" w:ascii="宋体" w:hAnsi="宋体" w:eastAsia="宋体" w:cs="宋体"/>
          <w:color w:val="auto"/>
          <w:sz w:val="22"/>
          <w:szCs w:val="22"/>
          <w:highlight w:val="none"/>
          <w:lang w:eastAsia="zh-CN"/>
        </w:rPr>
        <w:t>地址：</w:t>
      </w:r>
      <w:bookmarkStart w:id="1" w:name="OLE_LINK3"/>
      <w:r>
        <w:rPr>
          <w:rFonts w:hint="eastAsia" w:ascii="宋体" w:hAnsi="宋体" w:eastAsia="宋体" w:cs="宋体"/>
          <w:color w:val="auto"/>
          <w:sz w:val="22"/>
          <w:szCs w:val="22"/>
          <w:highlight w:val="none"/>
          <w:u w:val="single"/>
          <w:lang w:eastAsia="zh-CN"/>
        </w:rPr>
        <w:t>义乌市香山路399号</w:t>
      </w:r>
      <w:bookmarkEnd w:id="1"/>
    </w:p>
    <w:p w14:paraId="003A70E8">
      <w:pPr>
        <w:pStyle w:val="28"/>
        <w:adjustRightInd w:val="0"/>
        <w:snapToGrid w:val="0"/>
        <w:spacing w:line="40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项目联系人（询问）：</w:t>
      </w:r>
      <w:r>
        <w:rPr>
          <w:rFonts w:hint="eastAsia" w:ascii="宋体" w:hAnsi="宋体" w:eastAsia="宋体" w:cs="宋体"/>
          <w:color w:val="auto"/>
          <w:sz w:val="22"/>
          <w:szCs w:val="22"/>
          <w:highlight w:val="none"/>
          <w:u w:val="single"/>
          <w:lang w:val="en-US" w:eastAsia="zh-CN"/>
        </w:rPr>
        <w:t>王金荣</w:t>
      </w:r>
      <w:r>
        <w:rPr>
          <w:rFonts w:hint="eastAsia" w:ascii="宋体" w:hAnsi="宋体" w:eastAsia="宋体" w:cs="宋体"/>
          <w:color w:val="auto"/>
          <w:sz w:val="22"/>
          <w:szCs w:val="22"/>
          <w:highlight w:val="none"/>
          <w:lang w:eastAsia="zh-CN"/>
        </w:rPr>
        <w:t xml:space="preserve">  　　　　　　　　</w:t>
      </w:r>
    </w:p>
    <w:p w14:paraId="64B461E9">
      <w:pPr>
        <w:pStyle w:val="28"/>
        <w:adjustRightInd w:val="0"/>
        <w:snapToGrid w:val="0"/>
        <w:spacing w:line="40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项目联系方式（询问）：</w:t>
      </w:r>
      <w:bookmarkStart w:id="2" w:name="OLE_LINK2"/>
      <w:r>
        <w:rPr>
          <w:rFonts w:hint="eastAsia" w:ascii="宋体" w:hAnsi="宋体" w:eastAsia="宋体" w:cs="宋体"/>
          <w:color w:val="auto"/>
          <w:sz w:val="22"/>
          <w:szCs w:val="22"/>
          <w:highlight w:val="none"/>
          <w:u w:val="single"/>
          <w:lang w:val="en-US" w:eastAsia="zh-CN"/>
        </w:rPr>
        <w:t>0579-89982206</w:t>
      </w:r>
      <w:r>
        <w:rPr>
          <w:rFonts w:hint="eastAsia" w:ascii="宋体" w:hAnsi="宋体" w:eastAsia="宋体" w:cs="宋体"/>
          <w:color w:val="auto"/>
          <w:sz w:val="22"/>
          <w:szCs w:val="22"/>
          <w:highlight w:val="none"/>
          <w:lang w:val="en-US" w:eastAsia="zh-CN"/>
        </w:rPr>
        <w:t xml:space="preserve"> </w:t>
      </w:r>
      <w:bookmarkEnd w:id="2"/>
    </w:p>
    <w:p w14:paraId="50D46A62">
      <w:pPr>
        <w:pStyle w:val="28"/>
        <w:adjustRightInd w:val="0"/>
        <w:snapToGrid w:val="0"/>
        <w:spacing w:line="40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质疑联系人：</w:t>
      </w:r>
      <w:r>
        <w:rPr>
          <w:rFonts w:hint="eastAsia" w:ascii="宋体" w:hAnsi="宋体" w:eastAsia="宋体" w:cs="宋体"/>
          <w:color w:val="auto"/>
          <w:sz w:val="22"/>
          <w:szCs w:val="22"/>
          <w:highlight w:val="none"/>
          <w:u w:val="single"/>
          <w:lang w:eastAsia="zh-CN"/>
        </w:rPr>
        <w:t xml:space="preserve"> </w:t>
      </w:r>
      <w:r>
        <w:rPr>
          <w:rFonts w:hint="eastAsia" w:ascii="宋体" w:hAnsi="宋体" w:eastAsia="宋体" w:cs="宋体"/>
          <w:color w:val="auto"/>
          <w:sz w:val="22"/>
          <w:szCs w:val="22"/>
          <w:highlight w:val="none"/>
          <w:u w:val="single"/>
          <w:lang w:val="en-US" w:eastAsia="zh-CN"/>
        </w:rPr>
        <w:t>金文广</w:t>
      </w:r>
      <w:r>
        <w:rPr>
          <w:rFonts w:hint="eastAsia" w:ascii="宋体" w:hAnsi="宋体" w:eastAsia="宋体" w:cs="宋体"/>
          <w:color w:val="auto"/>
          <w:sz w:val="22"/>
          <w:szCs w:val="22"/>
          <w:highlight w:val="none"/>
          <w:u w:val="single"/>
          <w:lang w:eastAsia="zh-CN"/>
        </w:rPr>
        <w:t xml:space="preserve"> </w:t>
      </w:r>
    </w:p>
    <w:p w14:paraId="1540921E">
      <w:pPr>
        <w:pStyle w:val="28"/>
        <w:adjustRightInd w:val="0"/>
        <w:snapToGrid w:val="0"/>
        <w:spacing w:line="400" w:lineRule="exact"/>
        <w:ind w:firstLine="440" w:firstLineChars="200"/>
        <w:rPr>
          <w:rFonts w:hint="eastAsia" w:ascii="宋体" w:hAnsi="宋体" w:eastAsia="宋体" w:cs="宋体"/>
          <w:snapToGrid w:val="0"/>
          <w:color w:val="auto"/>
          <w:sz w:val="22"/>
          <w:szCs w:val="22"/>
          <w:highlight w:val="none"/>
        </w:rPr>
      </w:pPr>
      <w:r>
        <w:rPr>
          <w:rFonts w:hint="eastAsia" w:ascii="宋体" w:hAnsi="宋体" w:eastAsia="宋体" w:cs="宋体"/>
          <w:color w:val="auto"/>
          <w:sz w:val="22"/>
          <w:szCs w:val="22"/>
          <w:highlight w:val="none"/>
          <w:lang w:eastAsia="zh-CN"/>
        </w:rPr>
        <w:t>质疑联系方式：</w:t>
      </w:r>
      <w:r>
        <w:rPr>
          <w:rFonts w:hint="eastAsia" w:ascii="宋体" w:hAnsi="宋体" w:eastAsia="宋体" w:cs="宋体"/>
          <w:color w:val="auto"/>
          <w:sz w:val="22"/>
          <w:szCs w:val="22"/>
          <w:highlight w:val="none"/>
          <w:u w:val="single"/>
          <w:lang w:val="en-US" w:eastAsia="zh-CN"/>
        </w:rPr>
        <w:t xml:space="preserve"> 0579-83807002 </w:t>
      </w:r>
      <w:r>
        <w:rPr>
          <w:rFonts w:hint="eastAsia" w:ascii="宋体" w:hAnsi="宋体" w:eastAsia="宋体" w:cs="宋体"/>
          <w:color w:val="auto"/>
          <w:sz w:val="22"/>
          <w:szCs w:val="22"/>
          <w:highlight w:val="none"/>
          <w:lang w:eastAsia="zh-CN"/>
        </w:rPr>
        <w:t>　</w:t>
      </w:r>
      <w:r>
        <w:rPr>
          <w:rFonts w:hint="eastAsia" w:ascii="宋体" w:hAnsi="宋体" w:eastAsia="宋体" w:cs="宋体"/>
          <w:snapToGrid w:val="0"/>
          <w:color w:val="auto"/>
          <w:sz w:val="22"/>
          <w:szCs w:val="22"/>
          <w:highlight w:val="none"/>
        </w:rPr>
        <w:t>　　　　　　　　　　</w:t>
      </w:r>
    </w:p>
    <w:p w14:paraId="6F44437A">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440" w:firstLineChars="200"/>
        <w:textAlignment w:val="auto"/>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2.采购代理机构信息</w:t>
      </w:r>
    </w:p>
    <w:p w14:paraId="04B9BE61">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440" w:firstLineChars="200"/>
        <w:textAlignment w:val="auto"/>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名称：</w:t>
      </w:r>
      <w:r>
        <w:rPr>
          <w:rFonts w:hint="eastAsia" w:ascii="宋体" w:hAnsi="宋体" w:eastAsia="宋体" w:cs="宋体"/>
          <w:snapToGrid w:val="0"/>
          <w:color w:val="auto"/>
          <w:sz w:val="22"/>
          <w:szCs w:val="22"/>
          <w:highlight w:val="none"/>
          <w:u w:val="single"/>
          <w:lang w:eastAsia="zh-CN"/>
        </w:rPr>
        <w:t>科信联合工程咨询有限公司</w:t>
      </w:r>
      <w:r>
        <w:rPr>
          <w:rFonts w:hint="eastAsia" w:ascii="宋体" w:hAnsi="宋体" w:eastAsia="宋体" w:cs="宋体"/>
          <w:snapToGrid w:val="0"/>
          <w:color w:val="auto"/>
          <w:sz w:val="22"/>
          <w:szCs w:val="22"/>
          <w:highlight w:val="none"/>
          <w:u w:val="single"/>
        </w:rPr>
        <w:t> </w:t>
      </w:r>
      <w:r>
        <w:rPr>
          <w:rFonts w:hint="eastAsia" w:ascii="宋体" w:hAnsi="宋体" w:eastAsia="宋体" w:cs="宋体"/>
          <w:snapToGrid w:val="0"/>
          <w:color w:val="auto"/>
          <w:sz w:val="22"/>
          <w:szCs w:val="22"/>
          <w:highlight w:val="none"/>
        </w:rPr>
        <w:t>　　　　　　　　　　　</w:t>
      </w:r>
    </w:p>
    <w:p w14:paraId="13B8A21E">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440" w:firstLineChars="200"/>
        <w:textAlignment w:val="auto"/>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地址：</w:t>
      </w:r>
      <w:r>
        <w:rPr>
          <w:rFonts w:hint="eastAsia" w:ascii="宋体" w:hAnsi="宋体" w:eastAsia="宋体" w:cs="宋体"/>
          <w:snapToGrid w:val="0"/>
          <w:color w:val="auto"/>
          <w:sz w:val="22"/>
          <w:szCs w:val="22"/>
          <w:highlight w:val="none"/>
          <w:u w:val="single"/>
        </w:rPr>
        <w:t>义乌市丹溪三区香樟苑2栋8单元三楼 </w:t>
      </w:r>
    </w:p>
    <w:p w14:paraId="3AC9040F">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440" w:firstLineChars="200"/>
        <w:textAlignment w:val="auto"/>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项目联系人（询问）：</w:t>
      </w:r>
      <w:r>
        <w:rPr>
          <w:rFonts w:hint="eastAsia" w:ascii="宋体" w:hAnsi="宋体" w:eastAsia="宋体" w:cs="宋体"/>
          <w:snapToGrid w:val="0"/>
          <w:color w:val="auto"/>
          <w:sz w:val="22"/>
          <w:szCs w:val="22"/>
          <w:highlight w:val="none"/>
          <w:u w:val="single"/>
        </w:rPr>
        <w:t>　</w:t>
      </w:r>
      <w:r>
        <w:rPr>
          <w:rFonts w:hint="eastAsia" w:ascii="宋体" w:hAnsi="宋体" w:eastAsia="宋体" w:cs="宋体"/>
          <w:snapToGrid w:val="0"/>
          <w:color w:val="auto"/>
          <w:sz w:val="22"/>
          <w:szCs w:val="22"/>
          <w:highlight w:val="none"/>
          <w:u w:val="single"/>
          <w:lang w:val="en-US" w:eastAsia="zh-CN"/>
        </w:rPr>
        <w:t>陈天宝</w:t>
      </w:r>
      <w:r>
        <w:rPr>
          <w:rFonts w:hint="eastAsia" w:ascii="宋体" w:hAnsi="宋体" w:eastAsia="宋体" w:cs="宋体"/>
          <w:snapToGrid w:val="0"/>
          <w:color w:val="auto"/>
          <w:sz w:val="22"/>
          <w:szCs w:val="22"/>
          <w:highlight w:val="none"/>
          <w:u w:val="single"/>
        </w:rPr>
        <w:t xml:space="preserve">  </w:t>
      </w:r>
      <w:r>
        <w:rPr>
          <w:rFonts w:hint="eastAsia" w:ascii="宋体" w:hAnsi="宋体" w:eastAsia="宋体" w:cs="宋体"/>
          <w:snapToGrid w:val="0"/>
          <w:color w:val="auto"/>
          <w:sz w:val="22"/>
          <w:szCs w:val="22"/>
          <w:highlight w:val="none"/>
        </w:rPr>
        <w:t xml:space="preserve"> 　　　　　　　　　　　</w:t>
      </w:r>
    </w:p>
    <w:p w14:paraId="479E558B">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440" w:firstLineChars="200"/>
        <w:textAlignment w:val="auto"/>
        <w:rPr>
          <w:rFonts w:hint="eastAsia" w:ascii="宋体" w:hAnsi="宋体" w:eastAsia="宋体" w:cs="宋体"/>
          <w:snapToGrid w:val="0"/>
          <w:color w:val="auto"/>
          <w:sz w:val="22"/>
          <w:szCs w:val="22"/>
          <w:highlight w:val="none"/>
          <w:lang w:val="en-US" w:eastAsia="zh-CN"/>
        </w:rPr>
      </w:pPr>
      <w:r>
        <w:rPr>
          <w:rFonts w:hint="eastAsia" w:ascii="宋体" w:hAnsi="宋体" w:eastAsia="宋体" w:cs="宋体"/>
          <w:snapToGrid w:val="0"/>
          <w:color w:val="auto"/>
          <w:sz w:val="22"/>
          <w:szCs w:val="22"/>
          <w:highlight w:val="none"/>
        </w:rPr>
        <w:t>项目联系方式（询问）：</w:t>
      </w:r>
      <w:r>
        <w:rPr>
          <w:rFonts w:hint="eastAsia" w:ascii="宋体" w:hAnsi="宋体" w:eastAsia="宋体" w:cs="宋体"/>
          <w:snapToGrid w:val="0"/>
          <w:color w:val="auto"/>
          <w:sz w:val="22"/>
          <w:szCs w:val="22"/>
          <w:highlight w:val="none"/>
          <w:u w:val="single"/>
          <w:lang w:val="en-US" w:eastAsia="zh-CN"/>
        </w:rPr>
        <w:t>15068070805</w:t>
      </w:r>
    </w:p>
    <w:p w14:paraId="142F5CCF">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440" w:firstLineChars="200"/>
        <w:textAlignment w:val="auto"/>
        <w:rPr>
          <w:rFonts w:hint="eastAsia" w:ascii="宋体" w:hAnsi="宋体" w:eastAsia="宋体" w:cs="宋体"/>
          <w:snapToGrid w:val="0"/>
          <w:color w:val="auto"/>
          <w:sz w:val="22"/>
          <w:szCs w:val="22"/>
          <w:highlight w:val="none"/>
          <w:u w:val="single"/>
        </w:rPr>
      </w:pPr>
      <w:r>
        <w:rPr>
          <w:rFonts w:hint="eastAsia" w:ascii="宋体" w:hAnsi="宋体" w:eastAsia="宋体" w:cs="宋体"/>
          <w:snapToGrid w:val="0"/>
          <w:color w:val="auto"/>
          <w:sz w:val="22"/>
          <w:szCs w:val="22"/>
          <w:highlight w:val="none"/>
        </w:rPr>
        <w:t>质疑联系人：</w:t>
      </w:r>
      <w:r>
        <w:rPr>
          <w:rFonts w:hint="eastAsia" w:ascii="宋体" w:hAnsi="宋体" w:eastAsia="宋体" w:cs="宋体"/>
          <w:snapToGrid w:val="0"/>
          <w:color w:val="auto"/>
          <w:sz w:val="22"/>
          <w:szCs w:val="22"/>
          <w:highlight w:val="none"/>
          <w:u w:val="single"/>
        </w:rPr>
        <w:t xml:space="preserve">  姜王庆  </w:t>
      </w:r>
    </w:p>
    <w:p w14:paraId="60AEF16F">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440" w:firstLineChars="200"/>
        <w:textAlignment w:val="auto"/>
        <w:rPr>
          <w:rFonts w:hint="eastAsia" w:ascii="宋体" w:hAnsi="宋体" w:eastAsia="宋体" w:cs="宋体"/>
          <w:snapToGrid w:val="0"/>
          <w:color w:val="auto"/>
          <w:sz w:val="22"/>
          <w:szCs w:val="22"/>
          <w:highlight w:val="none"/>
          <w:u w:val="single"/>
        </w:rPr>
      </w:pPr>
      <w:r>
        <w:rPr>
          <w:rFonts w:hint="eastAsia" w:ascii="宋体" w:hAnsi="宋体" w:eastAsia="宋体" w:cs="宋体"/>
          <w:snapToGrid w:val="0"/>
          <w:color w:val="auto"/>
          <w:sz w:val="22"/>
          <w:szCs w:val="22"/>
          <w:highlight w:val="none"/>
        </w:rPr>
        <w:t>质疑联系方式：</w:t>
      </w:r>
      <w:r>
        <w:rPr>
          <w:rFonts w:hint="eastAsia" w:ascii="宋体" w:hAnsi="宋体" w:eastAsia="宋体" w:cs="宋体"/>
          <w:snapToGrid w:val="0"/>
          <w:color w:val="auto"/>
          <w:sz w:val="22"/>
          <w:szCs w:val="22"/>
          <w:highlight w:val="none"/>
          <w:u w:val="single"/>
        </w:rPr>
        <w:t> 0579-83608388 </w:t>
      </w:r>
    </w:p>
    <w:p w14:paraId="2F9CAD1B">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440" w:firstLineChars="200"/>
        <w:textAlignment w:val="auto"/>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3.同级政府采购监督管理部门</w:t>
      </w:r>
    </w:p>
    <w:p w14:paraId="73F94F58">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440" w:firstLineChars="200"/>
        <w:textAlignment w:val="auto"/>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名称： </w:t>
      </w:r>
      <w:r>
        <w:rPr>
          <w:rFonts w:hint="eastAsia" w:ascii="宋体" w:hAnsi="宋体" w:eastAsia="宋体" w:cs="宋体"/>
          <w:snapToGrid w:val="0"/>
          <w:color w:val="auto"/>
          <w:sz w:val="22"/>
          <w:szCs w:val="22"/>
          <w:highlight w:val="none"/>
          <w:u w:val="single"/>
        </w:rPr>
        <w:t>义乌市财政局 </w:t>
      </w:r>
      <w:r>
        <w:rPr>
          <w:rFonts w:hint="eastAsia" w:ascii="宋体" w:hAnsi="宋体" w:eastAsia="宋体" w:cs="宋体"/>
          <w:snapToGrid w:val="0"/>
          <w:color w:val="auto"/>
          <w:sz w:val="22"/>
          <w:szCs w:val="22"/>
          <w:highlight w:val="none"/>
        </w:rPr>
        <w:t>　　　　　　　　　</w:t>
      </w:r>
    </w:p>
    <w:p w14:paraId="0EBBF48F">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440" w:firstLineChars="200"/>
        <w:textAlignment w:val="auto"/>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联系人：</w:t>
      </w:r>
      <w:r>
        <w:rPr>
          <w:rFonts w:hint="eastAsia" w:ascii="宋体" w:hAnsi="宋体" w:eastAsia="宋体" w:cs="宋体"/>
          <w:snapToGrid w:val="0"/>
          <w:color w:val="auto"/>
          <w:sz w:val="22"/>
          <w:szCs w:val="22"/>
          <w:highlight w:val="none"/>
          <w:u w:val="single"/>
        </w:rPr>
        <w:t> </w:t>
      </w:r>
      <w:r>
        <w:rPr>
          <w:rFonts w:hint="eastAsia" w:ascii="宋体" w:hAnsi="宋体" w:eastAsia="宋体" w:cs="宋体"/>
          <w:snapToGrid w:val="0"/>
          <w:color w:val="auto"/>
          <w:sz w:val="22"/>
          <w:szCs w:val="22"/>
          <w:highlight w:val="none"/>
          <w:u w:val="single"/>
          <w:lang w:val="en-US" w:eastAsia="zh-CN"/>
        </w:rPr>
        <w:t>王女士</w:t>
      </w:r>
      <w:r>
        <w:rPr>
          <w:rFonts w:hint="eastAsia" w:ascii="宋体" w:hAnsi="宋体" w:eastAsia="宋体" w:cs="宋体"/>
          <w:snapToGrid w:val="0"/>
          <w:color w:val="auto"/>
          <w:sz w:val="22"/>
          <w:szCs w:val="22"/>
          <w:highlight w:val="none"/>
          <w:u w:val="single"/>
        </w:rPr>
        <w:t> </w:t>
      </w:r>
      <w:r>
        <w:rPr>
          <w:rFonts w:hint="eastAsia" w:ascii="宋体" w:hAnsi="宋体" w:eastAsia="宋体" w:cs="宋体"/>
          <w:snapToGrid w:val="0"/>
          <w:color w:val="auto"/>
          <w:sz w:val="22"/>
          <w:szCs w:val="22"/>
          <w:highlight w:val="none"/>
        </w:rPr>
        <w:t>　　　　　　　　　　</w:t>
      </w:r>
    </w:p>
    <w:p w14:paraId="56668C87">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440" w:firstLineChars="200"/>
        <w:textAlignment w:val="auto"/>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监督投诉电话：</w:t>
      </w:r>
      <w:r>
        <w:rPr>
          <w:rFonts w:hint="eastAsia" w:ascii="宋体" w:hAnsi="宋体" w:eastAsia="宋体" w:cs="宋体"/>
          <w:snapToGrid w:val="0"/>
          <w:color w:val="auto"/>
          <w:sz w:val="22"/>
          <w:szCs w:val="22"/>
          <w:highlight w:val="none"/>
          <w:u w:val="single"/>
        </w:rPr>
        <w:t>0579—89915066</w:t>
      </w:r>
      <w:r>
        <w:rPr>
          <w:rFonts w:hint="eastAsia" w:ascii="宋体" w:hAnsi="宋体" w:eastAsia="宋体" w:cs="宋体"/>
          <w:snapToGrid w:val="0"/>
          <w:color w:val="auto"/>
          <w:sz w:val="22"/>
          <w:szCs w:val="22"/>
          <w:highlight w:val="none"/>
        </w:rPr>
        <w:t>　</w:t>
      </w:r>
    </w:p>
    <w:p w14:paraId="1C90F9D7">
      <w:pPr>
        <w:pStyle w:val="49"/>
        <w:spacing w:before="0" w:beforeAutospacing="0" w:after="0" w:afterAutospacing="0" w:line="420" w:lineRule="exact"/>
        <w:ind w:firstLine="330"/>
        <w:rPr>
          <w:rFonts w:ascii="Times New Roman" w:hAnsi="Times New Roman"/>
          <w:color w:val="auto"/>
          <w:highlight w:val="none"/>
        </w:rPr>
      </w:pPr>
      <w:r>
        <w:rPr>
          <w:rFonts w:ascii="Times New Roman" w:hAnsi="Times New Roman"/>
          <w:color w:val="auto"/>
          <w:sz w:val="22"/>
          <w:szCs w:val="22"/>
          <w:highlight w:val="none"/>
        </w:rPr>
        <w:t>　　</w:t>
      </w:r>
      <w:r>
        <w:rPr>
          <w:rFonts w:ascii="Times New Roman" w:hAnsi="Times New Roman"/>
          <w:color w:val="auto"/>
          <w:sz w:val="25"/>
          <w:szCs w:val="25"/>
          <w:highlight w:val="none"/>
        </w:rPr>
        <w:t>　　　　　　　　</w:t>
      </w:r>
    </w:p>
    <w:p w14:paraId="412284AF">
      <w:pPr>
        <w:pStyle w:val="5"/>
        <w:spacing w:before="0" w:after="0" w:line="240" w:lineRule="auto"/>
        <w:jc w:val="center"/>
        <w:rPr>
          <w:color w:val="auto"/>
          <w:sz w:val="32"/>
          <w:highlight w:val="none"/>
        </w:rPr>
        <w:sectPr>
          <w:headerReference r:id="rId6" w:type="first"/>
          <w:footerReference r:id="rId8" w:type="first"/>
          <w:footerReference r:id="rId7" w:type="default"/>
          <w:pgSz w:w="11906" w:h="16838"/>
          <w:pgMar w:top="1247" w:right="1361" w:bottom="1247" w:left="1417" w:header="851" w:footer="992" w:gutter="0"/>
          <w:pgBorders>
            <w:top w:val="none" w:sz="0" w:space="0"/>
            <w:left w:val="none" w:sz="0" w:space="0"/>
            <w:bottom w:val="none" w:sz="0" w:space="0"/>
            <w:right w:val="none" w:sz="0" w:space="0"/>
          </w:pgBorders>
          <w:pgNumType w:fmt="numberInDash" w:start="1"/>
          <w:cols w:space="720" w:num="1"/>
          <w:titlePg/>
          <w:rtlGutter w:val="1"/>
        </w:sectPr>
      </w:pPr>
    </w:p>
    <w:p w14:paraId="73ED36F5">
      <w:pPr>
        <w:pStyle w:val="5"/>
        <w:spacing w:before="0" w:after="0" w:line="240" w:lineRule="auto"/>
        <w:jc w:val="center"/>
        <w:rPr>
          <w:color w:val="auto"/>
          <w:sz w:val="32"/>
          <w:highlight w:val="none"/>
        </w:rPr>
      </w:pPr>
      <w:bookmarkStart w:id="3" w:name="_Toc13673"/>
      <w:r>
        <w:rPr>
          <w:color w:val="auto"/>
          <w:sz w:val="32"/>
          <w:highlight w:val="none"/>
        </w:rPr>
        <w:t>第二章　投标须知和投标须知前附表</w:t>
      </w:r>
      <w:bookmarkEnd w:id="3"/>
    </w:p>
    <w:p w14:paraId="57620D98">
      <w:pPr>
        <w:spacing w:line="360" w:lineRule="auto"/>
        <w:ind w:firstLine="562"/>
        <w:jc w:val="center"/>
        <w:rPr>
          <w:b/>
          <w:color w:val="auto"/>
          <w:kern w:val="1"/>
          <w:sz w:val="28"/>
          <w:highlight w:val="none"/>
        </w:rPr>
      </w:pPr>
      <w:r>
        <w:rPr>
          <w:b/>
          <w:color w:val="auto"/>
          <w:kern w:val="1"/>
          <w:sz w:val="28"/>
          <w:highlight w:val="none"/>
        </w:rPr>
        <w:t>投标须知前附表</w:t>
      </w:r>
    </w:p>
    <w:tbl>
      <w:tblPr>
        <w:tblStyle w:val="53"/>
        <w:tblW w:w="9655" w:type="dxa"/>
        <w:jc w:val="center"/>
        <w:tblLayout w:type="fixed"/>
        <w:tblCellMar>
          <w:top w:w="0" w:type="dxa"/>
          <w:left w:w="108" w:type="dxa"/>
          <w:bottom w:w="0" w:type="dxa"/>
          <w:right w:w="108" w:type="dxa"/>
        </w:tblCellMar>
      </w:tblPr>
      <w:tblGrid>
        <w:gridCol w:w="669"/>
        <w:gridCol w:w="1540"/>
        <w:gridCol w:w="7446"/>
      </w:tblGrid>
      <w:tr w14:paraId="09C88F69">
        <w:tblPrEx>
          <w:tblCellMar>
            <w:top w:w="0" w:type="dxa"/>
            <w:left w:w="108" w:type="dxa"/>
            <w:bottom w:w="0" w:type="dxa"/>
            <w:right w:w="108" w:type="dxa"/>
          </w:tblCellMar>
        </w:tblPrEx>
        <w:trPr>
          <w:trHeight w:val="564" w:hRule="exact"/>
          <w:jc w:val="center"/>
        </w:trPr>
        <w:tc>
          <w:tcPr>
            <w:tcW w:w="669" w:type="dxa"/>
            <w:tcBorders>
              <w:top w:val="single" w:color="000000" w:sz="4" w:space="0"/>
              <w:left w:val="single" w:color="000000" w:sz="4" w:space="0"/>
              <w:bottom w:val="single" w:color="000000" w:sz="4" w:space="0"/>
              <w:right w:val="single" w:color="000000" w:sz="4" w:space="0"/>
            </w:tcBorders>
            <w:noWrap w:val="0"/>
            <w:vAlign w:val="center"/>
          </w:tcPr>
          <w:p w14:paraId="74E1694A">
            <w:pPr>
              <w:jc w:val="center"/>
              <w:rPr>
                <w:rFonts w:hint="eastAsia" w:ascii="宋体" w:hAnsi="宋体" w:eastAsia="宋体" w:cs="宋体"/>
                <w:b/>
                <w:color w:val="auto"/>
                <w:spacing w:val="0"/>
                <w:kern w:val="1"/>
                <w:sz w:val="22"/>
                <w:szCs w:val="22"/>
                <w:highlight w:val="none"/>
              </w:rPr>
            </w:pPr>
            <w:r>
              <w:rPr>
                <w:rFonts w:hint="eastAsia" w:ascii="宋体" w:hAnsi="宋体" w:eastAsia="宋体" w:cs="宋体"/>
                <w:b/>
                <w:color w:val="auto"/>
                <w:spacing w:val="0"/>
                <w:kern w:val="1"/>
                <w:sz w:val="22"/>
                <w:szCs w:val="22"/>
                <w:highlight w:val="none"/>
              </w:rPr>
              <w:t>序号</w:t>
            </w:r>
          </w:p>
        </w:tc>
        <w:tc>
          <w:tcPr>
            <w:tcW w:w="8986" w:type="dxa"/>
            <w:gridSpan w:val="2"/>
            <w:tcBorders>
              <w:top w:val="single" w:color="000000" w:sz="4" w:space="0"/>
              <w:left w:val="single" w:color="000000" w:sz="4" w:space="0"/>
              <w:bottom w:val="single" w:color="000000" w:sz="4" w:space="0"/>
              <w:right w:val="single" w:color="000000" w:sz="4" w:space="0"/>
            </w:tcBorders>
            <w:noWrap w:val="0"/>
            <w:vAlign w:val="center"/>
          </w:tcPr>
          <w:p w14:paraId="69D70B36">
            <w:pPr>
              <w:jc w:val="center"/>
              <w:rPr>
                <w:rFonts w:hint="eastAsia" w:ascii="宋体" w:hAnsi="宋体" w:eastAsia="宋体" w:cs="宋体"/>
                <w:b/>
                <w:color w:val="auto"/>
                <w:spacing w:val="0"/>
                <w:kern w:val="1"/>
                <w:sz w:val="22"/>
                <w:szCs w:val="22"/>
                <w:highlight w:val="none"/>
              </w:rPr>
            </w:pPr>
            <w:r>
              <w:rPr>
                <w:rFonts w:hint="eastAsia" w:ascii="宋体" w:hAnsi="宋体" w:eastAsia="宋体" w:cs="宋体"/>
                <w:b/>
                <w:color w:val="auto"/>
                <w:spacing w:val="0"/>
                <w:kern w:val="1"/>
                <w:sz w:val="22"/>
                <w:szCs w:val="22"/>
                <w:highlight w:val="none"/>
              </w:rPr>
              <w:t>内容规定</w:t>
            </w:r>
          </w:p>
        </w:tc>
      </w:tr>
      <w:tr w14:paraId="69425A22">
        <w:tblPrEx>
          <w:tblCellMar>
            <w:top w:w="0" w:type="dxa"/>
            <w:left w:w="108" w:type="dxa"/>
            <w:bottom w:w="0" w:type="dxa"/>
            <w:right w:w="108" w:type="dxa"/>
          </w:tblCellMar>
        </w:tblPrEx>
        <w:trPr>
          <w:trHeight w:val="957" w:hRule="atLeast"/>
          <w:jc w:val="center"/>
        </w:trPr>
        <w:tc>
          <w:tcPr>
            <w:tcW w:w="669" w:type="dxa"/>
            <w:tcBorders>
              <w:top w:val="single" w:color="000000" w:sz="4" w:space="0"/>
              <w:left w:val="single" w:color="000000" w:sz="4" w:space="0"/>
              <w:bottom w:val="single" w:color="000000" w:sz="4" w:space="0"/>
              <w:right w:val="single" w:color="000000" w:sz="4" w:space="0"/>
            </w:tcBorders>
            <w:noWrap w:val="0"/>
            <w:vAlign w:val="center"/>
          </w:tcPr>
          <w:p w14:paraId="14AB73F0">
            <w:pPr>
              <w:ind w:firstLine="210"/>
              <w:rPr>
                <w:rFonts w:hint="eastAsia" w:ascii="宋体" w:hAnsi="宋体" w:eastAsia="宋体" w:cs="宋体"/>
                <w:color w:val="auto"/>
                <w:spacing w:val="0"/>
                <w:kern w:val="1"/>
                <w:sz w:val="22"/>
                <w:szCs w:val="22"/>
                <w:highlight w:val="none"/>
              </w:rPr>
            </w:pPr>
            <w:r>
              <w:rPr>
                <w:rFonts w:hint="eastAsia" w:ascii="宋体" w:hAnsi="宋体" w:eastAsia="宋体" w:cs="宋体"/>
                <w:color w:val="auto"/>
                <w:spacing w:val="0"/>
                <w:kern w:val="1"/>
                <w:sz w:val="22"/>
                <w:szCs w:val="22"/>
                <w:highlight w:val="none"/>
              </w:rPr>
              <w:t>1</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14:paraId="67C9E04A">
            <w:pPr>
              <w:jc w:val="center"/>
              <w:rPr>
                <w:rFonts w:hint="eastAsia" w:ascii="宋体" w:hAnsi="宋体" w:eastAsia="宋体" w:cs="宋体"/>
                <w:color w:val="auto"/>
                <w:spacing w:val="0"/>
                <w:kern w:val="1"/>
                <w:sz w:val="22"/>
                <w:szCs w:val="22"/>
                <w:highlight w:val="none"/>
              </w:rPr>
            </w:pPr>
            <w:r>
              <w:rPr>
                <w:rFonts w:hint="eastAsia" w:ascii="宋体" w:hAnsi="宋体" w:eastAsia="宋体" w:cs="宋体"/>
                <w:color w:val="auto"/>
                <w:spacing w:val="0"/>
                <w:kern w:val="1"/>
                <w:sz w:val="22"/>
                <w:szCs w:val="22"/>
                <w:highlight w:val="none"/>
              </w:rPr>
              <w:t>项目综合</w:t>
            </w:r>
          </w:p>
          <w:p w14:paraId="54083C1A">
            <w:pPr>
              <w:jc w:val="center"/>
              <w:rPr>
                <w:rFonts w:hint="eastAsia" w:ascii="宋体" w:hAnsi="宋体" w:eastAsia="宋体" w:cs="宋体"/>
                <w:color w:val="auto"/>
                <w:spacing w:val="0"/>
                <w:kern w:val="1"/>
                <w:sz w:val="22"/>
                <w:szCs w:val="22"/>
                <w:highlight w:val="none"/>
              </w:rPr>
            </w:pPr>
            <w:r>
              <w:rPr>
                <w:rFonts w:hint="eastAsia" w:ascii="宋体" w:hAnsi="宋体" w:eastAsia="宋体" w:cs="宋体"/>
                <w:color w:val="auto"/>
                <w:spacing w:val="0"/>
                <w:kern w:val="1"/>
                <w:sz w:val="22"/>
                <w:szCs w:val="22"/>
                <w:highlight w:val="none"/>
              </w:rPr>
              <w:t>说明</w:t>
            </w:r>
          </w:p>
        </w:tc>
        <w:tc>
          <w:tcPr>
            <w:tcW w:w="7446" w:type="dxa"/>
            <w:tcBorders>
              <w:top w:val="single" w:color="000000" w:sz="4" w:space="0"/>
              <w:left w:val="single" w:color="000000" w:sz="4" w:space="0"/>
              <w:bottom w:val="single" w:color="000000" w:sz="4" w:space="0"/>
              <w:right w:val="single" w:color="000000" w:sz="4" w:space="0"/>
            </w:tcBorders>
            <w:noWrap w:val="0"/>
            <w:vAlign w:val="center"/>
          </w:tcPr>
          <w:p w14:paraId="2EB9B2FB">
            <w:pPr>
              <w:rPr>
                <w:rFonts w:hint="eastAsia" w:ascii="宋体" w:hAnsi="宋体" w:eastAsia="宋体" w:cs="宋体"/>
                <w:bCs/>
                <w:color w:val="auto"/>
                <w:spacing w:val="0"/>
                <w:kern w:val="1"/>
                <w:sz w:val="22"/>
                <w:szCs w:val="22"/>
                <w:highlight w:val="none"/>
              </w:rPr>
            </w:pPr>
            <w:r>
              <w:rPr>
                <w:rFonts w:hint="eastAsia" w:ascii="宋体" w:hAnsi="宋体" w:eastAsia="宋体" w:cs="宋体"/>
                <w:bCs/>
                <w:color w:val="auto"/>
                <w:spacing w:val="0"/>
                <w:kern w:val="1"/>
                <w:sz w:val="22"/>
                <w:szCs w:val="22"/>
                <w:highlight w:val="none"/>
              </w:rPr>
              <w:t>项目名称：</w:t>
            </w:r>
            <w:r>
              <w:rPr>
                <w:rFonts w:hint="eastAsia" w:ascii="宋体" w:hAnsi="宋体" w:cs="宋体"/>
                <w:bCs/>
                <w:color w:val="auto"/>
                <w:spacing w:val="0"/>
                <w:kern w:val="1"/>
                <w:sz w:val="22"/>
                <w:szCs w:val="22"/>
                <w:highlight w:val="none"/>
                <w:lang w:eastAsia="zh-CN"/>
              </w:rPr>
              <w:t>2025年度义乌市社会治理中心调处工作服务项目</w:t>
            </w:r>
          </w:p>
          <w:p w14:paraId="360AB25F">
            <w:pPr>
              <w:rPr>
                <w:rFonts w:hint="eastAsia" w:ascii="宋体" w:hAnsi="宋体" w:eastAsia="宋体" w:cs="宋体"/>
                <w:b/>
                <w:color w:val="auto"/>
                <w:spacing w:val="0"/>
                <w:kern w:val="1"/>
                <w:sz w:val="22"/>
                <w:szCs w:val="22"/>
                <w:highlight w:val="none"/>
              </w:rPr>
            </w:pPr>
            <w:r>
              <w:rPr>
                <w:rFonts w:hint="eastAsia" w:ascii="宋体" w:hAnsi="宋体" w:eastAsia="宋体" w:cs="宋体"/>
                <w:bCs/>
                <w:color w:val="auto"/>
                <w:spacing w:val="0"/>
                <w:kern w:val="1"/>
                <w:sz w:val="22"/>
                <w:szCs w:val="22"/>
                <w:highlight w:val="none"/>
              </w:rPr>
              <w:t>采购内容及数量：具体内容及要求详见第三章“招标项目要求”。</w:t>
            </w:r>
          </w:p>
        </w:tc>
      </w:tr>
      <w:tr w14:paraId="3601DDE8">
        <w:tblPrEx>
          <w:tblCellMar>
            <w:top w:w="0" w:type="dxa"/>
            <w:left w:w="108" w:type="dxa"/>
            <w:bottom w:w="0" w:type="dxa"/>
            <w:right w:w="108" w:type="dxa"/>
          </w:tblCellMar>
        </w:tblPrEx>
        <w:trPr>
          <w:trHeight w:val="558" w:hRule="exact"/>
          <w:jc w:val="center"/>
        </w:trPr>
        <w:tc>
          <w:tcPr>
            <w:tcW w:w="669" w:type="dxa"/>
            <w:tcBorders>
              <w:top w:val="single" w:color="000000" w:sz="4" w:space="0"/>
              <w:left w:val="single" w:color="000000" w:sz="4" w:space="0"/>
              <w:bottom w:val="single" w:color="000000" w:sz="4" w:space="0"/>
              <w:right w:val="single" w:color="000000" w:sz="4" w:space="0"/>
            </w:tcBorders>
            <w:noWrap w:val="0"/>
            <w:vAlign w:val="center"/>
          </w:tcPr>
          <w:p w14:paraId="5AFF1D6E">
            <w:pPr>
              <w:jc w:val="center"/>
              <w:rPr>
                <w:rFonts w:hint="eastAsia" w:ascii="宋体" w:hAnsi="宋体" w:eastAsia="宋体" w:cs="宋体"/>
                <w:color w:val="auto"/>
                <w:spacing w:val="0"/>
                <w:kern w:val="1"/>
                <w:sz w:val="22"/>
                <w:szCs w:val="22"/>
                <w:highlight w:val="none"/>
              </w:rPr>
            </w:pPr>
            <w:r>
              <w:rPr>
                <w:rFonts w:hint="eastAsia" w:ascii="宋体" w:hAnsi="宋体" w:eastAsia="宋体" w:cs="宋体"/>
                <w:color w:val="auto"/>
                <w:spacing w:val="0"/>
                <w:kern w:val="1"/>
                <w:sz w:val="22"/>
                <w:szCs w:val="22"/>
                <w:highlight w:val="none"/>
              </w:rPr>
              <w:t>2</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14:paraId="0D6C1452">
            <w:pPr>
              <w:jc w:val="center"/>
              <w:rPr>
                <w:rFonts w:hint="eastAsia" w:ascii="宋体" w:hAnsi="宋体" w:eastAsia="宋体" w:cs="宋体"/>
                <w:color w:val="auto"/>
                <w:spacing w:val="0"/>
                <w:kern w:val="1"/>
                <w:sz w:val="22"/>
                <w:szCs w:val="22"/>
                <w:highlight w:val="none"/>
              </w:rPr>
            </w:pPr>
            <w:r>
              <w:rPr>
                <w:rFonts w:hint="eastAsia" w:ascii="宋体" w:hAnsi="宋体" w:eastAsia="宋体" w:cs="宋体"/>
                <w:color w:val="auto"/>
                <w:spacing w:val="0"/>
                <w:kern w:val="1"/>
                <w:sz w:val="22"/>
                <w:szCs w:val="22"/>
                <w:highlight w:val="none"/>
              </w:rPr>
              <w:t>招标方式</w:t>
            </w:r>
          </w:p>
        </w:tc>
        <w:tc>
          <w:tcPr>
            <w:tcW w:w="7446" w:type="dxa"/>
            <w:tcBorders>
              <w:top w:val="single" w:color="000000" w:sz="4" w:space="0"/>
              <w:left w:val="single" w:color="000000" w:sz="4" w:space="0"/>
              <w:bottom w:val="single" w:color="000000" w:sz="4" w:space="0"/>
              <w:right w:val="single" w:color="000000" w:sz="4" w:space="0"/>
            </w:tcBorders>
            <w:noWrap w:val="0"/>
            <w:vAlign w:val="center"/>
          </w:tcPr>
          <w:p w14:paraId="68298724">
            <w:pPr>
              <w:rPr>
                <w:rFonts w:hint="eastAsia" w:ascii="宋体" w:hAnsi="宋体" w:eastAsia="宋体" w:cs="宋体"/>
                <w:color w:val="auto"/>
                <w:spacing w:val="0"/>
                <w:kern w:val="1"/>
                <w:sz w:val="22"/>
                <w:szCs w:val="22"/>
                <w:highlight w:val="none"/>
              </w:rPr>
            </w:pPr>
            <w:r>
              <w:rPr>
                <w:rFonts w:hint="eastAsia" w:ascii="宋体" w:hAnsi="宋体" w:eastAsia="宋体" w:cs="宋体"/>
                <w:color w:val="auto"/>
                <w:spacing w:val="0"/>
                <w:kern w:val="1"/>
                <w:sz w:val="22"/>
                <w:szCs w:val="22"/>
                <w:highlight w:val="none"/>
              </w:rPr>
              <w:t>公开招标</w:t>
            </w:r>
          </w:p>
        </w:tc>
      </w:tr>
      <w:tr w14:paraId="71E2CDBE">
        <w:tblPrEx>
          <w:tblCellMar>
            <w:top w:w="0" w:type="dxa"/>
            <w:left w:w="108" w:type="dxa"/>
            <w:bottom w:w="0" w:type="dxa"/>
            <w:right w:w="108" w:type="dxa"/>
          </w:tblCellMar>
        </w:tblPrEx>
        <w:trPr>
          <w:trHeight w:val="1116" w:hRule="exact"/>
          <w:jc w:val="center"/>
        </w:trPr>
        <w:tc>
          <w:tcPr>
            <w:tcW w:w="669" w:type="dxa"/>
            <w:tcBorders>
              <w:top w:val="single" w:color="000000" w:sz="4" w:space="0"/>
              <w:left w:val="single" w:color="000000" w:sz="4" w:space="0"/>
              <w:bottom w:val="single" w:color="000000" w:sz="4" w:space="0"/>
              <w:right w:val="single" w:color="000000" w:sz="4" w:space="0"/>
            </w:tcBorders>
            <w:noWrap w:val="0"/>
            <w:vAlign w:val="center"/>
          </w:tcPr>
          <w:p w14:paraId="6F292F8F">
            <w:pPr>
              <w:jc w:val="center"/>
              <w:rPr>
                <w:rFonts w:hint="eastAsia" w:ascii="宋体" w:hAnsi="宋体" w:eastAsia="宋体" w:cs="宋体"/>
                <w:color w:val="auto"/>
                <w:spacing w:val="0"/>
                <w:kern w:val="1"/>
                <w:sz w:val="22"/>
                <w:szCs w:val="22"/>
                <w:highlight w:val="none"/>
              </w:rPr>
            </w:pPr>
            <w:r>
              <w:rPr>
                <w:rFonts w:hint="eastAsia" w:ascii="宋体" w:hAnsi="宋体" w:eastAsia="宋体" w:cs="宋体"/>
                <w:color w:val="auto"/>
                <w:spacing w:val="0"/>
                <w:kern w:val="1"/>
                <w:sz w:val="22"/>
                <w:szCs w:val="22"/>
                <w:highlight w:val="none"/>
              </w:rPr>
              <w:t>3</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14:paraId="39699CBB">
            <w:pPr>
              <w:jc w:val="center"/>
              <w:rPr>
                <w:rFonts w:hint="eastAsia" w:ascii="宋体" w:hAnsi="宋体" w:eastAsia="宋体" w:cs="宋体"/>
                <w:color w:val="auto"/>
                <w:spacing w:val="0"/>
                <w:kern w:val="1"/>
                <w:sz w:val="22"/>
                <w:szCs w:val="22"/>
                <w:highlight w:val="none"/>
              </w:rPr>
            </w:pPr>
            <w:r>
              <w:rPr>
                <w:rFonts w:hint="eastAsia" w:ascii="宋体" w:hAnsi="宋体" w:eastAsia="宋体" w:cs="宋体"/>
                <w:color w:val="auto"/>
                <w:spacing w:val="0"/>
                <w:kern w:val="1"/>
                <w:sz w:val="22"/>
                <w:szCs w:val="22"/>
                <w:highlight w:val="none"/>
              </w:rPr>
              <w:t>服务期限</w:t>
            </w:r>
          </w:p>
        </w:tc>
        <w:tc>
          <w:tcPr>
            <w:tcW w:w="7446" w:type="dxa"/>
            <w:tcBorders>
              <w:top w:val="single" w:color="000000" w:sz="4" w:space="0"/>
              <w:left w:val="single" w:color="000000" w:sz="4" w:space="0"/>
              <w:bottom w:val="single" w:color="000000" w:sz="4" w:space="0"/>
              <w:right w:val="single" w:color="000000" w:sz="4" w:space="0"/>
            </w:tcBorders>
            <w:noWrap w:val="0"/>
            <w:vAlign w:val="center"/>
          </w:tcPr>
          <w:p w14:paraId="64355E51">
            <w:pPr>
              <w:rPr>
                <w:rFonts w:hint="eastAsia" w:ascii="宋体" w:hAnsi="宋体" w:eastAsia="宋体" w:cs="宋体"/>
                <w:color w:val="auto"/>
                <w:spacing w:val="0"/>
                <w:kern w:val="1"/>
                <w:sz w:val="22"/>
                <w:szCs w:val="22"/>
                <w:highlight w:val="none"/>
                <w:lang w:eastAsia="zh-CN"/>
              </w:rPr>
            </w:pPr>
            <w:r>
              <w:rPr>
                <w:rFonts w:hint="eastAsia" w:ascii="宋体" w:hAnsi="宋体" w:eastAsia="宋体" w:cs="宋体"/>
                <w:color w:val="auto"/>
                <w:sz w:val="22"/>
                <w:szCs w:val="22"/>
                <w:highlight w:val="none"/>
              </w:rPr>
              <w:t>1年，1年服务合同期满后，采购人考核结果的综合评分高于80分的</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不含80分</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，经双方协商一致，续签1年合同，续签合同的</w:t>
            </w:r>
            <w:r>
              <w:rPr>
                <w:rFonts w:hint="eastAsia" w:ascii="宋体" w:hAnsi="宋体" w:eastAsia="宋体" w:cs="宋体"/>
                <w:color w:val="auto"/>
                <w:sz w:val="22"/>
                <w:szCs w:val="22"/>
                <w:highlight w:val="none"/>
                <w:lang w:val="en-US" w:eastAsia="zh-CN"/>
              </w:rPr>
              <w:t>合同</w:t>
            </w:r>
            <w:r>
              <w:rPr>
                <w:rFonts w:hint="eastAsia" w:ascii="宋体" w:hAnsi="宋体" w:eastAsia="宋体" w:cs="宋体"/>
                <w:color w:val="auto"/>
                <w:sz w:val="22"/>
                <w:szCs w:val="22"/>
                <w:highlight w:val="none"/>
              </w:rPr>
              <w:t>内容</w:t>
            </w:r>
            <w:r>
              <w:rPr>
                <w:rFonts w:hint="eastAsia" w:ascii="宋体" w:hAnsi="宋体" w:eastAsia="宋体" w:cs="宋体"/>
                <w:color w:val="auto"/>
                <w:sz w:val="22"/>
                <w:szCs w:val="22"/>
                <w:highlight w:val="none"/>
                <w:lang w:val="en-US" w:eastAsia="zh-CN"/>
              </w:rPr>
              <w:t>及合同单价</w:t>
            </w:r>
            <w:r>
              <w:rPr>
                <w:rFonts w:hint="eastAsia" w:ascii="宋体" w:hAnsi="宋体" w:eastAsia="宋体" w:cs="宋体"/>
                <w:color w:val="auto"/>
                <w:sz w:val="22"/>
                <w:szCs w:val="22"/>
                <w:highlight w:val="none"/>
              </w:rPr>
              <w:t>不变且合同金额不得超过本次</w:t>
            </w:r>
            <w:r>
              <w:rPr>
                <w:rFonts w:hint="eastAsia" w:ascii="宋体" w:hAnsi="宋体" w:eastAsia="宋体" w:cs="宋体"/>
                <w:color w:val="auto"/>
                <w:sz w:val="22"/>
                <w:szCs w:val="22"/>
                <w:highlight w:val="none"/>
                <w:lang w:val="en-US" w:eastAsia="zh-CN"/>
              </w:rPr>
              <w:t>招标</w:t>
            </w:r>
            <w:r>
              <w:rPr>
                <w:rFonts w:hint="eastAsia" w:ascii="宋体" w:hAnsi="宋体" w:eastAsia="宋体" w:cs="宋体"/>
                <w:color w:val="auto"/>
                <w:sz w:val="22"/>
                <w:szCs w:val="22"/>
                <w:highlight w:val="none"/>
              </w:rPr>
              <w:t>的</w:t>
            </w:r>
            <w:r>
              <w:rPr>
                <w:rFonts w:hint="eastAsia" w:ascii="宋体" w:hAnsi="宋体" w:eastAsia="宋体" w:cs="宋体"/>
                <w:color w:val="auto"/>
                <w:sz w:val="22"/>
                <w:szCs w:val="22"/>
                <w:highlight w:val="none"/>
                <w:lang w:val="en-US" w:eastAsia="zh-CN"/>
              </w:rPr>
              <w:t>预算</w:t>
            </w:r>
            <w:r>
              <w:rPr>
                <w:rFonts w:hint="eastAsia" w:ascii="宋体" w:hAnsi="宋体" w:eastAsia="宋体" w:cs="宋体"/>
                <w:color w:val="auto"/>
                <w:sz w:val="22"/>
                <w:szCs w:val="22"/>
                <w:highlight w:val="none"/>
              </w:rPr>
              <w:t>金额，续签次数不得超过两次</w:t>
            </w:r>
            <w:r>
              <w:rPr>
                <w:rFonts w:hint="eastAsia" w:ascii="宋体" w:hAnsi="宋体" w:eastAsia="宋体" w:cs="宋体"/>
                <w:color w:val="auto"/>
                <w:sz w:val="22"/>
                <w:szCs w:val="22"/>
                <w:highlight w:val="none"/>
                <w:lang w:eastAsia="zh-CN"/>
              </w:rPr>
              <w:t>。</w:t>
            </w:r>
          </w:p>
        </w:tc>
      </w:tr>
      <w:tr w14:paraId="257D5AC7">
        <w:tblPrEx>
          <w:tblCellMar>
            <w:top w:w="0" w:type="dxa"/>
            <w:left w:w="108" w:type="dxa"/>
            <w:bottom w:w="0" w:type="dxa"/>
            <w:right w:w="108" w:type="dxa"/>
          </w:tblCellMar>
        </w:tblPrEx>
        <w:trPr>
          <w:trHeight w:val="653" w:hRule="exact"/>
          <w:jc w:val="center"/>
        </w:trPr>
        <w:tc>
          <w:tcPr>
            <w:tcW w:w="669" w:type="dxa"/>
            <w:tcBorders>
              <w:top w:val="single" w:color="000000" w:sz="4" w:space="0"/>
              <w:left w:val="single" w:color="000000" w:sz="4" w:space="0"/>
              <w:bottom w:val="single" w:color="000000" w:sz="4" w:space="0"/>
              <w:right w:val="single" w:color="000000" w:sz="4" w:space="0"/>
            </w:tcBorders>
            <w:noWrap w:val="0"/>
            <w:vAlign w:val="center"/>
          </w:tcPr>
          <w:p w14:paraId="5FFF1B7E">
            <w:pPr>
              <w:jc w:val="center"/>
              <w:rPr>
                <w:rFonts w:hint="eastAsia" w:ascii="宋体" w:hAnsi="宋体" w:eastAsia="宋体" w:cs="宋体"/>
                <w:color w:val="auto"/>
                <w:spacing w:val="0"/>
                <w:kern w:val="1"/>
                <w:sz w:val="22"/>
                <w:szCs w:val="22"/>
                <w:highlight w:val="none"/>
              </w:rPr>
            </w:pPr>
            <w:r>
              <w:rPr>
                <w:rFonts w:hint="eastAsia" w:ascii="宋体" w:hAnsi="宋体" w:eastAsia="宋体" w:cs="宋体"/>
                <w:color w:val="auto"/>
                <w:spacing w:val="0"/>
                <w:kern w:val="1"/>
                <w:sz w:val="22"/>
                <w:szCs w:val="22"/>
                <w:highlight w:val="none"/>
              </w:rPr>
              <w:t>4</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14:paraId="299E852B">
            <w:pPr>
              <w:jc w:val="center"/>
              <w:rPr>
                <w:rFonts w:hint="eastAsia" w:ascii="宋体" w:hAnsi="宋体" w:eastAsia="宋体" w:cs="宋体"/>
                <w:color w:val="auto"/>
                <w:spacing w:val="0"/>
                <w:kern w:val="1"/>
                <w:sz w:val="22"/>
                <w:szCs w:val="22"/>
                <w:highlight w:val="none"/>
              </w:rPr>
            </w:pPr>
            <w:r>
              <w:rPr>
                <w:rFonts w:hint="eastAsia" w:ascii="宋体" w:hAnsi="宋体" w:eastAsia="宋体" w:cs="宋体"/>
                <w:color w:val="auto"/>
                <w:spacing w:val="0"/>
                <w:kern w:val="1"/>
                <w:sz w:val="22"/>
                <w:szCs w:val="22"/>
                <w:highlight w:val="none"/>
              </w:rPr>
              <w:t>投标人资格要求</w:t>
            </w:r>
          </w:p>
        </w:tc>
        <w:tc>
          <w:tcPr>
            <w:tcW w:w="7446" w:type="dxa"/>
            <w:tcBorders>
              <w:top w:val="single" w:color="000000" w:sz="4" w:space="0"/>
              <w:left w:val="single" w:color="000000" w:sz="4" w:space="0"/>
              <w:bottom w:val="single" w:color="000000" w:sz="4" w:space="0"/>
              <w:right w:val="single" w:color="000000" w:sz="4" w:space="0"/>
            </w:tcBorders>
            <w:noWrap w:val="0"/>
            <w:vAlign w:val="center"/>
          </w:tcPr>
          <w:p w14:paraId="599BEC71">
            <w:pPr>
              <w:rPr>
                <w:rFonts w:hint="eastAsia" w:ascii="宋体" w:hAnsi="宋体" w:eastAsia="宋体" w:cs="宋体"/>
                <w:color w:val="auto"/>
                <w:spacing w:val="0"/>
                <w:kern w:val="1"/>
                <w:sz w:val="22"/>
                <w:szCs w:val="22"/>
                <w:highlight w:val="none"/>
              </w:rPr>
            </w:pPr>
            <w:r>
              <w:rPr>
                <w:rFonts w:hint="eastAsia" w:ascii="宋体" w:hAnsi="宋体" w:eastAsia="宋体" w:cs="宋体"/>
                <w:color w:val="auto"/>
                <w:spacing w:val="0"/>
                <w:sz w:val="22"/>
                <w:szCs w:val="22"/>
                <w:highlight w:val="none"/>
              </w:rPr>
              <w:t>详见招标公告</w:t>
            </w:r>
          </w:p>
        </w:tc>
      </w:tr>
      <w:tr w14:paraId="652A2CBC">
        <w:tblPrEx>
          <w:tblCellMar>
            <w:top w:w="0" w:type="dxa"/>
            <w:left w:w="108" w:type="dxa"/>
            <w:bottom w:w="0" w:type="dxa"/>
            <w:right w:w="108" w:type="dxa"/>
          </w:tblCellMar>
        </w:tblPrEx>
        <w:trPr>
          <w:trHeight w:val="638" w:hRule="exact"/>
          <w:jc w:val="center"/>
        </w:trPr>
        <w:tc>
          <w:tcPr>
            <w:tcW w:w="669" w:type="dxa"/>
            <w:tcBorders>
              <w:top w:val="single" w:color="000000" w:sz="4" w:space="0"/>
              <w:left w:val="single" w:color="000000" w:sz="4" w:space="0"/>
              <w:bottom w:val="single" w:color="000000" w:sz="4" w:space="0"/>
              <w:right w:val="single" w:color="000000" w:sz="4" w:space="0"/>
            </w:tcBorders>
            <w:noWrap w:val="0"/>
            <w:vAlign w:val="center"/>
          </w:tcPr>
          <w:p w14:paraId="345A14CF">
            <w:pPr>
              <w:jc w:val="center"/>
              <w:rPr>
                <w:rFonts w:hint="eastAsia" w:ascii="宋体" w:hAnsi="宋体" w:eastAsia="宋体" w:cs="宋体"/>
                <w:color w:val="auto"/>
                <w:spacing w:val="0"/>
                <w:kern w:val="1"/>
                <w:sz w:val="22"/>
                <w:szCs w:val="22"/>
                <w:highlight w:val="none"/>
              </w:rPr>
            </w:pPr>
            <w:r>
              <w:rPr>
                <w:rFonts w:hint="eastAsia" w:ascii="宋体" w:hAnsi="宋体" w:eastAsia="宋体" w:cs="宋体"/>
                <w:color w:val="auto"/>
                <w:spacing w:val="0"/>
                <w:kern w:val="1"/>
                <w:sz w:val="22"/>
                <w:szCs w:val="22"/>
                <w:highlight w:val="none"/>
              </w:rPr>
              <w:t>5</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14:paraId="4D967FA7">
            <w:pPr>
              <w:jc w:val="center"/>
              <w:rPr>
                <w:rFonts w:hint="eastAsia" w:ascii="宋体" w:hAnsi="宋体" w:eastAsia="宋体" w:cs="宋体"/>
                <w:color w:val="auto"/>
                <w:spacing w:val="0"/>
                <w:kern w:val="1"/>
                <w:sz w:val="22"/>
                <w:szCs w:val="22"/>
                <w:highlight w:val="none"/>
              </w:rPr>
            </w:pPr>
            <w:r>
              <w:rPr>
                <w:rFonts w:hint="eastAsia" w:ascii="宋体" w:hAnsi="宋体" w:eastAsia="宋体" w:cs="宋体"/>
                <w:color w:val="auto"/>
                <w:spacing w:val="0"/>
                <w:kern w:val="1"/>
                <w:sz w:val="22"/>
                <w:szCs w:val="22"/>
                <w:highlight w:val="none"/>
              </w:rPr>
              <w:t>招标文件发售时间和地点</w:t>
            </w:r>
          </w:p>
        </w:tc>
        <w:tc>
          <w:tcPr>
            <w:tcW w:w="7446" w:type="dxa"/>
            <w:tcBorders>
              <w:top w:val="single" w:color="000000" w:sz="4" w:space="0"/>
              <w:left w:val="single" w:color="000000" w:sz="4" w:space="0"/>
              <w:bottom w:val="single" w:color="000000" w:sz="4" w:space="0"/>
              <w:right w:val="single" w:color="000000" w:sz="4" w:space="0"/>
            </w:tcBorders>
            <w:noWrap w:val="0"/>
            <w:vAlign w:val="center"/>
          </w:tcPr>
          <w:p w14:paraId="50E1FC8F">
            <w:pPr>
              <w:rPr>
                <w:rFonts w:hint="eastAsia" w:ascii="宋体" w:hAnsi="宋体" w:eastAsia="宋体" w:cs="宋体"/>
                <w:color w:val="auto"/>
                <w:spacing w:val="0"/>
                <w:kern w:val="1"/>
                <w:sz w:val="22"/>
                <w:szCs w:val="22"/>
                <w:highlight w:val="none"/>
              </w:rPr>
            </w:pPr>
            <w:r>
              <w:rPr>
                <w:rFonts w:hint="eastAsia" w:ascii="宋体" w:hAnsi="宋体" w:eastAsia="宋体" w:cs="宋体"/>
                <w:color w:val="auto"/>
                <w:spacing w:val="0"/>
                <w:kern w:val="1"/>
                <w:sz w:val="22"/>
                <w:szCs w:val="22"/>
                <w:highlight w:val="none"/>
              </w:rPr>
              <w:t>详见招标公告</w:t>
            </w:r>
          </w:p>
        </w:tc>
      </w:tr>
      <w:tr w14:paraId="3DF040D5">
        <w:tblPrEx>
          <w:tblCellMar>
            <w:top w:w="0" w:type="dxa"/>
            <w:left w:w="108" w:type="dxa"/>
            <w:bottom w:w="0" w:type="dxa"/>
            <w:right w:w="108" w:type="dxa"/>
          </w:tblCellMar>
        </w:tblPrEx>
        <w:trPr>
          <w:trHeight w:val="1252" w:hRule="atLeast"/>
          <w:jc w:val="center"/>
        </w:trPr>
        <w:tc>
          <w:tcPr>
            <w:tcW w:w="669" w:type="dxa"/>
            <w:tcBorders>
              <w:top w:val="single" w:color="000000" w:sz="4" w:space="0"/>
              <w:left w:val="single" w:color="000000" w:sz="4" w:space="0"/>
              <w:bottom w:val="single" w:color="000000" w:sz="4" w:space="0"/>
              <w:right w:val="single" w:color="000000" w:sz="4" w:space="0"/>
            </w:tcBorders>
            <w:noWrap w:val="0"/>
            <w:vAlign w:val="center"/>
          </w:tcPr>
          <w:p w14:paraId="633F03E5">
            <w:pPr>
              <w:jc w:val="center"/>
              <w:rPr>
                <w:rFonts w:hint="eastAsia" w:ascii="宋体" w:hAnsi="宋体" w:eastAsia="宋体" w:cs="宋体"/>
                <w:color w:val="auto"/>
                <w:spacing w:val="0"/>
                <w:kern w:val="1"/>
                <w:sz w:val="22"/>
                <w:szCs w:val="22"/>
                <w:highlight w:val="none"/>
              </w:rPr>
            </w:pPr>
            <w:r>
              <w:rPr>
                <w:rFonts w:hint="eastAsia" w:ascii="宋体" w:hAnsi="宋体" w:eastAsia="宋体" w:cs="宋体"/>
                <w:color w:val="auto"/>
                <w:spacing w:val="0"/>
                <w:kern w:val="1"/>
                <w:sz w:val="22"/>
                <w:szCs w:val="22"/>
                <w:highlight w:val="none"/>
              </w:rPr>
              <w:t>6</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14:paraId="61FEADEB">
            <w:pPr>
              <w:jc w:val="center"/>
              <w:rPr>
                <w:rFonts w:hint="eastAsia" w:ascii="宋体" w:hAnsi="宋体" w:eastAsia="宋体" w:cs="宋体"/>
                <w:color w:val="auto"/>
                <w:spacing w:val="0"/>
                <w:kern w:val="1"/>
                <w:sz w:val="22"/>
                <w:szCs w:val="22"/>
                <w:highlight w:val="none"/>
              </w:rPr>
            </w:pPr>
            <w:r>
              <w:rPr>
                <w:rFonts w:hint="eastAsia" w:ascii="宋体" w:hAnsi="宋体" w:eastAsia="宋体" w:cs="宋体"/>
                <w:color w:val="auto"/>
                <w:spacing w:val="0"/>
                <w:kern w:val="1"/>
                <w:sz w:val="22"/>
                <w:szCs w:val="22"/>
                <w:highlight w:val="none"/>
              </w:rPr>
              <w:t>现场踏勘时间</w:t>
            </w:r>
          </w:p>
        </w:tc>
        <w:tc>
          <w:tcPr>
            <w:tcW w:w="7446" w:type="dxa"/>
            <w:tcBorders>
              <w:top w:val="single" w:color="000000" w:sz="4" w:space="0"/>
              <w:left w:val="single" w:color="000000" w:sz="4" w:space="0"/>
              <w:bottom w:val="single" w:color="000000" w:sz="4" w:space="0"/>
              <w:right w:val="single" w:color="000000" w:sz="4" w:space="0"/>
            </w:tcBorders>
            <w:noWrap w:val="0"/>
            <w:vAlign w:val="center"/>
          </w:tcPr>
          <w:p w14:paraId="414170BF">
            <w:pPr>
              <w:rPr>
                <w:rFonts w:hint="eastAsia" w:ascii="宋体" w:hAnsi="宋体" w:eastAsia="宋体" w:cs="宋体"/>
                <w:color w:val="auto"/>
                <w:spacing w:val="0"/>
                <w:kern w:val="1"/>
                <w:sz w:val="22"/>
                <w:szCs w:val="22"/>
                <w:highlight w:val="none"/>
              </w:rPr>
            </w:pPr>
            <w:r>
              <w:rPr>
                <w:rFonts w:hint="eastAsia" w:ascii="宋体" w:hAnsi="宋体" w:eastAsia="宋体" w:cs="宋体"/>
                <w:color w:val="auto"/>
                <w:spacing w:val="0"/>
                <w:kern w:val="1"/>
                <w:sz w:val="22"/>
                <w:szCs w:val="22"/>
                <w:highlight w:val="none"/>
              </w:rPr>
              <w:t>投标前，投标人须自行到项目所在地予以踏勘，对项目实施现场及周边环境等进行勘察，以获取编制投标文件和签署合同所需的所有资料，否则，由此所造成的一切后果由投标人自行承担。踏勘期间，采购人不得留下供应商名称、联系方式等信息。</w:t>
            </w:r>
          </w:p>
        </w:tc>
      </w:tr>
      <w:tr w14:paraId="751461DF">
        <w:tblPrEx>
          <w:tblCellMar>
            <w:top w:w="0" w:type="dxa"/>
            <w:left w:w="108" w:type="dxa"/>
            <w:bottom w:w="0" w:type="dxa"/>
            <w:right w:w="108" w:type="dxa"/>
          </w:tblCellMar>
        </w:tblPrEx>
        <w:trPr>
          <w:trHeight w:val="3314" w:hRule="atLeast"/>
          <w:jc w:val="center"/>
        </w:trPr>
        <w:tc>
          <w:tcPr>
            <w:tcW w:w="669" w:type="dxa"/>
            <w:tcBorders>
              <w:top w:val="single" w:color="000000" w:sz="4" w:space="0"/>
              <w:left w:val="single" w:color="000000" w:sz="4" w:space="0"/>
              <w:bottom w:val="single" w:color="000000" w:sz="4" w:space="0"/>
              <w:right w:val="single" w:color="000000" w:sz="4" w:space="0"/>
            </w:tcBorders>
            <w:noWrap w:val="0"/>
            <w:vAlign w:val="center"/>
          </w:tcPr>
          <w:p w14:paraId="7E9C855D">
            <w:pPr>
              <w:jc w:val="center"/>
              <w:rPr>
                <w:rFonts w:hint="eastAsia" w:ascii="宋体" w:hAnsi="宋体" w:eastAsia="宋体" w:cs="宋体"/>
                <w:color w:val="auto"/>
                <w:spacing w:val="0"/>
                <w:kern w:val="1"/>
                <w:sz w:val="22"/>
                <w:szCs w:val="22"/>
                <w:highlight w:val="none"/>
              </w:rPr>
            </w:pPr>
            <w:r>
              <w:rPr>
                <w:rFonts w:hint="eastAsia" w:ascii="宋体" w:hAnsi="宋体" w:eastAsia="宋体" w:cs="宋体"/>
                <w:color w:val="auto"/>
                <w:spacing w:val="0"/>
                <w:kern w:val="1"/>
                <w:sz w:val="22"/>
                <w:szCs w:val="22"/>
                <w:highlight w:val="none"/>
              </w:rPr>
              <w:t>7</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14:paraId="20FC8633">
            <w:pPr>
              <w:jc w:val="center"/>
              <w:rPr>
                <w:rFonts w:hint="eastAsia" w:ascii="宋体" w:hAnsi="宋体" w:eastAsia="宋体" w:cs="宋体"/>
                <w:color w:val="auto"/>
                <w:spacing w:val="0"/>
                <w:kern w:val="1"/>
                <w:sz w:val="22"/>
                <w:szCs w:val="22"/>
                <w:highlight w:val="none"/>
              </w:rPr>
            </w:pPr>
            <w:r>
              <w:rPr>
                <w:rFonts w:hint="eastAsia" w:ascii="宋体" w:hAnsi="宋体" w:eastAsia="宋体" w:cs="宋体"/>
                <w:color w:val="auto"/>
                <w:spacing w:val="0"/>
                <w:kern w:val="1"/>
                <w:sz w:val="22"/>
                <w:szCs w:val="22"/>
                <w:highlight w:val="none"/>
              </w:rPr>
              <w:t>招标答疑截止时间</w:t>
            </w:r>
          </w:p>
        </w:tc>
        <w:tc>
          <w:tcPr>
            <w:tcW w:w="7446" w:type="dxa"/>
            <w:tcBorders>
              <w:top w:val="single" w:color="000000" w:sz="4" w:space="0"/>
              <w:left w:val="single" w:color="000000" w:sz="4" w:space="0"/>
              <w:bottom w:val="single" w:color="000000" w:sz="4" w:space="0"/>
              <w:right w:val="single" w:color="000000" w:sz="4" w:space="0"/>
            </w:tcBorders>
            <w:noWrap w:val="0"/>
            <w:vAlign w:val="center"/>
          </w:tcPr>
          <w:p w14:paraId="5AB68EED">
            <w:pPr>
              <w:rPr>
                <w:rFonts w:hint="eastAsia" w:ascii="宋体" w:hAnsi="宋体" w:eastAsia="宋体" w:cs="宋体"/>
                <w:color w:val="auto"/>
                <w:spacing w:val="0"/>
                <w:kern w:val="1"/>
                <w:sz w:val="22"/>
                <w:szCs w:val="22"/>
                <w:highlight w:val="none"/>
              </w:rPr>
            </w:pPr>
            <w:r>
              <w:rPr>
                <w:rFonts w:hint="eastAsia" w:ascii="宋体" w:hAnsi="宋体" w:eastAsia="宋体" w:cs="宋体"/>
                <w:color w:val="auto"/>
                <w:spacing w:val="0"/>
                <w:sz w:val="22"/>
                <w:szCs w:val="22"/>
                <w:highlight w:val="none"/>
              </w:rPr>
              <w:t>答疑与澄清：潜在供应商如认为招标文件表述不清晰、存在歧视性、排他性或者其他违法内容的，可以自收到采购文件之日或者采购文件公告期限届满之日（自本公告发布之日起至第6个工作日24时止）起7个工作日内，以书面递交或传真形式要求招标方作出书面解释、澄清或者向招标方提出书面质疑；本项目不组织答疑会；招标方的答疑内容和书面澄清文件是招标文件的</w:t>
            </w:r>
            <w:r>
              <w:rPr>
                <w:rFonts w:hint="eastAsia" w:ascii="宋体" w:hAnsi="宋体" w:eastAsia="宋体" w:cs="宋体"/>
                <w:color w:val="auto"/>
                <w:spacing w:val="0"/>
                <w:sz w:val="22"/>
                <w:szCs w:val="22"/>
                <w:highlight w:val="none"/>
                <w:lang w:eastAsia="zh-CN"/>
              </w:rPr>
              <w:t>组成部分</w:t>
            </w:r>
            <w:r>
              <w:rPr>
                <w:rFonts w:hint="eastAsia" w:ascii="宋体" w:hAnsi="宋体" w:eastAsia="宋体" w:cs="宋体"/>
                <w:color w:val="auto"/>
                <w:spacing w:val="0"/>
                <w:sz w:val="22"/>
                <w:szCs w:val="22"/>
                <w:highlight w:val="none"/>
              </w:rPr>
              <w:t>，</w:t>
            </w:r>
            <w:r>
              <w:rPr>
                <w:rFonts w:hint="eastAsia" w:ascii="宋体" w:hAnsi="宋体" w:eastAsia="宋体" w:cs="宋体"/>
                <w:b/>
                <w:color w:val="auto"/>
                <w:spacing w:val="0"/>
                <w:sz w:val="22"/>
                <w:szCs w:val="22"/>
                <w:highlight w:val="none"/>
                <w:u w:val="single"/>
              </w:rPr>
              <w:t>招标方的书面澄清（更正）文件会在浙江省政府网上发布公告，同时政采云系统会向所有已按招标文件规定方式获取招标文件的潜在供应商发送更正提醒信息，潜在供应商请自行到浙江省政府采网上下载澄清（更正）文件，潜在供应商在收到该澄清（更正）文件后应于1日内，以书面或传真形式（签署意见并加盖公章）向招标代理机构回函给予确认。过期未回复的，视为默认接受。</w:t>
            </w:r>
          </w:p>
        </w:tc>
      </w:tr>
      <w:tr w14:paraId="08BDC71F">
        <w:tblPrEx>
          <w:tblCellMar>
            <w:top w:w="0" w:type="dxa"/>
            <w:left w:w="108" w:type="dxa"/>
            <w:bottom w:w="0" w:type="dxa"/>
            <w:right w:w="108" w:type="dxa"/>
          </w:tblCellMar>
        </w:tblPrEx>
        <w:trPr>
          <w:trHeight w:val="557" w:hRule="exact"/>
          <w:jc w:val="center"/>
        </w:trPr>
        <w:tc>
          <w:tcPr>
            <w:tcW w:w="669" w:type="dxa"/>
            <w:tcBorders>
              <w:top w:val="single" w:color="000000" w:sz="4" w:space="0"/>
              <w:left w:val="single" w:color="000000" w:sz="4" w:space="0"/>
              <w:bottom w:val="single" w:color="000000" w:sz="4" w:space="0"/>
              <w:right w:val="single" w:color="000000" w:sz="4" w:space="0"/>
            </w:tcBorders>
            <w:noWrap w:val="0"/>
            <w:vAlign w:val="center"/>
          </w:tcPr>
          <w:p w14:paraId="1BDC1EAE">
            <w:pPr>
              <w:jc w:val="center"/>
              <w:rPr>
                <w:rFonts w:hint="eastAsia" w:ascii="宋体" w:hAnsi="宋体" w:eastAsia="宋体" w:cs="宋体"/>
                <w:color w:val="auto"/>
                <w:spacing w:val="0"/>
                <w:kern w:val="1"/>
                <w:sz w:val="22"/>
                <w:szCs w:val="22"/>
                <w:highlight w:val="none"/>
              </w:rPr>
            </w:pPr>
            <w:r>
              <w:rPr>
                <w:rFonts w:hint="eastAsia" w:ascii="宋体" w:hAnsi="宋体" w:eastAsia="宋体" w:cs="宋体"/>
                <w:color w:val="auto"/>
                <w:spacing w:val="0"/>
                <w:kern w:val="1"/>
                <w:sz w:val="22"/>
                <w:szCs w:val="22"/>
                <w:highlight w:val="none"/>
              </w:rPr>
              <w:t>8</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14:paraId="19C443AE">
            <w:pPr>
              <w:jc w:val="center"/>
              <w:rPr>
                <w:rFonts w:hint="eastAsia" w:ascii="宋体" w:hAnsi="宋体" w:eastAsia="宋体" w:cs="宋体"/>
                <w:color w:val="auto"/>
                <w:spacing w:val="0"/>
                <w:kern w:val="1"/>
                <w:sz w:val="22"/>
                <w:szCs w:val="22"/>
                <w:highlight w:val="none"/>
              </w:rPr>
            </w:pPr>
            <w:r>
              <w:rPr>
                <w:rFonts w:hint="eastAsia" w:ascii="宋体" w:hAnsi="宋体" w:eastAsia="宋体" w:cs="宋体"/>
                <w:color w:val="auto"/>
                <w:spacing w:val="0"/>
                <w:kern w:val="1"/>
                <w:sz w:val="22"/>
                <w:szCs w:val="22"/>
                <w:highlight w:val="none"/>
              </w:rPr>
              <w:t>投标有效期</w:t>
            </w:r>
          </w:p>
        </w:tc>
        <w:tc>
          <w:tcPr>
            <w:tcW w:w="7446" w:type="dxa"/>
            <w:tcBorders>
              <w:top w:val="single" w:color="000000" w:sz="4" w:space="0"/>
              <w:left w:val="single" w:color="000000" w:sz="4" w:space="0"/>
              <w:bottom w:val="single" w:color="000000" w:sz="4" w:space="0"/>
              <w:right w:val="single" w:color="000000" w:sz="4" w:space="0"/>
            </w:tcBorders>
            <w:noWrap w:val="0"/>
            <w:vAlign w:val="center"/>
          </w:tcPr>
          <w:p w14:paraId="16AC0669">
            <w:pPr>
              <w:rPr>
                <w:rFonts w:hint="eastAsia" w:ascii="宋体" w:hAnsi="宋体" w:eastAsia="宋体" w:cs="宋体"/>
                <w:color w:val="auto"/>
                <w:spacing w:val="0"/>
                <w:kern w:val="1"/>
                <w:sz w:val="22"/>
                <w:szCs w:val="22"/>
                <w:highlight w:val="none"/>
              </w:rPr>
            </w:pPr>
            <w:r>
              <w:rPr>
                <w:rFonts w:hint="eastAsia" w:ascii="宋体" w:hAnsi="宋体" w:eastAsia="宋体" w:cs="宋体"/>
                <w:color w:val="auto"/>
                <w:spacing w:val="0"/>
                <w:kern w:val="1"/>
                <w:sz w:val="22"/>
                <w:szCs w:val="22"/>
                <w:highlight w:val="none"/>
              </w:rPr>
              <w:t>自开标之日起60天（日历天）</w:t>
            </w:r>
          </w:p>
        </w:tc>
      </w:tr>
      <w:tr w14:paraId="18973A06">
        <w:tblPrEx>
          <w:tblCellMar>
            <w:top w:w="0" w:type="dxa"/>
            <w:left w:w="108" w:type="dxa"/>
            <w:bottom w:w="0" w:type="dxa"/>
            <w:right w:w="108" w:type="dxa"/>
          </w:tblCellMar>
        </w:tblPrEx>
        <w:trPr>
          <w:trHeight w:val="496" w:hRule="exact"/>
          <w:jc w:val="center"/>
        </w:trPr>
        <w:tc>
          <w:tcPr>
            <w:tcW w:w="669" w:type="dxa"/>
            <w:tcBorders>
              <w:top w:val="single" w:color="000000" w:sz="4" w:space="0"/>
              <w:left w:val="single" w:color="000000" w:sz="4" w:space="0"/>
              <w:bottom w:val="single" w:color="000000" w:sz="4" w:space="0"/>
              <w:right w:val="single" w:color="000000" w:sz="4" w:space="0"/>
            </w:tcBorders>
            <w:noWrap w:val="0"/>
            <w:vAlign w:val="center"/>
          </w:tcPr>
          <w:p w14:paraId="0C8EED96">
            <w:pPr>
              <w:jc w:val="center"/>
              <w:rPr>
                <w:rFonts w:hint="eastAsia" w:ascii="宋体" w:hAnsi="宋体" w:eastAsia="宋体" w:cs="宋体"/>
                <w:color w:val="auto"/>
                <w:spacing w:val="0"/>
                <w:kern w:val="1"/>
                <w:sz w:val="22"/>
                <w:szCs w:val="22"/>
                <w:highlight w:val="none"/>
              </w:rPr>
            </w:pPr>
            <w:r>
              <w:rPr>
                <w:rFonts w:hint="eastAsia" w:ascii="宋体" w:hAnsi="宋体" w:eastAsia="宋体" w:cs="宋体"/>
                <w:color w:val="auto"/>
                <w:spacing w:val="0"/>
                <w:kern w:val="1"/>
                <w:sz w:val="22"/>
                <w:szCs w:val="22"/>
                <w:highlight w:val="none"/>
              </w:rPr>
              <w:t>9</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14:paraId="6B447D41">
            <w:pPr>
              <w:jc w:val="center"/>
              <w:rPr>
                <w:rFonts w:hint="eastAsia" w:ascii="宋体" w:hAnsi="宋体" w:eastAsia="宋体" w:cs="宋体"/>
                <w:color w:val="auto"/>
                <w:spacing w:val="0"/>
                <w:kern w:val="1"/>
                <w:sz w:val="22"/>
                <w:szCs w:val="22"/>
                <w:highlight w:val="none"/>
              </w:rPr>
            </w:pPr>
            <w:r>
              <w:rPr>
                <w:rFonts w:hint="eastAsia" w:ascii="宋体" w:hAnsi="宋体" w:eastAsia="宋体" w:cs="宋体"/>
                <w:color w:val="auto"/>
                <w:spacing w:val="0"/>
                <w:kern w:val="1"/>
                <w:sz w:val="22"/>
                <w:szCs w:val="22"/>
                <w:highlight w:val="none"/>
              </w:rPr>
              <w:t>投标保证金</w:t>
            </w:r>
          </w:p>
        </w:tc>
        <w:tc>
          <w:tcPr>
            <w:tcW w:w="7446" w:type="dxa"/>
            <w:tcBorders>
              <w:top w:val="single" w:color="000000" w:sz="4" w:space="0"/>
              <w:left w:val="single" w:color="000000" w:sz="4" w:space="0"/>
              <w:bottom w:val="single" w:color="000000" w:sz="4" w:space="0"/>
              <w:right w:val="single" w:color="000000" w:sz="4" w:space="0"/>
            </w:tcBorders>
            <w:noWrap w:val="0"/>
            <w:vAlign w:val="center"/>
          </w:tcPr>
          <w:p w14:paraId="485EFB5D">
            <w:pPr>
              <w:rPr>
                <w:rFonts w:hint="eastAsia" w:ascii="宋体" w:hAnsi="宋体" w:eastAsia="宋体" w:cs="宋体"/>
                <w:color w:val="auto"/>
                <w:spacing w:val="0"/>
                <w:kern w:val="1"/>
                <w:sz w:val="22"/>
                <w:szCs w:val="22"/>
                <w:highlight w:val="none"/>
              </w:rPr>
            </w:pPr>
            <w:r>
              <w:rPr>
                <w:rFonts w:hint="eastAsia" w:ascii="宋体" w:hAnsi="宋体" w:eastAsia="宋体" w:cs="宋体"/>
                <w:color w:val="auto"/>
                <w:spacing w:val="0"/>
                <w:kern w:val="1"/>
                <w:sz w:val="22"/>
                <w:szCs w:val="22"/>
                <w:highlight w:val="none"/>
              </w:rPr>
              <w:t>无。</w:t>
            </w:r>
          </w:p>
        </w:tc>
      </w:tr>
      <w:tr w14:paraId="0D0B8A70">
        <w:tblPrEx>
          <w:tblCellMar>
            <w:top w:w="0" w:type="dxa"/>
            <w:left w:w="108" w:type="dxa"/>
            <w:bottom w:w="0" w:type="dxa"/>
            <w:right w:w="108" w:type="dxa"/>
          </w:tblCellMar>
        </w:tblPrEx>
        <w:trPr>
          <w:trHeight w:val="523" w:hRule="exact"/>
          <w:jc w:val="center"/>
        </w:trPr>
        <w:tc>
          <w:tcPr>
            <w:tcW w:w="669" w:type="dxa"/>
            <w:tcBorders>
              <w:top w:val="single" w:color="000000" w:sz="4" w:space="0"/>
              <w:left w:val="single" w:color="000000" w:sz="4" w:space="0"/>
              <w:bottom w:val="single" w:color="000000" w:sz="4" w:space="0"/>
              <w:right w:val="single" w:color="000000" w:sz="4" w:space="0"/>
            </w:tcBorders>
            <w:noWrap w:val="0"/>
            <w:vAlign w:val="center"/>
          </w:tcPr>
          <w:p w14:paraId="686859A9">
            <w:pPr>
              <w:jc w:val="center"/>
              <w:rPr>
                <w:rFonts w:hint="eastAsia" w:ascii="宋体" w:hAnsi="宋体" w:eastAsia="宋体" w:cs="宋体"/>
                <w:color w:val="auto"/>
                <w:spacing w:val="0"/>
                <w:kern w:val="1"/>
                <w:sz w:val="22"/>
                <w:szCs w:val="22"/>
                <w:highlight w:val="none"/>
              </w:rPr>
            </w:pPr>
            <w:r>
              <w:rPr>
                <w:rFonts w:hint="eastAsia" w:ascii="宋体" w:hAnsi="宋体" w:eastAsia="宋体" w:cs="宋体"/>
                <w:color w:val="auto"/>
                <w:spacing w:val="0"/>
                <w:kern w:val="1"/>
                <w:sz w:val="22"/>
                <w:szCs w:val="22"/>
                <w:highlight w:val="none"/>
              </w:rPr>
              <w:t>10</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14:paraId="6E4C22E4">
            <w:pPr>
              <w:jc w:val="center"/>
              <w:rPr>
                <w:rFonts w:hint="eastAsia" w:ascii="宋体" w:hAnsi="宋体" w:eastAsia="宋体" w:cs="宋体"/>
                <w:color w:val="auto"/>
                <w:spacing w:val="0"/>
                <w:kern w:val="1"/>
                <w:sz w:val="22"/>
                <w:szCs w:val="22"/>
                <w:highlight w:val="none"/>
              </w:rPr>
            </w:pPr>
            <w:r>
              <w:rPr>
                <w:rFonts w:hint="eastAsia" w:ascii="宋体" w:hAnsi="宋体" w:eastAsia="宋体" w:cs="宋体"/>
                <w:color w:val="auto"/>
                <w:spacing w:val="0"/>
                <w:kern w:val="1"/>
                <w:sz w:val="22"/>
                <w:szCs w:val="22"/>
                <w:highlight w:val="none"/>
              </w:rPr>
              <w:t>履约保证金</w:t>
            </w:r>
          </w:p>
        </w:tc>
        <w:tc>
          <w:tcPr>
            <w:tcW w:w="7446" w:type="dxa"/>
            <w:tcBorders>
              <w:top w:val="single" w:color="000000" w:sz="4" w:space="0"/>
              <w:left w:val="single" w:color="000000" w:sz="4" w:space="0"/>
              <w:bottom w:val="single" w:color="000000" w:sz="4" w:space="0"/>
              <w:right w:val="single" w:color="000000" w:sz="4" w:space="0"/>
            </w:tcBorders>
            <w:noWrap w:val="0"/>
            <w:vAlign w:val="center"/>
          </w:tcPr>
          <w:p w14:paraId="6024AE42">
            <w:pPr>
              <w:rPr>
                <w:rFonts w:hint="eastAsia" w:ascii="宋体" w:hAnsi="宋体" w:eastAsia="宋体" w:cs="宋体"/>
                <w:color w:val="auto"/>
                <w:spacing w:val="0"/>
                <w:kern w:val="1"/>
                <w:sz w:val="22"/>
                <w:szCs w:val="22"/>
                <w:highlight w:val="none"/>
              </w:rPr>
            </w:pPr>
            <w:r>
              <w:rPr>
                <w:rFonts w:hint="eastAsia" w:ascii="宋体" w:hAnsi="宋体" w:eastAsia="宋体" w:cs="宋体"/>
                <w:color w:val="auto"/>
                <w:spacing w:val="0"/>
                <w:kern w:val="1"/>
                <w:sz w:val="22"/>
                <w:szCs w:val="22"/>
                <w:highlight w:val="none"/>
              </w:rPr>
              <w:t>无。</w:t>
            </w:r>
          </w:p>
        </w:tc>
      </w:tr>
      <w:tr w14:paraId="450F7D43">
        <w:tblPrEx>
          <w:tblCellMar>
            <w:top w:w="0" w:type="dxa"/>
            <w:left w:w="108" w:type="dxa"/>
            <w:bottom w:w="0" w:type="dxa"/>
            <w:right w:w="108" w:type="dxa"/>
          </w:tblCellMar>
        </w:tblPrEx>
        <w:trPr>
          <w:trHeight w:val="367" w:hRule="atLeast"/>
          <w:jc w:val="center"/>
        </w:trPr>
        <w:tc>
          <w:tcPr>
            <w:tcW w:w="669" w:type="dxa"/>
            <w:tcBorders>
              <w:top w:val="single" w:color="000000" w:sz="4" w:space="0"/>
              <w:left w:val="single" w:color="000000" w:sz="4" w:space="0"/>
              <w:bottom w:val="single" w:color="000000" w:sz="4" w:space="0"/>
              <w:right w:val="single" w:color="000000" w:sz="4" w:space="0"/>
            </w:tcBorders>
            <w:noWrap w:val="0"/>
            <w:vAlign w:val="center"/>
          </w:tcPr>
          <w:p w14:paraId="4F9F595F">
            <w:pPr>
              <w:jc w:val="center"/>
              <w:rPr>
                <w:rFonts w:hint="eastAsia" w:ascii="宋体" w:hAnsi="宋体" w:eastAsia="宋体" w:cs="宋体"/>
                <w:color w:val="auto"/>
                <w:spacing w:val="0"/>
                <w:kern w:val="1"/>
                <w:sz w:val="22"/>
                <w:szCs w:val="22"/>
                <w:highlight w:val="none"/>
              </w:rPr>
            </w:pPr>
            <w:r>
              <w:rPr>
                <w:rFonts w:hint="eastAsia" w:ascii="宋体" w:hAnsi="宋体" w:eastAsia="宋体" w:cs="宋体"/>
                <w:color w:val="auto"/>
                <w:spacing w:val="0"/>
                <w:kern w:val="1"/>
                <w:sz w:val="22"/>
                <w:szCs w:val="22"/>
                <w:highlight w:val="none"/>
              </w:rPr>
              <w:t>11</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14:paraId="13E38FC5">
            <w:pPr>
              <w:jc w:val="center"/>
              <w:rPr>
                <w:rFonts w:hint="eastAsia" w:ascii="宋体" w:hAnsi="宋体" w:eastAsia="宋体" w:cs="宋体"/>
                <w:color w:val="auto"/>
                <w:spacing w:val="0"/>
                <w:kern w:val="1"/>
                <w:sz w:val="22"/>
                <w:szCs w:val="22"/>
                <w:highlight w:val="none"/>
              </w:rPr>
            </w:pPr>
            <w:r>
              <w:rPr>
                <w:rFonts w:hint="eastAsia" w:ascii="宋体" w:hAnsi="宋体" w:eastAsia="宋体" w:cs="宋体"/>
                <w:color w:val="auto"/>
                <w:spacing w:val="0"/>
                <w:kern w:val="1"/>
                <w:sz w:val="22"/>
                <w:szCs w:val="22"/>
                <w:highlight w:val="none"/>
              </w:rPr>
              <w:t>评标办法</w:t>
            </w:r>
          </w:p>
        </w:tc>
        <w:tc>
          <w:tcPr>
            <w:tcW w:w="7446" w:type="dxa"/>
            <w:tcBorders>
              <w:top w:val="single" w:color="000000" w:sz="4" w:space="0"/>
              <w:left w:val="single" w:color="000000" w:sz="4" w:space="0"/>
              <w:bottom w:val="single" w:color="000000" w:sz="4" w:space="0"/>
              <w:right w:val="single" w:color="000000" w:sz="4" w:space="0"/>
            </w:tcBorders>
            <w:noWrap w:val="0"/>
            <w:vAlign w:val="center"/>
          </w:tcPr>
          <w:p w14:paraId="46149F79">
            <w:pPr>
              <w:rPr>
                <w:rFonts w:hint="eastAsia" w:ascii="宋体" w:hAnsi="宋体" w:eastAsia="宋体" w:cs="宋体"/>
                <w:color w:val="auto"/>
                <w:spacing w:val="0"/>
                <w:kern w:val="1"/>
                <w:sz w:val="22"/>
                <w:szCs w:val="22"/>
                <w:highlight w:val="none"/>
              </w:rPr>
            </w:pPr>
            <w:r>
              <w:rPr>
                <w:rFonts w:hint="eastAsia" w:ascii="宋体" w:hAnsi="宋体" w:eastAsia="宋体" w:cs="宋体"/>
                <w:color w:val="auto"/>
                <w:spacing w:val="0"/>
                <w:kern w:val="1"/>
                <w:sz w:val="22"/>
                <w:szCs w:val="22"/>
                <w:highlight w:val="none"/>
              </w:rPr>
              <w:t>综合评分法。</w:t>
            </w:r>
          </w:p>
        </w:tc>
      </w:tr>
      <w:tr w14:paraId="3922AABA">
        <w:tblPrEx>
          <w:tblCellMar>
            <w:top w:w="0" w:type="dxa"/>
            <w:left w:w="108" w:type="dxa"/>
            <w:bottom w:w="0" w:type="dxa"/>
            <w:right w:w="108" w:type="dxa"/>
          </w:tblCellMar>
        </w:tblPrEx>
        <w:trPr>
          <w:trHeight w:val="23" w:hRule="atLeast"/>
          <w:jc w:val="center"/>
        </w:trPr>
        <w:tc>
          <w:tcPr>
            <w:tcW w:w="669" w:type="dxa"/>
            <w:tcBorders>
              <w:top w:val="single" w:color="000000" w:sz="4" w:space="0"/>
              <w:left w:val="single" w:color="000000" w:sz="4" w:space="0"/>
              <w:bottom w:val="single" w:color="000000" w:sz="4" w:space="0"/>
              <w:right w:val="single" w:color="000000" w:sz="4" w:space="0"/>
            </w:tcBorders>
            <w:noWrap w:val="0"/>
            <w:vAlign w:val="center"/>
          </w:tcPr>
          <w:p w14:paraId="1DD7BB2C">
            <w:pPr>
              <w:jc w:val="center"/>
              <w:rPr>
                <w:rFonts w:hint="eastAsia" w:ascii="宋体" w:hAnsi="宋体" w:eastAsia="宋体" w:cs="宋体"/>
                <w:color w:val="auto"/>
                <w:spacing w:val="0"/>
                <w:kern w:val="1"/>
                <w:sz w:val="22"/>
                <w:szCs w:val="22"/>
                <w:highlight w:val="none"/>
              </w:rPr>
            </w:pPr>
            <w:r>
              <w:rPr>
                <w:rFonts w:hint="eastAsia" w:ascii="宋体" w:hAnsi="宋体" w:eastAsia="宋体" w:cs="宋体"/>
                <w:color w:val="auto"/>
                <w:spacing w:val="0"/>
                <w:kern w:val="1"/>
                <w:sz w:val="22"/>
                <w:szCs w:val="22"/>
                <w:highlight w:val="none"/>
              </w:rPr>
              <w:t>12</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14:paraId="24BEF1F7">
            <w:pPr>
              <w:jc w:val="center"/>
              <w:rPr>
                <w:rFonts w:hint="eastAsia" w:ascii="宋体" w:hAnsi="宋体" w:eastAsia="宋体" w:cs="宋体"/>
                <w:color w:val="auto"/>
                <w:spacing w:val="0"/>
                <w:kern w:val="1"/>
                <w:sz w:val="22"/>
                <w:szCs w:val="22"/>
                <w:highlight w:val="none"/>
              </w:rPr>
            </w:pPr>
            <w:r>
              <w:rPr>
                <w:rFonts w:hint="eastAsia" w:ascii="宋体" w:hAnsi="宋体" w:eastAsia="宋体" w:cs="宋体"/>
                <w:color w:val="auto"/>
                <w:spacing w:val="0"/>
                <w:kern w:val="1"/>
                <w:sz w:val="22"/>
                <w:szCs w:val="22"/>
                <w:highlight w:val="none"/>
              </w:rPr>
              <w:t>投标文件递交时间及方式</w:t>
            </w:r>
          </w:p>
        </w:tc>
        <w:tc>
          <w:tcPr>
            <w:tcW w:w="7446" w:type="dxa"/>
            <w:tcBorders>
              <w:top w:val="single" w:color="000000" w:sz="4" w:space="0"/>
              <w:left w:val="single" w:color="000000" w:sz="4" w:space="0"/>
              <w:bottom w:val="single" w:color="000000" w:sz="4" w:space="0"/>
              <w:right w:val="single" w:color="000000" w:sz="4" w:space="0"/>
            </w:tcBorders>
            <w:noWrap w:val="0"/>
            <w:vAlign w:val="center"/>
          </w:tcPr>
          <w:p w14:paraId="4FFFA445">
            <w:pPr>
              <w:rPr>
                <w:rFonts w:hint="eastAsia" w:ascii="宋体" w:hAnsi="宋体" w:eastAsia="宋体" w:cs="宋体"/>
                <w:b/>
                <w:color w:val="auto"/>
                <w:spacing w:val="0"/>
                <w:sz w:val="22"/>
                <w:szCs w:val="22"/>
                <w:highlight w:val="none"/>
                <w:u w:val="single"/>
              </w:rPr>
            </w:pPr>
            <w:r>
              <w:rPr>
                <w:rFonts w:hint="eastAsia" w:ascii="宋体" w:hAnsi="宋体" w:eastAsia="宋体" w:cs="宋体"/>
                <w:b/>
                <w:color w:val="auto"/>
                <w:spacing w:val="0"/>
                <w:sz w:val="22"/>
                <w:szCs w:val="22"/>
                <w:highlight w:val="none"/>
                <w:u w:val="single"/>
              </w:rPr>
              <w:t>投标人应于</w:t>
            </w:r>
            <w:r>
              <w:rPr>
                <w:rFonts w:hint="eastAsia" w:ascii="宋体" w:hAnsi="宋体" w:cs="宋体"/>
                <w:b/>
                <w:color w:val="auto"/>
                <w:spacing w:val="0"/>
                <w:sz w:val="22"/>
                <w:szCs w:val="22"/>
                <w:highlight w:val="none"/>
                <w:u w:val="single"/>
                <w:lang w:eastAsia="zh-CN"/>
              </w:rPr>
              <w:t>2025年03月21日</w:t>
            </w:r>
            <w:r>
              <w:rPr>
                <w:rFonts w:hint="eastAsia" w:ascii="宋体" w:hAnsi="宋体" w:eastAsia="宋体" w:cs="宋体"/>
                <w:b/>
                <w:color w:val="auto"/>
                <w:spacing w:val="0"/>
                <w:sz w:val="22"/>
                <w:szCs w:val="22"/>
                <w:highlight w:val="none"/>
                <w:u w:val="single"/>
                <w:lang w:eastAsia="zh-CN"/>
              </w:rPr>
              <w:t>09:30</w:t>
            </w:r>
            <w:r>
              <w:rPr>
                <w:rFonts w:hint="eastAsia" w:ascii="宋体" w:hAnsi="宋体" w:eastAsia="宋体" w:cs="宋体"/>
                <w:b/>
                <w:color w:val="auto"/>
                <w:spacing w:val="0"/>
                <w:sz w:val="22"/>
                <w:szCs w:val="22"/>
                <w:highlight w:val="none"/>
                <w:u w:val="single"/>
              </w:rPr>
              <w:t>前按照电子投标要求将电子加密标书上传到“政采云”平台，逾期或未上传成功的将导致无法投标或投标无效。</w:t>
            </w:r>
          </w:p>
          <w:p w14:paraId="3FA18990">
            <w:pPr>
              <w:rPr>
                <w:rFonts w:hint="eastAsia" w:ascii="宋体" w:hAnsi="宋体" w:eastAsia="宋体" w:cs="宋体"/>
                <w:color w:val="auto"/>
                <w:spacing w:val="0"/>
                <w:kern w:val="1"/>
                <w:sz w:val="22"/>
                <w:szCs w:val="22"/>
                <w:highlight w:val="none"/>
              </w:rPr>
            </w:pPr>
            <w:r>
              <w:rPr>
                <w:rFonts w:hint="eastAsia" w:ascii="宋体" w:hAnsi="宋体" w:eastAsia="宋体" w:cs="宋体"/>
                <w:b/>
                <w:color w:val="auto"/>
                <w:spacing w:val="0"/>
                <w:sz w:val="22"/>
                <w:szCs w:val="22"/>
                <w:highlight w:val="none"/>
                <w:u w:val="single"/>
              </w:rPr>
              <w:t>备注：为确保采购项目顺利实施，避免因政采云上电子投标文件解密失败导致投标方投标无效，投标方可在</w:t>
            </w:r>
            <w:r>
              <w:rPr>
                <w:rFonts w:hint="eastAsia" w:ascii="宋体" w:hAnsi="宋体" w:cs="宋体"/>
                <w:b/>
                <w:color w:val="auto"/>
                <w:spacing w:val="0"/>
                <w:sz w:val="22"/>
                <w:szCs w:val="22"/>
                <w:highlight w:val="none"/>
                <w:u w:val="single"/>
                <w:lang w:eastAsia="zh-CN"/>
              </w:rPr>
              <w:t>2025年03月21日</w:t>
            </w:r>
            <w:r>
              <w:rPr>
                <w:rFonts w:hint="eastAsia" w:ascii="宋体" w:hAnsi="宋体" w:eastAsia="宋体" w:cs="宋体"/>
                <w:b/>
                <w:color w:val="auto"/>
                <w:spacing w:val="0"/>
                <w:sz w:val="22"/>
                <w:szCs w:val="22"/>
                <w:highlight w:val="none"/>
                <w:u w:val="single"/>
                <w:lang w:eastAsia="zh-CN"/>
              </w:rPr>
              <w:t>09:30</w:t>
            </w:r>
            <w:r>
              <w:rPr>
                <w:rFonts w:hint="eastAsia" w:ascii="宋体" w:hAnsi="宋体" w:eastAsia="宋体" w:cs="宋体"/>
                <w:b/>
                <w:color w:val="auto"/>
                <w:spacing w:val="0"/>
                <w:sz w:val="22"/>
                <w:szCs w:val="22"/>
                <w:highlight w:val="none"/>
                <w:u w:val="single"/>
              </w:rPr>
              <w:fldChar w:fldCharType="begin"/>
            </w:r>
            <w:r>
              <w:rPr>
                <w:rFonts w:hint="eastAsia" w:ascii="宋体" w:hAnsi="宋体" w:eastAsia="宋体" w:cs="宋体"/>
                <w:b/>
                <w:color w:val="auto"/>
                <w:spacing w:val="0"/>
                <w:sz w:val="22"/>
                <w:szCs w:val="22"/>
                <w:highlight w:val="none"/>
                <w:u w:val="single"/>
              </w:rPr>
              <w:instrText xml:space="preserve"> HYPERLINK "mailto:前将在政采云平台上最后生成的具备电子签章的备份加密投标文件（文件名后缀为备份文件四字的首字母）以电子邮件方式传送至浙江科信联合工程项目管理咨询有限公司指定邮箱（ywkx@ywkexin.com），传送的备份电子投标文件需打包压缩并加密，加密密码由投标方自行保管，如政采云上电子投标文件出现解密失败情况（开标当日" </w:instrText>
            </w:r>
            <w:r>
              <w:rPr>
                <w:rFonts w:hint="eastAsia" w:ascii="宋体" w:hAnsi="宋体" w:eastAsia="宋体" w:cs="宋体"/>
                <w:b/>
                <w:color w:val="auto"/>
                <w:spacing w:val="0"/>
                <w:sz w:val="22"/>
                <w:szCs w:val="22"/>
                <w:highlight w:val="none"/>
                <w:u w:val="single"/>
              </w:rPr>
              <w:fldChar w:fldCharType="separate"/>
            </w:r>
            <w:r>
              <w:rPr>
                <w:rFonts w:hint="eastAsia" w:ascii="宋体" w:hAnsi="宋体" w:eastAsia="宋体" w:cs="宋体"/>
                <w:b/>
                <w:color w:val="auto"/>
                <w:spacing w:val="0"/>
                <w:sz w:val="22"/>
                <w:szCs w:val="22"/>
                <w:highlight w:val="none"/>
                <w:u w:val="single"/>
              </w:rPr>
              <w:t>前将在政采云平台上最后生成的具备电子签章的备份加密投标文件（文件名后缀为备份文件四字的首字母）以电子邮件方式传送至</w:t>
            </w:r>
            <w:r>
              <w:rPr>
                <w:rFonts w:hint="eastAsia" w:ascii="宋体" w:hAnsi="宋体" w:eastAsia="宋体" w:cs="宋体"/>
                <w:b/>
                <w:color w:val="auto"/>
                <w:spacing w:val="0"/>
                <w:sz w:val="22"/>
                <w:szCs w:val="22"/>
                <w:highlight w:val="none"/>
                <w:u w:val="single"/>
                <w:lang w:eastAsia="zh-CN"/>
              </w:rPr>
              <w:t>科信联合工程咨询有限公司</w:t>
            </w:r>
            <w:r>
              <w:rPr>
                <w:rFonts w:hint="eastAsia" w:ascii="宋体" w:hAnsi="宋体" w:eastAsia="宋体" w:cs="宋体"/>
                <w:b/>
                <w:color w:val="auto"/>
                <w:spacing w:val="0"/>
                <w:sz w:val="22"/>
                <w:szCs w:val="22"/>
                <w:highlight w:val="none"/>
                <w:u w:val="single"/>
              </w:rPr>
              <w:t>指定邮箱（</w:t>
            </w:r>
            <w:r>
              <w:rPr>
                <w:rFonts w:hint="eastAsia" w:ascii="宋体" w:hAnsi="宋体" w:cs="宋体"/>
                <w:b/>
                <w:color w:val="auto"/>
                <w:spacing w:val="0"/>
                <w:sz w:val="22"/>
                <w:szCs w:val="22"/>
                <w:highlight w:val="none"/>
                <w:u w:val="single"/>
                <w:lang w:eastAsia="zh-CN"/>
              </w:rPr>
              <w:t>zjkxyw@163.com</w:t>
            </w:r>
            <w:r>
              <w:rPr>
                <w:rFonts w:hint="eastAsia" w:ascii="宋体" w:hAnsi="宋体" w:eastAsia="宋体" w:cs="宋体"/>
                <w:b/>
                <w:color w:val="auto"/>
                <w:spacing w:val="0"/>
                <w:sz w:val="22"/>
                <w:szCs w:val="22"/>
                <w:highlight w:val="none"/>
                <w:u w:val="single"/>
              </w:rPr>
              <w:t>），传送的备份电子投标文件需打包压缩并加密，加密密码由投标方自行保管，如政采云上电子投标文件出现解密失败情况（开标当日</w:t>
            </w:r>
            <w:r>
              <w:rPr>
                <w:rFonts w:hint="eastAsia" w:ascii="宋体" w:hAnsi="宋体" w:eastAsia="宋体" w:cs="宋体"/>
                <w:b/>
                <w:color w:val="auto"/>
                <w:spacing w:val="0"/>
                <w:sz w:val="22"/>
                <w:szCs w:val="22"/>
                <w:highlight w:val="none"/>
                <w:u w:val="single"/>
              </w:rPr>
              <w:fldChar w:fldCharType="end"/>
            </w:r>
            <w:r>
              <w:rPr>
                <w:rFonts w:hint="eastAsia" w:ascii="宋体" w:hAnsi="宋体" w:eastAsia="宋体" w:cs="宋体"/>
                <w:b/>
                <w:color w:val="auto"/>
                <w:spacing w:val="0"/>
                <w:sz w:val="22"/>
                <w:szCs w:val="22"/>
                <w:highlight w:val="none"/>
                <w:u w:val="single"/>
                <w:lang w:eastAsia="zh-CN"/>
              </w:rPr>
              <w:t>09:30</w:t>
            </w:r>
            <w:r>
              <w:rPr>
                <w:rFonts w:hint="eastAsia" w:ascii="宋体" w:hAnsi="宋体" w:eastAsia="宋体" w:cs="宋体"/>
                <w:b/>
                <w:color w:val="auto"/>
                <w:spacing w:val="0"/>
                <w:sz w:val="22"/>
                <w:szCs w:val="22"/>
                <w:highlight w:val="none"/>
                <w:u w:val="single"/>
              </w:rPr>
              <w:t xml:space="preserve"> -</w:t>
            </w:r>
            <w:r>
              <w:rPr>
                <w:rFonts w:hint="eastAsia" w:ascii="宋体" w:hAnsi="宋体" w:eastAsia="宋体" w:cs="宋体"/>
                <w:b/>
                <w:color w:val="auto"/>
                <w:spacing w:val="0"/>
                <w:sz w:val="22"/>
                <w:szCs w:val="22"/>
                <w:highlight w:val="none"/>
                <w:u w:val="single"/>
                <w:lang w:eastAsia="zh-CN"/>
              </w:rPr>
              <w:t>10:30</w:t>
            </w:r>
            <w:r>
              <w:rPr>
                <w:rFonts w:hint="eastAsia" w:ascii="宋体" w:hAnsi="宋体" w:eastAsia="宋体" w:cs="宋体"/>
                <w:b/>
                <w:color w:val="auto"/>
                <w:spacing w:val="0"/>
                <w:sz w:val="22"/>
                <w:szCs w:val="22"/>
                <w:highlight w:val="none"/>
                <w:u w:val="single"/>
              </w:rPr>
              <w:t>期间进行解密），投标方可按照自身意愿确认是否同意提供加密密码解密传送至</w:t>
            </w:r>
            <w:r>
              <w:rPr>
                <w:rFonts w:hint="eastAsia" w:ascii="宋体" w:hAnsi="宋体" w:eastAsia="宋体" w:cs="宋体"/>
                <w:b/>
                <w:color w:val="auto"/>
                <w:spacing w:val="0"/>
                <w:sz w:val="22"/>
                <w:szCs w:val="22"/>
                <w:highlight w:val="none"/>
                <w:u w:val="single"/>
                <w:lang w:eastAsia="zh-CN"/>
              </w:rPr>
              <w:t>科信联合工程咨询有限公司</w:t>
            </w:r>
            <w:r>
              <w:rPr>
                <w:rFonts w:hint="eastAsia" w:ascii="宋体" w:hAnsi="宋体" w:eastAsia="宋体" w:cs="宋体"/>
                <w:b/>
                <w:color w:val="auto"/>
                <w:spacing w:val="0"/>
                <w:sz w:val="22"/>
                <w:szCs w:val="22"/>
                <w:highlight w:val="none"/>
                <w:u w:val="single"/>
              </w:rPr>
              <w:t>指定邮箱（</w:t>
            </w:r>
            <w:r>
              <w:rPr>
                <w:rFonts w:hint="eastAsia" w:ascii="宋体" w:hAnsi="宋体" w:cs="宋体"/>
                <w:b/>
                <w:color w:val="auto"/>
                <w:spacing w:val="0"/>
                <w:sz w:val="22"/>
                <w:szCs w:val="22"/>
                <w:highlight w:val="none"/>
                <w:u w:val="single"/>
                <w:lang w:eastAsia="zh-CN"/>
              </w:rPr>
              <w:t>zjkxyw@163.com</w:t>
            </w:r>
            <w:r>
              <w:rPr>
                <w:rFonts w:hint="eastAsia" w:ascii="宋体" w:hAnsi="宋体" w:eastAsia="宋体" w:cs="宋体"/>
                <w:b/>
                <w:color w:val="auto"/>
                <w:spacing w:val="0"/>
                <w:sz w:val="22"/>
                <w:szCs w:val="22"/>
                <w:highlight w:val="none"/>
                <w:u w:val="single"/>
              </w:rPr>
              <w:t>）的备份文件，并以备份文件作为替代电子投标文件，如投标方未按照规定时间及要求提供有效备份文件，同时政采云上投标文件解密失败的，将导致投标无效。</w:t>
            </w:r>
          </w:p>
        </w:tc>
      </w:tr>
      <w:tr w14:paraId="6BD87EC5">
        <w:tblPrEx>
          <w:tblCellMar>
            <w:top w:w="0" w:type="dxa"/>
            <w:left w:w="108" w:type="dxa"/>
            <w:bottom w:w="0" w:type="dxa"/>
            <w:right w:w="108" w:type="dxa"/>
          </w:tblCellMar>
        </w:tblPrEx>
        <w:trPr>
          <w:trHeight w:val="1397" w:hRule="exact"/>
          <w:jc w:val="center"/>
        </w:trPr>
        <w:tc>
          <w:tcPr>
            <w:tcW w:w="669" w:type="dxa"/>
            <w:tcBorders>
              <w:top w:val="single" w:color="000000" w:sz="4" w:space="0"/>
              <w:left w:val="single" w:color="000000" w:sz="4" w:space="0"/>
              <w:bottom w:val="single" w:color="000000" w:sz="4" w:space="0"/>
              <w:right w:val="single" w:color="000000" w:sz="4" w:space="0"/>
            </w:tcBorders>
            <w:noWrap w:val="0"/>
            <w:vAlign w:val="center"/>
          </w:tcPr>
          <w:p w14:paraId="4C1B23CA">
            <w:pPr>
              <w:jc w:val="center"/>
              <w:rPr>
                <w:rFonts w:hint="eastAsia" w:ascii="宋体" w:hAnsi="宋体" w:eastAsia="宋体" w:cs="宋体"/>
                <w:color w:val="auto"/>
                <w:spacing w:val="0"/>
                <w:kern w:val="1"/>
                <w:sz w:val="22"/>
                <w:szCs w:val="22"/>
                <w:highlight w:val="none"/>
              </w:rPr>
            </w:pPr>
            <w:r>
              <w:rPr>
                <w:rFonts w:hint="eastAsia" w:ascii="宋体" w:hAnsi="宋体" w:eastAsia="宋体" w:cs="宋体"/>
                <w:color w:val="auto"/>
                <w:spacing w:val="0"/>
                <w:kern w:val="1"/>
                <w:sz w:val="22"/>
                <w:szCs w:val="22"/>
                <w:highlight w:val="none"/>
              </w:rPr>
              <w:t>13</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14:paraId="44EF0CA1">
            <w:pPr>
              <w:jc w:val="center"/>
              <w:rPr>
                <w:rFonts w:hint="eastAsia" w:ascii="宋体" w:hAnsi="宋体" w:eastAsia="宋体" w:cs="宋体"/>
                <w:color w:val="auto"/>
                <w:spacing w:val="0"/>
                <w:kern w:val="1"/>
                <w:sz w:val="22"/>
                <w:szCs w:val="22"/>
                <w:highlight w:val="none"/>
              </w:rPr>
            </w:pPr>
            <w:r>
              <w:rPr>
                <w:rFonts w:hint="eastAsia" w:ascii="宋体" w:hAnsi="宋体" w:eastAsia="宋体" w:cs="宋体"/>
                <w:color w:val="auto"/>
                <w:spacing w:val="0"/>
                <w:kern w:val="1"/>
                <w:sz w:val="22"/>
                <w:szCs w:val="22"/>
                <w:highlight w:val="none"/>
              </w:rPr>
              <w:t>开标时间和地点</w:t>
            </w:r>
          </w:p>
        </w:tc>
        <w:tc>
          <w:tcPr>
            <w:tcW w:w="7446" w:type="dxa"/>
            <w:tcBorders>
              <w:top w:val="single" w:color="000000" w:sz="4" w:space="0"/>
              <w:left w:val="single" w:color="000000" w:sz="4" w:space="0"/>
              <w:bottom w:val="single" w:color="000000" w:sz="4" w:space="0"/>
              <w:right w:val="single" w:color="000000" w:sz="4" w:space="0"/>
            </w:tcBorders>
            <w:noWrap w:val="0"/>
            <w:vAlign w:val="center"/>
          </w:tcPr>
          <w:p w14:paraId="38FDD337">
            <w:pPr>
              <w:rPr>
                <w:rFonts w:hint="eastAsia" w:ascii="宋体" w:hAnsi="宋体" w:eastAsia="宋体" w:cs="宋体"/>
                <w:color w:val="auto"/>
                <w:spacing w:val="0"/>
                <w:kern w:val="1"/>
                <w:sz w:val="22"/>
                <w:szCs w:val="22"/>
                <w:highlight w:val="none"/>
              </w:rPr>
            </w:pPr>
            <w:r>
              <w:rPr>
                <w:rFonts w:hint="eastAsia" w:ascii="宋体" w:hAnsi="宋体" w:eastAsia="宋体" w:cs="宋体"/>
                <w:color w:val="auto"/>
                <w:spacing w:val="0"/>
                <w:kern w:val="1"/>
                <w:sz w:val="22"/>
                <w:szCs w:val="22"/>
                <w:highlight w:val="none"/>
              </w:rPr>
              <w:t>开标时间：</w:t>
            </w:r>
            <w:r>
              <w:rPr>
                <w:rFonts w:hint="eastAsia" w:ascii="宋体" w:hAnsi="宋体" w:cs="宋体"/>
                <w:color w:val="auto"/>
                <w:spacing w:val="0"/>
                <w:kern w:val="1"/>
                <w:sz w:val="22"/>
                <w:szCs w:val="22"/>
                <w:highlight w:val="none"/>
                <w:lang w:eastAsia="zh-CN"/>
              </w:rPr>
              <w:t>2025年03月21日</w:t>
            </w:r>
            <w:r>
              <w:rPr>
                <w:rFonts w:hint="eastAsia" w:ascii="宋体" w:hAnsi="宋体" w:eastAsia="宋体" w:cs="宋体"/>
                <w:color w:val="auto"/>
                <w:spacing w:val="0"/>
                <w:kern w:val="1"/>
                <w:sz w:val="22"/>
                <w:szCs w:val="22"/>
                <w:highlight w:val="none"/>
                <w:lang w:val="en-US" w:eastAsia="zh-CN"/>
              </w:rPr>
              <w:t>09时30分</w:t>
            </w:r>
          </w:p>
          <w:p w14:paraId="7B74FCB6">
            <w:pPr>
              <w:rPr>
                <w:rFonts w:hint="eastAsia" w:ascii="宋体" w:hAnsi="宋体" w:eastAsia="宋体" w:cs="宋体"/>
                <w:color w:val="auto"/>
                <w:spacing w:val="0"/>
                <w:kern w:val="1"/>
                <w:sz w:val="22"/>
                <w:szCs w:val="22"/>
                <w:highlight w:val="none"/>
              </w:rPr>
            </w:pPr>
            <w:r>
              <w:rPr>
                <w:rFonts w:hint="eastAsia" w:ascii="宋体" w:hAnsi="宋体" w:eastAsia="宋体" w:cs="宋体"/>
                <w:color w:val="auto"/>
                <w:spacing w:val="0"/>
                <w:kern w:val="1"/>
                <w:sz w:val="22"/>
                <w:szCs w:val="22"/>
                <w:highlight w:val="none"/>
              </w:rPr>
              <w:t>开标地点：义乌市望道路300号政务服务中心四楼。</w:t>
            </w:r>
          </w:p>
          <w:p w14:paraId="70A49F8C">
            <w:pPr>
              <w:rPr>
                <w:rFonts w:hint="eastAsia" w:ascii="宋体" w:hAnsi="宋体" w:eastAsia="宋体" w:cs="宋体"/>
                <w:color w:val="auto"/>
                <w:spacing w:val="0"/>
                <w:kern w:val="1"/>
                <w:sz w:val="22"/>
                <w:szCs w:val="22"/>
                <w:highlight w:val="none"/>
              </w:rPr>
            </w:pPr>
            <w:r>
              <w:rPr>
                <w:rFonts w:hint="eastAsia" w:ascii="宋体" w:hAnsi="宋体" w:eastAsia="宋体" w:cs="宋体"/>
                <w:b/>
                <w:color w:val="auto"/>
                <w:spacing w:val="0"/>
                <w:sz w:val="22"/>
                <w:szCs w:val="22"/>
                <w:highlight w:val="none"/>
                <w:u w:val="single"/>
              </w:rPr>
              <w:t>投标方无需在开标当天到达开标现场对电子投标进行解密，可在公司办公场地登录“政采云”平台，用“项目采购</w:t>
            </w:r>
            <w:r>
              <w:rPr>
                <w:rFonts w:hint="eastAsia" w:ascii="宋体" w:hAnsi="宋体" w:cs="宋体"/>
                <w:b/>
                <w:color w:val="auto"/>
                <w:spacing w:val="0"/>
                <w:sz w:val="22"/>
                <w:szCs w:val="22"/>
                <w:highlight w:val="none"/>
                <w:u w:val="single"/>
                <w:lang w:eastAsia="zh-CN"/>
              </w:rPr>
              <w:t>－</w:t>
            </w:r>
            <w:r>
              <w:rPr>
                <w:rFonts w:hint="eastAsia" w:ascii="宋体" w:hAnsi="宋体" w:eastAsia="宋体" w:cs="宋体"/>
                <w:b/>
                <w:color w:val="auto"/>
                <w:spacing w:val="0"/>
                <w:sz w:val="22"/>
                <w:szCs w:val="22"/>
                <w:highlight w:val="none"/>
                <w:u w:val="single"/>
              </w:rPr>
              <w:t>开标评标”功能进行解密投标文件，解密时限为开标时间后1小时内。</w:t>
            </w:r>
          </w:p>
        </w:tc>
      </w:tr>
      <w:tr w14:paraId="77A6D27F">
        <w:tblPrEx>
          <w:tblCellMar>
            <w:top w:w="0" w:type="dxa"/>
            <w:left w:w="108" w:type="dxa"/>
            <w:bottom w:w="0" w:type="dxa"/>
            <w:right w:w="108" w:type="dxa"/>
          </w:tblCellMar>
        </w:tblPrEx>
        <w:trPr>
          <w:trHeight w:val="4660" w:hRule="atLeast"/>
          <w:jc w:val="center"/>
        </w:trPr>
        <w:tc>
          <w:tcPr>
            <w:tcW w:w="669" w:type="dxa"/>
            <w:tcBorders>
              <w:top w:val="single" w:color="000000" w:sz="4" w:space="0"/>
              <w:left w:val="single" w:color="000000" w:sz="4" w:space="0"/>
              <w:bottom w:val="single" w:color="000000" w:sz="4" w:space="0"/>
              <w:right w:val="single" w:color="000000" w:sz="4" w:space="0"/>
            </w:tcBorders>
            <w:noWrap w:val="0"/>
            <w:vAlign w:val="center"/>
          </w:tcPr>
          <w:p w14:paraId="4C699887">
            <w:pPr>
              <w:jc w:val="center"/>
              <w:rPr>
                <w:rFonts w:hint="eastAsia" w:ascii="宋体" w:hAnsi="宋体" w:eastAsia="宋体" w:cs="宋体"/>
                <w:color w:val="auto"/>
                <w:spacing w:val="0"/>
                <w:kern w:val="1"/>
                <w:sz w:val="22"/>
                <w:szCs w:val="22"/>
                <w:highlight w:val="none"/>
              </w:rPr>
            </w:pPr>
            <w:r>
              <w:rPr>
                <w:rFonts w:hint="eastAsia" w:ascii="宋体" w:hAnsi="宋体" w:eastAsia="宋体" w:cs="宋体"/>
                <w:color w:val="auto"/>
                <w:spacing w:val="0"/>
                <w:kern w:val="1"/>
                <w:sz w:val="22"/>
                <w:szCs w:val="22"/>
                <w:highlight w:val="none"/>
              </w:rPr>
              <w:t>14</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14:paraId="51A70164">
            <w:pPr>
              <w:jc w:val="center"/>
              <w:rPr>
                <w:rFonts w:hint="eastAsia"/>
                <w:color w:val="auto"/>
                <w:spacing w:val="0"/>
                <w:kern w:val="1"/>
                <w:sz w:val="22"/>
                <w:szCs w:val="22"/>
                <w:highlight w:val="none"/>
              </w:rPr>
            </w:pPr>
            <w:r>
              <w:rPr>
                <w:color w:val="auto"/>
                <w:spacing w:val="0"/>
                <w:kern w:val="1"/>
                <w:sz w:val="22"/>
                <w:szCs w:val="22"/>
                <w:highlight w:val="none"/>
              </w:rPr>
              <w:t>小微企业有关政策</w:t>
            </w:r>
          </w:p>
        </w:tc>
        <w:tc>
          <w:tcPr>
            <w:tcW w:w="7446" w:type="dxa"/>
            <w:tcBorders>
              <w:top w:val="single" w:color="000000" w:sz="4" w:space="0"/>
              <w:left w:val="single" w:color="000000" w:sz="4" w:space="0"/>
              <w:bottom w:val="single" w:color="000000" w:sz="4" w:space="0"/>
              <w:right w:val="single" w:color="000000" w:sz="4" w:space="0"/>
            </w:tcBorders>
            <w:noWrap w:val="0"/>
            <w:vAlign w:val="center"/>
          </w:tcPr>
          <w:p w14:paraId="57F6CA34">
            <w:pPr>
              <w:pStyle w:val="17"/>
              <w:ind w:firstLine="0"/>
              <w:rPr>
                <w:rFonts w:hint="eastAsia" w:ascii="Times New Roman" w:hAnsi="Times New Roman" w:cs="Times New Roman"/>
                <w:color w:val="auto"/>
                <w:spacing w:val="0"/>
                <w:sz w:val="22"/>
                <w:szCs w:val="22"/>
                <w:highlight w:val="none"/>
              </w:rPr>
            </w:pPr>
            <w:r>
              <w:rPr>
                <w:rFonts w:hint="eastAsia" w:ascii="Times New Roman" w:hAnsi="Times New Roman" w:cs="Times New Roman"/>
                <w:color w:val="auto"/>
                <w:spacing w:val="0"/>
                <w:sz w:val="22"/>
                <w:szCs w:val="22"/>
                <w:highlight w:val="none"/>
              </w:rPr>
              <w:t>本项目非专门面向中小企业采购，执行价格评审优惠。</w:t>
            </w:r>
          </w:p>
          <w:p w14:paraId="16ECEF64">
            <w:pPr>
              <w:pStyle w:val="17"/>
              <w:ind w:firstLine="0"/>
              <w:rPr>
                <w:rFonts w:hint="eastAsia" w:ascii="Times New Roman" w:hAnsi="Times New Roman" w:cs="Times New Roman"/>
                <w:color w:val="auto"/>
                <w:spacing w:val="0"/>
                <w:sz w:val="22"/>
                <w:szCs w:val="22"/>
                <w:highlight w:val="none"/>
              </w:rPr>
            </w:pPr>
            <w:r>
              <w:rPr>
                <w:rFonts w:hint="eastAsia" w:ascii="Times New Roman" w:hAnsi="Times New Roman" w:cs="Times New Roman"/>
                <w:color w:val="auto"/>
                <w:spacing w:val="0"/>
                <w:sz w:val="22"/>
                <w:szCs w:val="22"/>
                <w:highlight w:val="none"/>
              </w:rPr>
              <w:t>本项目对应的中小企业划分标准所属行业：其他未列明行业。《关于印发中小企业划型标准规定的通知》 （工信部联企业 (2011) 300 号） 中关于其他未列明行业划型标准如下: 从业人员300人以下的为中小微型企业。其中，从业人员100人及以上的为中型企业；从业人员10人及以上的为小型企业；从业人员10人以下的为微型企业。</w:t>
            </w:r>
          </w:p>
          <w:p w14:paraId="114C614F">
            <w:pPr>
              <w:pStyle w:val="17"/>
              <w:ind w:firstLine="0"/>
              <w:rPr>
                <w:rFonts w:hint="eastAsia" w:ascii="Times New Roman" w:hAnsi="Times New Roman" w:cs="Times New Roman"/>
                <w:color w:val="auto"/>
                <w:spacing w:val="0"/>
                <w:sz w:val="22"/>
                <w:szCs w:val="22"/>
                <w:highlight w:val="none"/>
              </w:rPr>
            </w:pPr>
            <w:r>
              <w:rPr>
                <w:rFonts w:hint="eastAsia" w:ascii="Times New Roman" w:hAnsi="Times New Roman" w:cs="Times New Roman"/>
                <w:color w:val="auto"/>
                <w:spacing w:val="0"/>
                <w:sz w:val="22"/>
                <w:szCs w:val="22"/>
                <w:highlight w:val="none"/>
                <w:lang w:eastAsia="zh-CN"/>
              </w:rPr>
              <w:t>1.</w:t>
            </w:r>
            <w:r>
              <w:rPr>
                <w:rFonts w:hint="eastAsia" w:ascii="Times New Roman" w:hAnsi="Times New Roman" w:cs="Times New Roman"/>
                <w:color w:val="auto"/>
                <w:spacing w:val="0"/>
                <w:sz w:val="22"/>
                <w:szCs w:val="22"/>
                <w:highlight w:val="none"/>
              </w:rPr>
              <w:t>根据符合《政府采购促进中小企业发展管理办法》（财库[2020]46号）及《关于进一步加大政府采购支持中小企业力度的通知》（财库[2022]19号）的相关规定的相关要求，对小微企业报价给予 20% 的扣除，用扣除后的价格参加评审；对于接受大中型企业与小微企业组成联合体或者允许大中型企业向一家或者多家小微企业分包的采购项目，对于联合协议或者分包意向协议约定小微企业的合同份额占到合同总金额 30% 以上的，对联合体或者大中型企业的报价给予 6% 的扣除，用扣除后的价格参加评审。享受相关中小企业扶持政策的投标人，应在投标文件中提供《中小企业声明函》。</w:t>
            </w:r>
          </w:p>
          <w:p w14:paraId="01FCB239">
            <w:pPr>
              <w:pStyle w:val="17"/>
              <w:ind w:firstLine="0"/>
              <w:rPr>
                <w:rFonts w:hint="eastAsia" w:ascii="Times New Roman" w:hAnsi="Times New Roman" w:cs="Times New Roman"/>
                <w:color w:val="auto"/>
                <w:spacing w:val="0"/>
                <w:sz w:val="22"/>
                <w:szCs w:val="22"/>
                <w:highlight w:val="none"/>
              </w:rPr>
            </w:pPr>
            <w:r>
              <w:rPr>
                <w:rFonts w:hint="eastAsia" w:ascii="Times New Roman" w:hAnsi="Times New Roman" w:cs="Times New Roman"/>
                <w:color w:val="auto"/>
                <w:spacing w:val="0"/>
                <w:sz w:val="22"/>
                <w:szCs w:val="22"/>
                <w:highlight w:val="none"/>
                <w:lang w:eastAsia="zh-CN"/>
              </w:rPr>
              <w:t>2.</w:t>
            </w:r>
            <w:r>
              <w:rPr>
                <w:rFonts w:hint="eastAsia" w:ascii="Times New Roman" w:hAnsi="Times New Roman" w:cs="Times New Roman"/>
                <w:color w:val="auto"/>
                <w:spacing w:val="0"/>
                <w:sz w:val="22"/>
                <w:szCs w:val="22"/>
                <w:highlight w:val="none"/>
              </w:rPr>
              <w:t>根据财库[2017]141号的相关规定，符合该文件第一条规定的残疾人福利性单位，视同小型、微型企业，享受评审中价格扣除政策。享受相关中小企业扶持政策的投标人，应在投标文件中提供残疾人福利性单位声明函。</w:t>
            </w:r>
          </w:p>
          <w:p w14:paraId="4E18D561">
            <w:pPr>
              <w:pStyle w:val="17"/>
              <w:ind w:firstLine="0"/>
              <w:rPr>
                <w:rFonts w:hint="eastAsia" w:ascii="Times New Roman" w:hAnsi="Times New Roman" w:cs="Times New Roman"/>
                <w:color w:val="auto"/>
                <w:spacing w:val="0"/>
                <w:sz w:val="22"/>
                <w:szCs w:val="22"/>
                <w:highlight w:val="none"/>
              </w:rPr>
            </w:pPr>
            <w:r>
              <w:rPr>
                <w:rFonts w:hint="eastAsia" w:ascii="Times New Roman" w:hAnsi="Times New Roman" w:cs="Times New Roman"/>
                <w:color w:val="auto"/>
                <w:spacing w:val="0"/>
                <w:sz w:val="22"/>
                <w:szCs w:val="22"/>
                <w:highlight w:val="none"/>
                <w:lang w:eastAsia="zh-CN"/>
              </w:rPr>
              <w:t>3.</w:t>
            </w:r>
            <w:r>
              <w:rPr>
                <w:rFonts w:hint="eastAsia" w:ascii="Times New Roman" w:hAnsi="Times New Roman" w:cs="Times New Roman"/>
                <w:color w:val="auto"/>
                <w:spacing w:val="0"/>
                <w:sz w:val="22"/>
                <w:szCs w:val="22"/>
                <w:highlight w:val="none"/>
              </w:rPr>
              <w:t>根据财库[2014]68号的相关规定，在政府采购活动中，监狱企业视同小型、微型企业，享受评审中价格扣除政策。享受相关中小企业扶持政策的投标人，应在投标文件中提供由省级以上监狱管理局、戒毒管理局（含新疆生产建设兵团）出具的属于监狱企业的声明文件。</w:t>
            </w:r>
          </w:p>
          <w:p w14:paraId="4AF3FF3D">
            <w:pPr>
              <w:pStyle w:val="17"/>
              <w:ind w:firstLine="0"/>
              <w:rPr>
                <w:rFonts w:hint="eastAsia" w:ascii="Times New Roman" w:hAnsi="Times New Roman" w:cs="Times New Roman"/>
                <w:color w:val="auto"/>
                <w:spacing w:val="0"/>
                <w:sz w:val="22"/>
                <w:szCs w:val="22"/>
                <w:highlight w:val="none"/>
              </w:rPr>
            </w:pPr>
            <w:r>
              <w:rPr>
                <w:rFonts w:hint="eastAsia" w:ascii="Times New Roman" w:hAnsi="Times New Roman" w:cs="Times New Roman"/>
                <w:color w:val="auto"/>
                <w:spacing w:val="0"/>
                <w:sz w:val="22"/>
                <w:szCs w:val="22"/>
                <w:highlight w:val="none"/>
                <w:lang w:eastAsia="zh-CN"/>
              </w:rPr>
              <w:t>4.</w:t>
            </w:r>
            <w:r>
              <w:rPr>
                <w:rFonts w:hint="eastAsia" w:ascii="Times New Roman" w:hAnsi="Times New Roman" w:cs="Times New Roman"/>
                <w:color w:val="auto"/>
                <w:spacing w:val="0"/>
                <w:sz w:val="22"/>
                <w:szCs w:val="22"/>
                <w:highlight w:val="none"/>
              </w:rPr>
              <w:t>以联合体形式参加政府采购活动，联合体各方均为中小企业的，联合体视同中小企业。其中，联合体各方均为小微企业的，联合体视同小微企业。</w:t>
            </w:r>
          </w:p>
          <w:p w14:paraId="36F2FADC">
            <w:pPr>
              <w:pStyle w:val="17"/>
              <w:ind w:firstLine="0"/>
              <w:rPr>
                <w:rFonts w:hint="eastAsia" w:ascii="Times New Roman" w:hAnsi="Times New Roman" w:cs="Times New Roman"/>
                <w:color w:val="auto"/>
                <w:spacing w:val="0"/>
                <w:sz w:val="22"/>
                <w:szCs w:val="22"/>
                <w:highlight w:val="none"/>
              </w:rPr>
            </w:pPr>
            <w:r>
              <w:rPr>
                <w:rFonts w:hint="eastAsia" w:ascii="Times New Roman" w:hAnsi="Times New Roman" w:cs="Times New Roman"/>
                <w:color w:val="auto"/>
                <w:spacing w:val="0"/>
                <w:sz w:val="22"/>
                <w:szCs w:val="22"/>
                <w:highlight w:val="none"/>
                <w:lang w:eastAsia="zh-CN"/>
              </w:rPr>
              <w:t>5.</w:t>
            </w:r>
            <w:r>
              <w:rPr>
                <w:rFonts w:hint="eastAsia" w:ascii="Times New Roman" w:hAnsi="Times New Roman" w:cs="Times New Roman"/>
                <w:color w:val="auto"/>
                <w:spacing w:val="0"/>
                <w:sz w:val="22"/>
                <w:szCs w:val="22"/>
                <w:highlight w:val="none"/>
              </w:rPr>
              <w:t>中小企业享受扶持政策获得政府采购合同的，小微企业不得将合同分包给大中型企业，中型企业不得将合同分包给大型企业。</w:t>
            </w:r>
          </w:p>
          <w:p w14:paraId="01DFD887">
            <w:pPr>
              <w:pStyle w:val="17"/>
              <w:ind w:firstLine="0"/>
              <w:rPr>
                <w:rFonts w:hint="eastAsia" w:ascii="Times New Roman" w:hAnsi="Times New Roman" w:cs="Times New Roman"/>
                <w:color w:val="auto"/>
                <w:spacing w:val="0"/>
                <w:sz w:val="22"/>
                <w:szCs w:val="22"/>
                <w:highlight w:val="none"/>
              </w:rPr>
            </w:pPr>
            <w:r>
              <w:rPr>
                <w:rFonts w:hint="eastAsia" w:ascii="Times New Roman" w:hAnsi="Times New Roman" w:cs="Times New Roman"/>
                <w:color w:val="auto"/>
                <w:spacing w:val="0"/>
                <w:sz w:val="22"/>
                <w:szCs w:val="22"/>
                <w:highlight w:val="none"/>
              </w:rPr>
              <w:t>（注：未提供以上材料的，均不给予价格扣除）。</w:t>
            </w:r>
          </w:p>
        </w:tc>
      </w:tr>
      <w:tr w14:paraId="5060EAAE">
        <w:tblPrEx>
          <w:tblCellMar>
            <w:top w:w="0" w:type="dxa"/>
            <w:left w:w="108" w:type="dxa"/>
            <w:bottom w:w="0" w:type="dxa"/>
            <w:right w:w="108" w:type="dxa"/>
          </w:tblCellMar>
        </w:tblPrEx>
        <w:trPr>
          <w:trHeight w:val="23" w:hRule="atLeast"/>
          <w:jc w:val="center"/>
        </w:trPr>
        <w:tc>
          <w:tcPr>
            <w:tcW w:w="669" w:type="dxa"/>
            <w:tcBorders>
              <w:top w:val="single" w:color="000000" w:sz="4" w:space="0"/>
              <w:left w:val="single" w:color="000000" w:sz="4" w:space="0"/>
              <w:bottom w:val="single" w:color="000000" w:sz="4" w:space="0"/>
              <w:right w:val="single" w:color="000000" w:sz="4" w:space="0"/>
            </w:tcBorders>
            <w:noWrap w:val="0"/>
            <w:vAlign w:val="center"/>
          </w:tcPr>
          <w:p w14:paraId="126D4621">
            <w:pPr>
              <w:jc w:val="center"/>
              <w:rPr>
                <w:rFonts w:hint="default" w:ascii="宋体" w:hAnsi="宋体" w:eastAsia="宋体" w:cs="宋体"/>
                <w:color w:val="auto"/>
                <w:spacing w:val="0"/>
                <w:kern w:val="1"/>
                <w:sz w:val="22"/>
                <w:szCs w:val="22"/>
                <w:highlight w:val="none"/>
                <w:lang w:val="en-US" w:eastAsia="zh-CN"/>
              </w:rPr>
            </w:pPr>
            <w:r>
              <w:rPr>
                <w:rFonts w:hint="eastAsia" w:ascii="宋体" w:hAnsi="宋体" w:cs="宋体"/>
                <w:color w:val="auto"/>
                <w:spacing w:val="0"/>
                <w:kern w:val="1"/>
                <w:sz w:val="22"/>
                <w:szCs w:val="22"/>
                <w:highlight w:val="none"/>
                <w:lang w:val="en-US" w:eastAsia="zh-CN"/>
              </w:rPr>
              <w:t>15</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14:paraId="3E2E72A5">
            <w:pPr>
              <w:jc w:val="center"/>
              <w:rPr>
                <w:rFonts w:hint="eastAsia" w:ascii="宋体" w:hAnsi="宋体" w:eastAsia="宋体" w:cs="宋体"/>
                <w:color w:val="auto"/>
                <w:spacing w:val="0"/>
                <w:kern w:val="1"/>
                <w:sz w:val="22"/>
                <w:szCs w:val="22"/>
                <w:highlight w:val="none"/>
              </w:rPr>
            </w:pPr>
            <w:r>
              <w:rPr>
                <w:rFonts w:hint="eastAsia" w:ascii="宋体" w:hAnsi="宋体" w:eastAsia="宋体" w:cs="宋体"/>
                <w:color w:val="auto"/>
                <w:spacing w:val="0"/>
                <w:kern w:val="1"/>
                <w:sz w:val="22"/>
                <w:szCs w:val="22"/>
                <w:highlight w:val="none"/>
              </w:rPr>
              <w:t>政府采购节能环保产品</w:t>
            </w:r>
          </w:p>
        </w:tc>
        <w:tc>
          <w:tcPr>
            <w:tcW w:w="7446" w:type="dxa"/>
            <w:tcBorders>
              <w:top w:val="single" w:color="000000" w:sz="4" w:space="0"/>
              <w:left w:val="single" w:color="000000" w:sz="4" w:space="0"/>
              <w:bottom w:val="single" w:color="000000" w:sz="4" w:space="0"/>
              <w:right w:val="single" w:color="000000" w:sz="4" w:space="0"/>
            </w:tcBorders>
            <w:noWrap w:val="0"/>
            <w:vAlign w:val="center"/>
          </w:tcPr>
          <w:p w14:paraId="6312E1BD">
            <w:pPr>
              <w:pStyle w:val="17"/>
              <w:ind w:firstLine="0"/>
              <w:rPr>
                <w:rFonts w:hint="eastAsia" w:ascii="Times New Roman" w:hAnsi="Times New Roman" w:cs="Times New Roman"/>
                <w:color w:val="auto"/>
                <w:spacing w:val="0"/>
                <w:sz w:val="22"/>
                <w:szCs w:val="22"/>
                <w:highlight w:val="none"/>
              </w:rPr>
            </w:pPr>
            <w:r>
              <w:rPr>
                <w:rFonts w:hint="eastAsia" w:cs="Times New Roman"/>
                <w:color w:val="auto"/>
                <w:spacing w:val="0"/>
                <w:sz w:val="22"/>
                <w:szCs w:val="22"/>
                <w:highlight w:val="none"/>
                <w:lang w:eastAsia="zh-CN"/>
              </w:rPr>
              <w:t>1.</w:t>
            </w:r>
            <w:r>
              <w:rPr>
                <w:rFonts w:hint="eastAsia" w:ascii="Times New Roman" w:hAnsi="Times New Roman" w:cs="Times New Roman"/>
                <w:color w:val="auto"/>
                <w:spacing w:val="0"/>
                <w:sz w:val="22"/>
                <w:szCs w:val="22"/>
                <w:highlight w:val="none"/>
              </w:rPr>
              <w:t>根据财政部 发展改革委 生态环境部 市场监管总局关于调整优化节能产品、环境标志产品政府采购执行机制的通知财库〔2019〕9号文件要求，投标人所投产品如属于节能产品政府采购品目清单或环境标志产品政府采购品目清单内的，投标人所投的相应产品须在中国政府采购网节能清单查询目录（</w:t>
            </w:r>
            <w:r>
              <w:rPr>
                <w:rFonts w:hint="eastAsia" w:ascii="Times New Roman" w:hAnsi="Times New Roman" w:cs="Times New Roman"/>
                <w:color w:val="auto"/>
                <w:spacing w:val="0"/>
                <w:sz w:val="22"/>
                <w:szCs w:val="22"/>
                <w:highlight w:val="none"/>
                <w:lang w:eastAsia="zh-CN"/>
              </w:rPr>
              <w:t>http:</w:t>
            </w:r>
            <w:r>
              <w:rPr>
                <w:rFonts w:hint="eastAsia" w:ascii="Times New Roman" w:hAnsi="Times New Roman" w:cs="Times New Roman"/>
                <w:color w:val="auto"/>
                <w:spacing w:val="0"/>
                <w:sz w:val="22"/>
                <w:szCs w:val="22"/>
                <w:highlight w:val="none"/>
              </w:rPr>
              <w:t>//www.ccgp.gov.cn/search/jnqdchaxun.htm）或环保清单查询目录（</w:t>
            </w:r>
            <w:r>
              <w:rPr>
                <w:rFonts w:hint="eastAsia" w:ascii="Times New Roman" w:hAnsi="Times New Roman" w:cs="Times New Roman"/>
                <w:color w:val="auto"/>
                <w:spacing w:val="0"/>
                <w:sz w:val="22"/>
                <w:szCs w:val="22"/>
                <w:highlight w:val="none"/>
                <w:lang w:eastAsia="zh-CN"/>
              </w:rPr>
              <w:t>http:</w:t>
            </w:r>
            <w:r>
              <w:rPr>
                <w:rFonts w:hint="eastAsia" w:ascii="Times New Roman" w:hAnsi="Times New Roman" w:cs="Times New Roman"/>
                <w:color w:val="auto"/>
                <w:spacing w:val="0"/>
                <w:sz w:val="22"/>
                <w:szCs w:val="22"/>
                <w:highlight w:val="none"/>
              </w:rPr>
              <w:t>//www.ccgp.gov.cn/search/hbqdchaxun.htm）中可查询到。</w:t>
            </w:r>
          </w:p>
          <w:p w14:paraId="5F322600">
            <w:pPr>
              <w:pStyle w:val="17"/>
              <w:ind w:firstLine="0"/>
              <w:rPr>
                <w:rFonts w:hint="eastAsia" w:ascii="Times New Roman" w:hAnsi="Times New Roman" w:cs="Times New Roman"/>
                <w:color w:val="auto"/>
                <w:spacing w:val="0"/>
                <w:sz w:val="22"/>
                <w:szCs w:val="22"/>
                <w:highlight w:val="none"/>
              </w:rPr>
            </w:pPr>
            <w:r>
              <w:rPr>
                <w:rFonts w:hint="eastAsia" w:ascii="Times New Roman" w:hAnsi="Times New Roman" w:cs="Times New Roman"/>
                <w:color w:val="auto"/>
                <w:spacing w:val="0"/>
                <w:sz w:val="22"/>
                <w:szCs w:val="22"/>
                <w:highlight w:val="none"/>
              </w:rPr>
              <w:t>★</w:t>
            </w:r>
            <w:r>
              <w:rPr>
                <w:rFonts w:hint="eastAsia" w:cs="Times New Roman"/>
                <w:color w:val="auto"/>
                <w:spacing w:val="0"/>
                <w:sz w:val="22"/>
                <w:szCs w:val="22"/>
                <w:highlight w:val="none"/>
                <w:lang w:eastAsia="zh-CN"/>
              </w:rPr>
              <w:t>2.</w:t>
            </w:r>
            <w:r>
              <w:rPr>
                <w:rFonts w:hint="eastAsia" w:ascii="Times New Roman" w:hAnsi="Times New Roman" w:cs="Times New Roman"/>
                <w:color w:val="auto"/>
                <w:spacing w:val="0"/>
                <w:sz w:val="22"/>
                <w:szCs w:val="22"/>
                <w:highlight w:val="none"/>
              </w:rPr>
              <w:t>招标需求中要求提供的产品属于节能产品政府采购品目清单中强制采购的，投标人须提供该清单内产品，否则其投标将作为无效标处理。</w:t>
            </w:r>
          </w:p>
        </w:tc>
      </w:tr>
      <w:tr w14:paraId="513BA8A2">
        <w:tblPrEx>
          <w:tblCellMar>
            <w:top w:w="0" w:type="dxa"/>
            <w:left w:w="108" w:type="dxa"/>
            <w:bottom w:w="0" w:type="dxa"/>
            <w:right w:w="108" w:type="dxa"/>
          </w:tblCellMar>
        </w:tblPrEx>
        <w:trPr>
          <w:trHeight w:val="23" w:hRule="atLeast"/>
          <w:jc w:val="center"/>
        </w:trPr>
        <w:tc>
          <w:tcPr>
            <w:tcW w:w="669" w:type="dxa"/>
            <w:tcBorders>
              <w:top w:val="single" w:color="000000" w:sz="4" w:space="0"/>
              <w:left w:val="single" w:color="000000" w:sz="4" w:space="0"/>
              <w:bottom w:val="single" w:color="000000" w:sz="4" w:space="0"/>
              <w:right w:val="single" w:color="000000" w:sz="4" w:space="0"/>
            </w:tcBorders>
            <w:noWrap w:val="0"/>
            <w:vAlign w:val="center"/>
          </w:tcPr>
          <w:p w14:paraId="0B81E32D">
            <w:pPr>
              <w:jc w:val="center"/>
              <w:rPr>
                <w:rFonts w:hint="eastAsia" w:ascii="宋体" w:hAnsi="宋体" w:eastAsia="宋体" w:cs="宋体"/>
                <w:color w:val="auto"/>
                <w:spacing w:val="0"/>
                <w:kern w:val="1"/>
                <w:sz w:val="22"/>
                <w:szCs w:val="22"/>
                <w:highlight w:val="none"/>
                <w:lang w:val="en-US" w:eastAsia="zh-CN"/>
              </w:rPr>
            </w:pPr>
            <w:r>
              <w:rPr>
                <w:rFonts w:hint="eastAsia" w:ascii="宋体" w:hAnsi="宋体" w:eastAsia="宋体" w:cs="宋体"/>
                <w:color w:val="auto"/>
                <w:spacing w:val="0"/>
                <w:kern w:val="1"/>
                <w:sz w:val="22"/>
                <w:szCs w:val="22"/>
                <w:highlight w:val="none"/>
              </w:rPr>
              <w:t>1</w:t>
            </w:r>
            <w:r>
              <w:rPr>
                <w:rFonts w:hint="eastAsia" w:ascii="宋体" w:hAnsi="宋体" w:cs="宋体"/>
                <w:color w:val="auto"/>
                <w:spacing w:val="0"/>
                <w:kern w:val="1"/>
                <w:sz w:val="22"/>
                <w:szCs w:val="22"/>
                <w:highlight w:val="none"/>
                <w:lang w:val="en-US" w:eastAsia="zh-CN"/>
              </w:rPr>
              <w:t>6</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14:paraId="62690905">
            <w:pPr>
              <w:jc w:val="center"/>
              <w:rPr>
                <w:rFonts w:hint="eastAsia" w:ascii="宋体" w:hAnsi="宋体" w:eastAsia="宋体" w:cs="宋体"/>
                <w:color w:val="auto"/>
                <w:spacing w:val="0"/>
                <w:kern w:val="1"/>
                <w:sz w:val="22"/>
                <w:szCs w:val="22"/>
                <w:highlight w:val="none"/>
              </w:rPr>
            </w:pPr>
            <w:r>
              <w:rPr>
                <w:rFonts w:hint="eastAsia" w:ascii="宋体" w:hAnsi="宋体" w:eastAsia="宋体" w:cs="宋体"/>
                <w:color w:val="auto"/>
                <w:spacing w:val="0"/>
                <w:kern w:val="1"/>
                <w:sz w:val="22"/>
                <w:szCs w:val="22"/>
                <w:highlight w:val="none"/>
              </w:rPr>
              <w:t>信用融资</w:t>
            </w:r>
          </w:p>
        </w:tc>
        <w:tc>
          <w:tcPr>
            <w:tcW w:w="7446" w:type="dxa"/>
            <w:tcBorders>
              <w:top w:val="single" w:color="000000" w:sz="4" w:space="0"/>
              <w:left w:val="single" w:color="000000" w:sz="4" w:space="0"/>
              <w:bottom w:val="single" w:color="000000" w:sz="4" w:space="0"/>
              <w:right w:val="single" w:color="000000" w:sz="4" w:space="0"/>
            </w:tcBorders>
            <w:noWrap w:val="0"/>
            <w:vAlign w:val="center"/>
          </w:tcPr>
          <w:p w14:paraId="48442C17">
            <w:pPr>
              <w:rPr>
                <w:rFonts w:hint="eastAsia" w:ascii="宋体" w:hAnsi="宋体" w:eastAsia="宋体" w:cs="宋体"/>
                <w:color w:val="auto"/>
                <w:spacing w:val="0"/>
                <w:kern w:val="1"/>
                <w:sz w:val="22"/>
                <w:szCs w:val="22"/>
                <w:highlight w:val="none"/>
              </w:rPr>
            </w:pPr>
            <w:r>
              <w:rPr>
                <w:rFonts w:hint="eastAsia" w:ascii="宋体" w:hAnsi="宋体" w:eastAsia="宋体" w:cs="宋体"/>
                <w:color w:val="auto"/>
                <w:spacing w:val="0"/>
                <w:kern w:val="1"/>
                <w:sz w:val="22"/>
                <w:szCs w:val="22"/>
                <w:highlight w:val="none"/>
              </w:rPr>
              <w:t>为支持和促进中小企业发展，进一步发挥政府采购政策功能，根据《浙江省财政厅关于进一步发挥政府采购政策 功能全力推动经济稳进提质的通知》（浙财采监〔2022〕3号），供应商若有融资意向，登录政府采购云平台“金融支撑”栏目进行查询，查看各相关银行服务方案。</w:t>
            </w:r>
          </w:p>
        </w:tc>
      </w:tr>
      <w:tr w14:paraId="60308D45">
        <w:tblPrEx>
          <w:tblCellMar>
            <w:top w:w="0" w:type="dxa"/>
            <w:left w:w="108" w:type="dxa"/>
            <w:bottom w:w="0" w:type="dxa"/>
            <w:right w:w="108" w:type="dxa"/>
          </w:tblCellMar>
        </w:tblPrEx>
        <w:trPr>
          <w:trHeight w:val="760" w:hRule="atLeast"/>
          <w:jc w:val="center"/>
        </w:trPr>
        <w:tc>
          <w:tcPr>
            <w:tcW w:w="669" w:type="dxa"/>
            <w:tcBorders>
              <w:top w:val="single" w:color="000000" w:sz="4" w:space="0"/>
              <w:left w:val="single" w:color="000000" w:sz="4" w:space="0"/>
              <w:bottom w:val="single" w:color="000000" w:sz="4" w:space="0"/>
              <w:right w:val="single" w:color="000000" w:sz="4" w:space="0"/>
            </w:tcBorders>
            <w:noWrap w:val="0"/>
            <w:vAlign w:val="center"/>
          </w:tcPr>
          <w:p w14:paraId="24417087">
            <w:pPr>
              <w:jc w:val="center"/>
              <w:rPr>
                <w:rFonts w:hint="eastAsia" w:ascii="宋体" w:hAnsi="宋体" w:eastAsia="宋体" w:cs="宋体"/>
                <w:color w:val="auto"/>
                <w:spacing w:val="0"/>
                <w:kern w:val="1"/>
                <w:sz w:val="22"/>
                <w:szCs w:val="22"/>
                <w:highlight w:val="none"/>
                <w:lang w:val="en-US" w:eastAsia="zh-CN"/>
              </w:rPr>
            </w:pPr>
            <w:r>
              <w:rPr>
                <w:rFonts w:hint="eastAsia" w:ascii="宋体" w:hAnsi="宋体" w:eastAsia="宋体" w:cs="宋体"/>
                <w:color w:val="auto"/>
                <w:spacing w:val="0"/>
                <w:kern w:val="1"/>
                <w:sz w:val="22"/>
                <w:szCs w:val="22"/>
                <w:highlight w:val="none"/>
              </w:rPr>
              <w:t>1</w:t>
            </w:r>
            <w:r>
              <w:rPr>
                <w:rFonts w:hint="eastAsia" w:ascii="宋体" w:hAnsi="宋体" w:cs="宋体"/>
                <w:color w:val="auto"/>
                <w:spacing w:val="0"/>
                <w:kern w:val="1"/>
                <w:sz w:val="22"/>
                <w:szCs w:val="22"/>
                <w:highlight w:val="none"/>
                <w:lang w:val="en-US" w:eastAsia="zh-CN"/>
              </w:rPr>
              <w:t>7</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14:paraId="39886844">
            <w:pPr>
              <w:jc w:val="center"/>
              <w:rPr>
                <w:rFonts w:hint="eastAsia" w:ascii="宋体" w:hAnsi="宋体" w:eastAsia="宋体" w:cs="宋体"/>
                <w:b/>
                <w:color w:val="auto"/>
                <w:spacing w:val="0"/>
                <w:kern w:val="1"/>
                <w:sz w:val="22"/>
                <w:szCs w:val="22"/>
                <w:highlight w:val="none"/>
              </w:rPr>
            </w:pPr>
            <w:r>
              <w:rPr>
                <w:rFonts w:hint="eastAsia" w:ascii="宋体" w:hAnsi="宋体" w:eastAsia="宋体" w:cs="宋体"/>
                <w:color w:val="auto"/>
                <w:spacing w:val="0"/>
                <w:kern w:val="1"/>
                <w:sz w:val="22"/>
                <w:szCs w:val="22"/>
                <w:highlight w:val="none"/>
              </w:rPr>
              <w:t>失信行为处理</w:t>
            </w:r>
          </w:p>
        </w:tc>
        <w:tc>
          <w:tcPr>
            <w:tcW w:w="7446" w:type="dxa"/>
            <w:tcBorders>
              <w:top w:val="single" w:color="000000" w:sz="4" w:space="0"/>
              <w:left w:val="single" w:color="000000" w:sz="4" w:space="0"/>
              <w:bottom w:val="single" w:color="000000" w:sz="4" w:space="0"/>
              <w:right w:val="single" w:color="000000" w:sz="4" w:space="0"/>
            </w:tcBorders>
            <w:noWrap w:val="0"/>
            <w:vAlign w:val="center"/>
          </w:tcPr>
          <w:p w14:paraId="3EF65370">
            <w:pPr>
              <w:rPr>
                <w:rFonts w:hint="eastAsia" w:ascii="宋体" w:hAnsi="宋体" w:eastAsia="宋体" w:cs="宋体"/>
                <w:color w:val="auto"/>
                <w:spacing w:val="0"/>
                <w:sz w:val="22"/>
                <w:szCs w:val="22"/>
                <w:highlight w:val="none"/>
              </w:rPr>
            </w:pPr>
            <w:r>
              <w:rPr>
                <w:rFonts w:hint="eastAsia" w:ascii="宋体" w:hAnsi="宋体" w:eastAsia="宋体" w:cs="宋体"/>
                <w:color w:val="auto"/>
                <w:spacing w:val="0"/>
                <w:sz w:val="22"/>
                <w:szCs w:val="22"/>
                <w:highlight w:val="none"/>
              </w:rPr>
              <w:t>投标人发生下列情况之一时，将按严重失信行为上报信用办记入政府采购严重失信行为记录名单：</w:t>
            </w:r>
          </w:p>
          <w:p w14:paraId="56DADFC3">
            <w:pPr>
              <w:rPr>
                <w:rFonts w:hint="eastAsia" w:ascii="宋体" w:hAnsi="宋体" w:eastAsia="宋体" w:cs="宋体"/>
                <w:color w:val="auto"/>
                <w:spacing w:val="0"/>
                <w:sz w:val="22"/>
                <w:szCs w:val="22"/>
                <w:highlight w:val="none"/>
              </w:rPr>
            </w:pPr>
            <w:r>
              <w:rPr>
                <w:rFonts w:hint="eastAsia" w:ascii="宋体" w:hAnsi="宋体" w:eastAsia="宋体" w:cs="宋体"/>
                <w:color w:val="auto"/>
                <w:spacing w:val="0"/>
                <w:sz w:val="22"/>
                <w:szCs w:val="22"/>
                <w:highlight w:val="none"/>
              </w:rPr>
              <w:t>（1）投标人在规定的投标有效期内撤回投标或放弃中标的；</w:t>
            </w:r>
          </w:p>
          <w:p w14:paraId="3F7584BA">
            <w:pPr>
              <w:rPr>
                <w:rFonts w:hint="eastAsia" w:ascii="宋体" w:hAnsi="宋体" w:eastAsia="宋体" w:cs="宋体"/>
                <w:color w:val="auto"/>
                <w:spacing w:val="0"/>
                <w:sz w:val="22"/>
                <w:szCs w:val="22"/>
                <w:highlight w:val="none"/>
              </w:rPr>
            </w:pPr>
            <w:r>
              <w:rPr>
                <w:rFonts w:hint="eastAsia" w:ascii="宋体" w:hAnsi="宋体" w:eastAsia="宋体" w:cs="宋体"/>
                <w:color w:val="auto"/>
                <w:spacing w:val="0"/>
                <w:sz w:val="22"/>
                <w:szCs w:val="22"/>
                <w:highlight w:val="none"/>
              </w:rPr>
              <w:t>（2）有意串标或提供虚假材料的；</w:t>
            </w:r>
          </w:p>
          <w:p w14:paraId="254C5AEC">
            <w:pPr>
              <w:rPr>
                <w:rFonts w:hint="eastAsia" w:ascii="宋体" w:hAnsi="宋体" w:eastAsia="宋体" w:cs="宋体"/>
                <w:color w:val="auto"/>
                <w:spacing w:val="0"/>
                <w:sz w:val="22"/>
                <w:szCs w:val="22"/>
                <w:highlight w:val="none"/>
              </w:rPr>
            </w:pPr>
            <w:r>
              <w:rPr>
                <w:rFonts w:hint="eastAsia" w:ascii="宋体" w:hAnsi="宋体" w:eastAsia="宋体" w:cs="宋体"/>
                <w:color w:val="auto"/>
                <w:spacing w:val="0"/>
                <w:sz w:val="22"/>
                <w:szCs w:val="22"/>
                <w:highlight w:val="none"/>
              </w:rPr>
              <w:t>（3）中标人在收到中标通知书后，因自身原因不能在投标有效期内和采购人签订合同；</w:t>
            </w:r>
          </w:p>
          <w:p w14:paraId="18DB3F04">
            <w:pPr>
              <w:rPr>
                <w:rFonts w:hint="eastAsia" w:ascii="宋体" w:hAnsi="宋体" w:eastAsia="宋体" w:cs="宋体"/>
                <w:color w:val="auto"/>
                <w:spacing w:val="0"/>
                <w:sz w:val="22"/>
                <w:szCs w:val="22"/>
                <w:highlight w:val="none"/>
              </w:rPr>
            </w:pPr>
            <w:r>
              <w:rPr>
                <w:rFonts w:hint="eastAsia" w:ascii="宋体" w:hAnsi="宋体" w:eastAsia="宋体" w:cs="宋体"/>
                <w:color w:val="auto"/>
                <w:spacing w:val="0"/>
                <w:sz w:val="22"/>
                <w:szCs w:val="22"/>
                <w:highlight w:val="none"/>
              </w:rPr>
              <w:t>（4）中标供应商在标后履约过程中未按合同约定的期限和要求履约的；</w:t>
            </w:r>
          </w:p>
          <w:p w14:paraId="51B208F0">
            <w:pPr>
              <w:rPr>
                <w:rFonts w:hint="eastAsia" w:ascii="宋体" w:hAnsi="宋体" w:eastAsia="宋体" w:cs="宋体"/>
                <w:color w:val="auto"/>
                <w:spacing w:val="0"/>
                <w:sz w:val="22"/>
                <w:szCs w:val="22"/>
                <w:highlight w:val="none"/>
              </w:rPr>
            </w:pPr>
            <w:r>
              <w:rPr>
                <w:rFonts w:hint="eastAsia" w:ascii="宋体" w:hAnsi="宋体" w:eastAsia="宋体" w:cs="宋体"/>
                <w:color w:val="auto"/>
                <w:spacing w:val="0"/>
                <w:sz w:val="22"/>
                <w:szCs w:val="22"/>
                <w:highlight w:val="none"/>
              </w:rPr>
              <w:t>（5）因中标供应商原因在标后履约过程中擅自终止合同的；</w:t>
            </w:r>
          </w:p>
          <w:p w14:paraId="21FF75F1">
            <w:pPr>
              <w:rPr>
                <w:rFonts w:hint="eastAsia" w:ascii="宋体" w:hAnsi="宋体" w:eastAsia="宋体" w:cs="宋体"/>
                <w:color w:val="auto"/>
                <w:spacing w:val="0"/>
                <w:sz w:val="22"/>
                <w:szCs w:val="22"/>
                <w:highlight w:val="none"/>
              </w:rPr>
            </w:pPr>
            <w:r>
              <w:rPr>
                <w:rFonts w:hint="eastAsia" w:ascii="宋体" w:hAnsi="宋体" w:eastAsia="宋体" w:cs="宋体"/>
                <w:color w:val="auto"/>
                <w:spacing w:val="0"/>
                <w:sz w:val="22"/>
                <w:szCs w:val="22"/>
                <w:highlight w:val="none"/>
              </w:rPr>
              <w:t>（6）不符合招标文件要求的其他失信行为；</w:t>
            </w:r>
          </w:p>
          <w:p w14:paraId="5221C610">
            <w:pPr>
              <w:rPr>
                <w:rFonts w:hint="eastAsia" w:ascii="宋体" w:hAnsi="宋体" w:eastAsia="宋体" w:cs="宋体"/>
                <w:color w:val="auto"/>
                <w:spacing w:val="0"/>
                <w:sz w:val="22"/>
                <w:szCs w:val="22"/>
                <w:highlight w:val="none"/>
              </w:rPr>
            </w:pPr>
            <w:r>
              <w:rPr>
                <w:rFonts w:hint="eastAsia" w:ascii="宋体" w:hAnsi="宋体" w:eastAsia="宋体" w:cs="宋体"/>
                <w:color w:val="auto"/>
                <w:spacing w:val="0"/>
                <w:sz w:val="22"/>
                <w:szCs w:val="22"/>
                <w:highlight w:val="none"/>
              </w:rPr>
              <w:t>（7）中标人未按招标文件规定缴纳招标代理费的。</w:t>
            </w:r>
          </w:p>
        </w:tc>
      </w:tr>
      <w:tr w14:paraId="2D112BEE">
        <w:tblPrEx>
          <w:tblCellMar>
            <w:top w:w="0" w:type="dxa"/>
            <w:left w:w="108" w:type="dxa"/>
            <w:bottom w:w="0" w:type="dxa"/>
            <w:right w:w="108" w:type="dxa"/>
          </w:tblCellMar>
        </w:tblPrEx>
        <w:trPr>
          <w:trHeight w:val="1594" w:hRule="atLeast"/>
          <w:jc w:val="center"/>
        </w:trPr>
        <w:tc>
          <w:tcPr>
            <w:tcW w:w="669" w:type="dxa"/>
            <w:tcBorders>
              <w:top w:val="single" w:color="000000" w:sz="4" w:space="0"/>
              <w:left w:val="single" w:color="000000" w:sz="4" w:space="0"/>
              <w:bottom w:val="single" w:color="000000" w:sz="4" w:space="0"/>
              <w:right w:val="single" w:color="000000" w:sz="4" w:space="0"/>
            </w:tcBorders>
            <w:noWrap w:val="0"/>
            <w:vAlign w:val="center"/>
          </w:tcPr>
          <w:p w14:paraId="6D627B6D">
            <w:pPr>
              <w:jc w:val="center"/>
              <w:rPr>
                <w:rFonts w:hint="eastAsia" w:ascii="宋体" w:hAnsi="宋体" w:eastAsia="宋体" w:cs="宋体"/>
                <w:color w:val="auto"/>
                <w:spacing w:val="0"/>
                <w:kern w:val="1"/>
                <w:sz w:val="22"/>
                <w:szCs w:val="22"/>
                <w:highlight w:val="none"/>
                <w:lang w:val="en-US" w:eastAsia="zh-CN"/>
              </w:rPr>
            </w:pPr>
            <w:r>
              <w:rPr>
                <w:rFonts w:hint="eastAsia" w:ascii="宋体" w:hAnsi="宋体" w:eastAsia="宋体" w:cs="宋体"/>
                <w:color w:val="auto"/>
                <w:spacing w:val="0"/>
                <w:kern w:val="1"/>
                <w:sz w:val="22"/>
                <w:szCs w:val="22"/>
                <w:highlight w:val="none"/>
              </w:rPr>
              <w:t>1</w:t>
            </w:r>
            <w:r>
              <w:rPr>
                <w:rFonts w:hint="eastAsia" w:ascii="宋体" w:hAnsi="宋体" w:cs="宋体"/>
                <w:color w:val="auto"/>
                <w:spacing w:val="0"/>
                <w:kern w:val="1"/>
                <w:sz w:val="22"/>
                <w:szCs w:val="22"/>
                <w:highlight w:val="none"/>
                <w:lang w:val="en-US" w:eastAsia="zh-CN"/>
              </w:rPr>
              <w:t>8</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14:paraId="001A9B2D">
            <w:pPr>
              <w:jc w:val="center"/>
              <w:rPr>
                <w:rFonts w:hint="eastAsia" w:ascii="宋体" w:hAnsi="宋体" w:eastAsia="宋体" w:cs="宋体"/>
                <w:color w:val="auto"/>
                <w:spacing w:val="0"/>
                <w:kern w:val="1"/>
                <w:sz w:val="22"/>
                <w:szCs w:val="22"/>
                <w:highlight w:val="none"/>
              </w:rPr>
            </w:pPr>
            <w:r>
              <w:rPr>
                <w:rFonts w:hint="eastAsia" w:ascii="宋体" w:hAnsi="宋体" w:eastAsia="宋体" w:cs="宋体"/>
                <w:color w:val="auto"/>
                <w:spacing w:val="0"/>
                <w:kern w:val="1"/>
                <w:sz w:val="22"/>
                <w:szCs w:val="22"/>
                <w:highlight w:val="none"/>
              </w:rPr>
              <w:t>供应商注册</w:t>
            </w:r>
          </w:p>
        </w:tc>
        <w:tc>
          <w:tcPr>
            <w:tcW w:w="7446" w:type="dxa"/>
            <w:tcBorders>
              <w:top w:val="single" w:color="000000" w:sz="4" w:space="0"/>
              <w:left w:val="single" w:color="000000" w:sz="4" w:space="0"/>
              <w:bottom w:val="single" w:color="000000" w:sz="4" w:space="0"/>
              <w:right w:val="single" w:color="000000" w:sz="4" w:space="0"/>
            </w:tcBorders>
            <w:noWrap w:val="0"/>
            <w:vAlign w:val="center"/>
          </w:tcPr>
          <w:p w14:paraId="672FC933">
            <w:pPr>
              <w:rPr>
                <w:rFonts w:hint="eastAsia" w:ascii="宋体" w:hAnsi="宋体" w:eastAsia="宋体" w:cs="宋体"/>
                <w:color w:val="auto"/>
                <w:spacing w:val="0"/>
                <w:sz w:val="22"/>
                <w:szCs w:val="22"/>
                <w:highlight w:val="none"/>
              </w:rPr>
            </w:pPr>
            <w:r>
              <w:rPr>
                <w:rFonts w:hint="eastAsia" w:ascii="宋体" w:hAnsi="宋体" w:eastAsia="宋体" w:cs="宋体"/>
                <w:color w:val="auto"/>
                <w:spacing w:val="0"/>
                <w:sz w:val="22"/>
                <w:szCs w:val="22"/>
                <w:highlight w:val="none"/>
              </w:rPr>
              <w:t>供应商注册：供应商须在浙江省政府采购网供应商库注册成为正式供应商（根据浙财采监字</w:t>
            </w:r>
            <w:r>
              <w:rPr>
                <w:rFonts w:hint="eastAsia" w:ascii="宋体" w:hAnsi="宋体" w:cs="宋体"/>
                <w:color w:val="auto"/>
                <w:spacing w:val="0"/>
                <w:sz w:val="22"/>
                <w:szCs w:val="22"/>
                <w:highlight w:val="none"/>
                <w:lang w:eastAsia="zh-CN"/>
              </w:rPr>
              <w:t>〔</w:t>
            </w:r>
            <w:r>
              <w:rPr>
                <w:rFonts w:hint="eastAsia" w:ascii="宋体" w:hAnsi="宋体" w:eastAsia="宋体" w:cs="宋体"/>
                <w:color w:val="auto"/>
                <w:spacing w:val="0"/>
                <w:sz w:val="22"/>
                <w:szCs w:val="22"/>
                <w:highlight w:val="none"/>
              </w:rPr>
              <w:t>2009</w:t>
            </w:r>
            <w:r>
              <w:rPr>
                <w:rFonts w:hint="eastAsia" w:ascii="宋体" w:hAnsi="宋体" w:cs="宋体"/>
                <w:color w:val="auto"/>
                <w:spacing w:val="0"/>
                <w:sz w:val="22"/>
                <w:szCs w:val="22"/>
                <w:highlight w:val="none"/>
                <w:lang w:eastAsia="zh-CN"/>
              </w:rPr>
              <w:t>〕</w:t>
            </w:r>
            <w:r>
              <w:rPr>
                <w:rFonts w:hint="eastAsia" w:ascii="宋体" w:hAnsi="宋体" w:eastAsia="宋体" w:cs="宋体"/>
                <w:color w:val="auto"/>
                <w:spacing w:val="0"/>
                <w:sz w:val="22"/>
                <w:szCs w:val="22"/>
                <w:highlight w:val="none"/>
              </w:rPr>
              <w:t>28号文件规定）。非浙江政府采购网注册的供应商或发生变更且未及时更新的供应商，应当在规定时间内按照《浙江省政府采购供应商注册及诚信管理暂行办法》（浙财采监字</w:t>
            </w:r>
            <w:r>
              <w:rPr>
                <w:rFonts w:hint="eastAsia" w:ascii="宋体" w:hAnsi="宋体" w:cs="宋体"/>
                <w:color w:val="auto"/>
                <w:spacing w:val="0"/>
                <w:sz w:val="22"/>
                <w:szCs w:val="22"/>
                <w:highlight w:val="none"/>
                <w:lang w:eastAsia="zh-CN"/>
              </w:rPr>
              <w:t>〔</w:t>
            </w:r>
            <w:r>
              <w:rPr>
                <w:rFonts w:hint="eastAsia" w:ascii="宋体" w:hAnsi="宋体" w:eastAsia="宋体" w:cs="宋体"/>
                <w:color w:val="auto"/>
                <w:spacing w:val="0"/>
                <w:sz w:val="22"/>
                <w:szCs w:val="22"/>
                <w:highlight w:val="none"/>
              </w:rPr>
              <w:t>2009</w:t>
            </w:r>
            <w:r>
              <w:rPr>
                <w:rFonts w:hint="eastAsia" w:ascii="宋体" w:hAnsi="宋体" w:cs="宋体"/>
                <w:color w:val="auto"/>
                <w:spacing w:val="0"/>
                <w:sz w:val="22"/>
                <w:szCs w:val="22"/>
                <w:highlight w:val="none"/>
                <w:lang w:eastAsia="zh-CN"/>
              </w:rPr>
              <w:t>〕</w:t>
            </w:r>
            <w:r>
              <w:rPr>
                <w:rFonts w:hint="eastAsia" w:ascii="宋体" w:hAnsi="宋体" w:eastAsia="宋体" w:cs="宋体"/>
                <w:color w:val="auto"/>
                <w:spacing w:val="0"/>
                <w:sz w:val="22"/>
                <w:szCs w:val="22"/>
                <w:highlight w:val="none"/>
              </w:rPr>
              <w:t>28号）的相关规定及时办理更新或供应商注册事项。</w:t>
            </w:r>
          </w:p>
        </w:tc>
      </w:tr>
      <w:tr w14:paraId="0ECB31B7">
        <w:tblPrEx>
          <w:tblCellMar>
            <w:top w:w="0" w:type="dxa"/>
            <w:left w:w="108" w:type="dxa"/>
            <w:bottom w:w="0" w:type="dxa"/>
            <w:right w:w="108" w:type="dxa"/>
          </w:tblCellMar>
        </w:tblPrEx>
        <w:trPr>
          <w:trHeight w:val="4453" w:hRule="atLeast"/>
          <w:jc w:val="center"/>
        </w:trPr>
        <w:tc>
          <w:tcPr>
            <w:tcW w:w="669" w:type="dxa"/>
            <w:tcBorders>
              <w:top w:val="single" w:color="000000" w:sz="4" w:space="0"/>
              <w:left w:val="single" w:color="000000" w:sz="4" w:space="0"/>
              <w:bottom w:val="single" w:color="000000" w:sz="4" w:space="0"/>
              <w:right w:val="single" w:color="000000" w:sz="4" w:space="0"/>
            </w:tcBorders>
            <w:noWrap w:val="0"/>
            <w:vAlign w:val="center"/>
          </w:tcPr>
          <w:p w14:paraId="2D2549DB">
            <w:pPr>
              <w:jc w:val="center"/>
              <w:rPr>
                <w:rFonts w:hint="eastAsia" w:ascii="宋体" w:hAnsi="宋体" w:eastAsia="宋体" w:cs="宋体"/>
                <w:color w:val="auto"/>
                <w:spacing w:val="0"/>
                <w:kern w:val="1"/>
                <w:sz w:val="22"/>
                <w:szCs w:val="22"/>
                <w:highlight w:val="none"/>
                <w:lang w:val="en-US" w:eastAsia="zh-CN"/>
              </w:rPr>
            </w:pPr>
            <w:r>
              <w:rPr>
                <w:rFonts w:hint="eastAsia" w:ascii="宋体" w:hAnsi="宋体" w:eastAsia="宋体" w:cs="宋体"/>
                <w:color w:val="auto"/>
                <w:spacing w:val="0"/>
                <w:kern w:val="1"/>
                <w:sz w:val="22"/>
                <w:szCs w:val="22"/>
                <w:highlight w:val="none"/>
              </w:rPr>
              <w:t>1</w:t>
            </w:r>
            <w:r>
              <w:rPr>
                <w:rFonts w:hint="eastAsia" w:ascii="宋体" w:hAnsi="宋体" w:cs="宋体"/>
                <w:color w:val="auto"/>
                <w:spacing w:val="0"/>
                <w:kern w:val="1"/>
                <w:sz w:val="22"/>
                <w:szCs w:val="22"/>
                <w:highlight w:val="none"/>
                <w:lang w:val="en-US" w:eastAsia="zh-CN"/>
              </w:rPr>
              <w:t>9</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14:paraId="4656E2F7">
            <w:pPr>
              <w:jc w:val="center"/>
              <w:rPr>
                <w:rFonts w:hint="eastAsia" w:ascii="宋体" w:hAnsi="宋体" w:eastAsia="宋体" w:cs="宋体"/>
                <w:color w:val="auto"/>
                <w:spacing w:val="0"/>
                <w:kern w:val="1"/>
                <w:sz w:val="22"/>
                <w:szCs w:val="22"/>
                <w:highlight w:val="none"/>
              </w:rPr>
            </w:pPr>
            <w:r>
              <w:rPr>
                <w:rFonts w:hint="eastAsia" w:ascii="宋体" w:hAnsi="宋体" w:eastAsia="宋体" w:cs="宋体"/>
                <w:color w:val="auto"/>
                <w:spacing w:val="0"/>
                <w:kern w:val="1"/>
                <w:sz w:val="22"/>
                <w:szCs w:val="22"/>
                <w:highlight w:val="none"/>
              </w:rPr>
              <w:t>其他</w:t>
            </w:r>
          </w:p>
        </w:tc>
        <w:tc>
          <w:tcPr>
            <w:tcW w:w="7446" w:type="dxa"/>
            <w:tcBorders>
              <w:top w:val="single" w:color="000000" w:sz="4" w:space="0"/>
              <w:left w:val="single" w:color="000000" w:sz="4" w:space="0"/>
              <w:bottom w:val="single" w:color="000000" w:sz="4" w:space="0"/>
              <w:right w:val="single" w:color="000000" w:sz="4" w:space="0"/>
            </w:tcBorders>
            <w:noWrap w:val="0"/>
            <w:vAlign w:val="center"/>
          </w:tcPr>
          <w:p w14:paraId="7B90A631">
            <w:pPr>
              <w:rPr>
                <w:rFonts w:hint="eastAsia" w:ascii="宋体" w:hAnsi="宋体" w:eastAsia="宋体" w:cs="宋体"/>
                <w:b/>
                <w:bCs/>
                <w:color w:val="auto"/>
                <w:spacing w:val="0"/>
                <w:kern w:val="1"/>
                <w:sz w:val="22"/>
                <w:szCs w:val="22"/>
                <w:highlight w:val="none"/>
              </w:rPr>
            </w:pPr>
            <w:r>
              <w:rPr>
                <w:rFonts w:hint="eastAsia" w:ascii="宋体" w:hAnsi="宋体" w:cs="宋体"/>
                <w:color w:val="auto"/>
                <w:spacing w:val="0"/>
                <w:kern w:val="1"/>
                <w:sz w:val="22"/>
                <w:szCs w:val="22"/>
                <w:highlight w:val="none"/>
                <w:lang w:eastAsia="zh-CN"/>
              </w:rPr>
              <w:t>1.</w:t>
            </w:r>
            <w:r>
              <w:rPr>
                <w:rFonts w:hint="eastAsia" w:ascii="Times New Roman" w:hAnsi="Times New Roman" w:eastAsia="宋体" w:cs="Times New Roman"/>
                <w:b/>
                <w:bCs/>
                <w:color w:val="auto"/>
                <w:spacing w:val="0"/>
                <w:sz w:val="22"/>
                <w:szCs w:val="22"/>
                <w:highlight w:val="none"/>
              </w:rPr>
              <w:t>本项目设单项报价最高限价和总价最高限价</w:t>
            </w:r>
            <w:r>
              <w:rPr>
                <w:rFonts w:ascii="Times New Roman" w:hAnsi="Times New Roman" w:eastAsia="宋体" w:cs="Times New Roman"/>
                <w:b/>
                <w:bCs/>
                <w:color w:val="auto"/>
                <w:spacing w:val="0"/>
                <w:kern w:val="1"/>
                <w:sz w:val="22"/>
                <w:szCs w:val="22"/>
                <w:highlight w:val="none"/>
              </w:rPr>
              <w:t>，投标报价超过最高限价，其投标为无效标</w:t>
            </w:r>
            <w:r>
              <w:rPr>
                <w:rFonts w:hint="eastAsia" w:ascii="宋体" w:hAnsi="宋体" w:eastAsia="宋体" w:cs="宋体"/>
                <w:b/>
                <w:bCs/>
                <w:color w:val="auto"/>
                <w:spacing w:val="0"/>
                <w:kern w:val="1"/>
                <w:sz w:val="22"/>
                <w:szCs w:val="22"/>
                <w:highlight w:val="none"/>
              </w:rPr>
              <w:t>。</w:t>
            </w:r>
          </w:p>
          <w:p w14:paraId="5A39F614">
            <w:pPr>
              <w:rPr>
                <w:rFonts w:hint="eastAsia" w:ascii="宋体" w:hAnsi="宋体" w:eastAsia="宋体" w:cs="宋体"/>
                <w:color w:val="auto"/>
                <w:spacing w:val="0"/>
                <w:kern w:val="1"/>
                <w:sz w:val="22"/>
                <w:szCs w:val="22"/>
                <w:highlight w:val="none"/>
              </w:rPr>
            </w:pPr>
            <w:r>
              <w:rPr>
                <w:rFonts w:hint="eastAsia" w:ascii="宋体" w:hAnsi="宋体" w:cs="宋体"/>
                <w:color w:val="auto"/>
                <w:spacing w:val="0"/>
                <w:sz w:val="22"/>
                <w:szCs w:val="22"/>
                <w:highlight w:val="none"/>
                <w:lang w:eastAsia="zh-CN"/>
              </w:rPr>
              <w:t>2.</w:t>
            </w:r>
            <w:r>
              <w:rPr>
                <w:rFonts w:hint="eastAsia" w:ascii="宋体" w:hAnsi="宋体" w:eastAsia="宋体" w:cs="宋体"/>
                <w:color w:val="auto"/>
                <w:spacing w:val="0"/>
                <w:kern w:val="1"/>
                <w:sz w:val="22"/>
                <w:szCs w:val="22"/>
                <w:highlight w:val="none"/>
              </w:rPr>
              <w:t>招标文件中要求投标人在制作投标文件时，提供的扫描件必须根据评审细则对评审的内容复印完整、清晰可辨，否则在评审时以最不利于投标人原则评审。</w:t>
            </w:r>
          </w:p>
          <w:p w14:paraId="101D8375">
            <w:pPr>
              <w:rPr>
                <w:rFonts w:hint="eastAsia" w:ascii="宋体" w:hAnsi="宋体" w:eastAsia="宋体" w:cs="宋体"/>
                <w:color w:val="auto"/>
                <w:spacing w:val="0"/>
                <w:kern w:val="1"/>
                <w:sz w:val="22"/>
                <w:szCs w:val="22"/>
                <w:highlight w:val="none"/>
              </w:rPr>
            </w:pPr>
            <w:r>
              <w:rPr>
                <w:rFonts w:hint="eastAsia" w:ascii="宋体" w:hAnsi="宋体" w:cs="宋体"/>
                <w:color w:val="auto"/>
                <w:spacing w:val="0"/>
                <w:kern w:val="1"/>
                <w:sz w:val="22"/>
                <w:szCs w:val="22"/>
                <w:highlight w:val="none"/>
                <w:lang w:eastAsia="zh-CN"/>
              </w:rPr>
              <w:t>3.</w:t>
            </w:r>
            <w:r>
              <w:rPr>
                <w:rFonts w:hint="eastAsia" w:ascii="宋体" w:hAnsi="宋体" w:eastAsia="宋体" w:cs="宋体"/>
                <w:color w:val="auto"/>
                <w:spacing w:val="0"/>
                <w:kern w:val="1"/>
                <w:sz w:val="22"/>
                <w:szCs w:val="22"/>
                <w:highlight w:val="none"/>
              </w:rPr>
              <w:t>根据《关于在政府采购活动中查询及使用信用记录有关问题的通知》财库[2016]125号的规定：</w:t>
            </w:r>
          </w:p>
          <w:p w14:paraId="741D7081">
            <w:pPr>
              <w:rPr>
                <w:rFonts w:hint="eastAsia" w:ascii="宋体" w:hAnsi="宋体" w:eastAsia="宋体" w:cs="宋体"/>
                <w:color w:val="auto"/>
                <w:spacing w:val="0"/>
                <w:kern w:val="1"/>
                <w:sz w:val="22"/>
                <w:szCs w:val="22"/>
                <w:highlight w:val="none"/>
              </w:rPr>
            </w:pPr>
            <w:r>
              <w:rPr>
                <w:rFonts w:hint="eastAsia" w:ascii="宋体" w:hAnsi="宋体" w:eastAsia="宋体" w:cs="宋体"/>
                <w:color w:val="auto"/>
                <w:spacing w:val="0"/>
                <w:kern w:val="1"/>
                <w:sz w:val="22"/>
                <w:szCs w:val="22"/>
                <w:highlight w:val="none"/>
              </w:rPr>
              <w:t>（1）采购人或采购代理机构将对本项目供应商的信用记录进行查询。查询渠道为信用中国网站、中国政府采购网</w:t>
            </w:r>
            <w:r>
              <w:rPr>
                <w:rFonts w:hint="eastAsia" w:ascii="宋体" w:hAnsi="宋体" w:cs="宋体"/>
                <w:color w:val="auto"/>
                <w:spacing w:val="0"/>
                <w:kern w:val="1"/>
                <w:sz w:val="22"/>
                <w:szCs w:val="22"/>
                <w:highlight w:val="none"/>
                <w:lang w:eastAsia="zh-CN"/>
              </w:rPr>
              <w:t>、</w:t>
            </w:r>
            <w:bookmarkStart w:id="4" w:name="OLE_LINK1"/>
            <w:r>
              <w:rPr>
                <w:rFonts w:hint="eastAsia" w:ascii="宋体" w:hAnsi="宋体" w:eastAsia="宋体" w:cs="宋体"/>
                <w:color w:val="auto"/>
                <w:spacing w:val="0"/>
                <w:kern w:val="1"/>
                <w:sz w:val="22"/>
                <w:szCs w:val="22"/>
                <w:highlight w:val="none"/>
              </w:rPr>
              <w:t>义乌政府门户网站</w:t>
            </w:r>
            <w:bookmarkEnd w:id="4"/>
            <w:r>
              <w:rPr>
                <w:rFonts w:hint="eastAsia" w:ascii="宋体" w:hAnsi="宋体" w:eastAsia="宋体" w:cs="宋体"/>
                <w:color w:val="auto"/>
                <w:spacing w:val="0"/>
                <w:kern w:val="1"/>
                <w:sz w:val="22"/>
                <w:szCs w:val="22"/>
                <w:highlight w:val="none"/>
              </w:rPr>
              <w:t>、浙江政府采购网；</w:t>
            </w:r>
          </w:p>
          <w:p w14:paraId="52CED7A0">
            <w:pPr>
              <w:rPr>
                <w:rFonts w:hint="eastAsia" w:ascii="宋体" w:hAnsi="宋体" w:eastAsia="宋体" w:cs="宋体"/>
                <w:color w:val="auto"/>
                <w:spacing w:val="0"/>
                <w:kern w:val="1"/>
                <w:sz w:val="22"/>
                <w:szCs w:val="22"/>
                <w:highlight w:val="none"/>
              </w:rPr>
            </w:pPr>
            <w:r>
              <w:rPr>
                <w:rFonts w:hint="eastAsia" w:ascii="宋体" w:hAnsi="宋体" w:eastAsia="宋体" w:cs="宋体"/>
                <w:color w:val="auto"/>
                <w:spacing w:val="0"/>
                <w:kern w:val="1"/>
                <w:sz w:val="22"/>
                <w:szCs w:val="22"/>
                <w:highlight w:val="none"/>
              </w:rPr>
              <w:t>（2）截止时点：提交投标文件（响应文件）截止时间前3年内；</w:t>
            </w:r>
          </w:p>
          <w:p w14:paraId="5FC11D8B">
            <w:pPr>
              <w:rPr>
                <w:rFonts w:hint="eastAsia" w:ascii="宋体" w:hAnsi="宋体" w:eastAsia="宋体" w:cs="宋体"/>
                <w:color w:val="auto"/>
                <w:spacing w:val="0"/>
                <w:kern w:val="1"/>
                <w:sz w:val="22"/>
                <w:szCs w:val="22"/>
                <w:highlight w:val="none"/>
              </w:rPr>
            </w:pPr>
            <w:r>
              <w:rPr>
                <w:rFonts w:hint="eastAsia" w:ascii="宋体" w:hAnsi="宋体" w:eastAsia="宋体" w:cs="宋体"/>
                <w:color w:val="auto"/>
                <w:spacing w:val="0"/>
                <w:kern w:val="1"/>
                <w:sz w:val="22"/>
                <w:szCs w:val="22"/>
                <w:highlight w:val="none"/>
              </w:rPr>
              <w:t>（3）查询记录和证据的留存：信用信息查询记录和证据以网页截图等方式留存。</w:t>
            </w:r>
          </w:p>
          <w:p w14:paraId="6E3FD793">
            <w:pPr>
              <w:rPr>
                <w:rFonts w:hint="eastAsia" w:ascii="宋体" w:hAnsi="宋体" w:eastAsia="宋体" w:cs="宋体"/>
                <w:color w:val="auto"/>
                <w:spacing w:val="0"/>
                <w:kern w:val="1"/>
                <w:sz w:val="22"/>
                <w:szCs w:val="22"/>
                <w:highlight w:val="none"/>
              </w:rPr>
            </w:pPr>
            <w:r>
              <w:rPr>
                <w:rFonts w:hint="eastAsia" w:ascii="宋体" w:hAnsi="宋体" w:eastAsia="宋体" w:cs="宋体"/>
                <w:color w:val="auto"/>
                <w:spacing w:val="0"/>
                <w:kern w:val="1"/>
                <w:sz w:val="22"/>
                <w:szCs w:val="22"/>
                <w:highlight w:val="none"/>
              </w:rPr>
              <w:t>（4）使用规则：被列入失信被执行人、重大税收违法案件当事人名单、政府采购严重违法失信行为记录名单</w:t>
            </w:r>
            <w:r>
              <w:rPr>
                <w:rFonts w:hint="eastAsia" w:ascii="宋体" w:hAnsi="宋体" w:eastAsia="宋体" w:cs="宋体"/>
                <w:color w:val="auto"/>
                <w:spacing w:val="0"/>
                <w:kern w:val="1"/>
                <w:sz w:val="22"/>
                <w:szCs w:val="22"/>
                <w:highlight w:val="none"/>
                <w:lang w:eastAsia="zh-CN"/>
              </w:rPr>
              <w:t>及其他</w:t>
            </w:r>
            <w:r>
              <w:rPr>
                <w:rFonts w:hint="eastAsia" w:ascii="宋体" w:hAnsi="宋体" w:eastAsia="宋体" w:cs="宋体"/>
                <w:color w:val="auto"/>
                <w:spacing w:val="0"/>
                <w:kern w:val="1"/>
                <w:sz w:val="22"/>
                <w:szCs w:val="22"/>
                <w:highlight w:val="none"/>
              </w:rPr>
              <w:t>不符合《中华人民共和国政府采购法》第二十二条规定条件的，其投标将被拒绝。</w:t>
            </w:r>
          </w:p>
        </w:tc>
      </w:tr>
    </w:tbl>
    <w:p w14:paraId="346A2E66">
      <w:pPr>
        <w:spacing w:line="360" w:lineRule="auto"/>
        <w:ind w:firstLine="211" w:firstLineChars="100"/>
        <w:rPr>
          <w:b/>
          <w:color w:val="auto"/>
          <w:kern w:val="1"/>
          <w:highlight w:val="none"/>
        </w:rPr>
      </w:pPr>
      <w:r>
        <w:rPr>
          <w:b/>
          <w:color w:val="auto"/>
          <w:kern w:val="1"/>
          <w:highlight w:val="none"/>
        </w:rPr>
        <w:t>注：投标人须知前附表内容与本招标文件后述内容不一致的，以投标须知前附表为准。</w:t>
      </w:r>
    </w:p>
    <w:p w14:paraId="74E0A2DE">
      <w:pPr>
        <w:pStyle w:val="24"/>
        <w:spacing w:line="360" w:lineRule="auto"/>
        <w:ind w:firstLine="420"/>
        <w:jc w:val="both"/>
        <w:rPr>
          <w:rFonts w:ascii="Times New Roman" w:hAnsi="Times New Roman"/>
          <w:color w:val="auto"/>
          <w:sz w:val="36"/>
          <w:highlight w:val="none"/>
        </w:rPr>
      </w:pPr>
      <w:bookmarkStart w:id="5" w:name="_Toc274303228"/>
      <w:bookmarkEnd w:id="5"/>
      <w:bookmarkStart w:id="6" w:name="_Toc362250686"/>
      <w:bookmarkEnd w:id="6"/>
    </w:p>
    <w:p w14:paraId="3ED2710A">
      <w:pPr>
        <w:pStyle w:val="5"/>
        <w:spacing w:before="0" w:after="0" w:line="360" w:lineRule="auto"/>
        <w:jc w:val="center"/>
        <w:rPr>
          <w:color w:val="auto"/>
          <w:sz w:val="36"/>
          <w:highlight w:val="none"/>
        </w:rPr>
      </w:pPr>
      <w:r>
        <w:rPr>
          <w:color w:val="auto"/>
          <w:sz w:val="36"/>
          <w:highlight w:val="none"/>
        </w:rPr>
        <w:br w:type="page"/>
      </w:r>
      <w:bookmarkStart w:id="7" w:name="_Toc9454"/>
      <w:r>
        <w:rPr>
          <w:color w:val="auto"/>
          <w:sz w:val="32"/>
          <w:highlight w:val="none"/>
        </w:rPr>
        <w:t>投标须知</w:t>
      </w:r>
      <w:bookmarkEnd w:id="7"/>
    </w:p>
    <w:p w14:paraId="6E7938C5">
      <w:pPr>
        <w:pStyle w:val="6"/>
        <w:numPr>
          <w:ilvl w:val="1"/>
          <w:numId w:val="4"/>
        </w:numPr>
        <w:spacing w:before="0" w:after="0" w:line="336" w:lineRule="auto"/>
        <w:rPr>
          <w:rFonts w:ascii="Times New Roman" w:hAnsi="Times New Roman" w:eastAsia="宋体"/>
          <w:color w:val="auto"/>
          <w:sz w:val="22"/>
          <w:szCs w:val="22"/>
          <w:highlight w:val="none"/>
        </w:rPr>
      </w:pPr>
      <w:bookmarkStart w:id="8" w:name="_Toc362250687"/>
      <w:bookmarkEnd w:id="8"/>
      <w:bookmarkStart w:id="9" w:name="_Toc274303229"/>
      <w:bookmarkEnd w:id="9"/>
      <w:bookmarkStart w:id="10" w:name="_Toc3460"/>
      <w:r>
        <w:rPr>
          <w:rFonts w:ascii="Times New Roman" w:hAnsi="Times New Roman" w:eastAsia="宋体"/>
          <w:color w:val="auto"/>
          <w:sz w:val="22"/>
          <w:szCs w:val="22"/>
          <w:highlight w:val="none"/>
        </w:rPr>
        <w:t>一、说明</w:t>
      </w:r>
      <w:bookmarkEnd w:id="10"/>
    </w:p>
    <w:p w14:paraId="185FADD1">
      <w:pPr>
        <w:pStyle w:val="24"/>
        <w:spacing w:line="336" w:lineRule="auto"/>
        <w:ind w:firstLine="422"/>
        <w:jc w:val="both"/>
        <w:rPr>
          <w:rFonts w:ascii="Times New Roman" w:hAnsi="Times New Roman"/>
          <w:color w:val="auto"/>
          <w:sz w:val="22"/>
          <w:szCs w:val="22"/>
          <w:highlight w:val="none"/>
        </w:rPr>
      </w:pPr>
      <w:r>
        <w:rPr>
          <w:rFonts w:hint="eastAsia" w:ascii="Times New Roman" w:hAnsi="Times New Roman"/>
          <w:color w:val="auto"/>
          <w:sz w:val="22"/>
          <w:szCs w:val="22"/>
          <w:highlight w:val="none"/>
          <w:lang w:eastAsia="zh-CN"/>
        </w:rPr>
        <w:t>1.</w:t>
      </w:r>
      <w:r>
        <w:rPr>
          <w:rFonts w:ascii="Times New Roman" w:hAnsi="Times New Roman"/>
          <w:color w:val="auto"/>
          <w:sz w:val="22"/>
          <w:szCs w:val="22"/>
          <w:highlight w:val="none"/>
        </w:rPr>
        <w:t>适用范围</w:t>
      </w:r>
    </w:p>
    <w:p w14:paraId="792721CA">
      <w:pPr>
        <w:pStyle w:val="24"/>
        <w:spacing w:line="336" w:lineRule="auto"/>
        <w:ind w:firstLine="420"/>
        <w:jc w:val="both"/>
        <w:rPr>
          <w:rFonts w:ascii="Times New Roman" w:hAnsi="Times New Roman"/>
          <w:b w:val="0"/>
          <w:color w:val="auto"/>
          <w:sz w:val="22"/>
          <w:szCs w:val="22"/>
          <w:highlight w:val="none"/>
        </w:rPr>
      </w:pPr>
      <w:r>
        <w:rPr>
          <w:rFonts w:ascii="Times New Roman" w:hAnsi="Times New Roman"/>
          <w:b w:val="0"/>
          <w:color w:val="auto"/>
          <w:sz w:val="22"/>
          <w:szCs w:val="22"/>
          <w:highlight w:val="none"/>
        </w:rPr>
        <w:t>1.1 本招标文件仅适用于本次招标采购所叙述的货物和服务项目。</w:t>
      </w:r>
    </w:p>
    <w:p w14:paraId="39B0CFDB">
      <w:pPr>
        <w:pStyle w:val="24"/>
        <w:spacing w:line="336" w:lineRule="auto"/>
        <w:ind w:firstLine="422"/>
        <w:jc w:val="both"/>
        <w:rPr>
          <w:rFonts w:ascii="Times New Roman" w:hAnsi="Times New Roman"/>
          <w:color w:val="auto"/>
          <w:sz w:val="22"/>
          <w:szCs w:val="22"/>
          <w:highlight w:val="none"/>
        </w:rPr>
      </w:pPr>
      <w:r>
        <w:rPr>
          <w:rFonts w:hint="eastAsia" w:ascii="Times New Roman" w:hAnsi="Times New Roman"/>
          <w:color w:val="auto"/>
          <w:sz w:val="22"/>
          <w:szCs w:val="22"/>
          <w:highlight w:val="none"/>
          <w:lang w:eastAsia="zh-CN"/>
        </w:rPr>
        <w:t>2.</w:t>
      </w:r>
      <w:r>
        <w:rPr>
          <w:rFonts w:ascii="Times New Roman" w:hAnsi="Times New Roman"/>
          <w:color w:val="auto"/>
          <w:sz w:val="22"/>
          <w:szCs w:val="22"/>
          <w:highlight w:val="none"/>
        </w:rPr>
        <w:t>定义</w:t>
      </w:r>
    </w:p>
    <w:p w14:paraId="6CEFBCBC">
      <w:pPr>
        <w:pStyle w:val="28"/>
        <w:spacing w:line="336" w:lineRule="auto"/>
        <w:ind w:firstLine="420"/>
        <w:rPr>
          <w:rFonts w:ascii="Times New Roman" w:hAnsi="Times New Roman"/>
          <w:color w:val="auto"/>
          <w:sz w:val="22"/>
          <w:szCs w:val="22"/>
          <w:highlight w:val="none"/>
        </w:rPr>
      </w:pPr>
      <w:r>
        <w:rPr>
          <w:rFonts w:ascii="Times New Roman" w:hAnsi="Times New Roman"/>
          <w:color w:val="auto"/>
          <w:sz w:val="22"/>
          <w:szCs w:val="22"/>
          <w:highlight w:val="none"/>
        </w:rPr>
        <w:t>2.1采购人：系指</w:t>
      </w:r>
      <w:r>
        <w:rPr>
          <w:rFonts w:hint="eastAsia" w:ascii="Times New Roman" w:hAnsi="Times New Roman"/>
          <w:color w:val="auto"/>
          <w:sz w:val="22"/>
          <w:szCs w:val="22"/>
          <w:highlight w:val="none"/>
          <w:lang w:eastAsia="zh-CN"/>
        </w:rPr>
        <w:t>义乌市社会治理中心</w:t>
      </w:r>
      <w:r>
        <w:rPr>
          <w:rFonts w:ascii="Times New Roman" w:hAnsi="Times New Roman"/>
          <w:color w:val="auto"/>
          <w:sz w:val="22"/>
          <w:szCs w:val="22"/>
          <w:highlight w:val="none"/>
        </w:rPr>
        <w:t>。</w:t>
      </w:r>
    </w:p>
    <w:p w14:paraId="275F8A7C">
      <w:pPr>
        <w:pStyle w:val="28"/>
        <w:spacing w:line="336" w:lineRule="auto"/>
        <w:ind w:firstLine="420"/>
        <w:rPr>
          <w:rFonts w:ascii="Times New Roman" w:hAnsi="Times New Roman"/>
          <w:color w:val="auto"/>
          <w:sz w:val="22"/>
          <w:szCs w:val="22"/>
          <w:highlight w:val="none"/>
        </w:rPr>
      </w:pPr>
      <w:r>
        <w:rPr>
          <w:rFonts w:ascii="Times New Roman" w:hAnsi="Times New Roman"/>
          <w:color w:val="auto"/>
          <w:sz w:val="22"/>
          <w:szCs w:val="22"/>
          <w:highlight w:val="none"/>
        </w:rPr>
        <w:t>2.2招标代理机构：系指组织本次招标工作的</w:t>
      </w:r>
      <w:r>
        <w:rPr>
          <w:rFonts w:hint="eastAsia" w:ascii="Times New Roman" w:hAnsi="Times New Roman"/>
          <w:color w:val="auto"/>
          <w:sz w:val="22"/>
          <w:szCs w:val="22"/>
          <w:highlight w:val="none"/>
          <w:lang w:eastAsia="zh-CN"/>
        </w:rPr>
        <w:t>科信联合工程咨询有限公司</w:t>
      </w:r>
      <w:r>
        <w:rPr>
          <w:rFonts w:ascii="Times New Roman" w:hAnsi="Times New Roman"/>
          <w:color w:val="auto"/>
          <w:sz w:val="22"/>
          <w:szCs w:val="22"/>
          <w:highlight w:val="none"/>
        </w:rPr>
        <w:t>。</w:t>
      </w:r>
    </w:p>
    <w:p w14:paraId="4577A189">
      <w:pPr>
        <w:pStyle w:val="28"/>
        <w:spacing w:line="336" w:lineRule="auto"/>
        <w:ind w:firstLine="420"/>
        <w:rPr>
          <w:rFonts w:ascii="Times New Roman" w:hAnsi="Times New Roman"/>
          <w:color w:val="auto"/>
          <w:sz w:val="22"/>
          <w:szCs w:val="22"/>
          <w:highlight w:val="none"/>
        </w:rPr>
      </w:pPr>
      <w:r>
        <w:rPr>
          <w:rFonts w:ascii="Times New Roman" w:hAnsi="Times New Roman"/>
          <w:color w:val="auto"/>
          <w:sz w:val="22"/>
          <w:szCs w:val="22"/>
          <w:highlight w:val="none"/>
        </w:rPr>
        <w:t>2.3投标人：系指符合招标公告要求的投标供应商。</w:t>
      </w:r>
    </w:p>
    <w:p w14:paraId="52637A08">
      <w:pPr>
        <w:pStyle w:val="24"/>
        <w:spacing w:line="336" w:lineRule="auto"/>
        <w:ind w:firstLine="420"/>
        <w:jc w:val="both"/>
        <w:rPr>
          <w:rFonts w:ascii="Times New Roman" w:hAnsi="Times New Roman"/>
          <w:b w:val="0"/>
          <w:color w:val="auto"/>
          <w:sz w:val="22"/>
          <w:szCs w:val="22"/>
          <w:highlight w:val="none"/>
        </w:rPr>
      </w:pPr>
      <w:r>
        <w:rPr>
          <w:rFonts w:ascii="Times New Roman" w:hAnsi="Times New Roman"/>
          <w:b w:val="0"/>
          <w:color w:val="auto"/>
          <w:sz w:val="22"/>
          <w:szCs w:val="22"/>
          <w:highlight w:val="none"/>
        </w:rPr>
        <w:t>2.4服务：</w:t>
      </w:r>
      <w:r>
        <w:rPr>
          <w:rFonts w:ascii="Times New Roman" w:hAnsi="Times New Roman"/>
          <w:b w:val="0"/>
          <w:color w:val="auto"/>
          <w:kern w:val="0"/>
          <w:sz w:val="22"/>
          <w:szCs w:val="22"/>
          <w:highlight w:val="none"/>
        </w:rPr>
        <w:t>系指</w:t>
      </w:r>
      <w:r>
        <w:rPr>
          <w:rFonts w:ascii="Times New Roman" w:hAnsi="Times New Roman"/>
          <w:b w:val="0"/>
          <w:color w:val="auto"/>
          <w:sz w:val="22"/>
          <w:szCs w:val="22"/>
          <w:highlight w:val="none"/>
        </w:rPr>
        <w:t>招标文件规定投标人须承担的劳务</w:t>
      </w:r>
      <w:r>
        <w:rPr>
          <w:rFonts w:hint="eastAsia" w:ascii="Times New Roman" w:hAnsi="Times New Roman"/>
          <w:b w:val="0"/>
          <w:color w:val="auto"/>
          <w:sz w:val="22"/>
          <w:szCs w:val="22"/>
          <w:highlight w:val="none"/>
          <w:lang w:eastAsia="zh-CN"/>
        </w:rPr>
        <w:t>及其他</w:t>
      </w:r>
      <w:r>
        <w:rPr>
          <w:rFonts w:ascii="Times New Roman" w:hAnsi="Times New Roman"/>
          <w:b w:val="0"/>
          <w:color w:val="auto"/>
          <w:sz w:val="22"/>
          <w:szCs w:val="22"/>
          <w:highlight w:val="none"/>
        </w:rPr>
        <w:t>类似的服务。</w:t>
      </w:r>
    </w:p>
    <w:p w14:paraId="74EBA91F">
      <w:pPr>
        <w:pStyle w:val="32"/>
        <w:spacing w:line="336" w:lineRule="auto"/>
        <w:ind w:firstLine="420"/>
        <w:rPr>
          <w:rFonts w:ascii="Times New Roman" w:hAnsi="Times New Roman" w:eastAsia="宋体"/>
          <w:color w:val="auto"/>
          <w:sz w:val="22"/>
          <w:szCs w:val="22"/>
          <w:highlight w:val="none"/>
        </w:rPr>
      </w:pPr>
      <w:r>
        <w:rPr>
          <w:rFonts w:ascii="Times New Roman" w:hAnsi="Times New Roman" w:eastAsia="宋体"/>
          <w:color w:val="auto"/>
          <w:sz w:val="22"/>
          <w:szCs w:val="22"/>
          <w:highlight w:val="none"/>
        </w:rPr>
        <w:t>2.5货物：系指按招标文件规定投标人须向采购人提供的一切材料、设备、机械、仪器仪表、工具</w:t>
      </w:r>
      <w:r>
        <w:rPr>
          <w:rFonts w:hint="eastAsia" w:ascii="Times New Roman" w:hAnsi="Times New Roman" w:eastAsia="宋体"/>
          <w:color w:val="auto"/>
          <w:sz w:val="22"/>
          <w:szCs w:val="22"/>
          <w:highlight w:val="none"/>
          <w:lang w:eastAsia="zh-CN"/>
        </w:rPr>
        <w:t>及其他有关</w:t>
      </w:r>
      <w:r>
        <w:rPr>
          <w:rFonts w:ascii="Times New Roman" w:hAnsi="Times New Roman" w:eastAsia="宋体"/>
          <w:color w:val="auto"/>
          <w:sz w:val="22"/>
          <w:szCs w:val="22"/>
          <w:highlight w:val="none"/>
        </w:rPr>
        <w:t>技术资料和文字材料。</w:t>
      </w:r>
    </w:p>
    <w:p w14:paraId="6DB9F0EA">
      <w:pPr>
        <w:pStyle w:val="24"/>
        <w:spacing w:line="336" w:lineRule="auto"/>
        <w:ind w:firstLine="420"/>
        <w:jc w:val="both"/>
        <w:rPr>
          <w:rFonts w:ascii="Times New Roman" w:hAnsi="Times New Roman"/>
          <w:b w:val="0"/>
          <w:color w:val="auto"/>
          <w:sz w:val="22"/>
          <w:szCs w:val="22"/>
          <w:highlight w:val="none"/>
        </w:rPr>
      </w:pPr>
      <w:r>
        <w:rPr>
          <w:rFonts w:ascii="Times New Roman" w:hAnsi="Times New Roman"/>
          <w:b w:val="0"/>
          <w:color w:val="auto"/>
          <w:sz w:val="22"/>
          <w:szCs w:val="22"/>
          <w:highlight w:val="none"/>
        </w:rPr>
        <w:t>2.6甲方：即采购人，在招投标阶段称为采购人，在签订和执行合同阶段称为甲方。</w:t>
      </w:r>
    </w:p>
    <w:p w14:paraId="5C4CEB67">
      <w:pPr>
        <w:pStyle w:val="24"/>
        <w:spacing w:line="336" w:lineRule="auto"/>
        <w:ind w:firstLine="420"/>
        <w:jc w:val="both"/>
        <w:rPr>
          <w:rFonts w:ascii="Times New Roman" w:hAnsi="Times New Roman"/>
          <w:color w:val="auto"/>
          <w:sz w:val="22"/>
          <w:szCs w:val="22"/>
          <w:highlight w:val="none"/>
        </w:rPr>
      </w:pPr>
      <w:r>
        <w:rPr>
          <w:rFonts w:ascii="Times New Roman" w:hAnsi="Times New Roman"/>
          <w:b w:val="0"/>
          <w:color w:val="auto"/>
          <w:sz w:val="22"/>
          <w:szCs w:val="22"/>
          <w:highlight w:val="none"/>
        </w:rPr>
        <w:t>2.7乙方：在招投标阶段称为投标人，中标后在签订和执行合同阶段称为乙方。</w:t>
      </w:r>
    </w:p>
    <w:p w14:paraId="15807A9A">
      <w:pPr>
        <w:pStyle w:val="32"/>
        <w:spacing w:line="336" w:lineRule="auto"/>
        <w:ind w:firstLine="420"/>
        <w:rPr>
          <w:rFonts w:hint="eastAsia" w:ascii="Times New Roman" w:hAnsi="Times New Roman" w:eastAsia="宋体"/>
          <w:color w:val="auto"/>
          <w:sz w:val="22"/>
          <w:szCs w:val="22"/>
          <w:highlight w:val="none"/>
        </w:rPr>
      </w:pPr>
      <w:r>
        <w:rPr>
          <w:rFonts w:hint="eastAsia" w:ascii="Times New Roman" w:hAnsi="Times New Roman" w:eastAsia="宋体"/>
          <w:color w:val="auto"/>
          <w:sz w:val="22"/>
          <w:szCs w:val="22"/>
          <w:highlight w:val="none"/>
        </w:rPr>
        <w:t>2.8中小企业（含中型、小型、微型）：符合中小企业划分标准（工信部联企业[2011]300号）的企业。</w:t>
      </w:r>
    </w:p>
    <w:p w14:paraId="3859FEFD">
      <w:pPr>
        <w:pStyle w:val="32"/>
        <w:spacing w:line="336" w:lineRule="auto"/>
        <w:ind w:firstLine="420"/>
        <w:rPr>
          <w:rFonts w:hint="eastAsia" w:ascii="Times New Roman" w:hAnsi="Times New Roman" w:eastAsia="宋体"/>
          <w:color w:val="auto"/>
          <w:sz w:val="22"/>
          <w:szCs w:val="22"/>
          <w:highlight w:val="none"/>
        </w:rPr>
      </w:pPr>
      <w:r>
        <w:rPr>
          <w:rFonts w:hint="eastAsia" w:ascii="Times New Roman" w:hAnsi="Times New Roman" w:eastAsia="宋体"/>
          <w:color w:val="auto"/>
          <w:sz w:val="22"/>
          <w:szCs w:val="22"/>
          <w:highlight w:val="none"/>
        </w:rPr>
        <w:t>2.9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99ADDCF">
      <w:pPr>
        <w:pStyle w:val="32"/>
        <w:spacing w:line="336" w:lineRule="auto"/>
        <w:ind w:firstLine="420"/>
        <w:rPr>
          <w:rFonts w:hint="eastAsia" w:ascii="Times New Roman" w:hAnsi="Times New Roman" w:eastAsia="宋体"/>
          <w:color w:val="auto"/>
          <w:sz w:val="22"/>
          <w:szCs w:val="22"/>
          <w:highlight w:val="none"/>
        </w:rPr>
      </w:pPr>
      <w:r>
        <w:rPr>
          <w:rFonts w:hint="eastAsia" w:ascii="Times New Roman" w:hAnsi="Times New Roman" w:eastAsia="宋体"/>
          <w:color w:val="auto"/>
          <w:sz w:val="22"/>
          <w:szCs w:val="22"/>
          <w:highlight w:val="none"/>
        </w:rPr>
        <w:t>2.10残疾人福利性单位：符合《财政部、民政部、中国残疾人联合会关于促进残疾人就业政府采购政策的通知》（财库〔2017〕141号）的规定单位。</w:t>
      </w:r>
    </w:p>
    <w:p w14:paraId="599F29E1">
      <w:pPr>
        <w:pStyle w:val="32"/>
        <w:spacing w:line="336" w:lineRule="auto"/>
        <w:ind w:firstLine="420"/>
        <w:rPr>
          <w:rFonts w:ascii="Times New Roman" w:hAnsi="Times New Roman" w:eastAsia="宋体"/>
          <w:color w:val="auto"/>
          <w:sz w:val="22"/>
          <w:szCs w:val="22"/>
          <w:highlight w:val="none"/>
        </w:rPr>
      </w:pPr>
      <w:r>
        <w:rPr>
          <w:rFonts w:hint="eastAsia" w:ascii="Times New Roman" w:hAnsi="Times New Roman" w:eastAsia="宋体"/>
          <w:color w:val="auto"/>
          <w:sz w:val="22"/>
          <w:szCs w:val="22"/>
          <w:highlight w:val="none"/>
        </w:rPr>
        <w:t>2.11 “★”标记系指必须满足不能负偏离或必须应答的条款</w:t>
      </w:r>
    </w:p>
    <w:p w14:paraId="089C195E">
      <w:pPr>
        <w:pStyle w:val="24"/>
        <w:spacing w:line="336" w:lineRule="auto"/>
        <w:ind w:firstLine="422"/>
        <w:jc w:val="both"/>
        <w:rPr>
          <w:rFonts w:ascii="Times New Roman" w:hAnsi="Times New Roman"/>
          <w:color w:val="auto"/>
          <w:sz w:val="22"/>
          <w:szCs w:val="22"/>
          <w:highlight w:val="none"/>
        </w:rPr>
      </w:pPr>
      <w:r>
        <w:rPr>
          <w:rFonts w:hint="eastAsia" w:ascii="Times New Roman" w:hAnsi="Times New Roman"/>
          <w:color w:val="auto"/>
          <w:sz w:val="22"/>
          <w:szCs w:val="22"/>
          <w:highlight w:val="none"/>
          <w:lang w:eastAsia="zh-CN"/>
        </w:rPr>
        <w:t>3.</w:t>
      </w:r>
      <w:r>
        <w:rPr>
          <w:rFonts w:ascii="Times New Roman" w:hAnsi="Times New Roman"/>
          <w:color w:val="auto"/>
          <w:sz w:val="22"/>
          <w:szCs w:val="22"/>
          <w:highlight w:val="none"/>
        </w:rPr>
        <w:t>合格的投标人</w:t>
      </w:r>
    </w:p>
    <w:p w14:paraId="772B6E2F">
      <w:pPr>
        <w:pStyle w:val="24"/>
        <w:spacing w:line="336" w:lineRule="auto"/>
        <w:ind w:firstLine="420"/>
        <w:jc w:val="both"/>
        <w:rPr>
          <w:rFonts w:ascii="Times New Roman" w:hAnsi="Times New Roman"/>
          <w:color w:val="auto"/>
          <w:sz w:val="22"/>
          <w:szCs w:val="22"/>
          <w:highlight w:val="none"/>
        </w:rPr>
      </w:pPr>
      <w:r>
        <w:rPr>
          <w:rFonts w:ascii="Times New Roman" w:hAnsi="Times New Roman"/>
          <w:color w:val="auto"/>
          <w:sz w:val="22"/>
          <w:szCs w:val="22"/>
          <w:highlight w:val="none"/>
        </w:rPr>
        <w:t>3.1符合采购公告中要求的条件。</w:t>
      </w:r>
    </w:p>
    <w:p w14:paraId="13224810">
      <w:pPr>
        <w:pStyle w:val="24"/>
        <w:spacing w:line="336" w:lineRule="auto"/>
        <w:ind w:firstLine="420"/>
        <w:jc w:val="both"/>
        <w:rPr>
          <w:rFonts w:ascii="Times New Roman" w:hAnsi="Times New Roman"/>
          <w:color w:val="auto"/>
          <w:sz w:val="22"/>
          <w:szCs w:val="22"/>
          <w:highlight w:val="none"/>
        </w:rPr>
      </w:pPr>
      <w:r>
        <w:rPr>
          <w:rFonts w:ascii="Times New Roman" w:hAnsi="Times New Roman"/>
          <w:color w:val="auto"/>
          <w:sz w:val="22"/>
          <w:szCs w:val="22"/>
          <w:highlight w:val="none"/>
        </w:rPr>
        <w:t>3.2获取招标文件的投标人，并不能被认定为投标人资格已合格。投标人的资格是否符合招标文件要求，以开标时审查结果为准。</w:t>
      </w:r>
    </w:p>
    <w:p w14:paraId="6CBE98B2">
      <w:pPr>
        <w:pStyle w:val="24"/>
        <w:spacing w:line="336" w:lineRule="auto"/>
        <w:ind w:firstLine="420"/>
        <w:jc w:val="both"/>
        <w:rPr>
          <w:rFonts w:ascii="Times New Roman" w:hAnsi="Times New Roman"/>
          <w:color w:val="auto"/>
          <w:sz w:val="22"/>
          <w:szCs w:val="22"/>
          <w:highlight w:val="none"/>
        </w:rPr>
      </w:pPr>
      <w:r>
        <w:rPr>
          <w:rFonts w:ascii="Times New Roman" w:hAnsi="Times New Roman"/>
          <w:color w:val="auto"/>
          <w:sz w:val="22"/>
          <w:szCs w:val="22"/>
          <w:highlight w:val="none"/>
        </w:rPr>
        <w:t>3.3单位负责人为同一人或者存在直接控股、管理关系的不同供应商，不得参加同一合同项下的政府采购活动。</w:t>
      </w:r>
    </w:p>
    <w:p w14:paraId="7D13C11B">
      <w:pPr>
        <w:pStyle w:val="28"/>
        <w:spacing w:line="336" w:lineRule="auto"/>
        <w:ind w:firstLine="422"/>
        <w:rPr>
          <w:rFonts w:ascii="Times New Roman" w:hAnsi="Times New Roman"/>
          <w:color w:val="auto"/>
          <w:sz w:val="22"/>
          <w:szCs w:val="22"/>
          <w:highlight w:val="none"/>
        </w:rPr>
      </w:pPr>
      <w:r>
        <w:rPr>
          <w:rFonts w:hint="eastAsia" w:ascii="Times New Roman" w:hAnsi="Times New Roman"/>
          <w:b/>
          <w:color w:val="auto"/>
          <w:sz w:val="22"/>
          <w:szCs w:val="22"/>
          <w:highlight w:val="none"/>
          <w:lang w:eastAsia="zh-CN"/>
        </w:rPr>
        <w:t>4.</w:t>
      </w:r>
      <w:r>
        <w:rPr>
          <w:rFonts w:ascii="Times New Roman" w:hAnsi="Times New Roman"/>
          <w:b/>
          <w:color w:val="auto"/>
          <w:sz w:val="22"/>
          <w:szCs w:val="22"/>
          <w:highlight w:val="none"/>
        </w:rPr>
        <w:t>保证</w:t>
      </w:r>
    </w:p>
    <w:p w14:paraId="53F0AA1D">
      <w:pPr>
        <w:pStyle w:val="28"/>
        <w:spacing w:line="336" w:lineRule="auto"/>
        <w:ind w:firstLine="420"/>
        <w:rPr>
          <w:rFonts w:ascii="Times New Roman" w:hAnsi="Times New Roman"/>
          <w:color w:val="auto"/>
          <w:sz w:val="22"/>
          <w:szCs w:val="22"/>
          <w:highlight w:val="none"/>
        </w:rPr>
      </w:pPr>
      <w:r>
        <w:rPr>
          <w:rFonts w:ascii="Times New Roman" w:hAnsi="Times New Roman"/>
          <w:color w:val="auto"/>
          <w:sz w:val="22"/>
          <w:szCs w:val="22"/>
          <w:highlight w:val="none"/>
        </w:rPr>
        <w:t>4.1投标人应保证所提交给招标机构和采购人的资料和数据是真实的。</w:t>
      </w:r>
    </w:p>
    <w:p w14:paraId="327116C1">
      <w:pPr>
        <w:pStyle w:val="28"/>
        <w:spacing w:line="336" w:lineRule="auto"/>
        <w:ind w:firstLine="422"/>
        <w:rPr>
          <w:rFonts w:ascii="Times New Roman" w:hAnsi="Times New Roman"/>
          <w:b/>
          <w:color w:val="auto"/>
          <w:sz w:val="22"/>
          <w:szCs w:val="22"/>
          <w:highlight w:val="none"/>
        </w:rPr>
      </w:pPr>
      <w:r>
        <w:rPr>
          <w:rFonts w:hint="eastAsia" w:ascii="Times New Roman" w:hAnsi="Times New Roman"/>
          <w:b/>
          <w:color w:val="auto"/>
          <w:sz w:val="22"/>
          <w:szCs w:val="22"/>
          <w:highlight w:val="none"/>
          <w:lang w:eastAsia="zh-CN"/>
        </w:rPr>
        <w:t>5.</w:t>
      </w:r>
      <w:r>
        <w:rPr>
          <w:rFonts w:ascii="Times New Roman" w:hAnsi="Times New Roman"/>
          <w:b/>
          <w:color w:val="auto"/>
          <w:sz w:val="22"/>
          <w:szCs w:val="22"/>
          <w:highlight w:val="none"/>
        </w:rPr>
        <w:t>招标投标费用</w:t>
      </w:r>
    </w:p>
    <w:p w14:paraId="006E575C">
      <w:pPr>
        <w:pStyle w:val="28"/>
        <w:spacing w:line="336" w:lineRule="auto"/>
        <w:ind w:firstLine="420"/>
        <w:rPr>
          <w:rFonts w:ascii="Times New Roman" w:hAnsi="Times New Roman"/>
          <w:color w:val="auto"/>
          <w:sz w:val="22"/>
          <w:szCs w:val="22"/>
          <w:highlight w:val="none"/>
        </w:rPr>
      </w:pPr>
      <w:r>
        <w:rPr>
          <w:rFonts w:ascii="Times New Roman" w:hAnsi="Times New Roman"/>
          <w:color w:val="auto"/>
          <w:sz w:val="22"/>
          <w:szCs w:val="22"/>
          <w:highlight w:val="none"/>
        </w:rPr>
        <w:t>5.1不论投标过程中的</w:t>
      </w:r>
      <w:r>
        <w:rPr>
          <w:rFonts w:hint="eastAsia" w:ascii="Times New Roman" w:hAnsi="Times New Roman"/>
          <w:color w:val="auto"/>
          <w:sz w:val="22"/>
          <w:szCs w:val="22"/>
          <w:highlight w:val="none"/>
        </w:rPr>
        <w:t>做法</w:t>
      </w:r>
      <w:r>
        <w:rPr>
          <w:rFonts w:ascii="Times New Roman" w:hAnsi="Times New Roman"/>
          <w:color w:val="auto"/>
          <w:sz w:val="22"/>
          <w:szCs w:val="22"/>
          <w:highlight w:val="none"/>
        </w:rPr>
        <w:t>和结果如何，投标人应承担所有与投标有关的全部费用。采购人和采购代理机构在任何情况下均无义务和责任承担上述这些费用。</w:t>
      </w:r>
    </w:p>
    <w:p w14:paraId="01437AAE">
      <w:pPr>
        <w:pStyle w:val="28"/>
        <w:spacing w:line="336" w:lineRule="auto"/>
        <w:ind w:firstLine="420"/>
        <w:rPr>
          <w:rFonts w:ascii="Times New Roman" w:hAnsi="Times New Roman"/>
          <w:color w:val="auto"/>
          <w:sz w:val="22"/>
          <w:szCs w:val="22"/>
          <w:highlight w:val="none"/>
        </w:rPr>
      </w:pPr>
      <w:r>
        <w:rPr>
          <w:rFonts w:ascii="Times New Roman" w:hAnsi="Times New Roman"/>
          <w:color w:val="auto"/>
          <w:sz w:val="22"/>
          <w:szCs w:val="22"/>
          <w:highlight w:val="none"/>
        </w:rPr>
        <w:t>5.2招标服务费</w:t>
      </w:r>
    </w:p>
    <w:p w14:paraId="6ADC7A5A">
      <w:pPr>
        <w:pStyle w:val="28"/>
        <w:spacing w:line="336" w:lineRule="auto"/>
        <w:ind w:firstLine="420"/>
        <w:rPr>
          <w:rFonts w:ascii="Times New Roman" w:hAnsi="Times New Roman"/>
          <w:color w:val="auto"/>
          <w:sz w:val="22"/>
          <w:szCs w:val="22"/>
          <w:highlight w:val="none"/>
        </w:rPr>
      </w:pPr>
      <w:r>
        <w:rPr>
          <w:rFonts w:ascii="Times New Roman" w:hAnsi="Times New Roman"/>
          <w:color w:val="auto"/>
          <w:sz w:val="22"/>
          <w:szCs w:val="22"/>
          <w:highlight w:val="none"/>
        </w:rPr>
        <w:t xml:space="preserve">5.2.1中标人须向招标代理机构交纳招标代理服务费，招标服务费按下列计算方式向中标方收取。 </w:t>
      </w:r>
    </w:p>
    <w:tbl>
      <w:tblPr>
        <w:tblStyle w:val="53"/>
        <w:tblW w:w="91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4"/>
        <w:gridCol w:w="1213"/>
        <w:gridCol w:w="5872"/>
      </w:tblGrid>
      <w:tr w14:paraId="094F0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2044" w:type="dxa"/>
            <w:noWrap w:val="0"/>
            <w:vAlign w:val="center"/>
          </w:tcPr>
          <w:p w14:paraId="21062330">
            <w:pPr>
              <w:pStyle w:val="28"/>
              <w:jc w:val="center"/>
              <w:rPr>
                <w:rFonts w:ascii="Times New Roman" w:hAnsi="Times New Roman"/>
                <w:color w:val="auto"/>
                <w:sz w:val="22"/>
                <w:szCs w:val="22"/>
                <w:highlight w:val="none"/>
              </w:rPr>
            </w:pPr>
            <w:r>
              <w:rPr>
                <w:rFonts w:ascii="Times New Roman" w:hAnsi="Times New Roman"/>
                <w:color w:val="auto"/>
                <w:sz w:val="22"/>
                <w:szCs w:val="22"/>
                <w:highlight w:val="none"/>
              </w:rPr>
              <w:t>中标金额（万元）</w:t>
            </w:r>
          </w:p>
        </w:tc>
        <w:tc>
          <w:tcPr>
            <w:tcW w:w="1213" w:type="dxa"/>
            <w:noWrap w:val="0"/>
            <w:vAlign w:val="center"/>
          </w:tcPr>
          <w:p w14:paraId="76DEE244">
            <w:pPr>
              <w:pStyle w:val="28"/>
              <w:jc w:val="center"/>
              <w:rPr>
                <w:rFonts w:ascii="Times New Roman" w:hAnsi="Times New Roman"/>
                <w:color w:val="auto"/>
                <w:sz w:val="22"/>
                <w:szCs w:val="22"/>
                <w:highlight w:val="none"/>
              </w:rPr>
            </w:pPr>
            <w:r>
              <w:rPr>
                <w:rFonts w:ascii="Times New Roman" w:hAnsi="Times New Roman"/>
                <w:color w:val="auto"/>
                <w:sz w:val="22"/>
                <w:szCs w:val="22"/>
                <w:highlight w:val="none"/>
              </w:rPr>
              <w:t>收费标准</w:t>
            </w:r>
          </w:p>
        </w:tc>
        <w:tc>
          <w:tcPr>
            <w:tcW w:w="5872" w:type="dxa"/>
            <w:noWrap w:val="0"/>
            <w:vAlign w:val="center"/>
          </w:tcPr>
          <w:p w14:paraId="5C0AFF02">
            <w:pPr>
              <w:pStyle w:val="28"/>
              <w:rPr>
                <w:rFonts w:ascii="Times New Roman" w:hAnsi="Times New Roman"/>
                <w:color w:val="auto"/>
                <w:sz w:val="22"/>
                <w:szCs w:val="22"/>
                <w:highlight w:val="none"/>
              </w:rPr>
            </w:pPr>
            <w:r>
              <w:rPr>
                <w:rFonts w:ascii="Times New Roman" w:hAnsi="Times New Roman"/>
                <w:color w:val="auto"/>
                <w:sz w:val="22"/>
                <w:szCs w:val="22"/>
                <w:highlight w:val="none"/>
              </w:rPr>
              <w:t>备注</w:t>
            </w:r>
          </w:p>
        </w:tc>
      </w:tr>
      <w:tr w14:paraId="0DE95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044" w:type="dxa"/>
            <w:noWrap w:val="0"/>
            <w:vAlign w:val="center"/>
          </w:tcPr>
          <w:p w14:paraId="0EEFD4AB">
            <w:pPr>
              <w:pStyle w:val="28"/>
              <w:jc w:val="center"/>
              <w:rPr>
                <w:rFonts w:ascii="Times New Roman" w:hAnsi="Times New Roman"/>
                <w:color w:val="auto"/>
                <w:sz w:val="22"/>
                <w:szCs w:val="22"/>
                <w:highlight w:val="none"/>
              </w:rPr>
            </w:pPr>
            <w:r>
              <w:rPr>
                <w:rFonts w:ascii="Times New Roman" w:hAnsi="Times New Roman"/>
                <w:color w:val="auto"/>
                <w:sz w:val="22"/>
                <w:szCs w:val="22"/>
                <w:highlight w:val="none"/>
              </w:rPr>
              <w:t>100以下</w:t>
            </w:r>
          </w:p>
        </w:tc>
        <w:tc>
          <w:tcPr>
            <w:tcW w:w="1213" w:type="dxa"/>
            <w:noWrap w:val="0"/>
            <w:vAlign w:val="center"/>
          </w:tcPr>
          <w:p w14:paraId="4EE9ECC0">
            <w:pPr>
              <w:pStyle w:val="28"/>
              <w:jc w:val="center"/>
              <w:rPr>
                <w:rFonts w:ascii="Times New Roman" w:hAnsi="Times New Roman"/>
                <w:color w:val="auto"/>
                <w:sz w:val="22"/>
                <w:szCs w:val="22"/>
                <w:highlight w:val="none"/>
              </w:rPr>
            </w:pPr>
            <w:r>
              <w:rPr>
                <w:rFonts w:ascii="Times New Roman" w:hAnsi="Times New Roman"/>
                <w:color w:val="auto"/>
                <w:sz w:val="22"/>
                <w:szCs w:val="22"/>
                <w:highlight w:val="none"/>
              </w:rPr>
              <w:t>1.5%</w:t>
            </w:r>
          </w:p>
        </w:tc>
        <w:tc>
          <w:tcPr>
            <w:tcW w:w="5872" w:type="dxa"/>
            <w:vMerge w:val="restart"/>
            <w:noWrap w:val="0"/>
            <w:vAlign w:val="center"/>
          </w:tcPr>
          <w:p w14:paraId="3DC175C3">
            <w:pPr>
              <w:pStyle w:val="28"/>
              <w:rPr>
                <w:rFonts w:ascii="Times New Roman" w:hAnsi="Times New Roman"/>
                <w:color w:val="auto"/>
                <w:sz w:val="22"/>
                <w:szCs w:val="22"/>
                <w:highlight w:val="none"/>
              </w:rPr>
            </w:pPr>
            <w:r>
              <w:rPr>
                <w:rFonts w:ascii="Times New Roman" w:hAnsi="Times New Roman"/>
                <w:color w:val="auto"/>
                <w:szCs w:val="21"/>
                <w:highlight w:val="none"/>
              </w:rPr>
              <w:t>招标服务费采用差额定率累进法计算，向中标方</w:t>
            </w:r>
            <w:r>
              <w:rPr>
                <w:rFonts w:hint="eastAsia" w:ascii="Times New Roman" w:hAnsi="Times New Roman"/>
                <w:color w:val="auto"/>
                <w:szCs w:val="21"/>
                <w:highlight w:val="none"/>
              </w:rPr>
              <w:t>按收费标准</w:t>
            </w:r>
            <w:r>
              <w:rPr>
                <w:rFonts w:ascii="Times New Roman" w:hAnsi="Times New Roman"/>
                <w:color w:val="auto"/>
                <w:szCs w:val="21"/>
                <w:highlight w:val="none"/>
              </w:rPr>
              <w:t>单向收取。例：中标金额为</w:t>
            </w:r>
            <w:r>
              <w:rPr>
                <w:rFonts w:hint="eastAsia" w:ascii="Times New Roman"/>
                <w:color w:val="auto"/>
                <w:szCs w:val="21"/>
                <w:highlight w:val="none"/>
              </w:rPr>
              <w:t>500</w:t>
            </w:r>
            <w:r>
              <w:rPr>
                <w:rFonts w:ascii="Times New Roman" w:hAnsi="Times New Roman"/>
                <w:color w:val="auto"/>
                <w:szCs w:val="21"/>
                <w:highlight w:val="none"/>
              </w:rPr>
              <w:t>万。服务费=</w:t>
            </w:r>
            <w:r>
              <w:rPr>
                <w:rFonts w:hint="eastAsia" w:ascii="Times New Roman" w:hAnsi="Times New Roman"/>
                <w:color w:val="auto"/>
                <w:szCs w:val="21"/>
                <w:highlight w:val="none"/>
              </w:rPr>
              <w:t>（</w:t>
            </w:r>
            <w:r>
              <w:rPr>
                <w:rFonts w:ascii="Times New Roman" w:hAnsi="Times New Roman"/>
                <w:color w:val="auto"/>
                <w:szCs w:val="21"/>
                <w:highlight w:val="none"/>
              </w:rPr>
              <w:t>100万×1.5%+400万×</w:t>
            </w:r>
            <w:r>
              <w:rPr>
                <w:rFonts w:hint="eastAsia" w:ascii="Times New Roman"/>
                <w:color w:val="auto"/>
                <w:szCs w:val="21"/>
                <w:highlight w:val="none"/>
                <w:lang w:val="en-US" w:eastAsia="zh-CN"/>
              </w:rPr>
              <w:t>0.8</w:t>
            </w:r>
            <w:r>
              <w:rPr>
                <w:rFonts w:ascii="Times New Roman" w:hAnsi="Times New Roman"/>
                <w:color w:val="auto"/>
                <w:szCs w:val="21"/>
                <w:highlight w:val="none"/>
              </w:rPr>
              <w:t>%</w:t>
            </w:r>
            <w:r>
              <w:rPr>
                <w:rFonts w:hint="eastAsia" w:ascii="Times New Roman" w:hAnsi="Times New Roman"/>
                <w:color w:val="auto"/>
                <w:szCs w:val="21"/>
                <w:highlight w:val="none"/>
              </w:rPr>
              <w:t>）</w:t>
            </w:r>
            <w:r>
              <w:rPr>
                <w:rFonts w:ascii="Times New Roman" w:hAnsi="Times New Roman"/>
                <w:color w:val="auto"/>
                <w:szCs w:val="21"/>
                <w:highlight w:val="none"/>
              </w:rPr>
              <w:t>=</w:t>
            </w:r>
            <w:r>
              <w:rPr>
                <w:rFonts w:hint="eastAsia" w:ascii="Times New Roman"/>
                <w:color w:val="auto"/>
                <w:szCs w:val="21"/>
                <w:highlight w:val="none"/>
                <w:lang w:val="en-US" w:eastAsia="zh-CN"/>
              </w:rPr>
              <w:t>4.7</w:t>
            </w:r>
            <w:r>
              <w:rPr>
                <w:rFonts w:ascii="Times New Roman" w:hAnsi="Times New Roman"/>
                <w:color w:val="auto"/>
                <w:szCs w:val="21"/>
                <w:highlight w:val="none"/>
              </w:rPr>
              <w:t>万元。</w:t>
            </w:r>
          </w:p>
        </w:tc>
      </w:tr>
      <w:tr w14:paraId="5021C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044" w:type="dxa"/>
            <w:noWrap w:val="0"/>
            <w:vAlign w:val="center"/>
          </w:tcPr>
          <w:p w14:paraId="235209EC">
            <w:pPr>
              <w:pStyle w:val="28"/>
              <w:jc w:val="center"/>
              <w:rPr>
                <w:rFonts w:ascii="Times New Roman" w:hAnsi="Times New Roman"/>
                <w:color w:val="auto"/>
                <w:sz w:val="22"/>
                <w:szCs w:val="22"/>
                <w:highlight w:val="none"/>
              </w:rPr>
            </w:pPr>
            <w:r>
              <w:rPr>
                <w:rFonts w:ascii="Times New Roman" w:hAnsi="Times New Roman"/>
                <w:color w:val="auto"/>
                <w:sz w:val="22"/>
                <w:szCs w:val="22"/>
                <w:highlight w:val="none"/>
              </w:rPr>
              <w:t>100-500</w:t>
            </w:r>
          </w:p>
        </w:tc>
        <w:tc>
          <w:tcPr>
            <w:tcW w:w="1213" w:type="dxa"/>
            <w:noWrap w:val="0"/>
            <w:vAlign w:val="center"/>
          </w:tcPr>
          <w:p w14:paraId="54D975EE">
            <w:pPr>
              <w:pStyle w:val="28"/>
              <w:jc w:val="center"/>
              <w:rPr>
                <w:rFonts w:ascii="Times New Roman" w:hAnsi="Times New Roman"/>
                <w:color w:val="auto"/>
                <w:sz w:val="22"/>
                <w:szCs w:val="22"/>
                <w:highlight w:val="none"/>
              </w:rPr>
            </w:pPr>
            <w:r>
              <w:rPr>
                <w:rFonts w:hint="eastAsia" w:ascii="Times New Roman" w:hAnsi="Times New Roman"/>
                <w:color w:val="auto"/>
                <w:sz w:val="22"/>
                <w:szCs w:val="22"/>
                <w:highlight w:val="none"/>
                <w:lang w:val="en-US" w:eastAsia="zh-CN"/>
              </w:rPr>
              <w:t>0.8</w:t>
            </w:r>
            <w:r>
              <w:rPr>
                <w:rFonts w:ascii="Times New Roman" w:hAnsi="Times New Roman"/>
                <w:color w:val="auto"/>
                <w:sz w:val="22"/>
                <w:szCs w:val="22"/>
                <w:highlight w:val="none"/>
              </w:rPr>
              <w:t>%</w:t>
            </w:r>
          </w:p>
        </w:tc>
        <w:tc>
          <w:tcPr>
            <w:tcW w:w="5872" w:type="dxa"/>
            <w:vMerge w:val="continue"/>
            <w:noWrap w:val="0"/>
            <w:vAlign w:val="center"/>
          </w:tcPr>
          <w:p w14:paraId="7C524299">
            <w:pPr>
              <w:rPr>
                <w:rFonts w:ascii="Times New Roman" w:hAnsi="Times New Roman" w:eastAsia="宋体" w:cs="Times New Roman"/>
                <w:color w:val="auto"/>
                <w:sz w:val="22"/>
                <w:szCs w:val="22"/>
                <w:highlight w:val="none"/>
              </w:rPr>
            </w:pPr>
          </w:p>
        </w:tc>
      </w:tr>
    </w:tbl>
    <w:p w14:paraId="424DE75C">
      <w:pPr>
        <w:pStyle w:val="28"/>
        <w:spacing w:line="336" w:lineRule="auto"/>
        <w:ind w:firstLine="420"/>
        <w:rPr>
          <w:rFonts w:ascii="Times New Roman" w:hAnsi="Times New Roman"/>
          <w:b/>
          <w:color w:val="auto"/>
          <w:sz w:val="22"/>
          <w:szCs w:val="22"/>
          <w:highlight w:val="none"/>
        </w:rPr>
      </w:pPr>
      <w:r>
        <w:rPr>
          <w:rFonts w:ascii="Times New Roman" w:hAnsi="Times New Roman"/>
          <w:color w:val="auto"/>
          <w:sz w:val="22"/>
          <w:szCs w:val="22"/>
          <w:highlight w:val="none"/>
        </w:rPr>
        <w:t>5.2.2招标代理服务费向招标代理机构直接交纳，可用汇票、电汇、银行本票、现金等付款方式。</w:t>
      </w:r>
    </w:p>
    <w:p w14:paraId="3D45B1F2">
      <w:pPr>
        <w:pStyle w:val="28"/>
        <w:spacing w:line="336" w:lineRule="auto"/>
        <w:ind w:firstLine="480"/>
        <w:rPr>
          <w:rFonts w:ascii="Times New Roman" w:hAnsi="Times New Roman"/>
          <w:b/>
          <w:color w:val="auto"/>
          <w:sz w:val="22"/>
          <w:szCs w:val="22"/>
          <w:highlight w:val="none"/>
        </w:rPr>
      </w:pPr>
      <w:r>
        <w:rPr>
          <w:rFonts w:hint="eastAsia" w:ascii="Times New Roman" w:hAnsi="Times New Roman"/>
          <w:b/>
          <w:color w:val="auto"/>
          <w:sz w:val="22"/>
          <w:szCs w:val="22"/>
          <w:highlight w:val="none"/>
          <w:lang w:eastAsia="zh-CN"/>
        </w:rPr>
        <w:t>6.</w:t>
      </w:r>
      <w:r>
        <w:rPr>
          <w:rFonts w:ascii="Times New Roman" w:hAnsi="Times New Roman"/>
          <w:b/>
          <w:color w:val="auto"/>
          <w:sz w:val="22"/>
          <w:szCs w:val="22"/>
          <w:highlight w:val="none"/>
        </w:rPr>
        <w:t xml:space="preserve">现场勘察 </w:t>
      </w:r>
    </w:p>
    <w:p w14:paraId="4542C6EC">
      <w:pPr>
        <w:pStyle w:val="28"/>
        <w:spacing w:line="336" w:lineRule="auto"/>
        <w:ind w:firstLine="480"/>
        <w:rPr>
          <w:rFonts w:ascii="Times New Roman" w:hAnsi="Times New Roman"/>
          <w:color w:val="auto"/>
          <w:sz w:val="22"/>
          <w:szCs w:val="22"/>
          <w:highlight w:val="none"/>
        </w:rPr>
      </w:pPr>
      <w:r>
        <w:rPr>
          <w:rFonts w:ascii="Times New Roman" w:hAnsi="Times New Roman"/>
          <w:color w:val="auto"/>
          <w:sz w:val="22"/>
          <w:szCs w:val="22"/>
          <w:highlight w:val="none"/>
        </w:rPr>
        <w:t>6.1投标前，投标人须自行到项目所在地予以踏勘，对项目实施现场及周边环境等进行勘察，以获取编制投标文件和签署合同所需的所有资料，否则，由此所造成的一切后果由投标人自行承担。踏勘期间，采购人不得留下供应商名称、联系方式等信息。</w:t>
      </w:r>
    </w:p>
    <w:p w14:paraId="6F2B3D1B">
      <w:pPr>
        <w:pStyle w:val="28"/>
        <w:spacing w:line="336" w:lineRule="auto"/>
        <w:ind w:firstLine="480"/>
        <w:rPr>
          <w:rFonts w:ascii="Times New Roman" w:hAnsi="Times New Roman"/>
          <w:color w:val="auto"/>
          <w:sz w:val="22"/>
          <w:szCs w:val="22"/>
          <w:highlight w:val="none"/>
        </w:rPr>
      </w:pPr>
      <w:r>
        <w:rPr>
          <w:rFonts w:ascii="Times New Roman" w:hAnsi="Times New Roman"/>
          <w:color w:val="auto"/>
          <w:sz w:val="22"/>
          <w:szCs w:val="22"/>
          <w:highlight w:val="none"/>
        </w:rPr>
        <w:t>6.2投标人在考察过程中发生的各类事件及所发生的各项费用，均由投标人自行承担。采购人和代理机构概不负责。</w:t>
      </w:r>
    </w:p>
    <w:p w14:paraId="1B90A9E3">
      <w:pPr>
        <w:pStyle w:val="28"/>
        <w:spacing w:line="336" w:lineRule="auto"/>
        <w:ind w:firstLine="420"/>
        <w:rPr>
          <w:rFonts w:ascii="Times New Roman" w:hAnsi="Times New Roman"/>
          <w:color w:val="auto"/>
          <w:sz w:val="22"/>
          <w:szCs w:val="22"/>
          <w:highlight w:val="none"/>
        </w:rPr>
      </w:pPr>
      <w:r>
        <w:rPr>
          <w:rFonts w:ascii="Times New Roman" w:hAnsi="Times New Roman"/>
          <w:color w:val="auto"/>
          <w:sz w:val="22"/>
          <w:szCs w:val="22"/>
          <w:highlight w:val="none"/>
        </w:rPr>
        <w:t>6.3采购人向投标人提供的有关现场的数据和资料，是采购人现有的能被投标人利用的资料，采购人对投标人据此做出的任何推论、理解和结论不负责任。</w:t>
      </w:r>
    </w:p>
    <w:p w14:paraId="043B7C6B">
      <w:pPr>
        <w:spacing w:line="336" w:lineRule="auto"/>
        <w:ind w:firstLine="420"/>
        <w:rPr>
          <w:color w:val="auto"/>
          <w:kern w:val="1"/>
          <w:sz w:val="22"/>
          <w:szCs w:val="22"/>
          <w:highlight w:val="none"/>
        </w:rPr>
      </w:pPr>
      <w:r>
        <w:rPr>
          <w:color w:val="auto"/>
          <w:kern w:val="1"/>
          <w:sz w:val="22"/>
          <w:szCs w:val="22"/>
          <w:highlight w:val="none"/>
        </w:rPr>
        <w:t>6.4现场踏勘完毕，将认为投标人</w:t>
      </w:r>
      <w:r>
        <w:rPr>
          <w:rFonts w:hint="eastAsia"/>
          <w:color w:val="auto"/>
          <w:kern w:val="1"/>
          <w:sz w:val="22"/>
          <w:szCs w:val="22"/>
          <w:highlight w:val="none"/>
          <w:lang w:val="en-US" w:eastAsia="zh-CN"/>
        </w:rPr>
        <w:t>已</w:t>
      </w:r>
      <w:r>
        <w:rPr>
          <w:color w:val="auto"/>
          <w:kern w:val="1"/>
          <w:sz w:val="22"/>
          <w:szCs w:val="22"/>
          <w:highlight w:val="none"/>
        </w:rPr>
        <w:t>了解现场情况，并充分理解了为之所承担的风险、义务和责任。</w:t>
      </w:r>
    </w:p>
    <w:p w14:paraId="52CADD67">
      <w:pPr>
        <w:spacing w:line="336" w:lineRule="auto"/>
        <w:ind w:firstLine="422"/>
        <w:rPr>
          <w:b/>
          <w:color w:val="auto"/>
          <w:kern w:val="1"/>
          <w:sz w:val="22"/>
          <w:szCs w:val="22"/>
          <w:highlight w:val="none"/>
        </w:rPr>
      </w:pPr>
      <w:r>
        <w:rPr>
          <w:rFonts w:hint="eastAsia"/>
          <w:b/>
          <w:color w:val="auto"/>
          <w:kern w:val="1"/>
          <w:sz w:val="22"/>
          <w:szCs w:val="22"/>
          <w:highlight w:val="none"/>
          <w:lang w:eastAsia="zh-CN"/>
        </w:rPr>
        <w:t>7.</w:t>
      </w:r>
      <w:r>
        <w:rPr>
          <w:b/>
          <w:color w:val="auto"/>
          <w:kern w:val="1"/>
          <w:sz w:val="22"/>
          <w:szCs w:val="22"/>
          <w:highlight w:val="none"/>
        </w:rPr>
        <w:t>联合体投标</w:t>
      </w:r>
    </w:p>
    <w:p w14:paraId="4706C051">
      <w:pPr>
        <w:pStyle w:val="28"/>
        <w:shd w:val="clear" w:color="auto" w:fill="auto"/>
        <w:spacing w:line="336" w:lineRule="auto"/>
        <w:ind w:firstLine="420"/>
        <w:rPr>
          <w:rFonts w:hint="eastAsia" w:ascii="Times New Roman" w:hAnsi="Times New Roman"/>
          <w:b/>
          <w:bCs/>
          <w:color w:val="auto"/>
          <w:sz w:val="22"/>
          <w:szCs w:val="22"/>
          <w:highlight w:val="none"/>
          <w:u w:val="single"/>
        </w:rPr>
      </w:pPr>
      <w:bookmarkStart w:id="11" w:name="_Toc274303230"/>
      <w:bookmarkEnd w:id="11"/>
      <w:bookmarkStart w:id="12" w:name="_Toc362250688"/>
      <w:bookmarkEnd w:id="12"/>
      <w:r>
        <w:rPr>
          <w:rFonts w:hint="eastAsia" w:ascii="Times New Roman" w:hAnsi="Times New Roman"/>
          <w:b/>
          <w:bCs/>
          <w:color w:val="auto"/>
          <w:sz w:val="22"/>
          <w:szCs w:val="22"/>
          <w:highlight w:val="none"/>
          <w:u w:val="single"/>
        </w:rPr>
        <w:t>7.1本项目接受联合体投标。以联合体形式参加投标的，参加联合体的供应商均应当具备《中华人民共和国政府采购法》第二十二条规定的条件，并且必须出具联合体共同投标协议书。联合体各方不得再单独参加或者与其他供应商另外组成联合体参加同一合同项下的政府采购活动。联合体牵头人由供应商自行确定，并签订联合体共同投标协议书，联合体共同投标协议书中明确约定联合体各方承担的工作和相应的责任。联合体各方应当共同与采购人签订采购合同，就采购合同约定的事项对采购人承担连带责任。</w:t>
      </w:r>
    </w:p>
    <w:p w14:paraId="53456DEC">
      <w:pPr>
        <w:pStyle w:val="28"/>
        <w:shd w:val="clear" w:color="auto" w:fill="auto"/>
        <w:spacing w:line="336" w:lineRule="auto"/>
        <w:ind w:firstLine="420"/>
        <w:rPr>
          <w:rFonts w:hint="eastAsia" w:ascii="Times New Roman" w:hAnsi="Times New Roman"/>
          <w:b/>
          <w:bCs/>
          <w:color w:val="auto"/>
          <w:sz w:val="22"/>
          <w:szCs w:val="22"/>
          <w:highlight w:val="none"/>
          <w:u w:val="single"/>
        </w:rPr>
      </w:pPr>
      <w:r>
        <w:rPr>
          <w:rFonts w:hint="eastAsia" w:ascii="Times New Roman" w:hAnsi="Times New Roman"/>
          <w:b/>
          <w:bCs/>
          <w:color w:val="auto"/>
          <w:sz w:val="22"/>
          <w:szCs w:val="22"/>
          <w:highlight w:val="none"/>
          <w:u w:val="single"/>
        </w:rPr>
        <w:t>7.2联合体中有同类资质的供应商按照联合体分工承担相同工作的，应当按照资质等级较低的供应商确定资质等级。</w:t>
      </w:r>
    </w:p>
    <w:p w14:paraId="1C68323B">
      <w:pPr>
        <w:pStyle w:val="28"/>
        <w:shd w:val="clear" w:color="auto" w:fill="auto"/>
        <w:spacing w:line="336" w:lineRule="auto"/>
        <w:ind w:firstLine="420"/>
        <w:rPr>
          <w:rFonts w:hint="eastAsia" w:ascii="Times New Roman" w:hAnsi="Times New Roman"/>
          <w:b/>
          <w:bCs/>
          <w:color w:val="auto"/>
          <w:sz w:val="22"/>
          <w:szCs w:val="22"/>
          <w:highlight w:val="none"/>
        </w:rPr>
      </w:pPr>
      <w:r>
        <w:rPr>
          <w:rFonts w:hint="eastAsia" w:ascii="Times New Roman" w:hAnsi="Times New Roman"/>
          <w:b/>
          <w:bCs/>
          <w:color w:val="auto"/>
          <w:sz w:val="22"/>
          <w:szCs w:val="22"/>
          <w:highlight w:val="none"/>
          <w:u w:val="single"/>
        </w:rPr>
        <w:t>7.3以联合体形式参加投标的，由联合体牵头人代表联合体办理投标事宜（除招标文件特别注明外，其余投标文件中的盖章、签字要求，均指由联合体牵头人单位进行盖章、签字），联合体牵头人在投标文件中的所有承诺均代表了联合体各成员。</w:t>
      </w:r>
    </w:p>
    <w:p w14:paraId="5620A288">
      <w:pPr>
        <w:pStyle w:val="6"/>
        <w:numPr>
          <w:ilvl w:val="1"/>
          <w:numId w:val="4"/>
        </w:numPr>
        <w:spacing w:before="0" w:after="0" w:line="336" w:lineRule="auto"/>
        <w:rPr>
          <w:rFonts w:ascii="Times New Roman" w:hAnsi="Times New Roman" w:eastAsia="宋体"/>
          <w:color w:val="auto"/>
          <w:sz w:val="22"/>
          <w:szCs w:val="22"/>
          <w:highlight w:val="none"/>
        </w:rPr>
      </w:pPr>
      <w:bookmarkStart w:id="13" w:name="_Toc25988"/>
      <w:r>
        <w:rPr>
          <w:rFonts w:ascii="Times New Roman" w:hAnsi="Times New Roman" w:eastAsia="宋体"/>
          <w:color w:val="auto"/>
          <w:sz w:val="22"/>
          <w:szCs w:val="22"/>
          <w:highlight w:val="none"/>
        </w:rPr>
        <w:t>二、招标文件</w:t>
      </w:r>
      <w:bookmarkEnd w:id="13"/>
    </w:p>
    <w:p w14:paraId="719CA36A">
      <w:pPr>
        <w:spacing w:line="336" w:lineRule="auto"/>
        <w:ind w:firstLine="422"/>
        <w:rPr>
          <w:b/>
          <w:color w:val="auto"/>
          <w:kern w:val="1"/>
          <w:sz w:val="22"/>
          <w:szCs w:val="22"/>
          <w:highlight w:val="none"/>
        </w:rPr>
      </w:pPr>
      <w:r>
        <w:rPr>
          <w:rFonts w:hint="eastAsia"/>
          <w:b/>
          <w:color w:val="auto"/>
          <w:kern w:val="1"/>
          <w:sz w:val="22"/>
          <w:szCs w:val="22"/>
          <w:highlight w:val="none"/>
          <w:lang w:eastAsia="zh-CN"/>
        </w:rPr>
        <w:t>8.</w:t>
      </w:r>
      <w:r>
        <w:rPr>
          <w:b/>
          <w:color w:val="auto"/>
          <w:kern w:val="1"/>
          <w:sz w:val="22"/>
          <w:szCs w:val="22"/>
          <w:highlight w:val="none"/>
        </w:rPr>
        <w:t>招标文件的组成</w:t>
      </w:r>
    </w:p>
    <w:p w14:paraId="3E9C2E8C">
      <w:pPr>
        <w:spacing w:line="336" w:lineRule="auto"/>
        <w:ind w:firstLine="420"/>
        <w:rPr>
          <w:color w:val="auto"/>
          <w:kern w:val="1"/>
          <w:sz w:val="22"/>
          <w:szCs w:val="22"/>
          <w:highlight w:val="none"/>
        </w:rPr>
      </w:pPr>
      <w:r>
        <w:rPr>
          <w:color w:val="auto"/>
          <w:kern w:val="1"/>
          <w:sz w:val="22"/>
          <w:szCs w:val="22"/>
          <w:highlight w:val="none"/>
        </w:rPr>
        <w:t>8.1招标文件包括下列内容：</w:t>
      </w:r>
    </w:p>
    <w:p w14:paraId="3FB4D821">
      <w:pPr>
        <w:spacing w:line="336" w:lineRule="auto"/>
        <w:ind w:firstLine="420"/>
        <w:rPr>
          <w:color w:val="auto"/>
          <w:kern w:val="1"/>
          <w:sz w:val="22"/>
          <w:szCs w:val="22"/>
          <w:highlight w:val="none"/>
        </w:rPr>
      </w:pPr>
      <w:r>
        <w:rPr>
          <w:color w:val="auto"/>
          <w:kern w:val="1"/>
          <w:sz w:val="22"/>
          <w:szCs w:val="22"/>
          <w:highlight w:val="none"/>
        </w:rPr>
        <w:t>第一章  采购公告</w:t>
      </w:r>
    </w:p>
    <w:p w14:paraId="72EA2205">
      <w:pPr>
        <w:spacing w:line="336" w:lineRule="auto"/>
        <w:ind w:firstLine="420"/>
        <w:rPr>
          <w:color w:val="auto"/>
          <w:kern w:val="1"/>
          <w:sz w:val="22"/>
          <w:szCs w:val="22"/>
          <w:highlight w:val="none"/>
        </w:rPr>
      </w:pPr>
      <w:r>
        <w:rPr>
          <w:color w:val="auto"/>
          <w:kern w:val="1"/>
          <w:sz w:val="22"/>
          <w:szCs w:val="22"/>
          <w:highlight w:val="none"/>
        </w:rPr>
        <w:t>第二章  投标须知和投标须知前附表</w:t>
      </w:r>
    </w:p>
    <w:p w14:paraId="5551451C">
      <w:pPr>
        <w:spacing w:line="336" w:lineRule="auto"/>
        <w:ind w:firstLine="420"/>
        <w:rPr>
          <w:color w:val="auto"/>
          <w:kern w:val="1"/>
          <w:sz w:val="22"/>
          <w:szCs w:val="22"/>
          <w:highlight w:val="none"/>
        </w:rPr>
      </w:pPr>
      <w:r>
        <w:rPr>
          <w:color w:val="auto"/>
          <w:kern w:val="1"/>
          <w:sz w:val="22"/>
          <w:szCs w:val="22"/>
          <w:highlight w:val="none"/>
        </w:rPr>
        <w:t>第三章  招标项目要求</w:t>
      </w:r>
    </w:p>
    <w:p w14:paraId="5D7F928F">
      <w:pPr>
        <w:spacing w:line="336" w:lineRule="auto"/>
        <w:ind w:firstLine="420"/>
        <w:rPr>
          <w:color w:val="auto"/>
          <w:kern w:val="1"/>
          <w:sz w:val="22"/>
          <w:szCs w:val="22"/>
          <w:highlight w:val="none"/>
        </w:rPr>
      </w:pPr>
      <w:r>
        <w:rPr>
          <w:color w:val="auto"/>
          <w:kern w:val="1"/>
          <w:sz w:val="22"/>
          <w:szCs w:val="22"/>
          <w:highlight w:val="none"/>
        </w:rPr>
        <w:t>第四章  开标、评标和定标</w:t>
      </w:r>
    </w:p>
    <w:p w14:paraId="5A2AAA33">
      <w:pPr>
        <w:spacing w:line="336" w:lineRule="auto"/>
        <w:ind w:firstLine="420"/>
        <w:rPr>
          <w:color w:val="auto"/>
          <w:kern w:val="1"/>
          <w:sz w:val="22"/>
          <w:szCs w:val="22"/>
          <w:highlight w:val="none"/>
        </w:rPr>
      </w:pPr>
      <w:r>
        <w:rPr>
          <w:color w:val="auto"/>
          <w:kern w:val="1"/>
          <w:sz w:val="22"/>
          <w:szCs w:val="22"/>
          <w:highlight w:val="none"/>
        </w:rPr>
        <w:t>第五章  投标文件的有效性</w:t>
      </w:r>
    </w:p>
    <w:p w14:paraId="7CA917BA">
      <w:pPr>
        <w:spacing w:line="336" w:lineRule="auto"/>
        <w:ind w:firstLine="420"/>
        <w:rPr>
          <w:color w:val="auto"/>
          <w:kern w:val="1"/>
          <w:sz w:val="22"/>
          <w:szCs w:val="22"/>
          <w:highlight w:val="none"/>
        </w:rPr>
      </w:pPr>
      <w:r>
        <w:rPr>
          <w:color w:val="auto"/>
          <w:kern w:val="1"/>
          <w:sz w:val="22"/>
          <w:szCs w:val="22"/>
          <w:highlight w:val="none"/>
        </w:rPr>
        <w:t>第六章  评标办法</w:t>
      </w:r>
    </w:p>
    <w:p w14:paraId="6E48085A">
      <w:pPr>
        <w:spacing w:line="336" w:lineRule="auto"/>
        <w:ind w:firstLine="420"/>
        <w:rPr>
          <w:color w:val="auto"/>
          <w:kern w:val="1"/>
          <w:sz w:val="22"/>
          <w:szCs w:val="22"/>
          <w:highlight w:val="none"/>
        </w:rPr>
      </w:pPr>
      <w:r>
        <w:rPr>
          <w:color w:val="auto"/>
          <w:kern w:val="1"/>
          <w:sz w:val="22"/>
          <w:szCs w:val="22"/>
          <w:highlight w:val="none"/>
        </w:rPr>
        <w:t>第七章  合同主要条款</w:t>
      </w:r>
    </w:p>
    <w:p w14:paraId="4EF57BC5">
      <w:pPr>
        <w:spacing w:line="336" w:lineRule="auto"/>
        <w:rPr>
          <w:color w:val="auto"/>
          <w:kern w:val="1"/>
          <w:sz w:val="22"/>
          <w:szCs w:val="22"/>
          <w:highlight w:val="none"/>
        </w:rPr>
      </w:pPr>
      <w:r>
        <w:rPr>
          <w:color w:val="auto"/>
          <w:kern w:val="1"/>
          <w:sz w:val="22"/>
          <w:szCs w:val="22"/>
          <w:highlight w:val="none"/>
        </w:rPr>
        <w:t xml:space="preserve">    第八章 投标文件部分格式</w:t>
      </w:r>
    </w:p>
    <w:p w14:paraId="39FD2D51">
      <w:pPr>
        <w:spacing w:line="336" w:lineRule="auto"/>
        <w:ind w:firstLine="420"/>
        <w:rPr>
          <w:color w:val="auto"/>
          <w:kern w:val="1"/>
          <w:sz w:val="22"/>
          <w:szCs w:val="22"/>
          <w:highlight w:val="none"/>
        </w:rPr>
      </w:pPr>
      <w:r>
        <w:rPr>
          <w:color w:val="auto"/>
          <w:kern w:val="1"/>
          <w:sz w:val="22"/>
          <w:szCs w:val="22"/>
          <w:highlight w:val="none"/>
        </w:rPr>
        <w:t>8.2除8.1内容外，采购人在投标须知前附表规定时间前，以书面形式发出的对招标文件的澄清或修改内容，均为招标文件的组成部分，对采购人和投标人起约束作用。</w:t>
      </w:r>
    </w:p>
    <w:p w14:paraId="3EE40792">
      <w:pPr>
        <w:spacing w:line="336" w:lineRule="auto"/>
        <w:ind w:firstLine="420"/>
        <w:rPr>
          <w:color w:val="auto"/>
          <w:kern w:val="1"/>
          <w:sz w:val="22"/>
          <w:szCs w:val="22"/>
          <w:highlight w:val="none"/>
        </w:rPr>
      </w:pPr>
      <w:r>
        <w:rPr>
          <w:color w:val="auto"/>
          <w:kern w:val="1"/>
          <w:sz w:val="22"/>
          <w:szCs w:val="22"/>
          <w:highlight w:val="none"/>
        </w:rPr>
        <w:t>8.3上述所列8.1及8.2条内容均以书面文件为准，采购人（招标代理机构）的任何工作人员对投标人所作的任何口头解释、介绍、答复，对采购人和投标人无任何约束力。</w:t>
      </w:r>
    </w:p>
    <w:p w14:paraId="381BF77E">
      <w:pPr>
        <w:spacing w:line="336" w:lineRule="auto"/>
        <w:ind w:firstLine="420"/>
        <w:rPr>
          <w:color w:val="auto"/>
          <w:kern w:val="1"/>
          <w:sz w:val="22"/>
          <w:szCs w:val="22"/>
          <w:highlight w:val="none"/>
        </w:rPr>
      </w:pPr>
      <w:r>
        <w:rPr>
          <w:color w:val="auto"/>
          <w:kern w:val="1"/>
          <w:sz w:val="22"/>
          <w:szCs w:val="22"/>
          <w:highlight w:val="none"/>
        </w:rPr>
        <w:t>8.4</w:t>
      </w:r>
      <w:r>
        <w:rPr>
          <w:b/>
          <w:color w:val="auto"/>
          <w:kern w:val="1"/>
          <w:sz w:val="22"/>
          <w:szCs w:val="22"/>
          <w:highlight w:val="none"/>
        </w:rPr>
        <w:t>投标人应认真阅读投标须知、合同条件、规定格式、项目要求、报价要求等招标文件所有的内容。如果投标人的投标文件不能符合招标文件的要求，责任由投标人自负。实质上不响应招标文件要求的投标文件将被拒绝。</w:t>
      </w:r>
    </w:p>
    <w:p w14:paraId="67B7C5AC">
      <w:pPr>
        <w:spacing w:line="336" w:lineRule="auto"/>
        <w:ind w:firstLine="422"/>
        <w:rPr>
          <w:b/>
          <w:color w:val="auto"/>
          <w:kern w:val="1"/>
          <w:sz w:val="22"/>
          <w:szCs w:val="22"/>
          <w:highlight w:val="none"/>
        </w:rPr>
      </w:pPr>
      <w:r>
        <w:rPr>
          <w:rFonts w:hint="eastAsia"/>
          <w:b/>
          <w:color w:val="auto"/>
          <w:kern w:val="1"/>
          <w:sz w:val="22"/>
          <w:szCs w:val="22"/>
          <w:highlight w:val="none"/>
          <w:lang w:eastAsia="zh-CN"/>
        </w:rPr>
        <w:t>9.</w:t>
      </w:r>
      <w:r>
        <w:rPr>
          <w:b/>
          <w:color w:val="auto"/>
          <w:kern w:val="1"/>
          <w:sz w:val="22"/>
          <w:szCs w:val="22"/>
          <w:highlight w:val="none"/>
        </w:rPr>
        <w:t>招标文件的澄清</w:t>
      </w:r>
    </w:p>
    <w:p w14:paraId="491052C6">
      <w:pPr>
        <w:spacing w:line="336" w:lineRule="auto"/>
        <w:ind w:firstLine="420"/>
        <w:rPr>
          <w:color w:val="auto"/>
          <w:kern w:val="1"/>
          <w:sz w:val="22"/>
          <w:szCs w:val="22"/>
          <w:highlight w:val="none"/>
        </w:rPr>
      </w:pPr>
      <w:r>
        <w:rPr>
          <w:color w:val="auto"/>
          <w:kern w:val="1"/>
          <w:sz w:val="22"/>
          <w:szCs w:val="22"/>
          <w:highlight w:val="none"/>
        </w:rPr>
        <w:t>9.1投标人若对招标文件有任何疑问，应于前附表规定的时间以书面形式送（传真）向采购人和代理机构提出。</w:t>
      </w:r>
    </w:p>
    <w:p w14:paraId="1244BB52">
      <w:pPr>
        <w:spacing w:line="336" w:lineRule="auto"/>
        <w:ind w:firstLine="420"/>
        <w:rPr>
          <w:color w:val="auto"/>
          <w:kern w:val="1"/>
          <w:sz w:val="22"/>
          <w:szCs w:val="22"/>
          <w:highlight w:val="none"/>
        </w:rPr>
      </w:pPr>
      <w:r>
        <w:rPr>
          <w:color w:val="auto"/>
          <w:kern w:val="1"/>
          <w:sz w:val="22"/>
          <w:szCs w:val="22"/>
          <w:highlight w:val="none"/>
        </w:rPr>
        <w:t>9.2</w:t>
      </w:r>
      <w:r>
        <w:rPr>
          <w:color w:val="auto"/>
          <w:sz w:val="22"/>
          <w:szCs w:val="22"/>
          <w:highlight w:val="none"/>
        </w:rPr>
        <w:t>无论是招标方根据需要主动对招标文件进行必要澄清，或是根据投标人的要求对招标文件</w:t>
      </w:r>
      <w:r>
        <w:rPr>
          <w:rFonts w:hint="eastAsia"/>
          <w:color w:val="auto"/>
          <w:sz w:val="22"/>
          <w:szCs w:val="22"/>
          <w:highlight w:val="none"/>
          <w:lang w:eastAsia="zh-CN"/>
        </w:rPr>
        <w:t>作出</w:t>
      </w:r>
      <w:r>
        <w:rPr>
          <w:color w:val="auto"/>
          <w:sz w:val="22"/>
          <w:szCs w:val="22"/>
          <w:highlight w:val="none"/>
        </w:rPr>
        <w:t>澄清，</w:t>
      </w:r>
      <w:r>
        <w:rPr>
          <w:b/>
          <w:color w:val="auto"/>
          <w:sz w:val="22"/>
          <w:szCs w:val="22"/>
          <w:highlight w:val="none"/>
          <w:u w:val="single"/>
        </w:rPr>
        <w:t>招标方的书面澄清（更正）文件会在浙江省政府网上发布公告，同时政采云系统会向所有已按招标文件规定方式获取招标文件的潜在供应商发送更正提醒信息，潜在供应商请自行到浙江省政府采网上下载澄清（更正）文件，潜在供应商在收到该澄清（更正）文件后应于1日内，以书面或传真形式（签署意见并加盖公章）向招标代理机构回函给予确认。过期未回复的，视为默认接受。供应商在投标截止时间前应充分关注该网上发布的信息，如因供应商未及时关注网上发布的信息而导致的一切投标后果由供应商自行承担。</w:t>
      </w:r>
    </w:p>
    <w:p w14:paraId="2CF96065">
      <w:pPr>
        <w:spacing w:line="336" w:lineRule="auto"/>
        <w:ind w:firstLine="420"/>
        <w:rPr>
          <w:color w:val="auto"/>
          <w:kern w:val="1"/>
          <w:sz w:val="22"/>
          <w:szCs w:val="22"/>
          <w:highlight w:val="none"/>
        </w:rPr>
      </w:pPr>
      <w:r>
        <w:rPr>
          <w:color w:val="auto"/>
          <w:kern w:val="1"/>
          <w:sz w:val="22"/>
          <w:szCs w:val="22"/>
          <w:highlight w:val="none"/>
        </w:rPr>
        <w:t>9.3投标人在前附表规定时间未提交疑问或质疑的，视作默认对本次招标过程中招标文件无异议，招标方对其提出的问题可以不予受理。</w:t>
      </w:r>
    </w:p>
    <w:p w14:paraId="71F9FC37">
      <w:pPr>
        <w:spacing w:line="336" w:lineRule="auto"/>
        <w:ind w:firstLine="420"/>
        <w:rPr>
          <w:color w:val="auto"/>
          <w:kern w:val="1"/>
          <w:sz w:val="22"/>
          <w:szCs w:val="22"/>
          <w:highlight w:val="none"/>
        </w:rPr>
      </w:pPr>
      <w:r>
        <w:rPr>
          <w:color w:val="auto"/>
          <w:kern w:val="1"/>
          <w:sz w:val="22"/>
          <w:szCs w:val="22"/>
          <w:highlight w:val="none"/>
        </w:rPr>
        <w:t>9.4招标文件澄清、变更、补充等内容均以浙江政府采购网公示的内容为准。当招标文件、招标文件的澄清、变更、补充等在同一内容的表述上不一致时，以最后在浙江政府采购网发出的公示内容为准。</w:t>
      </w:r>
    </w:p>
    <w:p w14:paraId="38D8620A">
      <w:pPr>
        <w:spacing w:line="336" w:lineRule="auto"/>
        <w:ind w:firstLine="420"/>
        <w:rPr>
          <w:color w:val="auto"/>
          <w:kern w:val="1"/>
          <w:sz w:val="22"/>
          <w:szCs w:val="22"/>
          <w:highlight w:val="none"/>
        </w:rPr>
      </w:pPr>
      <w:r>
        <w:rPr>
          <w:color w:val="auto"/>
          <w:kern w:val="1"/>
          <w:sz w:val="22"/>
          <w:szCs w:val="22"/>
          <w:highlight w:val="none"/>
        </w:rPr>
        <w:t>9.5采购人及招标代理机构工作人员向投标人所作的任何口头答复或电话通知一律无效。</w:t>
      </w:r>
    </w:p>
    <w:p w14:paraId="7631AEF3">
      <w:pPr>
        <w:spacing w:line="336" w:lineRule="auto"/>
        <w:ind w:firstLine="420"/>
        <w:rPr>
          <w:color w:val="auto"/>
          <w:kern w:val="1"/>
          <w:sz w:val="22"/>
          <w:szCs w:val="22"/>
          <w:highlight w:val="none"/>
        </w:rPr>
      </w:pPr>
      <w:r>
        <w:rPr>
          <w:color w:val="auto"/>
          <w:kern w:val="1"/>
          <w:sz w:val="22"/>
          <w:szCs w:val="22"/>
          <w:highlight w:val="none"/>
        </w:rPr>
        <w:t>9.6投标人应仔细阅读和检查招标文件的全部内容。如发现缺页或附件不全，应及时向招标方提出，以便补齐。如有疑问，应在投标人须知前附表规定的方式及时间前不署名书面或传真形式要求澄清问题的文件，要求招标方对招标文件予以澄清。否则，由此引起的损失由投标人自己承担。</w:t>
      </w:r>
    </w:p>
    <w:p w14:paraId="299E7A21">
      <w:pPr>
        <w:pStyle w:val="6"/>
        <w:numPr>
          <w:ilvl w:val="1"/>
          <w:numId w:val="4"/>
        </w:numPr>
        <w:spacing w:before="0" w:after="0" w:line="336" w:lineRule="auto"/>
        <w:rPr>
          <w:rFonts w:ascii="Times New Roman" w:hAnsi="Times New Roman" w:eastAsia="宋体"/>
          <w:color w:val="auto"/>
          <w:sz w:val="22"/>
          <w:szCs w:val="22"/>
          <w:highlight w:val="none"/>
        </w:rPr>
      </w:pPr>
      <w:bookmarkStart w:id="14" w:name="_Toc274303231"/>
      <w:bookmarkEnd w:id="14"/>
      <w:bookmarkStart w:id="15" w:name="_Toc362250689"/>
      <w:bookmarkEnd w:id="15"/>
      <w:bookmarkStart w:id="16" w:name="_Toc17064"/>
      <w:r>
        <w:rPr>
          <w:rFonts w:ascii="Times New Roman" w:hAnsi="Times New Roman" w:eastAsia="宋体"/>
          <w:color w:val="auto"/>
          <w:sz w:val="22"/>
          <w:szCs w:val="22"/>
          <w:highlight w:val="none"/>
        </w:rPr>
        <w:t>三、投标文件</w:t>
      </w:r>
      <w:bookmarkEnd w:id="16"/>
    </w:p>
    <w:p w14:paraId="5181DDFA">
      <w:pPr>
        <w:spacing w:line="336" w:lineRule="auto"/>
        <w:ind w:firstLine="480"/>
        <w:rPr>
          <w:color w:val="auto"/>
          <w:kern w:val="1"/>
          <w:sz w:val="22"/>
          <w:szCs w:val="22"/>
          <w:highlight w:val="none"/>
        </w:rPr>
      </w:pPr>
      <w:r>
        <w:rPr>
          <w:b/>
          <w:color w:val="auto"/>
          <w:kern w:val="1"/>
          <w:sz w:val="22"/>
          <w:szCs w:val="22"/>
          <w:highlight w:val="none"/>
        </w:rPr>
        <w:t>1</w:t>
      </w:r>
      <w:r>
        <w:rPr>
          <w:rFonts w:hint="eastAsia"/>
          <w:b/>
          <w:color w:val="auto"/>
          <w:kern w:val="1"/>
          <w:sz w:val="22"/>
          <w:szCs w:val="22"/>
          <w:highlight w:val="none"/>
          <w:lang w:eastAsia="zh-CN"/>
        </w:rPr>
        <w:t>0.</w:t>
      </w:r>
      <w:r>
        <w:rPr>
          <w:b/>
          <w:color w:val="auto"/>
          <w:kern w:val="1"/>
          <w:sz w:val="22"/>
          <w:szCs w:val="22"/>
          <w:highlight w:val="none"/>
        </w:rPr>
        <w:t>投标文件的语言及度量衡单位</w:t>
      </w:r>
    </w:p>
    <w:p w14:paraId="69925E04">
      <w:pPr>
        <w:spacing w:line="336" w:lineRule="auto"/>
        <w:ind w:firstLine="420"/>
        <w:rPr>
          <w:color w:val="auto"/>
          <w:kern w:val="1"/>
          <w:sz w:val="22"/>
          <w:szCs w:val="22"/>
          <w:highlight w:val="none"/>
        </w:rPr>
      </w:pPr>
      <w:r>
        <w:rPr>
          <w:color w:val="auto"/>
          <w:kern w:val="1"/>
          <w:sz w:val="22"/>
          <w:szCs w:val="22"/>
          <w:highlight w:val="none"/>
        </w:rPr>
        <w:t>10.1投标文件和与投标有关的所有文件均应使用汉语。</w:t>
      </w:r>
    </w:p>
    <w:p w14:paraId="1FC9BFE1">
      <w:pPr>
        <w:pStyle w:val="28"/>
        <w:spacing w:line="336" w:lineRule="auto"/>
        <w:ind w:firstLine="420"/>
        <w:rPr>
          <w:rFonts w:ascii="Times New Roman" w:hAnsi="Times New Roman"/>
          <w:color w:val="auto"/>
          <w:sz w:val="22"/>
          <w:szCs w:val="22"/>
          <w:highlight w:val="none"/>
        </w:rPr>
      </w:pPr>
      <w:r>
        <w:rPr>
          <w:rFonts w:ascii="Times New Roman" w:hAnsi="Times New Roman"/>
          <w:color w:val="auto"/>
          <w:sz w:val="22"/>
          <w:szCs w:val="22"/>
          <w:highlight w:val="none"/>
        </w:rPr>
        <w:t>10.2除工程规范另有规定外，投标文件使用的度量衡单位，均采用中华人民共和国法定计量单位。</w:t>
      </w:r>
    </w:p>
    <w:p w14:paraId="1B645343">
      <w:pPr>
        <w:spacing w:line="336" w:lineRule="auto"/>
        <w:ind w:firstLine="422"/>
        <w:rPr>
          <w:color w:val="auto"/>
          <w:sz w:val="22"/>
          <w:szCs w:val="22"/>
          <w:highlight w:val="none"/>
        </w:rPr>
      </w:pPr>
      <w:r>
        <w:rPr>
          <w:b/>
          <w:color w:val="auto"/>
          <w:kern w:val="1"/>
          <w:sz w:val="22"/>
          <w:szCs w:val="22"/>
          <w:highlight w:val="none"/>
        </w:rPr>
        <w:t>1</w:t>
      </w:r>
      <w:r>
        <w:rPr>
          <w:rFonts w:hint="eastAsia"/>
          <w:b/>
          <w:color w:val="auto"/>
          <w:kern w:val="1"/>
          <w:sz w:val="22"/>
          <w:szCs w:val="22"/>
          <w:highlight w:val="none"/>
          <w:lang w:eastAsia="zh-CN"/>
        </w:rPr>
        <w:t>1.</w:t>
      </w:r>
      <w:r>
        <w:rPr>
          <w:b/>
          <w:color w:val="auto"/>
          <w:kern w:val="1"/>
          <w:sz w:val="22"/>
          <w:szCs w:val="22"/>
          <w:highlight w:val="none"/>
        </w:rPr>
        <w:t>对投标文件的要求</w:t>
      </w:r>
    </w:p>
    <w:p w14:paraId="24A22C2D">
      <w:pPr>
        <w:spacing w:line="336" w:lineRule="auto"/>
        <w:ind w:firstLine="420"/>
        <w:rPr>
          <w:color w:val="auto"/>
          <w:kern w:val="1"/>
          <w:sz w:val="22"/>
          <w:szCs w:val="22"/>
          <w:highlight w:val="none"/>
        </w:rPr>
      </w:pPr>
      <w:r>
        <w:rPr>
          <w:color w:val="auto"/>
          <w:kern w:val="1"/>
          <w:sz w:val="22"/>
          <w:szCs w:val="22"/>
          <w:highlight w:val="none"/>
        </w:rPr>
        <w:t>11.1投标人应仔细阅读招标文件，了解招标文件的要求，在完全了解招标项目的技术要求和商务要求后，编制投标文件。</w:t>
      </w:r>
    </w:p>
    <w:p w14:paraId="0A7D7A27">
      <w:pPr>
        <w:spacing w:line="336" w:lineRule="auto"/>
        <w:ind w:firstLine="420"/>
        <w:rPr>
          <w:color w:val="auto"/>
          <w:kern w:val="1"/>
          <w:sz w:val="22"/>
          <w:szCs w:val="22"/>
          <w:highlight w:val="none"/>
        </w:rPr>
      </w:pPr>
      <w:r>
        <w:rPr>
          <w:color w:val="auto"/>
          <w:kern w:val="1"/>
          <w:sz w:val="22"/>
          <w:szCs w:val="22"/>
          <w:highlight w:val="none"/>
        </w:rPr>
        <w:t>11.2 在招标文件对技术要求中，投标人必须充分应答和满足用户的强制性的需求，如“★”等，否则将导致废标。</w:t>
      </w:r>
    </w:p>
    <w:p w14:paraId="4D051164">
      <w:pPr>
        <w:spacing w:line="336" w:lineRule="auto"/>
        <w:ind w:firstLine="420"/>
        <w:rPr>
          <w:color w:val="auto"/>
          <w:kern w:val="1"/>
          <w:sz w:val="22"/>
          <w:szCs w:val="22"/>
          <w:highlight w:val="none"/>
        </w:rPr>
      </w:pPr>
      <w:r>
        <w:rPr>
          <w:color w:val="auto"/>
          <w:kern w:val="1"/>
          <w:sz w:val="22"/>
          <w:szCs w:val="22"/>
          <w:highlight w:val="none"/>
        </w:rPr>
        <w:t>11.3编制的投标文件对招标文件中有关条款未提出异议的，均被视为接受和同意。</w:t>
      </w:r>
    </w:p>
    <w:p w14:paraId="70E327E8">
      <w:pPr>
        <w:spacing w:line="336" w:lineRule="auto"/>
        <w:ind w:firstLine="480"/>
        <w:rPr>
          <w:b/>
          <w:color w:val="auto"/>
          <w:kern w:val="1"/>
          <w:sz w:val="22"/>
          <w:szCs w:val="22"/>
          <w:highlight w:val="none"/>
        </w:rPr>
      </w:pPr>
      <w:r>
        <w:rPr>
          <w:b/>
          <w:color w:val="auto"/>
          <w:kern w:val="1"/>
          <w:sz w:val="22"/>
          <w:szCs w:val="22"/>
          <w:highlight w:val="none"/>
        </w:rPr>
        <w:t>1</w:t>
      </w:r>
      <w:r>
        <w:rPr>
          <w:rFonts w:hint="eastAsia"/>
          <w:b/>
          <w:color w:val="auto"/>
          <w:kern w:val="1"/>
          <w:sz w:val="22"/>
          <w:szCs w:val="22"/>
          <w:highlight w:val="none"/>
          <w:lang w:eastAsia="zh-CN"/>
        </w:rPr>
        <w:t>2.</w:t>
      </w:r>
      <w:r>
        <w:rPr>
          <w:b/>
          <w:color w:val="auto"/>
          <w:kern w:val="1"/>
          <w:sz w:val="22"/>
          <w:szCs w:val="22"/>
          <w:highlight w:val="none"/>
        </w:rPr>
        <w:t>投标文件的组成</w:t>
      </w:r>
    </w:p>
    <w:p w14:paraId="7C3076C9">
      <w:pPr>
        <w:spacing w:line="336" w:lineRule="auto"/>
        <w:ind w:firstLine="420"/>
        <w:rPr>
          <w:color w:val="auto"/>
          <w:kern w:val="1"/>
          <w:sz w:val="22"/>
          <w:szCs w:val="22"/>
          <w:highlight w:val="none"/>
        </w:rPr>
      </w:pPr>
      <w:r>
        <w:rPr>
          <w:color w:val="auto"/>
          <w:kern w:val="1"/>
          <w:sz w:val="22"/>
          <w:szCs w:val="22"/>
          <w:highlight w:val="none"/>
        </w:rPr>
        <w:t>12.1 招标文件“投标文件部分格式”所列的内容、格式及其投标人认为有必要提供的其他文件。</w:t>
      </w:r>
    </w:p>
    <w:p w14:paraId="3B71E1CF">
      <w:pPr>
        <w:spacing w:line="336" w:lineRule="auto"/>
        <w:ind w:firstLine="422"/>
        <w:rPr>
          <w:b/>
          <w:color w:val="auto"/>
          <w:kern w:val="1"/>
          <w:sz w:val="22"/>
          <w:szCs w:val="22"/>
          <w:highlight w:val="none"/>
        </w:rPr>
      </w:pPr>
      <w:r>
        <w:rPr>
          <w:b/>
          <w:color w:val="auto"/>
          <w:kern w:val="1"/>
          <w:sz w:val="22"/>
          <w:szCs w:val="22"/>
          <w:highlight w:val="none"/>
        </w:rPr>
        <w:t xml:space="preserve">★12.2 </w:t>
      </w:r>
      <w:r>
        <w:rPr>
          <w:b/>
          <w:color w:val="auto"/>
          <w:sz w:val="22"/>
          <w:szCs w:val="22"/>
          <w:highlight w:val="none"/>
        </w:rPr>
        <w:t>投标文件由资格响应文件、商务技术响应文件和报价响应文件组成</w:t>
      </w:r>
      <w:r>
        <w:rPr>
          <w:color w:val="auto"/>
          <w:kern w:val="1"/>
          <w:sz w:val="22"/>
          <w:szCs w:val="22"/>
          <w:highlight w:val="none"/>
        </w:rPr>
        <w:t>。</w:t>
      </w:r>
      <w:r>
        <w:rPr>
          <w:b/>
          <w:color w:val="auto"/>
          <w:sz w:val="22"/>
          <w:szCs w:val="22"/>
          <w:highlight w:val="none"/>
        </w:rPr>
        <w:t>资格响应文件</w:t>
      </w:r>
      <w:r>
        <w:rPr>
          <w:rFonts w:hint="eastAsia"/>
          <w:b/>
          <w:color w:val="auto"/>
          <w:sz w:val="22"/>
          <w:szCs w:val="22"/>
          <w:highlight w:val="none"/>
        </w:rPr>
        <w:t>及</w:t>
      </w:r>
      <w:r>
        <w:rPr>
          <w:b/>
          <w:color w:val="auto"/>
          <w:sz w:val="22"/>
          <w:szCs w:val="22"/>
          <w:highlight w:val="none"/>
        </w:rPr>
        <w:t>商务技术响应文件</w:t>
      </w:r>
      <w:r>
        <w:rPr>
          <w:b/>
          <w:color w:val="auto"/>
          <w:kern w:val="1"/>
          <w:sz w:val="22"/>
          <w:szCs w:val="22"/>
          <w:highlight w:val="none"/>
        </w:rPr>
        <w:t>不得含商务报价，否则作无效标处理</w:t>
      </w:r>
      <w:r>
        <w:rPr>
          <w:color w:val="auto"/>
          <w:kern w:val="1"/>
          <w:sz w:val="22"/>
          <w:szCs w:val="22"/>
          <w:highlight w:val="none"/>
        </w:rPr>
        <w:t>。</w:t>
      </w:r>
      <w:r>
        <w:rPr>
          <w:b/>
          <w:color w:val="auto"/>
          <w:sz w:val="22"/>
          <w:szCs w:val="22"/>
          <w:highlight w:val="none"/>
          <w:u w:val="single"/>
        </w:rPr>
        <w:t>所有电子投标文件中所有内容均需进行CA签章</w:t>
      </w:r>
      <w:r>
        <w:rPr>
          <w:color w:val="auto"/>
          <w:kern w:val="1"/>
          <w:sz w:val="22"/>
          <w:szCs w:val="22"/>
          <w:highlight w:val="none"/>
        </w:rPr>
        <w:t>。</w:t>
      </w:r>
    </w:p>
    <w:p w14:paraId="21EBAFE2">
      <w:pPr>
        <w:pStyle w:val="28"/>
        <w:spacing w:line="336" w:lineRule="auto"/>
        <w:ind w:firstLine="422"/>
        <w:rPr>
          <w:rFonts w:ascii="Times New Roman" w:hAnsi="Times New Roman"/>
          <w:b/>
          <w:color w:val="auto"/>
          <w:sz w:val="22"/>
          <w:szCs w:val="22"/>
          <w:highlight w:val="none"/>
        </w:rPr>
      </w:pPr>
      <w:r>
        <w:rPr>
          <w:rFonts w:ascii="Times New Roman" w:hAnsi="Times New Roman"/>
          <w:b/>
          <w:color w:val="auto"/>
          <w:sz w:val="22"/>
          <w:szCs w:val="22"/>
          <w:highlight w:val="none"/>
        </w:rPr>
        <w:t xml:space="preserve">12.3资格响应文件，包含但不限于以下内容： </w:t>
      </w:r>
    </w:p>
    <w:p w14:paraId="7168BE11">
      <w:pPr>
        <w:pStyle w:val="28"/>
        <w:spacing w:line="336" w:lineRule="auto"/>
        <w:ind w:firstLine="422"/>
        <w:rPr>
          <w:rFonts w:ascii="Times New Roman" w:hAnsi="Times New Roman"/>
          <w:bCs/>
          <w:color w:val="auto"/>
          <w:sz w:val="22"/>
          <w:szCs w:val="22"/>
          <w:highlight w:val="none"/>
        </w:rPr>
      </w:pPr>
      <w:r>
        <w:rPr>
          <w:rFonts w:ascii="Times New Roman" w:hAnsi="Times New Roman"/>
          <w:bCs/>
          <w:color w:val="auto"/>
          <w:sz w:val="22"/>
          <w:szCs w:val="22"/>
          <w:highlight w:val="none"/>
        </w:rPr>
        <w:t>（1）投标人情况介绍；</w:t>
      </w:r>
    </w:p>
    <w:p w14:paraId="005361CC">
      <w:pPr>
        <w:pStyle w:val="28"/>
        <w:wordWrap w:val="0"/>
        <w:spacing w:line="336" w:lineRule="auto"/>
        <w:ind w:firstLine="420"/>
        <w:rPr>
          <w:rFonts w:ascii="Times New Roman" w:hAnsi="Times New Roman"/>
          <w:bCs/>
          <w:color w:val="auto"/>
          <w:sz w:val="22"/>
          <w:szCs w:val="22"/>
          <w:highlight w:val="none"/>
        </w:rPr>
      </w:pPr>
      <w:r>
        <w:rPr>
          <w:rFonts w:ascii="Times New Roman" w:hAnsi="Times New Roman"/>
          <w:bCs/>
          <w:color w:val="auto"/>
          <w:sz w:val="22"/>
          <w:szCs w:val="22"/>
          <w:highlight w:val="none"/>
        </w:rPr>
        <w:t>（2）</w:t>
      </w:r>
      <w:r>
        <w:rPr>
          <w:rFonts w:ascii="Times New Roman" w:hAnsi="Times New Roman"/>
          <w:color w:val="auto"/>
          <w:kern w:val="1"/>
          <w:sz w:val="22"/>
          <w:szCs w:val="22"/>
          <w:highlight w:val="none"/>
        </w:rPr>
        <w:t>有效的单位营业执照副本扫描件或</w:t>
      </w:r>
      <w:r>
        <w:rPr>
          <w:rFonts w:ascii="Times New Roman" w:hAnsi="Times New Roman"/>
          <w:color w:val="auto"/>
          <w:sz w:val="22"/>
          <w:szCs w:val="22"/>
          <w:highlight w:val="none"/>
        </w:rPr>
        <w:t>“国家企业信用信息公示系统”（</w:t>
      </w:r>
      <w:r>
        <w:rPr>
          <w:rFonts w:hint="eastAsia" w:ascii="Times New Roman" w:hAnsi="Times New Roman"/>
          <w:color w:val="auto"/>
          <w:sz w:val="22"/>
          <w:szCs w:val="22"/>
          <w:highlight w:val="none"/>
        </w:rPr>
        <w:t>https://www.gsxt.gov.cn/</w:t>
      </w:r>
      <w:r>
        <w:rPr>
          <w:rFonts w:ascii="Times New Roman" w:hAnsi="Times New Roman"/>
          <w:color w:val="auto"/>
          <w:sz w:val="22"/>
          <w:szCs w:val="22"/>
          <w:highlight w:val="none"/>
        </w:rPr>
        <w:t>）上的单位详细信息</w:t>
      </w:r>
      <w:r>
        <w:rPr>
          <w:rFonts w:hint="eastAsia" w:ascii="Times New Roman" w:hAnsi="Times New Roman"/>
          <w:color w:val="auto"/>
          <w:sz w:val="22"/>
          <w:szCs w:val="22"/>
          <w:highlight w:val="none"/>
        </w:rPr>
        <w:t>或事业法人登记证扫描件（事业单位参投需同时提供非公益一类事业单位说明材料）</w:t>
      </w:r>
      <w:r>
        <w:rPr>
          <w:rFonts w:ascii="Times New Roman" w:hAnsi="Times New Roman"/>
          <w:color w:val="auto"/>
          <w:sz w:val="22"/>
          <w:szCs w:val="22"/>
          <w:highlight w:val="none"/>
        </w:rPr>
        <w:t>；</w:t>
      </w:r>
      <w:r>
        <w:rPr>
          <w:rFonts w:hint="eastAsia" w:ascii="Times New Roman" w:hAnsi="Times New Roman"/>
          <w:color w:val="auto"/>
          <w:sz w:val="22"/>
          <w:szCs w:val="22"/>
          <w:highlight w:val="none"/>
        </w:rPr>
        <w:t>（联合体投标的，联合体各方均需提供）</w:t>
      </w:r>
    </w:p>
    <w:p w14:paraId="3310CC84">
      <w:pPr>
        <w:pStyle w:val="28"/>
        <w:spacing w:line="336" w:lineRule="auto"/>
        <w:ind w:firstLine="422"/>
        <w:rPr>
          <w:rFonts w:hint="eastAsia" w:ascii="Times New Roman" w:hAnsi="Times New Roman"/>
          <w:bCs/>
          <w:color w:val="auto"/>
          <w:sz w:val="22"/>
          <w:szCs w:val="22"/>
          <w:highlight w:val="none"/>
        </w:rPr>
      </w:pPr>
      <w:r>
        <w:rPr>
          <w:rFonts w:hint="eastAsia" w:ascii="Times New Roman" w:hAnsi="Times New Roman"/>
          <w:bCs/>
          <w:color w:val="auto"/>
          <w:sz w:val="22"/>
          <w:szCs w:val="22"/>
          <w:highlight w:val="none"/>
          <w:lang w:eastAsia="zh-CN"/>
        </w:rPr>
        <w:t>（</w:t>
      </w:r>
      <w:r>
        <w:rPr>
          <w:rFonts w:hint="eastAsia" w:ascii="Times New Roman" w:hAnsi="Times New Roman"/>
          <w:bCs/>
          <w:color w:val="auto"/>
          <w:sz w:val="22"/>
          <w:szCs w:val="22"/>
          <w:highlight w:val="none"/>
          <w:lang w:val="en-US" w:eastAsia="zh-CN"/>
        </w:rPr>
        <w:t>3</w:t>
      </w:r>
      <w:r>
        <w:rPr>
          <w:rFonts w:hint="eastAsia" w:ascii="Times New Roman" w:hAnsi="Times New Roman"/>
          <w:bCs/>
          <w:color w:val="auto"/>
          <w:sz w:val="22"/>
          <w:szCs w:val="22"/>
          <w:highlight w:val="none"/>
          <w:lang w:eastAsia="zh-CN"/>
        </w:rPr>
        <w:t>）</w:t>
      </w:r>
      <w:r>
        <w:rPr>
          <w:rFonts w:hint="eastAsia" w:ascii="Times New Roman" w:hAnsi="Times New Roman"/>
          <w:bCs/>
          <w:color w:val="auto"/>
          <w:sz w:val="22"/>
          <w:szCs w:val="22"/>
          <w:highlight w:val="none"/>
        </w:rPr>
        <w:t>义乌市政府采购投标承诺书；</w:t>
      </w:r>
    </w:p>
    <w:p w14:paraId="4007F82B">
      <w:pPr>
        <w:pStyle w:val="28"/>
        <w:spacing w:line="336" w:lineRule="auto"/>
        <w:ind w:firstLine="422"/>
        <w:rPr>
          <w:rFonts w:ascii="Times New Roman" w:hAnsi="Times New Roman"/>
          <w:bCs/>
          <w:color w:val="auto"/>
          <w:sz w:val="22"/>
          <w:szCs w:val="22"/>
          <w:highlight w:val="none"/>
        </w:rPr>
      </w:pPr>
      <w:r>
        <w:rPr>
          <w:rFonts w:hint="eastAsia" w:ascii="Times New Roman" w:hAnsi="Times New Roman"/>
          <w:bCs/>
          <w:color w:val="auto"/>
          <w:sz w:val="22"/>
          <w:szCs w:val="22"/>
          <w:highlight w:val="none"/>
        </w:rPr>
        <w:t>（</w:t>
      </w:r>
      <w:r>
        <w:rPr>
          <w:rFonts w:hint="eastAsia" w:ascii="Times New Roman" w:hAnsi="Times New Roman"/>
          <w:bCs/>
          <w:color w:val="auto"/>
          <w:sz w:val="22"/>
          <w:szCs w:val="22"/>
          <w:highlight w:val="none"/>
          <w:lang w:val="en-US" w:eastAsia="zh-CN"/>
        </w:rPr>
        <w:t>4</w:t>
      </w:r>
      <w:r>
        <w:rPr>
          <w:rFonts w:hint="eastAsia" w:ascii="Times New Roman" w:hAnsi="Times New Roman"/>
          <w:bCs/>
          <w:color w:val="auto"/>
          <w:sz w:val="22"/>
          <w:szCs w:val="22"/>
          <w:highlight w:val="none"/>
        </w:rPr>
        <w:t>）联合体协议；（若投标人为联合体，则须提供）</w:t>
      </w:r>
    </w:p>
    <w:p w14:paraId="4F26DE3F">
      <w:pPr>
        <w:pStyle w:val="28"/>
        <w:spacing w:line="336" w:lineRule="auto"/>
        <w:ind w:firstLine="422"/>
        <w:rPr>
          <w:rFonts w:hint="eastAsia" w:ascii="Times New Roman" w:hAnsi="Times New Roman"/>
          <w:bCs/>
          <w:color w:val="auto"/>
          <w:sz w:val="22"/>
          <w:szCs w:val="22"/>
          <w:highlight w:val="none"/>
        </w:rPr>
      </w:pPr>
      <w:r>
        <w:rPr>
          <w:rFonts w:ascii="Times New Roman" w:hAnsi="Times New Roman"/>
          <w:bCs/>
          <w:color w:val="auto"/>
          <w:sz w:val="22"/>
          <w:szCs w:val="22"/>
          <w:highlight w:val="none"/>
        </w:rPr>
        <w:t>（</w:t>
      </w:r>
      <w:r>
        <w:rPr>
          <w:rFonts w:hint="eastAsia" w:ascii="Times New Roman" w:hAnsi="Times New Roman"/>
          <w:bCs/>
          <w:color w:val="auto"/>
          <w:sz w:val="22"/>
          <w:szCs w:val="22"/>
          <w:highlight w:val="none"/>
          <w:lang w:val="en-US" w:eastAsia="zh-CN"/>
        </w:rPr>
        <w:t>5</w:t>
      </w:r>
      <w:r>
        <w:rPr>
          <w:rFonts w:ascii="Times New Roman" w:hAnsi="Times New Roman"/>
          <w:bCs/>
          <w:color w:val="auto"/>
          <w:sz w:val="22"/>
          <w:szCs w:val="22"/>
          <w:highlight w:val="none"/>
        </w:rPr>
        <w:t>）</w:t>
      </w:r>
      <w:r>
        <w:rPr>
          <w:rFonts w:hint="eastAsia" w:ascii="Times New Roman" w:hAnsi="Times New Roman"/>
          <w:bCs/>
          <w:color w:val="auto"/>
          <w:sz w:val="22"/>
          <w:szCs w:val="22"/>
          <w:highlight w:val="none"/>
        </w:rPr>
        <w:t>供应商认为可能需要的其他文件（格式自拟）。</w:t>
      </w:r>
    </w:p>
    <w:p w14:paraId="5103DAEF">
      <w:pPr>
        <w:pStyle w:val="28"/>
        <w:spacing w:line="336" w:lineRule="auto"/>
        <w:ind w:firstLine="422"/>
        <w:rPr>
          <w:rFonts w:ascii="Times New Roman" w:hAnsi="Times New Roman"/>
          <w:b/>
          <w:color w:val="auto"/>
          <w:sz w:val="22"/>
          <w:szCs w:val="22"/>
          <w:highlight w:val="none"/>
        </w:rPr>
      </w:pPr>
      <w:r>
        <w:rPr>
          <w:rFonts w:ascii="Times New Roman" w:hAnsi="Times New Roman"/>
          <w:b/>
          <w:color w:val="auto"/>
          <w:sz w:val="22"/>
          <w:szCs w:val="22"/>
          <w:highlight w:val="none"/>
        </w:rPr>
        <w:t>12.4商务技术响应文件，包含但不限于以下内容：</w:t>
      </w:r>
    </w:p>
    <w:p w14:paraId="0D5C3483">
      <w:pPr>
        <w:pStyle w:val="28"/>
        <w:numPr>
          <w:ilvl w:val="0"/>
          <w:numId w:val="5"/>
        </w:numPr>
        <w:spacing w:line="336" w:lineRule="auto"/>
        <w:ind w:firstLine="420"/>
        <w:rPr>
          <w:rFonts w:ascii="Times New Roman" w:hAnsi="Times New Roman"/>
          <w:color w:val="auto"/>
          <w:kern w:val="1"/>
          <w:sz w:val="22"/>
          <w:szCs w:val="22"/>
          <w:highlight w:val="none"/>
        </w:rPr>
      </w:pPr>
      <w:r>
        <w:rPr>
          <w:rFonts w:ascii="Times New Roman" w:hAnsi="Times New Roman"/>
          <w:color w:val="auto"/>
          <w:kern w:val="1"/>
          <w:sz w:val="22"/>
          <w:szCs w:val="22"/>
          <w:highlight w:val="none"/>
        </w:rPr>
        <w:t>投标人针对本项目制定的</w:t>
      </w:r>
      <w:r>
        <w:rPr>
          <w:rFonts w:hint="eastAsia" w:ascii="Times New Roman" w:hAnsi="Times New Roman"/>
          <w:color w:val="auto"/>
          <w:kern w:val="1"/>
          <w:sz w:val="22"/>
          <w:szCs w:val="22"/>
          <w:highlight w:val="none"/>
        </w:rPr>
        <w:t>项目实施方案；</w:t>
      </w:r>
    </w:p>
    <w:p w14:paraId="32CC43CD">
      <w:pPr>
        <w:pStyle w:val="28"/>
        <w:numPr>
          <w:ilvl w:val="0"/>
          <w:numId w:val="5"/>
        </w:numPr>
        <w:spacing w:line="336" w:lineRule="auto"/>
        <w:ind w:firstLine="420"/>
        <w:rPr>
          <w:rFonts w:ascii="Times New Roman" w:hAnsi="Times New Roman"/>
          <w:color w:val="auto"/>
          <w:kern w:val="1"/>
          <w:sz w:val="22"/>
          <w:szCs w:val="22"/>
          <w:highlight w:val="none"/>
        </w:rPr>
      </w:pPr>
      <w:r>
        <w:rPr>
          <w:rFonts w:ascii="Times New Roman" w:hAnsi="Times New Roman"/>
          <w:color w:val="auto"/>
          <w:kern w:val="1"/>
          <w:sz w:val="22"/>
          <w:szCs w:val="22"/>
          <w:highlight w:val="none"/>
        </w:rPr>
        <w:t>拟投入本项目人员一览表及相关简历；</w:t>
      </w:r>
    </w:p>
    <w:p w14:paraId="4470EF68">
      <w:pPr>
        <w:pStyle w:val="28"/>
        <w:numPr>
          <w:ilvl w:val="0"/>
          <w:numId w:val="5"/>
        </w:numPr>
        <w:spacing w:line="336" w:lineRule="auto"/>
        <w:ind w:firstLine="420"/>
        <w:rPr>
          <w:rFonts w:ascii="Times New Roman" w:hAnsi="Times New Roman"/>
          <w:color w:val="auto"/>
          <w:kern w:val="1"/>
          <w:sz w:val="22"/>
          <w:szCs w:val="22"/>
          <w:highlight w:val="none"/>
        </w:rPr>
      </w:pPr>
      <w:r>
        <w:rPr>
          <w:rFonts w:ascii="Times New Roman" w:hAnsi="Times New Roman"/>
          <w:color w:val="auto"/>
          <w:kern w:val="1"/>
          <w:sz w:val="22"/>
          <w:szCs w:val="22"/>
          <w:highlight w:val="none"/>
        </w:rPr>
        <w:t>项目负责人简历和项目组主要成员情况说明；</w:t>
      </w:r>
    </w:p>
    <w:p w14:paraId="7A92A1A6">
      <w:pPr>
        <w:pStyle w:val="28"/>
        <w:numPr>
          <w:ilvl w:val="0"/>
          <w:numId w:val="5"/>
        </w:numPr>
        <w:spacing w:line="336" w:lineRule="auto"/>
        <w:ind w:firstLine="420"/>
        <w:rPr>
          <w:rFonts w:ascii="Times New Roman" w:hAnsi="Times New Roman"/>
          <w:color w:val="auto"/>
          <w:kern w:val="1"/>
          <w:sz w:val="22"/>
          <w:szCs w:val="22"/>
          <w:highlight w:val="none"/>
        </w:rPr>
      </w:pPr>
      <w:r>
        <w:rPr>
          <w:rFonts w:ascii="Times New Roman" w:hAnsi="Times New Roman"/>
          <w:color w:val="auto"/>
          <w:kern w:val="1"/>
          <w:sz w:val="22"/>
          <w:szCs w:val="22"/>
          <w:highlight w:val="none"/>
        </w:rPr>
        <w:t>投标人的各项服务承诺；</w:t>
      </w:r>
    </w:p>
    <w:p w14:paraId="7AF776ED">
      <w:pPr>
        <w:pStyle w:val="28"/>
        <w:numPr>
          <w:ilvl w:val="0"/>
          <w:numId w:val="5"/>
        </w:numPr>
        <w:spacing w:line="336" w:lineRule="auto"/>
        <w:ind w:firstLine="420"/>
        <w:rPr>
          <w:rFonts w:ascii="Times New Roman" w:hAnsi="Times New Roman"/>
          <w:color w:val="auto"/>
          <w:kern w:val="1"/>
          <w:sz w:val="22"/>
          <w:szCs w:val="22"/>
          <w:highlight w:val="none"/>
        </w:rPr>
      </w:pPr>
      <w:r>
        <w:rPr>
          <w:rFonts w:ascii="Times New Roman" w:hAnsi="Times New Roman"/>
          <w:color w:val="auto"/>
          <w:kern w:val="1"/>
          <w:sz w:val="22"/>
          <w:szCs w:val="22"/>
          <w:highlight w:val="none"/>
        </w:rPr>
        <w:t>其他合理化建议；</w:t>
      </w:r>
    </w:p>
    <w:p w14:paraId="6329B727">
      <w:pPr>
        <w:pStyle w:val="28"/>
        <w:numPr>
          <w:ilvl w:val="0"/>
          <w:numId w:val="5"/>
        </w:numPr>
        <w:spacing w:line="336" w:lineRule="auto"/>
        <w:ind w:firstLine="420"/>
        <w:rPr>
          <w:rFonts w:ascii="Times New Roman" w:hAnsi="Times New Roman"/>
          <w:color w:val="auto"/>
          <w:kern w:val="1"/>
          <w:sz w:val="22"/>
          <w:szCs w:val="22"/>
          <w:highlight w:val="none"/>
        </w:rPr>
      </w:pPr>
      <w:r>
        <w:rPr>
          <w:rFonts w:ascii="Times New Roman" w:hAnsi="Times New Roman"/>
          <w:color w:val="auto"/>
          <w:kern w:val="1"/>
          <w:sz w:val="22"/>
          <w:szCs w:val="22"/>
          <w:highlight w:val="none"/>
        </w:rPr>
        <w:t>根据招标文件技术需求及评分规则要求提供的有关材料；</w:t>
      </w:r>
    </w:p>
    <w:p w14:paraId="1153E7F4">
      <w:pPr>
        <w:pStyle w:val="28"/>
        <w:numPr>
          <w:ilvl w:val="0"/>
          <w:numId w:val="5"/>
        </w:numPr>
        <w:spacing w:line="336" w:lineRule="auto"/>
        <w:ind w:firstLine="420"/>
        <w:rPr>
          <w:rFonts w:ascii="Times New Roman" w:hAnsi="Times New Roman"/>
          <w:color w:val="auto"/>
          <w:kern w:val="1"/>
          <w:highlight w:val="none"/>
        </w:rPr>
      </w:pPr>
      <w:r>
        <w:rPr>
          <w:rFonts w:ascii="Times New Roman" w:hAnsi="Times New Roman"/>
          <w:color w:val="auto"/>
          <w:kern w:val="1"/>
          <w:highlight w:val="none"/>
        </w:rPr>
        <w:t>供应商认为可能需要</w:t>
      </w:r>
      <w:r>
        <w:rPr>
          <w:rFonts w:hint="eastAsia" w:ascii="Times New Roman" w:hAnsi="Times New Roman"/>
          <w:color w:val="auto"/>
          <w:kern w:val="1"/>
          <w:highlight w:val="none"/>
        </w:rPr>
        <w:t>的其他文件</w:t>
      </w:r>
      <w:r>
        <w:rPr>
          <w:rFonts w:ascii="Times New Roman" w:hAnsi="Times New Roman"/>
          <w:color w:val="auto"/>
          <w:kern w:val="1"/>
          <w:highlight w:val="none"/>
        </w:rPr>
        <w:t>（格式自拟）。</w:t>
      </w:r>
    </w:p>
    <w:p w14:paraId="1DE508FD">
      <w:pPr>
        <w:pStyle w:val="28"/>
        <w:spacing w:line="336" w:lineRule="auto"/>
        <w:ind w:firstLine="420"/>
        <w:rPr>
          <w:rFonts w:ascii="Times New Roman" w:hAnsi="Times New Roman"/>
          <w:color w:val="auto"/>
          <w:sz w:val="22"/>
          <w:szCs w:val="22"/>
          <w:highlight w:val="none"/>
        </w:rPr>
      </w:pPr>
      <w:r>
        <w:rPr>
          <w:rFonts w:ascii="Times New Roman" w:hAnsi="Times New Roman"/>
          <w:color w:val="auto"/>
          <w:sz w:val="22"/>
          <w:szCs w:val="22"/>
          <w:highlight w:val="none"/>
        </w:rPr>
        <w:t>注：招标文件中打★号的条款为要求供应商作实质性响应的条款，供应商提交的“商务技术文件”中应对打★号的技术条款作实质性响应，否则其投标无效。</w:t>
      </w:r>
    </w:p>
    <w:p w14:paraId="3FAD61C5">
      <w:pPr>
        <w:pStyle w:val="28"/>
        <w:spacing w:line="336" w:lineRule="auto"/>
        <w:ind w:firstLine="422"/>
        <w:rPr>
          <w:rFonts w:ascii="Times New Roman" w:hAnsi="Times New Roman"/>
          <w:b/>
          <w:color w:val="auto"/>
          <w:sz w:val="22"/>
          <w:szCs w:val="22"/>
          <w:highlight w:val="none"/>
        </w:rPr>
      </w:pPr>
      <w:r>
        <w:rPr>
          <w:rFonts w:ascii="Times New Roman" w:hAnsi="Times New Roman"/>
          <w:b/>
          <w:color w:val="auto"/>
          <w:sz w:val="22"/>
          <w:szCs w:val="22"/>
          <w:highlight w:val="none"/>
        </w:rPr>
        <w:t>12.5报价响应文件，包含但不限于以下内容：</w:t>
      </w:r>
    </w:p>
    <w:p w14:paraId="78C2F006">
      <w:pPr>
        <w:pStyle w:val="28"/>
        <w:spacing w:line="336" w:lineRule="auto"/>
        <w:ind w:firstLine="420"/>
        <w:rPr>
          <w:rFonts w:ascii="Times New Roman" w:hAnsi="Times New Roman"/>
          <w:color w:val="auto"/>
          <w:sz w:val="22"/>
          <w:szCs w:val="22"/>
          <w:highlight w:val="none"/>
        </w:rPr>
      </w:pPr>
      <w:r>
        <w:rPr>
          <w:rFonts w:ascii="Times New Roman" w:hAnsi="Times New Roman"/>
          <w:color w:val="auto"/>
          <w:sz w:val="22"/>
          <w:szCs w:val="22"/>
          <w:highlight w:val="none"/>
        </w:rPr>
        <w:t>（1）投标函；</w:t>
      </w:r>
    </w:p>
    <w:p w14:paraId="7D2BA1B8">
      <w:pPr>
        <w:pStyle w:val="28"/>
        <w:spacing w:line="336" w:lineRule="auto"/>
        <w:ind w:firstLine="420"/>
        <w:rPr>
          <w:rFonts w:ascii="Times New Roman" w:hAnsi="Times New Roman"/>
          <w:color w:val="auto"/>
          <w:sz w:val="22"/>
          <w:szCs w:val="22"/>
          <w:highlight w:val="none"/>
        </w:rPr>
      </w:pPr>
      <w:r>
        <w:rPr>
          <w:rFonts w:ascii="Times New Roman" w:hAnsi="Times New Roman"/>
          <w:color w:val="auto"/>
          <w:sz w:val="22"/>
          <w:szCs w:val="22"/>
          <w:highlight w:val="none"/>
        </w:rPr>
        <w:t>（2）报价一览表；</w:t>
      </w:r>
    </w:p>
    <w:p w14:paraId="7F6672CE">
      <w:pPr>
        <w:pStyle w:val="28"/>
        <w:wordWrap w:val="0"/>
        <w:spacing w:line="336" w:lineRule="auto"/>
        <w:ind w:firstLine="420"/>
        <w:rPr>
          <w:rFonts w:hint="eastAsia" w:ascii="Times New Roman" w:hAnsi="Times New Roman"/>
          <w:bCs/>
          <w:color w:val="auto"/>
          <w:sz w:val="22"/>
          <w:szCs w:val="22"/>
          <w:highlight w:val="none"/>
        </w:rPr>
      </w:pPr>
      <w:r>
        <w:rPr>
          <w:rFonts w:hint="eastAsia" w:ascii="Times New Roman" w:hAnsi="Times New Roman"/>
          <w:color w:val="auto"/>
          <w:kern w:val="1"/>
          <w:sz w:val="22"/>
          <w:szCs w:val="22"/>
          <w:highlight w:val="none"/>
        </w:rPr>
        <w:t>（3）中小企业声明函</w:t>
      </w:r>
      <w:r>
        <w:rPr>
          <w:rFonts w:hint="eastAsia" w:ascii="Times New Roman" w:hAnsi="Times New Roman"/>
          <w:bCs/>
          <w:color w:val="auto"/>
          <w:sz w:val="22"/>
          <w:szCs w:val="22"/>
          <w:highlight w:val="none"/>
        </w:rPr>
        <w:t>｛符合中小微企业有关政策的投标人需提供本项材料。投标人应根据《工业和信息化部、国家统计局、国家发展和改革委员会、财政部关于印发中小企业划型标准规定的通知》（工信部联企业〔2011〕300号）规定的划分标准，填报企业规模类型。投标人也可在国务院客户端或工业和信息化部网站上，使用中小企业规模类型自测小程序识别企业规模类型。｝</w:t>
      </w:r>
    </w:p>
    <w:p w14:paraId="026FFF0B">
      <w:pPr>
        <w:pStyle w:val="28"/>
        <w:spacing w:line="336" w:lineRule="auto"/>
        <w:ind w:firstLine="422"/>
        <w:rPr>
          <w:rFonts w:hint="eastAsia" w:ascii="Times New Roman" w:hAnsi="Times New Roman"/>
          <w:bCs/>
          <w:color w:val="auto"/>
          <w:sz w:val="22"/>
          <w:szCs w:val="22"/>
          <w:highlight w:val="none"/>
        </w:rPr>
      </w:pPr>
      <w:r>
        <w:rPr>
          <w:rFonts w:hint="eastAsia" w:ascii="Times New Roman" w:hAnsi="Times New Roman"/>
          <w:bCs/>
          <w:color w:val="auto"/>
          <w:sz w:val="22"/>
          <w:szCs w:val="22"/>
          <w:highlight w:val="none"/>
        </w:rPr>
        <w:t>（4）省级及以上监狱管理局、戒毒管理局（含新疆生产建设兵团）出具的属于监狱企业的文件扫描件加盖电子签章（符合监狱企业有关政策的投标人需提供本项材料）；</w:t>
      </w:r>
    </w:p>
    <w:p w14:paraId="091A8721">
      <w:pPr>
        <w:pStyle w:val="28"/>
        <w:spacing w:line="336" w:lineRule="auto"/>
        <w:ind w:firstLine="422"/>
        <w:rPr>
          <w:rFonts w:ascii="Times New Roman" w:hAnsi="Times New Roman"/>
          <w:color w:val="auto"/>
          <w:sz w:val="22"/>
          <w:szCs w:val="22"/>
          <w:highlight w:val="none"/>
        </w:rPr>
      </w:pPr>
      <w:r>
        <w:rPr>
          <w:rFonts w:hint="eastAsia" w:ascii="Times New Roman" w:hAnsi="Times New Roman"/>
          <w:bCs/>
          <w:color w:val="auto"/>
          <w:sz w:val="22"/>
          <w:szCs w:val="22"/>
          <w:highlight w:val="none"/>
        </w:rPr>
        <w:t>（5）残疾人福利性单位声明函（符合残疾人福利性单位有关政策的投标人需提供本项材料）</w:t>
      </w:r>
    </w:p>
    <w:p w14:paraId="02D30767">
      <w:pPr>
        <w:pStyle w:val="28"/>
        <w:spacing w:line="336" w:lineRule="auto"/>
        <w:ind w:firstLine="420"/>
        <w:rPr>
          <w:rFonts w:ascii="Times New Roman" w:hAnsi="Times New Roman"/>
          <w:color w:val="auto"/>
          <w:sz w:val="22"/>
          <w:szCs w:val="22"/>
          <w:highlight w:val="none"/>
        </w:rPr>
      </w:pPr>
      <w:r>
        <w:rPr>
          <w:rFonts w:hint="eastAsia" w:ascii="Times New Roman" w:hAnsi="Times New Roman"/>
          <w:color w:val="auto"/>
          <w:kern w:val="1"/>
          <w:sz w:val="22"/>
          <w:szCs w:val="22"/>
          <w:highlight w:val="none"/>
        </w:rPr>
        <w:t>（6）</w:t>
      </w:r>
      <w:r>
        <w:rPr>
          <w:rFonts w:ascii="Times New Roman" w:hAnsi="Times New Roman"/>
          <w:color w:val="auto"/>
          <w:sz w:val="22"/>
          <w:szCs w:val="22"/>
          <w:highlight w:val="none"/>
        </w:rPr>
        <w:t>其他投标人认为</w:t>
      </w:r>
      <w:r>
        <w:rPr>
          <w:rFonts w:hint="eastAsia" w:ascii="Times New Roman" w:hAnsi="Times New Roman"/>
          <w:color w:val="auto"/>
          <w:sz w:val="22"/>
          <w:szCs w:val="22"/>
          <w:highlight w:val="none"/>
        </w:rPr>
        <w:t>需</w:t>
      </w:r>
      <w:r>
        <w:rPr>
          <w:rFonts w:ascii="Times New Roman" w:hAnsi="Times New Roman"/>
          <w:color w:val="auto"/>
          <w:sz w:val="22"/>
          <w:szCs w:val="22"/>
          <w:highlight w:val="none"/>
        </w:rPr>
        <w:t>提供的资料。</w:t>
      </w:r>
    </w:p>
    <w:p w14:paraId="3ACEA32C">
      <w:pPr>
        <w:pStyle w:val="24"/>
        <w:spacing w:line="336" w:lineRule="auto"/>
        <w:ind w:firstLine="422"/>
        <w:jc w:val="both"/>
        <w:rPr>
          <w:rFonts w:ascii="Times New Roman" w:hAnsi="Times New Roman"/>
          <w:b w:val="0"/>
          <w:color w:val="auto"/>
          <w:sz w:val="22"/>
          <w:szCs w:val="22"/>
          <w:highlight w:val="none"/>
        </w:rPr>
      </w:pPr>
      <w:r>
        <w:rPr>
          <w:rFonts w:ascii="Times New Roman" w:hAnsi="Times New Roman"/>
          <w:color w:val="auto"/>
          <w:sz w:val="22"/>
          <w:szCs w:val="22"/>
          <w:highlight w:val="none"/>
        </w:rPr>
        <w:t>1</w:t>
      </w:r>
      <w:r>
        <w:rPr>
          <w:rFonts w:hint="eastAsia" w:ascii="Times New Roman" w:hAnsi="Times New Roman"/>
          <w:color w:val="auto"/>
          <w:sz w:val="22"/>
          <w:szCs w:val="22"/>
          <w:highlight w:val="none"/>
          <w:lang w:eastAsia="zh-CN"/>
        </w:rPr>
        <w:t>3.</w:t>
      </w:r>
      <w:r>
        <w:rPr>
          <w:rFonts w:ascii="Times New Roman" w:hAnsi="Times New Roman"/>
          <w:color w:val="auto"/>
          <w:sz w:val="22"/>
          <w:szCs w:val="22"/>
          <w:highlight w:val="none"/>
        </w:rPr>
        <w:t>投标人资格的有关资料</w:t>
      </w:r>
    </w:p>
    <w:p w14:paraId="125BBF7F">
      <w:pPr>
        <w:spacing w:line="336" w:lineRule="auto"/>
        <w:ind w:firstLine="420"/>
        <w:rPr>
          <w:color w:val="auto"/>
          <w:kern w:val="1"/>
          <w:sz w:val="22"/>
          <w:szCs w:val="22"/>
          <w:highlight w:val="none"/>
        </w:rPr>
      </w:pPr>
      <w:r>
        <w:rPr>
          <w:color w:val="auto"/>
          <w:kern w:val="1"/>
          <w:sz w:val="22"/>
          <w:szCs w:val="22"/>
          <w:highlight w:val="none"/>
        </w:rPr>
        <w:t>13.1投标人应提交体现其有资格参加投标和中标后有能力履行合同的文件，并作为其投标文件的一部分。</w:t>
      </w:r>
    </w:p>
    <w:p w14:paraId="5D56AAB9">
      <w:pPr>
        <w:pStyle w:val="28"/>
        <w:spacing w:line="336" w:lineRule="auto"/>
        <w:ind w:firstLine="413"/>
        <w:rPr>
          <w:rFonts w:ascii="Times New Roman" w:hAnsi="Times New Roman"/>
          <w:b/>
          <w:color w:val="auto"/>
          <w:sz w:val="22"/>
          <w:szCs w:val="22"/>
          <w:highlight w:val="none"/>
        </w:rPr>
      </w:pPr>
      <w:r>
        <w:rPr>
          <w:rFonts w:ascii="Times New Roman" w:hAnsi="Times New Roman"/>
          <w:b/>
          <w:color w:val="auto"/>
          <w:sz w:val="22"/>
          <w:szCs w:val="22"/>
          <w:highlight w:val="none"/>
        </w:rPr>
        <w:t>1</w:t>
      </w:r>
      <w:r>
        <w:rPr>
          <w:rFonts w:hint="eastAsia" w:ascii="Times New Roman" w:hAnsi="Times New Roman"/>
          <w:b/>
          <w:color w:val="auto"/>
          <w:sz w:val="22"/>
          <w:szCs w:val="22"/>
          <w:highlight w:val="none"/>
          <w:lang w:eastAsia="zh-CN"/>
        </w:rPr>
        <w:t>4.</w:t>
      </w:r>
      <w:r>
        <w:rPr>
          <w:rFonts w:ascii="Times New Roman" w:hAnsi="Times New Roman"/>
          <w:b/>
          <w:color w:val="auto"/>
          <w:sz w:val="22"/>
          <w:szCs w:val="22"/>
          <w:highlight w:val="none"/>
        </w:rPr>
        <w:t>投标报价</w:t>
      </w:r>
    </w:p>
    <w:p w14:paraId="506E82A5">
      <w:pPr>
        <w:pStyle w:val="28"/>
        <w:spacing w:line="336" w:lineRule="auto"/>
        <w:ind w:firstLine="420"/>
        <w:rPr>
          <w:rFonts w:ascii="Times New Roman" w:hAnsi="Times New Roman"/>
          <w:b/>
          <w:color w:val="auto"/>
          <w:sz w:val="22"/>
          <w:szCs w:val="22"/>
          <w:highlight w:val="none"/>
        </w:rPr>
      </w:pPr>
      <w:r>
        <w:rPr>
          <w:rFonts w:ascii="Times New Roman" w:hAnsi="Times New Roman"/>
          <w:b/>
          <w:color w:val="auto"/>
          <w:sz w:val="22"/>
          <w:szCs w:val="22"/>
          <w:highlight w:val="none"/>
        </w:rPr>
        <w:t>14.1供应商应根据国家的有关规定和招标文件要求并结合企业的实际情况进行自主报价。投标报价以人民币为结算货币。</w:t>
      </w:r>
      <w:r>
        <w:rPr>
          <w:rFonts w:ascii="Times New Roman" w:hAnsi="Times New Roman" w:eastAsia="宋体" w:cs="Times New Roman"/>
          <w:b/>
          <w:color w:val="auto"/>
          <w:sz w:val="22"/>
          <w:szCs w:val="22"/>
          <w:highlight w:val="none"/>
        </w:rPr>
        <w:t>投标报价</w:t>
      </w:r>
      <w:r>
        <w:rPr>
          <w:rFonts w:hint="eastAsia" w:ascii="Times New Roman" w:hAnsi="Times New Roman" w:eastAsia="宋体" w:cs="Times New Roman"/>
          <w:b/>
          <w:color w:val="auto"/>
          <w:sz w:val="22"/>
          <w:szCs w:val="22"/>
          <w:highlight w:val="none"/>
        </w:rPr>
        <w:t>须包括人工费、餐费、办公费、差旅费、保险费、利润、措施费、风险费、综合管理费、税金、政策性文件规定及合同包含的所有风险、责任等各项应有费用。投标报价为投标方所能承受的最低、最终一次性报价</w:t>
      </w:r>
      <w:r>
        <w:rPr>
          <w:rFonts w:ascii="Times New Roman" w:hAnsi="Times New Roman" w:eastAsia="宋体" w:cs="Times New Roman"/>
          <w:b/>
          <w:color w:val="auto"/>
          <w:sz w:val="22"/>
          <w:szCs w:val="22"/>
          <w:highlight w:val="none"/>
        </w:rPr>
        <w:t>等各项应有费用，如有漏项，视同已包含在其总项目中，合同</w:t>
      </w:r>
      <w:r>
        <w:rPr>
          <w:rFonts w:hint="eastAsia" w:ascii="Times New Roman" w:hAnsi="Times New Roman" w:cs="Times New Roman"/>
          <w:b/>
          <w:color w:val="auto"/>
          <w:sz w:val="22"/>
          <w:szCs w:val="22"/>
          <w:highlight w:val="none"/>
          <w:lang w:val="en-US" w:eastAsia="zh-CN"/>
        </w:rPr>
        <w:t>单</w:t>
      </w:r>
      <w:r>
        <w:rPr>
          <w:rFonts w:ascii="Times New Roman" w:hAnsi="Times New Roman" w:eastAsia="宋体" w:cs="Times New Roman"/>
          <w:b/>
          <w:color w:val="auto"/>
          <w:sz w:val="22"/>
          <w:szCs w:val="22"/>
          <w:highlight w:val="none"/>
        </w:rPr>
        <w:t>价不予调整</w:t>
      </w:r>
      <w:r>
        <w:rPr>
          <w:rFonts w:ascii="Times New Roman" w:hAnsi="Times New Roman"/>
          <w:b/>
          <w:color w:val="auto"/>
          <w:sz w:val="22"/>
          <w:szCs w:val="22"/>
          <w:highlight w:val="none"/>
        </w:rPr>
        <w:t>。</w:t>
      </w:r>
    </w:p>
    <w:p w14:paraId="61D9B99E">
      <w:pPr>
        <w:pStyle w:val="28"/>
        <w:spacing w:line="336" w:lineRule="auto"/>
        <w:ind w:firstLine="420"/>
        <w:rPr>
          <w:rFonts w:ascii="Times New Roman" w:hAnsi="Times New Roman"/>
          <w:color w:val="auto"/>
          <w:sz w:val="22"/>
          <w:szCs w:val="22"/>
          <w:highlight w:val="none"/>
        </w:rPr>
      </w:pPr>
      <w:r>
        <w:rPr>
          <w:rFonts w:ascii="Times New Roman" w:hAnsi="Times New Roman"/>
          <w:color w:val="auto"/>
          <w:sz w:val="22"/>
          <w:szCs w:val="22"/>
          <w:highlight w:val="none"/>
        </w:rPr>
        <w:t>14.2 供应商应在投标书的《报价一览表》上写明投标报价项目的单价。</w:t>
      </w:r>
    </w:p>
    <w:p w14:paraId="198A4CA0">
      <w:pPr>
        <w:pStyle w:val="28"/>
        <w:spacing w:line="336" w:lineRule="auto"/>
        <w:ind w:firstLine="420"/>
        <w:rPr>
          <w:rFonts w:ascii="Times New Roman" w:hAnsi="Times New Roman"/>
          <w:color w:val="auto"/>
          <w:sz w:val="22"/>
          <w:szCs w:val="22"/>
          <w:highlight w:val="none"/>
        </w:rPr>
      </w:pPr>
      <w:r>
        <w:rPr>
          <w:rFonts w:ascii="Times New Roman" w:hAnsi="Times New Roman"/>
          <w:color w:val="auto"/>
          <w:sz w:val="22"/>
          <w:szCs w:val="22"/>
          <w:highlight w:val="none"/>
        </w:rPr>
        <w:t>14.3中标后，中标人所填写的报价在合同实施期间不因市场变化因素而变动；投标人在计算报价时应考虑一定的风险系数。</w:t>
      </w:r>
    </w:p>
    <w:p w14:paraId="05EAD539">
      <w:pPr>
        <w:pStyle w:val="28"/>
        <w:spacing w:line="336" w:lineRule="auto"/>
        <w:ind w:firstLine="420"/>
        <w:rPr>
          <w:rFonts w:ascii="Times New Roman" w:hAnsi="Times New Roman"/>
          <w:color w:val="auto"/>
          <w:sz w:val="22"/>
          <w:szCs w:val="22"/>
          <w:highlight w:val="none"/>
        </w:rPr>
      </w:pPr>
      <w:r>
        <w:rPr>
          <w:rFonts w:ascii="Times New Roman" w:hAnsi="Times New Roman"/>
          <w:color w:val="auto"/>
          <w:sz w:val="22"/>
          <w:szCs w:val="22"/>
          <w:highlight w:val="none"/>
        </w:rPr>
        <w:t>14.4供应商应按招标文件规定的报价格式进行投标报价。供应商对每种服务只允许有一个报价，采购人不接受任何</w:t>
      </w:r>
      <w:r>
        <w:rPr>
          <w:rFonts w:hint="eastAsia" w:ascii="Times New Roman" w:hAnsi="Times New Roman"/>
          <w:color w:val="auto"/>
          <w:sz w:val="22"/>
          <w:szCs w:val="22"/>
          <w:highlight w:val="none"/>
          <w:lang w:eastAsia="zh-CN"/>
        </w:rPr>
        <w:t>有选择性地</w:t>
      </w:r>
      <w:r>
        <w:rPr>
          <w:rFonts w:ascii="Times New Roman" w:hAnsi="Times New Roman"/>
          <w:color w:val="auto"/>
          <w:sz w:val="22"/>
          <w:szCs w:val="22"/>
          <w:highlight w:val="none"/>
        </w:rPr>
        <w:t>报价。</w:t>
      </w:r>
    </w:p>
    <w:p w14:paraId="27C2AD57">
      <w:pPr>
        <w:pStyle w:val="28"/>
        <w:spacing w:line="336" w:lineRule="auto"/>
        <w:ind w:firstLine="420"/>
        <w:rPr>
          <w:rFonts w:ascii="Times New Roman" w:hAnsi="Times New Roman"/>
          <w:color w:val="auto"/>
          <w:sz w:val="22"/>
          <w:szCs w:val="22"/>
          <w:highlight w:val="none"/>
        </w:rPr>
      </w:pPr>
      <w:r>
        <w:rPr>
          <w:rFonts w:ascii="Times New Roman" w:hAnsi="Times New Roman"/>
          <w:color w:val="auto"/>
          <w:sz w:val="22"/>
          <w:szCs w:val="22"/>
          <w:highlight w:val="none"/>
        </w:rPr>
        <w:t>14.5采购人不接受低于成本的投标报价，也不接受招标项目范围内的捐赠。</w:t>
      </w:r>
    </w:p>
    <w:p w14:paraId="4880F918">
      <w:pPr>
        <w:pStyle w:val="28"/>
        <w:spacing w:line="336" w:lineRule="auto"/>
        <w:ind w:firstLine="420"/>
        <w:rPr>
          <w:rFonts w:ascii="Times New Roman" w:hAnsi="Times New Roman"/>
          <w:color w:val="auto"/>
          <w:sz w:val="22"/>
          <w:szCs w:val="22"/>
          <w:highlight w:val="none"/>
        </w:rPr>
      </w:pPr>
      <w:r>
        <w:rPr>
          <w:rFonts w:hint="eastAsia" w:ascii="Times New Roman" w:hAnsi="Times New Roman"/>
          <w:color w:val="auto"/>
          <w:sz w:val="22"/>
          <w:szCs w:val="22"/>
          <w:highlight w:val="none"/>
        </w:rPr>
        <w:t>14.6</w:t>
      </w:r>
      <w:r>
        <w:rPr>
          <w:rFonts w:ascii="Times New Roman" w:hAnsi="Times New Roman"/>
          <w:color w:val="auto"/>
          <w:sz w:val="22"/>
          <w:szCs w:val="22"/>
          <w:highlight w:val="none"/>
        </w:rPr>
        <w:t>供应商按照上述要求编制投标报价，一旦确认某一投标人中标，除合同规定的可调整内容外，中标人不得要求追加任何费用。</w:t>
      </w:r>
    </w:p>
    <w:p w14:paraId="454EB3B0">
      <w:pPr>
        <w:pStyle w:val="28"/>
        <w:spacing w:line="336" w:lineRule="auto"/>
        <w:ind w:firstLine="420"/>
        <w:rPr>
          <w:rFonts w:ascii="Times New Roman" w:hAnsi="Times New Roman"/>
          <w:color w:val="auto"/>
          <w:sz w:val="22"/>
          <w:szCs w:val="22"/>
          <w:highlight w:val="none"/>
        </w:rPr>
      </w:pPr>
      <w:r>
        <w:rPr>
          <w:rFonts w:ascii="Times New Roman" w:hAnsi="Times New Roman"/>
          <w:color w:val="auto"/>
          <w:sz w:val="22"/>
          <w:szCs w:val="22"/>
          <w:highlight w:val="none"/>
        </w:rPr>
        <w:t>14.</w:t>
      </w:r>
      <w:r>
        <w:rPr>
          <w:rFonts w:hint="eastAsia" w:ascii="Times New Roman" w:hAnsi="Times New Roman"/>
          <w:color w:val="auto"/>
          <w:sz w:val="22"/>
          <w:szCs w:val="22"/>
          <w:highlight w:val="none"/>
        </w:rPr>
        <w:t>7</w:t>
      </w:r>
      <w:r>
        <w:rPr>
          <w:rFonts w:ascii="Times New Roman" w:hAnsi="Times New Roman"/>
          <w:color w:val="auto"/>
          <w:sz w:val="22"/>
          <w:szCs w:val="22"/>
          <w:highlight w:val="none"/>
        </w:rPr>
        <w:t>须由中标单位开具正式发票。</w:t>
      </w:r>
    </w:p>
    <w:p w14:paraId="7DF1DF1F">
      <w:pPr>
        <w:pStyle w:val="28"/>
        <w:spacing w:line="336" w:lineRule="auto"/>
        <w:ind w:firstLine="420"/>
        <w:rPr>
          <w:rFonts w:ascii="Times New Roman" w:hAnsi="Times New Roman"/>
          <w:color w:val="auto"/>
          <w:sz w:val="22"/>
          <w:szCs w:val="22"/>
          <w:highlight w:val="none"/>
        </w:rPr>
      </w:pPr>
      <w:r>
        <w:rPr>
          <w:rFonts w:ascii="Times New Roman" w:hAnsi="Times New Roman"/>
          <w:color w:val="auto"/>
          <w:sz w:val="22"/>
          <w:szCs w:val="22"/>
          <w:highlight w:val="none"/>
        </w:rPr>
        <w:t>14.</w:t>
      </w:r>
      <w:r>
        <w:rPr>
          <w:rFonts w:hint="eastAsia" w:ascii="Times New Roman" w:hAnsi="Times New Roman"/>
          <w:color w:val="auto"/>
          <w:sz w:val="22"/>
          <w:szCs w:val="22"/>
          <w:highlight w:val="none"/>
        </w:rPr>
        <w:t>8</w:t>
      </w:r>
      <w:r>
        <w:rPr>
          <w:rFonts w:ascii="Times New Roman" w:hAnsi="Times New Roman"/>
          <w:color w:val="auto"/>
          <w:sz w:val="22"/>
          <w:szCs w:val="22"/>
          <w:highlight w:val="none"/>
        </w:rPr>
        <w:t>招标文件中规定由供应商承担并支付的相关费用（如中标服务费等）在投标报价时应一并考虑。</w:t>
      </w:r>
    </w:p>
    <w:p w14:paraId="4E593292">
      <w:pPr>
        <w:spacing w:line="336" w:lineRule="auto"/>
        <w:ind w:firstLine="422"/>
        <w:rPr>
          <w:b/>
          <w:color w:val="auto"/>
          <w:kern w:val="1"/>
          <w:sz w:val="22"/>
          <w:szCs w:val="22"/>
          <w:highlight w:val="none"/>
        </w:rPr>
      </w:pPr>
      <w:r>
        <w:rPr>
          <w:b/>
          <w:color w:val="auto"/>
          <w:kern w:val="1"/>
          <w:sz w:val="22"/>
          <w:szCs w:val="22"/>
          <w:highlight w:val="none"/>
        </w:rPr>
        <w:t>1</w:t>
      </w:r>
      <w:r>
        <w:rPr>
          <w:rFonts w:hint="eastAsia"/>
          <w:b/>
          <w:color w:val="auto"/>
          <w:kern w:val="1"/>
          <w:sz w:val="22"/>
          <w:szCs w:val="22"/>
          <w:highlight w:val="none"/>
          <w:lang w:eastAsia="zh-CN"/>
        </w:rPr>
        <w:t>5.</w:t>
      </w:r>
      <w:r>
        <w:rPr>
          <w:b/>
          <w:color w:val="auto"/>
          <w:kern w:val="1"/>
          <w:sz w:val="22"/>
          <w:szCs w:val="22"/>
          <w:highlight w:val="none"/>
        </w:rPr>
        <w:t>投标文件格式</w:t>
      </w:r>
    </w:p>
    <w:p w14:paraId="43536423">
      <w:pPr>
        <w:spacing w:line="336" w:lineRule="auto"/>
        <w:ind w:firstLine="422"/>
        <w:rPr>
          <w:b/>
          <w:color w:val="auto"/>
          <w:kern w:val="1"/>
          <w:sz w:val="22"/>
          <w:szCs w:val="22"/>
          <w:highlight w:val="none"/>
        </w:rPr>
      </w:pPr>
      <w:r>
        <w:rPr>
          <w:b/>
          <w:color w:val="auto"/>
          <w:kern w:val="1"/>
          <w:sz w:val="22"/>
          <w:szCs w:val="22"/>
          <w:highlight w:val="none"/>
        </w:rPr>
        <w:t>15.1投标文件须包括本须知第12条中规定的全部内容，投标人不按招标文件的要求提供的投标文件和资料将视为没有对招标文件作实质性响应，其投标将被拒绝，其风险由投标人自行承担。</w:t>
      </w:r>
    </w:p>
    <w:p w14:paraId="2D9DC2BF">
      <w:pPr>
        <w:spacing w:line="336" w:lineRule="auto"/>
        <w:ind w:firstLine="420"/>
        <w:rPr>
          <w:color w:val="auto"/>
          <w:kern w:val="1"/>
          <w:sz w:val="22"/>
          <w:szCs w:val="22"/>
          <w:highlight w:val="none"/>
        </w:rPr>
      </w:pPr>
      <w:r>
        <w:rPr>
          <w:color w:val="auto"/>
          <w:kern w:val="1"/>
          <w:sz w:val="22"/>
          <w:szCs w:val="22"/>
          <w:highlight w:val="none"/>
        </w:rPr>
        <w:t>15.2投标人提交的投标文件应当使用招标文件所提供的投标文件格式，表格格式在不改变格式内容的情况下可自行制作。在所提供表格格式之外，投标人可以增加自行设计的表格及内容，以便更细致全面</w:t>
      </w:r>
      <w:r>
        <w:rPr>
          <w:rFonts w:hint="eastAsia"/>
          <w:color w:val="auto"/>
          <w:kern w:val="1"/>
          <w:sz w:val="22"/>
          <w:szCs w:val="22"/>
          <w:highlight w:val="none"/>
          <w:lang w:eastAsia="zh-CN"/>
        </w:rPr>
        <w:t>地</w:t>
      </w:r>
      <w:r>
        <w:rPr>
          <w:color w:val="auto"/>
          <w:kern w:val="1"/>
          <w:sz w:val="22"/>
          <w:szCs w:val="22"/>
          <w:highlight w:val="none"/>
        </w:rPr>
        <w:t>说明其能力。</w:t>
      </w:r>
    </w:p>
    <w:p w14:paraId="6A80973E">
      <w:pPr>
        <w:pStyle w:val="28"/>
        <w:spacing w:line="336" w:lineRule="auto"/>
        <w:ind w:firstLine="422"/>
        <w:rPr>
          <w:rFonts w:ascii="Times New Roman" w:hAnsi="Times New Roman"/>
          <w:b/>
          <w:color w:val="auto"/>
          <w:sz w:val="22"/>
          <w:szCs w:val="22"/>
          <w:highlight w:val="none"/>
        </w:rPr>
      </w:pPr>
      <w:r>
        <w:rPr>
          <w:rFonts w:ascii="Times New Roman" w:hAnsi="Times New Roman"/>
          <w:b/>
          <w:color w:val="auto"/>
          <w:sz w:val="22"/>
          <w:szCs w:val="22"/>
          <w:highlight w:val="none"/>
        </w:rPr>
        <w:t>1</w:t>
      </w:r>
      <w:r>
        <w:rPr>
          <w:rFonts w:hint="eastAsia" w:ascii="Times New Roman" w:hAnsi="Times New Roman"/>
          <w:b/>
          <w:color w:val="auto"/>
          <w:sz w:val="22"/>
          <w:szCs w:val="22"/>
          <w:highlight w:val="none"/>
          <w:lang w:eastAsia="zh-CN"/>
        </w:rPr>
        <w:t>6.</w:t>
      </w:r>
      <w:r>
        <w:rPr>
          <w:rFonts w:ascii="Times New Roman" w:hAnsi="Times New Roman"/>
          <w:b/>
          <w:color w:val="auto"/>
          <w:sz w:val="22"/>
          <w:szCs w:val="22"/>
          <w:highlight w:val="none"/>
        </w:rPr>
        <w:t>投标文件编制要求</w:t>
      </w:r>
    </w:p>
    <w:p w14:paraId="4BDC5B4B">
      <w:pPr>
        <w:pStyle w:val="28"/>
        <w:wordWrap w:val="0"/>
        <w:spacing w:line="336" w:lineRule="auto"/>
        <w:ind w:firstLine="420"/>
        <w:rPr>
          <w:rFonts w:ascii="Times New Roman" w:hAnsi="Times New Roman"/>
          <w:color w:val="auto"/>
          <w:sz w:val="22"/>
          <w:szCs w:val="22"/>
          <w:highlight w:val="none"/>
        </w:rPr>
      </w:pPr>
      <w:r>
        <w:rPr>
          <w:rFonts w:ascii="Times New Roman" w:hAnsi="Times New Roman"/>
          <w:color w:val="auto"/>
          <w:sz w:val="22"/>
          <w:szCs w:val="22"/>
          <w:highlight w:val="none"/>
        </w:rPr>
        <w:t>16.1 投标文件制作：投标人通过“政采云”平台电子投标工具制作投标文件，电子投标工具请供应商自行前往http://www.zjzfcg.gov.cn/download/index.html?_=1571296580459&amp;tdsourcetag=s_pcqq_aiomsg下载并安装，投标文件制作具体流程详见“</w:t>
      </w:r>
      <w:r>
        <w:rPr>
          <w:rFonts w:ascii="Times New Roman" w:hAnsi="Times New Roman"/>
          <w:color w:val="auto"/>
          <w:sz w:val="22"/>
          <w:szCs w:val="22"/>
          <w:highlight w:val="none"/>
        </w:rPr>
        <w:fldChar w:fldCharType="begin"/>
      </w:r>
      <w:r>
        <w:rPr>
          <w:rFonts w:ascii="Times New Roman" w:hAnsi="Times New Roman"/>
          <w:color w:val="auto"/>
          <w:sz w:val="22"/>
          <w:szCs w:val="22"/>
          <w:highlight w:val="none"/>
        </w:rPr>
        <w:instrText xml:space="preserve">HYPERLINK "../Documents/WeChat Files/wxid_cjz4cm25wyf321/FileStorage/File/2020-11/电子化投标操作指南.pdf"</w:instrText>
      </w:r>
      <w:r>
        <w:rPr>
          <w:rFonts w:ascii="Times New Roman" w:hAnsi="Times New Roman"/>
          <w:color w:val="auto"/>
          <w:sz w:val="22"/>
          <w:szCs w:val="22"/>
          <w:highlight w:val="none"/>
        </w:rPr>
        <w:fldChar w:fldCharType="separate"/>
      </w:r>
      <w:r>
        <w:rPr>
          <w:rFonts w:ascii="Times New Roman" w:hAnsi="Times New Roman"/>
          <w:color w:val="auto"/>
          <w:sz w:val="22"/>
          <w:szCs w:val="22"/>
          <w:highlight w:val="none"/>
        </w:rPr>
        <w:t>政采云供应商项目采购-电子招投标操作指南</w:t>
      </w:r>
      <w:r>
        <w:rPr>
          <w:rFonts w:ascii="Times New Roman" w:hAnsi="Times New Roman"/>
          <w:color w:val="auto"/>
          <w:sz w:val="22"/>
          <w:szCs w:val="22"/>
          <w:highlight w:val="none"/>
        </w:rPr>
        <w:fldChar w:fldCharType="end"/>
      </w:r>
      <w:r>
        <w:rPr>
          <w:rFonts w:ascii="Times New Roman" w:hAnsi="Times New Roman"/>
          <w:color w:val="auto"/>
          <w:sz w:val="22"/>
          <w:szCs w:val="22"/>
          <w:highlight w:val="none"/>
        </w:rPr>
        <w:t>”（请投标供应商</w:t>
      </w:r>
      <w:r>
        <w:rPr>
          <w:rFonts w:hint="eastAsia" w:ascii="Times New Roman" w:hAnsi="Times New Roman"/>
          <w:color w:val="auto"/>
          <w:sz w:val="22"/>
          <w:szCs w:val="22"/>
          <w:highlight w:val="none"/>
          <w:lang w:eastAsia="zh-CN"/>
        </w:rPr>
        <w:t>登录</w:t>
      </w:r>
      <w:r>
        <w:rPr>
          <w:rFonts w:ascii="Times New Roman" w:hAnsi="Times New Roman"/>
          <w:color w:val="auto"/>
          <w:sz w:val="22"/>
          <w:szCs w:val="22"/>
          <w:highlight w:val="none"/>
        </w:rPr>
        <w:t>政采云平台https://service.zcygov.cn/#/knowledges/CW1EtGwBFdiHxlNd6I3m/6IMVAG0BFdiHxlNdQ8Na以获取最新操作指南）。</w:t>
      </w:r>
    </w:p>
    <w:p w14:paraId="7537F063">
      <w:pPr>
        <w:spacing w:line="336" w:lineRule="auto"/>
        <w:ind w:firstLine="420"/>
        <w:rPr>
          <w:color w:val="auto"/>
          <w:kern w:val="1"/>
          <w:sz w:val="22"/>
          <w:szCs w:val="22"/>
          <w:highlight w:val="none"/>
        </w:rPr>
      </w:pPr>
      <w:r>
        <w:rPr>
          <w:color w:val="auto"/>
          <w:kern w:val="1"/>
          <w:sz w:val="22"/>
          <w:szCs w:val="22"/>
          <w:highlight w:val="none"/>
        </w:rPr>
        <w:t xml:space="preserve">16.2 </w:t>
      </w:r>
      <w:r>
        <w:rPr>
          <w:b/>
          <w:bCs/>
          <w:color w:val="auto"/>
          <w:kern w:val="1"/>
          <w:sz w:val="22"/>
          <w:szCs w:val="22"/>
          <w:highlight w:val="none"/>
          <w:u w:val="single"/>
        </w:rPr>
        <w:t>投标人应根据电子投标操作指南按本招标文件规定的格式和顺序编制电子投标文件并进行关联定位。</w:t>
      </w:r>
    </w:p>
    <w:p w14:paraId="179B93C7">
      <w:pPr>
        <w:spacing w:line="336" w:lineRule="auto"/>
        <w:ind w:firstLine="420"/>
        <w:rPr>
          <w:color w:val="auto"/>
          <w:kern w:val="1"/>
          <w:sz w:val="22"/>
          <w:szCs w:val="22"/>
          <w:highlight w:val="none"/>
        </w:rPr>
      </w:pPr>
      <w:r>
        <w:rPr>
          <w:color w:val="auto"/>
          <w:kern w:val="1"/>
          <w:sz w:val="22"/>
          <w:szCs w:val="22"/>
          <w:highlight w:val="none"/>
        </w:rPr>
        <w:t>16.3由于投标人未按招标文件的规定要求编制投标文件，导致评审小组作出的对投标方的误判，责任由投标方自己承担。</w:t>
      </w:r>
    </w:p>
    <w:p w14:paraId="155D5529">
      <w:pPr>
        <w:pStyle w:val="28"/>
        <w:spacing w:line="336" w:lineRule="auto"/>
        <w:ind w:firstLine="422"/>
        <w:rPr>
          <w:rFonts w:ascii="Times New Roman" w:hAnsi="Times New Roman"/>
          <w:b/>
          <w:color w:val="auto"/>
          <w:sz w:val="22"/>
          <w:szCs w:val="22"/>
          <w:highlight w:val="none"/>
        </w:rPr>
      </w:pPr>
      <w:r>
        <w:rPr>
          <w:rFonts w:ascii="Times New Roman" w:hAnsi="Times New Roman"/>
          <w:b/>
          <w:color w:val="auto"/>
          <w:sz w:val="22"/>
          <w:szCs w:val="22"/>
          <w:highlight w:val="none"/>
        </w:rPr>
        <w:t>1</w:t>
      </w:r>
      <w:r>
        <w:rPr>
          <w:rFonts w:hint="eastAsia" w:ascii="Times New Roman" w:hAnsi="Times New Roman"/>
          <w:b/>
          <w:color w:val="auto"/>
          <w:sz w:val="22"/>
          <w:szCs w:val="22"/>
          <w:highlight w:val="none"/>
          <w:lang w:eastAsia="zh-CN"/>
        </w:rPr>
        <w:t>7.</w:t>
      </w:r>
      <w:r>
        <w:rPr>
          <w:rFonts w:ascii="Times New Roman" w:hAnsi="Times New Roman"/>
          <w:b/>
          <w:color w:val="auto"/>
          <w:sz w:val="22"/>
          <w:szCs w:val="22"/>
          <w:highlight w:val="none"/>
        </w:rPr>
        <w:t>投标保证金</w:t>
      </w:r>
    </w:p>
    <w:p w14:paraId="22FC4CA9">
      <w:pPr>
        <w:pStyle w:val="28"/>
        <w:spacing w:line="336" w:lineRule="auto"/>
        <w:ind w:firstLine="420"/>
        <w:rPr>
          <w:rFonts w:ascii="Times New Roman" w:hAnsi="Times New Roman"/>
          <w:color w:val="auto"/>
          <w:sz w:val="22"/>
          <w:szCs w:val="22"/>
          <w:highlight w:val="none"/>
        </w:rPr>
      </w:pPr>
      <w:r>
        <w:rPr>
          <w:rFonts w:ascii="Times New Roman" w:hAnsi="Times New Roman"/>
          <w:color w:val="auto"/>
          <w:sz w:val="22"/>
          <w:szCs w:val="22"/>
          <w:highlight w:val="none"/>
        </w:rPr>
        <w:t>本项目免收投标保证金。</w:t>
      </w:r>
    </w:p>
    <w:p w14:paraId="79A8D513">
      <w:pPr>
        <w:spacing w:line="336" w:lineRule="auto"/>
        <w:ind w:firstLine="422"/>
        <w:rPr>
          <w:b/>
          <w:color w:val="auto"/>
          <w:kern w:val="1"/>
          <w:sz w:val="22"/>
          <w:szCs w:val="22"/>
          <w:highlight w:val="none"/>
        </w:rPr>
      </w:pPr>
      <w:r>
        <w:rPr>
          <w:b/>
          <w:color w:val="auto"/>
          <w:kern w:val="1"/>
          <w:sz w:val="22"/>
          <w:szCs w:val="22"/>
          <w:highlight w:val="none"/>
        </w:rPr>
        <w:t>1</w:t>
      </w:r>
      <w:r>
        <w:rPr>
          <w:rFonts w:hint="eastAsia"/>
          <w:b/>
          <w:color w:val="auto"/>
          <w:kern w:val="1"/>
          <w:sz w:val="22"/>
          <w:szCs w:val="22"/>
          <w:highlight w:val="none"/>
          <w:lang w:eastAsia="zh-CN"/>
        </w:rPr>
        <w:t>8.</w:t>
      </w:r>
      <w:r>
        <w:rPr>
          <w:b/>
          <w:color w:val="auto"/>
          <w:kern w:val="1"/>
          <w:sz w:val="22"/>
          <w:szCs w:val="22"/>
          <w:highlight w:val="none"/>
        </w:rPr>
        <w:t>投标有效期</w:t>
      </w:r>
    </w:p>
    <w:p w14:paraId="55ED6F33">
      <w:pPr>
        <w:keepNext w:val="0"/>
        <w:keepLines w:val="0"/>
        <w:pageBreakBefore w:val="0"/>
        <w:widowControl w:val="0"/>
        <w:kinsoku/>
        <w:wordWrap/>
        <w:overflowPunct/>
        <w:topLinePunct w:val="0"/>
        <w:autoSpaceDE/>
        <w:autoSpaceDN/>
        <w:bidi w:val="0"/>
        <w:adjustRightInd/>
        <w:snapToGrid/>
        <w:spacing w:line="336" w:lineRule="auto"/>
        <w:ind w:firstLine="420"/>
        <w:textAlignment w:val="auto"/>
        <w:rPr>
          <w:b/>
          <w:color w:val="auto"/>
          <w:kern w:val="1"/>
          <w:sz w:val="22"/>
          <w:szCs w:val="22"/>
          <w:highlight w:val="none"/>
        </w:rPr>
      </w:pPr>
      <w:r>
        <w:rPr>
          <w:color w:val="auto"/>
          <w:kern w:val="1"/>
          <w:sz w:val="22"/>
          <w:szCs w:val="22"/>
          <w:highlight w:val="none"/>
        </w:rPr>
        <w:t>18.1 投标文件从开标之日起，投标有效期为60天。</w:t>
      </w:r>
    </w:p>
    <w:p w14:paraId="450B6F42">
      <w:pPr>
        <w:pStyle w:val="2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Times New Roman" w:hAnsi="Times New Roman"/>
          <w:color w:val="auto"/>
          <w:sz w:val="22"/>
          <w:szCs w:val="22"/>
          <w:highlight w:val="none"/>
        </w:rPr>
      </w:pPr>
      <w:r>
        <w:rPr>
          <w:rFonts w:ascii="Times New Roman" w:hAnsi="Times New Roman"/>
          <w:color w:val="auto"/>
          <w:sz w:val="22"/>
          <w:szCs w:val="22"/>
          <w:highlight w:val="none"/>
        </w:rPr>
        <w:t>18.2 特殊情况下，在原投标有效期截止之前，采购人可要求投标人同意延长有效期，这种要求与答复均应以书面形式提交。接受延长投标有效期的投标人将不会被要求和允许修正其投标。</w:t>
      </w:r>
    </w:p>
    <w:p w14:paraId="1477BA50">
      <w:pPr>
        <w:pStyle w:val="6"/>
        <w:numPr>
          <w:ilvl w:val="1"/>
          <w:numId w:val="4"/>
        </w:numPr>
        <w:spacing w:before="0" w:after="0" w:line="336" w:lineRule="auto"/>
        <w:rPr>
          <w:rFonts w:ascii="Times New Roman" w:hAnsi="Times New Roman" w:eastAsia="宋体"/>
          <w:color w:val="auto"/>
          <w:sz w:val="22"/>
          <w:szCs w:val="22"/>
          <w:highlight w:val="none"/>
        </w:rPr>
      </w:pPr>
      <w:bookmarkStart w:id="17" w:name="_Toc362250690"/>
      <w:bookmarkEnd w:id="17"/>
      <w:bookmarkStart w:id="18" w:name="_Toc274303232"/>
      <w:bookmarkEnd w:id="18"/>
      <w:bookmarkStart w:id="19" w:name="_Toc27776"/>
      <w:r>
        <w:rPr>
          <w:rFonts w:ascii="Times New Roman" w:hAnsi="Times New Roman" w:eastAsia="宋体"/>
          <w:color w:val="auto"/>
          <w:sz w:val="22"/>
          <w:szCs w:val="22"/>
          <w:highlight w:val="none"/>
        </w:rPr>
        <w:t>四、投标文件的递交</w:t>
      </w:r>
      <w:bookmarkEnd w:id="19"/>
    </w:p>
    <w:p w14:paraId="7D4CF977">
      <w:pPr>
        <w:pStyle w:val="28"/>
        <w:spacing w:line="336" w:lineRule="auto"/>
        <w:ind w:firstLine="420"/>
        <w:rPr>
          <w:rFonts w:ascii="Times New Roman" w:hAnsi="Times New Roman"/>
          <w:color w:val="auto"/>
          <w:sz w:val="22"/>
          <w:szCs w:val="22"/>
          <w:highlight w:val="none"/>
        </w:rPr>
      </w:pPr>
      <w:r>
        <w:rPr>
          <w:rFonts w:ascii="Times New Roman" w:hAnsi="Times New Roman"/>
          <w:color w:val="auto"/>
          <w:sz w:val="22"/>
          <w:szCs w:val="22"/>
          <w:highlight w:val="none"/>
        </w:rPr>
        <w:t>1</w:t>
      </w:r>
      <w:r>
        <w:rPr>
          <w:rFonts w:hint="eastAsia" w:ascii="Times New Roman" w:hAnsi="Times New Roman"/>
          <w:color w:val="auto"/>
          <w:sz w:val="22"/>
          <w:szCs w:val="22"/>
          <w:highlight w:val="none"/>
          <w:lang w:eastAsia="zh-CN"/>
        </w:rPr>
        <w:t>9.</w:t>
      </w:r>
      <w:r>
        <w:rPr>
          <w:rFonts w:ascii="Times New Roman" w:hAnsi="Times New Roman"/>
          <w:color w:val="auto"/>
          <w:sz w:val="22"/>
          <w:szCs w:val="22"/>
          <w:highlight w:val="none"/>
        </w:rPr>
        <w:t>电子投标文件上传的地点和截止时间</w:t>
      </w:r>
    </w:p>
    <w:p w14:paraId="26E0898C">
      <w:pPr>
        <w:pStyle w:val="28"/>
        <w:spacing w:line="336" w:lineRule="auto"/>
        <w:ind w:firstLine="420"/>
        <w:rPr>
          <w:rFonts w:ascii="Times New Roman" w:hAnsi="Times New Roman"/>
          <w:color w:val="auto"/>
          <w:sz w:val="22"/>
          <w:szCs w:val="22"/>
          <w:highlight w:val="none"/>
        </w:rPr>
      </w:pPr>
      <w:r>
        <w:rPr>
          <w:rFonts w:ascii="Times New Roman" w:hAnsi="Times New Roman"/>
          <w:color w:val="auto"/>
          <w:sz w:val="22"/>
          <w:szCs w:val="22"/>
          <w:highlight w:val="none"/>
        </w:rPr>
        <w:t>供应商应于</w:t>
      </w:r>
      <w:r>
        <w:rPr>
          <w:rFonts w:hint="eastAsia" w:ascii="Times New Roman" w:hAnsi="Times New Roman"/>
          <w:color w:val="auto"/>
          <w:sz w:val="22"/>
          <w:szCs w:val="22"/>
          <w:highlight w:val="none"/>
          <w:lang w:eastAsia="zh-CN"/>
        </w:rPr>
        <w:t>2025年03月21日09:30</w:t>
      </w:r>
      <w:r>
        <w:rPr>
          <w:rFonts w:ascii="Times New Roman" w:hAnsi="Times New Roman"/>
          <w:color w:val="auto"/>
          <w:sz w:val="22"/>
          <w:szCs w:val="22"/>
          <w:highlight w:val="none"/>
        </w:rPr>
        <w:t>前在“政采云”上自行加密上传电子投标文件，逾期上传或未按要求上传的投标文件将予以拒收。</w:t>
      </w:r>
    </w:p>
    <w:p w14:paraId="127EBA4C">
      <w:pPr>
        <w:pStyle w:val="28"/>
        <w:spacing w:line="336" w:lineRule="auto"/>
        <w:ind w:firstLine="420"/>
        <w:rPr>
          <w:rFonts w:ascii="Times New Roman" w:hAnsi="Times New Roman"/>
          <w:color w:val="auto"/>
          <w:sz w:val="22"/>
          <w:szCs w:val="22"/>
          <w:highlight w:val="none"/>
        </w:rPr>
      </w:pPr>
      <w:r>
        <w:rPr>
          <w:rFonts w:ascii="Times New Roman" w:hAnsi="Times New Roman"/>
          <w:color w:val="auto"/>
          <w:sz w:val="22"/>
          <w:szCs w:val="22"/>
          <w:highlight w:val="none"/>
        </w:rPr>
        <w:t>2</w:t>
      </w:r>
      <w:r>
        <w:rPr>
          <w:rFonts w:hint="eastAsia" w:ascii="Times New Roman" w:hAnsi="Times New Roman"/>
          <w:color w:val="auto"/>
          <w:sz w:val="22"/>
          <w:szCs w:val="22"/>
          <w:highlight w:val="none"/>
          <w:lang w:eastAsia="zh-CN"/>
        </w:rPr>
        <w:t>0.</w:t>
      </w:r>
      <w:r>
        <w:rPr>
          <w:rFonts w:ascii="Times New Roman" w:hAnsi="Times New Roman"/>
          <w:color w:val="auto"/>
          <w:sz w:val="22"/>
          <w:szCs w:val="22"/>
          <w:highlight w:val="none"/>
        </w:rPr>
        <w:t>投标文件解密</w:t>
      </w:r>
    </w:p>
    <w:p w14:paraId="7875E374">
      <w:pPr>
        <w:pStyle w:val="28"/>
        <w:spacing w:line="336" w:lineRule="auto"/>
        <w:ind w:firstLine="420"/>
        <w:rPr>
          <w:rFonts w:ascii="Times New Roman" w:hAnsi="Times New Roman"/>
          <w:color w:val="auto"/>
          <w:sz w:val="22"/>
          <w:szCs w:val="22"/>
          <w:highlight w:val="none"/>
        </w:rPr>
      </w:pPr>
      <w:r>
        <w:rPr>
          <w:rFonts w:ascii="Times New Roman" w:hAnsi="Times New Roman"/>
          <w:color w:val="auto"/>
          <w:sz w:val="22"/>
          <w:szCs w:val="22"/>
          <w:highlight w:val="none"/>
        </w:rPr>
        <w:t>开标时间后1小时内供应商可以登录“政采云”平台，用“项目采购</w:t>
      </w:r>
      <w:r>
        <w:rPr>
          <w:rFonts w:hint="eastAsia" w:ascii="Times New Roman" w:hAnsi="Times New Roman"/>
          <w:color w:val="auto"/>
          <w:sz w:val="22"/>
          <w:szCs w:val="22"/>
          <w:highlight w:val="none"/>
          <w:lang w:eastAsia="zh-CN"/>
        </w:rPr>
        <w:t>－</w:t>
      </w:r>
      <w:r>
        <w:rPr>
          <w:rFonts w:ascii="Times New Roman" w:hAnsi="Times New Roman"/>
          <w:color w:val="auto"/>
          <w:sz w:val="22"/>
          <w:szCs w:val="22"/>
          <w:highlight w:val="none"/>
        </w:rPr>
        <w:t>开标评标”功能进行解密投标文件。若供应商在规定时间内无法解密或解密失败，将导致投标无效或失败。</w:t>
      </w:r>
    </w:p>
    <w:p w14:paraId="587A4E17">
      <w:pPr>
        <w:pStyle w:val="28"/>
        <w:spacing w:line="336" w:lineRule="auto"/>
        <w:ind w:firstLine="420"/>
        <w:rPr>
          <w:rFonts w:ascii="Times New Roman" w:hAnsi="Times New Roman"/>
          <w:color w:val="auto"/>
          <w:kern w:val="1"/>
          <w:sz w:val="22"/>
          <w:szCs w:val="22"/>
          <w:highlight w:val="none"/>
        </w:rPr>
      </w:pPr>
      <w:r>
        <w:rPr>
          <w:rFonts w:ascii="Times New Roman" w:hAnsi="Times New Roman"/>
          <w:color w:val="auto"/>
          <w:sz w:val="22"/>
          <w:szCs w:val="22"/>
          <w:highlight w:val="none"/>
        </w:rPr>
        <w:t>备注：</w:t>
      </w:r>
      <w:r>
        <w:rPr>
          <w:rFonts w:ascii="Times New Roman" w:hAnsi="Times New Roman"/>
          <w:color w:val="auto"/>
          <w:sz w:val="22"/>
          <w:szCs w:val="22"/>
          <w:highlight w:val="none"/>
          <w:u w:val="single"/>
        </w:rPr>
        <w:t>为确保采购项目顺利实施，避免因政采云上电子投标文件解密失败导致投标方投标无效，投标方可在</w:t>
      </w:r>
      <w:r>
        <w:rPr>
          <w:rFonts w:hint="eastAsia" w:ascii="Times New Roman" w:hAnsi="Times New Roman"/>
          <w:color w:val="auto"/>
          <w:sz w:val="22"/>
          <w:szCs w:val="22"/>
          <w:highlight w:val="none"/>
          <w:u w:val="single"/>
          <w:lang w:eastAsia="zh-CN"/>
        </w:rPr>
        <w:t>2025年03月21日09:30</w:t>
      </w:r>
      <w:r>
        <w:rPr>
          <w:rFonts w:ascii="Times New Roman" w:hAnsi="Times New Roman"/>
          <w:color w:val="auto"/>
          <w:sz w:val="22"/>
          <w:szCs w:val="22"/>
          <w:highlight w:val="none"/>
          <w:u w:val="single"/>
        </w:rPr>
        <w:fldChar w:fldCharType="begin"/>
      </w:r>
      <w:r>
        <w:rPr>
          <w:rFonts w:ascii="Times New Roman" w:hAnsi="Times New Roman"/>
          <w:color w:val="auto"/>
          <w:sz w:val="22"/>
          <w:szCs w:val="22"/>
          <w:highlight w:val="none"/>
          <w:u w:val="single"/>
        </w:rPr>
        <w:instrText xml:space="preserve"> HYPERLINK "mailto:前将在政采云平台上最后生成的具备电子签章的备份加密投标文件（文件名后缀为备份文件四字的首字母）以电子邮件方式传送至浙江科信联合工程项目管理咨询有限公司指定邮箱（ywkx@ywkexin.com），传送的备份电子投标文件需打包压缩并加密，加密密码由投标方自行保管，如政采云上电子投标文件出现解密失败情况（开标当日09:30-10:" </w:instrText>
      </w:r>
      <w:r>
        <w:rPr>
          <w:rFonts w:ascii="Times New Roman" w:hAnsi="Times New Roman"/>
          <w:color w:val="auto"/>
          <w:sz w:val="22"/>
          <w:szCs w:val="22"/>
          <w:highlight w:val="none"/>
          <w:u w:val="single"/>
        </w:rPr>
        <w:fldChar w:fldCharType="separate"/>
      </w:r>
      <w:r>
        <w:rPr>
          <w:rFonts w:ascii="Times New Roman" w:hAnsi="Times New Roman"/>
          <w:color w:val="auto"/>
          <w:sz w:val="22"/>
          <w:szCs w:val="22"/>
          <w:highlight w:val="none"/>
          <w:u w:val="single"/>
        </w:rPr>
        <w:t>前将在政采云平台上最后生成的具备电子签章的备份加密投标文件（文件名后缀为备份文件四字的首字母）以电子邮件方式传送至</w:t>
      </w:r>
      <w:r>
        <w:rPr>
          <w:rFonts w:hint="eastAsia" w:ascii="Times New Roman" w:hAnsi="Times New Roman"/>
          <w:color w:val="auto"/>
          <w:sz w:val="22"/>
          <w:szCs w:val="22"/>
          <w:highlight w:val="none"/>
          <w:u w:val="single"/>
          <w:lang w:eastAsia="zh-CN"/>
        </w:rPr>
        <w:t>科信联合工程咨询有限公司</w:t>
      </w:r>
      <w:r>
        <w:rPr>
          <w:rFonts w:ascii="Times New Roman" w:hAnsi="Times New Roman"/>
          <w:color w:val="auto"/>
          <w:sz w:val="22"/>
          <w:szCs w:val="22"/>
          <w:highlight w:val="none"/>
          <w:u w:val="single"/>
        </w:rPr>
        <w:t>指定邮箱（</w:t>
      </w:r>
      <w:r>
        <w:rPr>
          <w:rFonts w:hint="eastAsia" w:ascii="Times New Roman" w:hAnsi="Times New Roman"/>
          <w:color w:val="auto"/>
          <w:sz w:val="22"/>
          <w:szCs w:val="22"/>
          <w:highlight w:val="none"/>
          <w:u w:val="single"/>
          <w:lang w:eastAsia="zh-CN"/>
        </w:rPr>
        <w:t>zjkxyw@163.com</w:t>
      </w:r>
      <w:r>
        <w:rPr>
          <w:rFonts w:ascii="Times New Roman" w:hAnsi="Times New Roman"/>
          <w:color w:val="auto"/>
          <w:sz w:val="22"/>
          <w:szCs w:val="22"/>
          <w:highlight w:val="none"/>
          <w:u w:val="single"/>
        </w:rPr>
        <w:t>），传送的备份电子投标文件需打包压缩并加密，加密密码由投标方自行保管，如政采云上电子投标文件出现解密失败情况（开标当日</w:t>
      </w:r>
      <w:r>
        <w:rPr>
          <w:rFonts w:hint="eastAsia" w:ascii="Times New Roman" w:hAnsi="Times New Roman"/>
          <w:color w:val="auto"/>
          <w:sz w:val="22"/>
          <w:szCs w:val="22"/>
          <w:highlight w:val="none"/>
          <w:u w:val="single"/>
          <w:lang w:eastAsia="zh-CN"/>
        </w:rPr>
        <w:t>09:30</w:t>
      </w:r>
      <w:r>
        <w:rPr>
          <w:rFonts w:hint="eastAsia" w:ascii="Times New Roman" w:hAnsi="Times New Roman"/>
          <w:color w:val="auto"/>
          <w:sz w:val="22"/>
          <w:szCs w:val="22"/>
          <w:highlight w:val="none"/>
          <w:u w:val="single"/>
        </w:rPr>
        <w:t xml:space="preserve"> </w:t>
      </w:r>
      <w:r>
        <w:rPr>
          <w:rFonts w:ascii="Times New Roman" w:hAnsi="Times New Roman"/>
          <w:color w:val="auto"/>
          <w:sz w:val="22"/>
          <w:szCs w:val="22"/>
          <w:highlight w:val="none"/>
          <w:u w:val="single"/>
        </w:rPr>
        <w:t>-</w:t>
      </w:r>
      <w:r>
        <w:rPr>
          <w:rFonts w:hint="eastAsia" w:ascii="Times New Roman" w:hAnsi="Times New Roman"/>
          <w:color w:val="auto"/>
          <w:sz w:val="22"/>
          <w:szCs w:val="22"/>
          <w:highlight w:val="none"/>
          <w:u w:val="single"/>
          <w:lang w:eastAsia="zh-CN"/>
        </w:rPr>
        <w:t>10:30</w:t>
      </w:r>
      <w:r>
        <w:rPr>
          <w:rFonts w:ascii="Times New Roman" w:hAnsi="Times New Roman"/>
          <w:color w:val="auto"/>
          <w:sz w:val="22"/>
          <w:szCs w:val="22"/>
          <w:highlight w:val="none"/>
          <w:u w:val="single"/>
        </w:rPr>
        <w:fldChar w:fldCharType="end"/>
      </w:r>
      <w:r>
        <w:rPr>
          <w:rFonts w:ascii="Times New Roman" w:hAnsi="Times New Roman"/>
          <w:color w:val="auto"/>
          <w:sz w:val="22"/>
          <w:szCs w:val="22"/>
          <w:highlight w:val="none"/>
          <w:u w:val="single"/>
        </w:rPr>
        <w:t>期间进行解密），投标方可按照自身意愿确认是否同意提供加密密码解密传送至</w:t>
      </w:r>
      <w:r>
        <w:rPr>
          <w:rFonts w:hint="eastAsia" w:ascii="Times New Roman" w:hAnsi="Times New Roman"/>
          <w:color w:val="auto"/>
          <w:sz w:val="22"/>
          <w:szCs w:val="22"/>
          <w:highlight w:val="none"/>
          <w:u w:val="single"/>
          <w:lang w:eastAsia="zh-CN"/>
        </w:rPr>
        <w:t>科信联合工程咨询有限公司</w:t>
      </w:r>
      <w:r>
        <w:rPr>
          <w:rFonts w:ascii="Times New Roman" w:hAnsi="Times New Roman"/>
          <w:color w:val="auto"/>
          <w:sz w:val="22"/>
          <w:szCs w:val="22"/>
          <w:highlight w:val="none"/>
          <w:u w:val="single"/>
        </w:rPr>
        <w:t>指定邮箱（</w:t>
      </w:r>
      <w:r>
        <w:rPr>
          <w:rFonts w:hint="eastAsia" w:ascii="Times New Roman" w:hAnsi="Times New Roman"/>
          <w:color w:val="auto"/>
          <w:sz w:val="22"/>
          <w:szCs w:val="22"/>
          <w:highlight w:val="none"/>
          <w:u w:val="single"/>
          <w:lang w:eastAsia="zh-CN"/>
        </w:rPr>
        <w:t>zjkxyw@163.com</w:t>
      </w:r>
      <w:r>
        <w:rPr>
          <w:rFonts w:ascii="Times New Roman" w:hAnsi="Times New Roman"/>
          <w:color w:val="auto"/>
          <w:sz w:val="22"/>
          <w:szCs w:val="22"/>
          <w:highlight w:val="none"/>
          <w:u w:val="single"/>
        </w:rPr>
        <w:t>）的备份文件，并以备份文件作为替代电子投标文件，如投标方未按照规定时间及要求提供有效备份文件，同时政采云上投标文件解密失败的，将导致投标无效。</w:t>
      </w:r>
    </w:p>
    <w:p w14:paraId="771FC0BE">
      <w:pPr>
        <w:pStyle w:val="28"/>
        <w:spacing w:line="336" w:lineRule="auto"/>
        <w:ind w:firstLine="420"/>
        <w:rPr>
          <w:rFonts w:ascii="Times New Roman" w:hAnsi="Times New Roman"/>
          <w:color w:val="auto"/>
          <w:sz w:val="22"/>
          <w:szCs w:val="22"/>
          <w:highlight w:val="none"/>
        </w:rPr>
      </w:pPr>
      <w:r>
        <w:rPr>
          <w:rFonts w:ascii="Times New Roman" w:hAnsi="Times New Roman"/>
          <w:color w:val="auto"/>
          <w:sz w:val="22"/>
          <w:szCs w:val="22"/>
          <w:highlight w:val="none"/>
        </w:rPr>
        <w:t>2</w:t>
      </w:r>
      <w:r>
        <w:rPr>
          <w:rFonts w:hint="eastAsia" w:ascii="Times New Roman" w:hAnsi="Times New Roman"/>
          <w:color w:val="auto"/>
          <w:sz w:val="22"/>
          <w:szCs w:val="22"/>
          <w:highlight w:val="none"/>
          <w:lang w:eastAsia="zh-CN"/>
        </w:rPr>
        <w:t>2.</w:t>
      </w:r>
      <w:r>
        <w:rPr>
          <w:rFonts w:ascii="Times New Roman" w:hAnsi="Times New Roman"/>
          <w:color w:val="auto"/>
          <w:sz w:val="22"/>
          <w:szCs w:val="22"/>
          <w:highlight w:val="none"/>
        </w:rPr>
        <w:t>投标文件的补充、修改与撤回</w:t>
      </w:r>
    </w:p>
    <w:p w14:paraId="15081728">
      <w:pPr>
        <w:pStyle w:val="28"/>
        <w:spacing w:line="336" w:lineRule="auto"/>
        <w:ind w:firstLine="420"/>
        <w:rPr>
          <w:rFonts w:ascii="Times New Roman" w:hAnsi="Times New Roman"/>
          <w:color w:val="auto"/>
          <w:sz w:val="22"/>
          <w:szCs w:val="22"/>
          <w:highlight w:val="none"/>
        </w:rPr>
      </w:pPr>
      <w:r>
        <w:rPr>
          <w:rFonts w:ascii="Times New Roman" w:hAnsi="Times New Roman"/>
          <w:color w:val="auto"/>
          <w:sz w:val="22"/>
          <w:szCs w:val="22"/>
          <w:highlight w:val="none"/>
        </w:rPr>
        <w:t>22.1投标人在提交投标文件以后，在规定的投标截止时间之前，可以重新补充修改或撤回已上传的投标文件，补充、修改的内容为投标文件的组成部分。</w:t>
      </w:r>
    </w:p>
    <w:p w14:paraId="115DDFE6">
      <w:pPr>
        <w:pStyle w:val="28"/>
        <w:spacing w:line="336" w:lineRule="auto"/>
        <w:ind w:firstLine="420"/>
        <w:rPr>
          <w:rFonts w:ascii="Times New Roman" w:hAnsi="Times New Roman"/>
          <w:color w:val="auto"/>
          <w:sz w:val="22"/>
          <w:szCs w:val="22"/>
          <w:highlight w:val="none"/>
        </w:rPr>
      </w:pPr>
      <w:r>
        <w:rPr>
          <w:rFonts w:ascii="Times New Roman" w:hAnsi="Times New Roman"/>
          <w:color w:val="auto"/>
          <w:sz w:val="22"/>
          <w:szCs w:val="22"/>
          <w:highlight w:val="none"/>
        </w:rPr>
        <w:t>22.2在投标截止时间之后，投标人不得对其投标</w:t>
      </w:r>
      <w:r>
        <w:rPr>
          <w:rFonts w:hint="eastAsia" w:ascii="Times New Roman" w:hAnsi="Times New Roman"/>
          <w:color w:val="auto"/>
          <w:sz w:val="22"/>
          <w:szCs w:val="22"/>
          <w:highlight w:val="none"/>
          <w:lang w:eastAsia="zh-CN"/>
        </w:rPr>
        <w:t>作</w:t>
      </w:r>
      <w:r>
        <w:rPr>
          <w:rFonts w:ascii="Times New Roman" w:hAnsi="Times New Roman"/>
          <w:color w:val="auto"/>
          <w:sz w:val="22"/>
          <w:szCs w:val="22"/>
          <w:highlight w:val="none"/>
        </w:rPr>
        <w:t>任何修改。</w:t>
      </w:r>
    </w:p>
    <w:p w14:paraId="796F9791">
      <w:pPr>
        <w:pStyle w:val="28"/>
        <w:spacing w:line="336" w:lineRule="auto"/>
        <w:ind w:firstLine="420"/>
        <w:rPr>
          <w:rFonts w:ascii="Times New Roman" w:hAnsi="Times New Roman"/>
          <w:color w:val="auto"/>
          <w:sz w:val="22"/>
          <w:szCs w:val="22"/>
          <w:highlight w:val="none"/>
        </w:rPr>
      </w:pPr>
      <w:r>
        <w:rPr>
          <w:rFonts w:ascii="Times New Roman" w:hAnsi="Times New Roman"/>
          <w:color w:val="auto"/>
          <w:sz w:val="22"/>
          <w:szCs w:val="22"/>
          <w:highlight w:val="none"/>
        </w:rPr>
        <w:t>22.3从投标截止时间至投标人在投标书格式中确定的投标有效期期满这段时间内，投标人不得撤回其投标。</w:t>
      </w:r>
    </w:p>
    <w:p w14:paraId="1FA774C4">
      <w:pPr>
        <w:tabs>
          <w:tab w:val="left" w:pos="315"/>
        </w:tabs>
        <w:spacing w:line="336" w:lineRule="auto"/>
        <w:ind w:firstLine="442" w:firstLineChars="200"/>
        <w:rPr>
          <w:b/>
          <w:bCs/>
          <w:color w:val="auto"/>
          <w:kern w:val="1"/>
          <w:sz w:val="22"/>
          <w:szCs w:val="22"/>
          <w:highlight w:val="none"/>
        </w:rPr>
      </w:pPr>
      <w:bookmarkStart w:id="20" w:name="_Toc362250691"/>
      <w:bookmarkEnd w:id="20"/>
      <w:bookmarkStart w:id="21" w:name="_Toc274303233"/>
      <w:bookmarkEnd w:id="21"/>
      <w:r>
        <w:rPr>
          <w:b/>
          <w:bCs/>
          <w:color w:val="auto"/>
          <w:kern w:val="1"/>
          <w:sz w:val="22"/>
          <w:szCs w:val="22"/>
          <w:highlight w:val="none"/>
        </w:rPr>
        <w:t>五、</w:t>
      </w:r>
      <w:r>
        <w:rPr>
          <w:rFonts w:hint="eastAsia"/>
          <w:b/>
          <w:bCs/>
          <w:color w:val="auto"/>
          <w:kern w:val="1"/>
          <w:sz w:val="22"/>
          <w:szCs w:val="22"/>
          <w:highlight w:val="none"/>
          <w:lang w:eastAsia="zh-CN"/>
        </w:rPr>
        <w:t>其他</w:t>
      </w:r>
    </w:p>
    <w:p w14:paraId="1BB5AFFD">
      <w:pPr>
        <w:tabs>
          <w:tab w:val="left" w:pos="315"/>
        </w:tabs>
        <w:spacing w:line="336" w:lineRule="auto"/>
        <w:ind w:firstLine="440" w:firstLineChars="200"/>
        <w:rPr>
          <w:color w:val="auto"/>
          <w:kern w:val="1"/>
          <w:sz w:val="22"/>
          <w:szCs w:val="22"/>
          <w:highlight w:val="none"/>
        </w:rPr>
      </w:pPr>
      <w:r>
        <w:rPr>
          <w:color w:val="auto"/>
          <w:kern w:val="1"/>
          <w:sz w:val="22"/>
          <w:szCs w:val="22"/>
          <w:highlight w:val="none"/>
        </w:rPr>
        <w:t>2</w:t>
      </w:r>
      <w:r>
        <w:rPr>
          <w:rFonts w:hint="eastAsia"/>
          <w:color w:val="auto"/>
          <w:kern w:val="1"/>
          <w:sz w:val="22"/>
          <w:szCs w:val="22"/>
          <w:highlight w:val="none"/>
          <w:lang w:eastAsia="zh-CN"/>
        </w:rPr>
        <w:t>3.</w:t>
      </w:r>
      <w:r>
        <w:rPr>
          <w:color w:val="auto"/>
          <w:kern w:val="1"/>
          <w:sz w:val="22"/>
          <w:szCs w:val="22"/>
          <w:highlight w:val="none"/>
        </w:rPr>
        <w:t>本招标文件解释权归采购人。</w:t>
      </w:r>
    </w:p>
    <w:p w14:paraId="794ACD1D">
      <w:pPr>
        <w:pStyle w:val="5"/>
        <w:numPr>
          <w:ilvl w:val="0"/>
          <w:numId w:val="6"/>
        </w:numPr>
        <w:spacing w:before="0" w:after="0" w:line="360" w:lineRule="auto"/>
        <w:ind w:left="0" w:firstLine="643" w:firstLineChars="200"/>
        <w:jc w:val="center"/>
        <w:rPr>
          <w:color w:val="auto"/>
          <w:kern w:val="44"/>
          <w:sz w:val="32"/>
          <w:highlight w:val="none"/>
        </w:rPr>
        <w:sectPr>
          <w:pgSz w:w="11906" w:h="16838"/>
          <w:pgMar w:top="1247" w:right="1361" w:bottom="1247" w:left="1417" w:header="851" w:footer="992" w:gutter="0"/>
          <w:pgBorders>
            <w:top w:val="none" w:sz="0" w:space="0"/>
            <w:left w:val="none" w:sz="0" w:space="0"/>
            <w:bottom w:val="none" w:sz="0" w:space="0"/>
            <w:right w:val="none" w:sz="0" w:space="0"/>
          </w:pgBorders>
          <w:pgNumType w:fmt="numberInDash"/>
          <w:cols w:space="720" w:num="1"/>
          <w:titlePg/>
          <w:rtlGutter w:val="1"/>
        </w:sectPr>
      </w:pPr>
      <w:bookmarkStart w:id="22" w:name="_Toc274303234"/>
      <w:bookmarkEnd w:id="22"/>
    </w:p>
    <w:p w14:paraId="350F99C4">
      <w:pPr>
        <w:pStyle w:val="5"/>
        <w:numPr>
          <w:ilvl w:val="0"/>
          <w:numId w:val="6"/>
        </w:numPr>
        <w:spacing w:before="0" w:after="0" w:line="360" w:lineRule="auto"/>
        <w:ind w:left="0" w:firstLine="643" w:firstLineChars="200"/>
        <w:jc w:val="center"/>
        <w:rPr>
          <w:color w:val="auto"/>
          <w:sz w:val="32"/>
          <w:highlight w:val="none"/>
        </w:rPr>
      </w:pPr>
      <w:r>
        <w:rPr>
          <w:color w:val="auto"/>
          <w:kern w:val="44"/>
          <w:sz w:val="32"/>
          <w:highlight w:val="none"/>
        </w:rPr>
        <w:t xml:space="preserve">  </w:t>
      </w:r>
      <w:bookmarkStart w:id="23" w:name="_Toc2809"/>
      <w:r>
        <w:rPr>
          <w:color w:val="auto"/>
          <w:sz w:val="32"/>
          <w:highlight w:val="none"/>
        </w:rPr>
        <w:t>招标项目要求</w:t>
      </w:r>
      <w:bookmarkEnd w:id="23"/>
    </w:p>
    <w:p w14:paraId="1B16A6EA">
      <w:pPr>
        <w:pStyle w:val="6"/>
        <w:pageBreakBefore w:val="0"/>
        <w:kinsoku/>
        <w:wordWrap/>
        <w:overflowPunct/>
        <w:topLinePunct w:val="0"/>
        <w:autoSpaceDE/>
        <w:autoSpaceDN/>
        <w:bidi w:val="0"/>
        <w:adjustRightInd/>
        <w:snapToGrid/>
        <w:spacing w:before="0" w:beforeLines="0" w:after="0" w:afterLines="0" w:line="336" w:lineRule="auto"/>
        <w:textAlignment w:val="auto"/>
        <w:rPr>
          <w:rFonts w:hint="eastAsia" w:ascii="宋体" w:hAnsi="宋体" w:eastAsia="宋体" w:cs="宋体"/>
          <w:color w:val="auto"/>
          <w:sz w:val="22"/>
          <w:szCs w:val="22"/>
          <w:highlight w:val="none"/>
          <w:lang w:val="en-US" w:eastAsia="zh-CN"/>
        </w:rPr>
      </w:pPr>
      <w:bookmarkStart w:id="24" w:name="_Toc3232"/>
      <w:bookmarkStart w:id="25" w:name="_Toc16613"/>
      <w:bookmarkStart w:id="26" w:name="_Toc6684"/>
      <w:bookmarkStart w:id="27" w:name="_Toc7948"/>
      <w:bookmarkStart w:id="28" w:name="_Toc8705"/>
      <w:bookmarkStart w:id="29" w:name="_Toc474507844"/>
      <w:bookmarkStart w:id="30" w:name="_Toc476731374"/>
      <w:r>
        <w:rPr>
          <w:rFonts w:hint="eastAsia" w:ascii="宋体" w:hAnsi="宋体" w:eastAsia="宋体" w:cs="宋体"/>
          <w:color w:val="auto"/>
          <w:sz w:val="22"/>
          <w:szCs w:val="22"/>
          <w:highlight w:val="none"/>
          <w:lang w:val="en-US" w:eastAsia="zh-CN"/>
        </w:rPr>
        <w:t>一、项目采购需求</w:t>
      </w:r>
      <w:bookmarkEnd w:id="24"/>
      <w:bookmarkEnd w:id="25"/>
    </w:p>
    <w:p w14:paraId="1313CDF7">
      <w:pPr>
        <w:pStyle w:val="28"/>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社会矛盾纠纷调处化解工作是义乌市社会治理中心（以下简称市治理中心）发挥实质性作用，推进“最多跑一地”改革的重要支撑，是平安义乌、法治义乌建设的基础工程。为进一步推动市治理中心</w:t>
      </w:r>
      <w:r>
        <w:rPr>
          <w:rFonts w:hint="eastAsia" w:ascii="宋体" w:hAnsi="宋体" w:eastAsia="宋体" w:cs="宋体"/>
          <w:color w:val="auto"/>
          <w:sz w:val="22"/>
          <w:szCs w:val="22"/>
          <w:highlight w:val="none"/>
        </w:rPr>
        <w:t>由物理整合向化学变化转型</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加强调解员队伍建设，提升调解员服务保障水平，调动调解员工作积极性，提高调解成功率，</w:t>
      </w:r>
      <w:r>
        <w:rPr>
          <w:rFonts w:hint="eastAsia" w:ascii="宋体" w:hAnsi="宋体" w:eastAsia="宋体" w:cs="宋体"/>
          <w:color w:val="auto"/>
          <w:sz w:val="22"/>
          <w:szCs w:val="22"/>
          <w:highlight w:val="none"/>
          <w:lang w:val="en-US" w:eastAsia="zh-CN"/>
        </w:rPr>
        <w:t>市治理中心计划通过本次招标选取一家专业、规范机构负责义乌市级社会矛盾纠纷调处化解工作</w:t>
      </w:r>
      <w:r>
        <w:rPr>
          <w:rFonts w:hint="eastAsia" w:ascii="宋体" w:hAnsi="宋体" w:eastAsia="宋体" w:cs="宋体"/>
          <w:color w:val="auto"/>
          <w:sz w:val="22"/>
          <w:szCs w:val="22"/>
          <w:highlight w:val="none"/>
          <w:lang w:eastAsia="zh-CN"/>
        </w:rPr>
        <w:t>。</w:t>
      </w:r>
    </w:p>
    <w:p w14:paraId="1F37C93A">
      <w:pPr>
        <w:pStyle w:val="28"/>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本次采购的社会矛盾纠纷调处化解工作主要分为二部分：</w:t>
      </w:r>
    </w:p>
    <w:p w14:paraId="72050569">
      <w:pPr>
        <w:pStyle w:val="28"/>
        <w:keepNext w:val="0"/>
        <w:keepLines w:val="0"/>
        <w:pageBreakBefore w:val="0"/>
        <w:numPr>
          <w:ilvl w:val="0"/>
          <w:numId w:val="0"/>
        </w:numPr>
        <w:kinsoku/>
        <w:wordWrap/>
        <w:overflowPunct/>
        <w:topLinePunct w:val="0"/>
        <w:autoSpaceDE/>
        <w:autoSpaceDN/>
        <w:bidi w:val="0"/>
        <w:adjustRightInd/>
        <w:snapToGrid/>
        <w:spacing w:line="360" w:lineRule="auto"/>
        <w:ind w:firstLine="442" w:firstLineChars="200"/>
        <w:textAlignment w:val="auto"/>
        <w:rPr>
          <w:rFonts w:hint="eastAsia" w:ascii="宋体" w:hAnsi="宋体" w:eastAsia="宋体" w:cs="宋体"/>
          <w:b/>
          <w:bCs/>
          <w:color w:val="auto"/>
          <w:sz w:val="22"/>
          <w:szCs w:val="22"/>
          <w:highlight w:val="none"/>
          <w:u w:val="single"/>
          <w:lang w:val="en-US" w:eastAsia="zh-CN"/>
        </w:rPr>
      </w:pPr>
      <w:r>
        <w:rPr>
          <w:rFonts w:hint="eastAsia" w:ascii="宋体" w:hAnsi="宋体" w:eastAsia="宋体" w:cs="宋体"/>
          <w:b/>
          <w:bCs/>
          <w:color w:val="auto"/>
          <w:sz w:val="22"/>
          <w:szCs w:val="22"/>
          <w:highlight w:val="none"/>
          <w:u w:val="single"/>
          <w:lang w:val="en-US" w:eastAsia="zh-CN"/>
        </w:rPr>
        <w:t>专职调解员，共</w:t>
      </w:r>
      <w:r>
        <w:rPr>
          <w:rFonts w:hint="eastAsia" w:hAnsi="宋体" w:cs="宋体"/>
          <w:b/>
          <w:bCs/>
          <w:color w:val="auto"/>
          <w:sz w:val="22"/>
          <w:szCs w:val="22"/>
          <w:highlight w:val="none"/>
          <w:u w:val="single"/>
          <w:lang w:val="en-US" w:eastAsia="zh-CN"/>
        </w:rPr>
        <w:t>63</w:t>
      </w:r>
      <w:r>
        <w:rPr>
          <w:rFonts w:hint="eastAsia" w:ascii="宋体" w:hAnsi="宋体" w:eastAsia="宋体" w:cs="宋体"/>
          <w:b/>
          <w:bCs/>
          <w:color w:val="auto"/>
          <w:sz w:val="22"/>
          <w:szCs w:val="22"/>
          <w:highlight w:val="none"/>
          <w:u w:val="single"/>
          <w:lang w:val="en-US" w:eastAsia="zh-CN"/>
        </w:rPr>
        <w:t>人，明细如下：</w:t>
      </w:r>
    </w:p>
    <w:p w14:paraId="2E4146F5">
      <w:pPr>
        <w:pStyle w:val="28"/>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sz w:val="22"/>
          <w:szCs w:val="22"/>
          <w:highlight w:val="none"/>
          <w:u w:val="single"/>
          <w:lang w:val="en-US" w:eastAsia="zh-CN"/>
        </w:rPr>
      </w:pPr>
      <w:r>
        <w:rPr>
          <w:rFonts w:hint="eastAsia" w:ascii="宋体" w:hAnsi="宋体" w:eastAsia="宋体" w:cs="宋体"/>
          <w:color w:val="auto"/>
          <w:kern w:val="2"/>
          <w:sz w:val="22"/>
          <w:szCs w:val="22"/>
          <w:highlight w:val="none"/>
          <w:u w:val="single"/>
          <w:lang w:val="en-US" w:eastAsia="zh-CN" w:bidi="ar-SA"/>
        </w:rPr>
        <w:t>（1）</w:t>
      </w:r>
      <w:r>
        <w:rPr>
          <w:rFonts w:hint="eastAsia" w:ascii="宋体" w:hAnsi="宋体" w:eastAsia="宋体" w:cs="宋体"/>
          <w:color w:val="auto"/>
          <w:sz w:val="22"/>
          <w:szCs w:val="22"/>
          <w:highlight w:val="none"/>
          <w:u w:val="single"/>
          <w:lang w:val="en-US" w:eastAsia="zh-CN"/>
        </w:rPr>
        <w:t>法院：专职调解员</w:t>
      </w:r>
      <w:r>
        <w:rPr>
          <w:rFonts w:hint="eastAsia" w:hAnsi="宋体" w:cs="宋体"/>
          <w:color w:val="auto"/>
          <w:sz w:val="22"/>
          <w:szCs w:val="22"/>
          <w:highlight w:val="none"/>
          <w:u w:val="single"/>
          <w:lang w:val="en-US" w:eastAsia="zh-CN"/>
        </w:rPr>
        <w:t>50</w:t>
      </w:r>
      <w:r>
        <w:rPr>
          <w:rFonts w:hint="eastAsia" w:ascii="宋体" w:hAnsi="宋体" w:eastAsia="宋体" w:cs="宋体"/>
          <w:color w:val="auto"/>
          <w:sz w:val="22"/>
          <w:szCs w:val="22"/>
          <w:highlight w:val="none"/>
          <w:u w:val="single"/>
          <w:lang w:val="en-US" w:eastAsia="zh-CN"/>
        </w:rPr>
        <w:t>人，其中入驻市治理中心</w:t>
      </w:r>
      <w:r>
        <w:rPr>
          <w:rFonts w:hint="eastAsia" w:hAnsi="宋体" w:cs="宋体"/>
          <w:color w:val="auto"/>
          <w:sz w:val="22"/>
          <w:szCs w:val="22"/>
          <w:highlight w:val="none"/>
          <w:u w:val="single"/>
          <w:lang w:val="en-US" w:eastAsia="zh-CN"/>
        </w:rPr>
        <w:t>12</w:t>
      </w:r>
      <w:r>
        <w:rPr>
          <w:rFonts w:hint="eastAsia" w:ascii="宋体" w:hAnsi="宋体" w:eastAsia="宋体" w:cs="宋体"/>
          <w:color w:val="auto"/>
          <w:sz w:val="22"/>
          <w:szCs w:val="22"/>
          <w:highlight w:val="none"/>
          <w:u w:val="single"/>
          <w:lang w:val="en-US" w:eastAsia="zh-CN"/>
        </w:rPr>
        <w:t>人、</w:t>
      </w:r>
      <w:r>
        <w:rPr>
          <w:rFonts w:hint="eastAsia" w:hAnsi="宋体" w:cs="宋体"/>
          <w:color w:val="auto"/>
          <w:sz w:val="22"/>
          <w:szCs w:val="22"/>
          <w:highlight w:val="none"/>
          <w:u w:val="single"/>
          <w:lang w:val="en-US" w:eastAsia="zh-CN"/>
        </w:rPr>
        <w:t>市法院业务庭6</w:t>
      </w:r>
      <w:r>
        <w:rPr>
          <w:rFonts w:hint="eastAsia" w:ascii="宋体" w:hAnsi="宋体" w:eastAsia="宋体" w:cs="宋体"/>
          <w:color w:val="auto"/>
          <w:sz w:val="22"/>
          <w:szCs w:val="22"/>
          <w:highlight w:val="none"/>
          <w:u w:val="single"/>
          <w:lang w:val="en-US" w:eastAsia="zh-CN"/>
        </w:rPr>
        <w:t>人、</w:t>
      </w:r>
      <w:r>
        <w:rPr>
          <w:rFonts w:hint="eastAsia" w:hAnsi="宋体" w:cs="宋体"/>
          <w:color w:val="auto"/>
          <w:sz w:val="22"/>
          <w:szCs w:val="22"/>
          <w:highlight w:val="none"/>
          <w:u w:val="single"/>
          <w:lang w:val="en-US" w:eastAsia="zh-CN"/>
        </w:rPr>
        <w:t>市法院下属</w:t>
      </w:r>
      <w:r>
        <w:rPr>
          <w:rFonts w:hint="eastAsia" w:ascii="宋体" w:hAnsi="宋体" w:eastAsia="宋体" w:cs="宋体"/>
          <w:color w:val="auto"/>
          <w:sz w:val="22"/>
          <w:szCs w:val="22"/>
          <w:highlight w:val="none"/>
          <w:u w:val="single"/>
          <w:lang w:val="en-US" w:eastAsia="zh-CN"/>
        </w:rPr>
        <w:t>国际商贸城法庭</w:t>
      </w:r>
      <w:r>
        <w:rPr>
          <w:rFonts w:hint="eastAsia" w:hAnsi="宋体" w:cs="宋体"/>
          <w:color w:val="auto"/>
          <w:sz w:val="22"/>
          <w:szCs w:val="22"/>
          <w:highlight w:val="none"/>
          <w:u w:val="single"/>
          <w:lang w:val="en-US" w:eastAsia="zh-CN"/>
        </w:rPr>
        <w:t>9</w:t>
      </w:r>
      <w:r>
        <w:rPr>
          <w:rFonts w:hint="eastAsia" w:ascii="宋体" w:hAnsi="宋体" w:eastAsia="宋体" w:cs="宋体"/>
          <w:color w:val="auto"/>
          <w:sz w:val="22"/>
          <w:szCs w:val="22"/>
          <w:highlight w:val="none"/>
          <w:u w:val="single"/>
          <w:lang w:val="en-US" w:eastAsia="zh-CN"/>
        </w:rPr>
        <w:t>人、佛堂法庭</w:t>
      </w:r>
      <w:r>
        <w:rPr>
          <w:rFonts w:hint="eastAsia" w:hAnsi="宋体" w:cs="宋体"/>
          <w:color w:val="auto"/>
          <w:sz w:val="22"/>
          <w:szCs w:val="22"/>
          <w:highlight w:val="none"/>
          <w:u w:val="single"/>
          <w:lang w:val="en-US" w:eastAsia="zh-CN"/>
        </w:rPr>
        <w:t>2</w:t>
      </w:r>
      <w:r>
        <w:rPr>
          <w:rFonts w:hint="eastAsia" w:ascii="宋体" w:hAnsi="宋体" w:eastAsia="宋体" w:cs="宋体"/>
          <w:color w:val="auto"/>
          <w:sz w:val="22"/>
          <w:szCs w:val="22"/>
          <w:highlight w:val="none"/>
          <w:u w:val="single"/>
          <w:lang w:val="en-US" w:eastAsia="zh-CN"/>
        </w:rPr>
        <w:t>人、上溪法庭</w:t>
      </w:r>
      <w:r>
        <w:rPr>
          <w:rFonts w:hint="eastAsia" w:hAnsi="宋体" w:cs="宋体"/>
          <w:color w:val="auto"/>
          <w:sz w:val="22"/>
          <w:szCs w:val="22"/>
          <w:highlight w:val="none"/>
          <w:u w:val="single"/>
          <w:lang w:val="en-US" w:eastAsia="zh-CN"/>
        </w:rPr>
        <w:t>3</w:t>
      </w:r>
      <w:r>
        <w:rPr>
          <w:rFonts w:hint="eastAsia" w:ascii="宋体" w:hAnsi="宋体" w:eastAsia="宋体" w:cs="宋体"/>
          <w:color w:val="auto"/>
          <w:sz w:val="22"/>
          <w:szCs w:val="22"/>
          <w:highlight w:val="none"/>
          <w:u w:val="single"/>
          <w:lang w:val="en-US" w:eastAsia="zh-CN"/>
        </w:rPr>
        <w:t>人、苏溪法庭</w:t>
      </w:r>
      <w:r>
        <w:rPr>
          <w:rFonts w:hint="eastAsia" w:hAnsi="宋体" w:cs="宋体"/>
          <w:color w:val="auto"/>
          <w:sz w:val="22"/>
          <w:szCs w:val="22"/>
          <w:highlight w:val="none"/>
          <w:u w:val="single"/>
          <w:lang w:val="en-US" w:eastAsia="zh-CN"/>
        </w:rPr>
        <w:t>3</w:t>
      </w:r>
      <w:r>
        <w:rPr>
          <w:rFonts w:hint="eastAsia" w:ascii="宋体" w:hAnsi="宋体" w:eastAsia="宋体" w:cs="宋体"/>
          <w:color w:val="auto"/>
          <w:sz w:val="22"/>
          <w:szCs w:val="22"/>
          <w:highlight w:val="none"/>
          <w:u w:val="single"/>
          <w:lang w:val="en-US" w:eastAsia="zh-CN"/>
        </w:rPr>
        <w:t>人、廿三里法庭</w:t>
      </w:r>
      <w:r>
        <w:rPr>
          <w:rFonts w:hint="eastAsia" w:hAnsi="宋体" w:cs="宋体"/>
          <w:color w:val="auto"/>
          <w:sz w:val="22"/>
          <w:szCs w:val="22"/>
          <w:highlight w:val="none"/>
          <w:u w:val="single"/>
          <w:lang w:val="en-US" w:eastAsia="zh-CN"/>
        </w:rPr>
        <w:t>3</w:t>
      </w:r>
      <w:r>
        <w:rPr>
          <w:rFonts w:hint="eastAsia" w:ascii="宋体" w:hAnsi="宋体" w:eastAsia="宋体" w:cs="宋体"/>
          <w:color w:val="auto"/>
          <w:sz w:val="22"/>
          <w:szCs w:val="22"/>
          <w:highlight w:val="none"/>
          <w:u w:val="single"/>
          <w:lang w:val="en-US" w:eastAsia="zh-CN"/>
        </w:rPr>
        <w:t>人</w:t>
      </w:r>
      <w:r>
        <w:rPr>
          <w:rFonts w:hint="eastAsia" w:hAnsi="宋体" w:cs="宋体"/>
          <w:color w:val="auto"/>
          <w:sz w:val="22"/>
          <w:szCs w:val="22"/>
          <w:highlight w:val="none"/>
          <w:u w:val="single"/>
          <w:lang w:val="en-US" w:eastAsia="zh-CN"/>
        </w:rPr>
        <w:t>、知识产权庭12</w:t>
      </w:r>
      <w:r>
        <w:rPr>
          <w:rFonts w:hint="eastAsia" w:ascii="宋体" w:hAnsi="宋体" w:eastAsia="宋体" w:cs="宋体"/>
          <w:color w:val="auto"/>
          <w:sz w:val="22"/>
          <w:szCs w:val="22"/>
          <w:highlight w:val="none"/>
          <w:u w:val="single"/>
          <w:lang w:val="en-US" w:eastAsia="zh-CN"/>
        </w:rPr>
        <w:t>人</w:t>
      </w:r>
      <w:r>
        <w:rPr>
          <w:rFonts w:hint="eastAsia" w:hAnsi="宋体" w:cs="宋体"/>
          <w:color w:val="auto"/>
          <w:sz w:val="22"/>
          <w:szCs w:val="22"/>
          <w:highlight w:val="none"/>
          <w:u w:val="single"/>
          <w:lang w:val="en-US" w:eastAsia="zh-CN"/>
        </w:rPr>
        <w:t>；</w:t>
      </w:r>
    </w:p>
    <w:p w14:paraId="38F96E37">
      <w:pPr>
        <w:pStyle w:val="28"/>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sz w:val="22"/>
          <w:szCs w:val="22"/>
          <w:highlight w:val="none"/>
          <w:u w:val="single"/>
          <w:lang w:val="en-US" w:eastAsia="zh-CN"/>
        </w:rPr>
      </w:pPr>
      <w:r>
        <w:rPr>
          <w:rFonts w:hint="eastAsia" w:ascii="宋体" w:hAnsi="宋体" w:eastAsia="宋体" w:cs="宋体"/>
          <w:color w:val="auto"/>
          <w:kern w:val="2"/>
          <w:sz w:val="22"/>
          <w:szCs w:val="22"/>
          <w:highlight w:val="none"/>
          <w:u w:val="single"/>
          <w:lang w:val="en-US" w:eastAsia="zh-CN" w:bidi="ar-SA"/>
        </w:rPr>
        <w:t>（2）</w:t>
      </w:r>
      <w:r>
        <w:rPr>
          <w:rFonts w:hint="eastAsia" w:ascii="宋体" w:hAnsi="宋体" w:eastAsia="宋体" w:cs="宋体"/>
          <w:color w:val="auto"/>
          <w:sz w:val="22"/>
          <w:szCs w:val="22"/>
          <w:highlight w:val="none"/>
          <w:u w:val="single"/>
          <w:lang w:val="en-US" w:eastAsia="zh-CN"/>
        </w:rPr>
        <w:t>婚姻家庭纠纷：专职调解员1人，主要调解婚姻、家庭纠纷；</w:t>
      </w:r>
    </w:p>
    <w:p w14:paraId="00EF16BE">
      <w:pPr>
        <w:pStyle w:val="28"/>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hAnsi="宋体" w:cs="宋体"/>
          <w:color w:val="auto"/>
          <w:sz w:val="22"/>
          <w:szCs w:val="22"/>
          <w:highlight w:val="none"/>
          <w:u w:val="single"/>
          <w:lang w:val="en-US" w:eastAsia="zh-CN"/>
        </w:rPr>
      </w:pPr>
      <w:r>
        <w:rPr>
          <w:rFonts w:hint="eastAsia" w:ascii="宋体" w:hAnsi="宋体" w:eastAsia="宋体" w:cs="宋体"/>
          <w:color w:val="auto"/>
          <w:kern w:val="2"/>
          <w:sz w:val="22"/>
          <w:szCs w:val="22"/>
          <w:highlight w:val="none"/>
          <w:u w:val="single"/>
          <w:lang w:val="en-US" w:eastAsia="zh-CN" w:bidi="ar-SA"/>
        </w:rPr>
        <w:t>（3）</w:t>
      </w:r>
      <w:r>
        <w:rPr>
          <w:rFonts w:hint="eastAsia" w:ascii="宋体" w:hAnsi="宋体" w:eastAsia="宋体" w:cs="宋体"/>
          <w:color w:val="auto"/>
          <w:sz w:val="22"/>
          <w:szCs w:val="22"/>
          <w:highlight w:val="none"/>
          <w:u w:val="single"/>
          <w:lang w:val="en-US" w:eastAsia="zh-CN"/>
        </w:rPr>
        <w:t>老娘舅：</w:t>
      </w:r>
      <w:r>
        <w:rPr>
          <w:rFonts w:hint="eastAsia" w:hAnsi="宋体" w:cs="宋体"/>
          <w:color w:val="auto"/>
          <w:sz w:val="22"/>
          <w:szCs w:val="22"/>
          <w:highlight w:val="none"/>
          <w:u w:val="single"/>
          <w:lang w:val="en-US" w:eastAsia="zh-CN"/>
        </w:rPr>
        <w:t>1</w:t>
      </w:r>
      <w:r>
        <w:rPr>
          <w:rFonts w:hint="eastAsia" w:ascii="宋体" w:hAnsi="宋体" w:eastAsia="宋体" w:cs="宋体"/>
          <w:color w:val="auto"/>
          <w:sz w:val="22"/>
          <w:szCs w:val="22"/>
          <w:highlight w:val="none"/>
          <w:u w:val="single"/>
          <w:lang w:val="en-US" w:eastAsia="zh-CN"/>
        </w:rPr>
        <w:t>人</w:t>
      </w:r>
      <w:r>
        <w:rPr>
          <w:rFonts w:hint="eastAsia" w:hAnsi="宋体" w:cs="宋体"/>
          <w:color w:val="auto"/>
          <w:sz w:val="22"/>
          <w:szCs w:val="22"/>
          <w:highlight w:val="none"/>
          <w:u w:val="single"/>
          <w:lang w:val="en-US" w:eastAsia="zh-CN"/>
        </w:rPr>
        <w:t>；</w:t>
      </w:r>
    </w:p>
    <w:p w14:paraId="0F856565">
      <w:pPr>
        <w:pStyle w:val="28"/>
        <w:keepNext w:val="0"/>
        <w:keepLines w:val="0"/>
        <w:pageBreakBefore w:val="0"/>
        <w:numPr>
          <w:ilvl w:val="0"/>
          <w:numId w:val="0"/>
        </w:numPr>
        <w:kinsoku/>
        <w:wordWrap/>
        <w:overflowPunct/>
        <w:topLinePunct w:val="0"/>
        <w:autoSpaceDE/>
        <w:autoSpaceDN/>
        <w:bidi w:val="0"/>
        <w:adjustRightInd/>
        <w:snapToGrid/>
        <w:spacing w:line="360" w:lineRule="auto"/>
        <w:ind w:firstLine="440" w:firstLineChars="200"/>
        <w:textAlignment w:val="auto"/>
        <w:rPr>
          <w:rFonts w:hint="eastAsia" w:hAnsi="宋体" w:cs="宋体"/>
          <w:color w:val="auto"/>
          <w:sz w:val="22"/>
          <w:szCs w:val="22"/>
          <w:highlight w:val="none"/>
          <w:u w:val="single"/>
          <w:lang w:val="en-US" w:eastAsia="zh-CN"/>
        </w:rPr>
      </w:pPr>
      <w:r>
        <w:rPr>
          <w:rFonts w:hint="eastAsia" w:ascii="宋体" w:hAnsi="宋体" w:eastAsia="宋体" w:cs="宋体"/>
          <w:color w:val="auto"/>
          <w:kern w:val="2"/>
          <w:sz w:val="22"/>
          <w:szCs w:val="22"/>
          <w:highlight w:val="none"/>
          <w:u w:val="single"/>
          <w:lang w:val="en-US" w:eastAsia="zh-CN" w:bidi="ar-SA"/>
        </w:rPr>
        <w:t>（4）</w:t>
      </w:r>
      <w:r>
        <w:rPr>
          <w:rFonts w:hint="eastAsia" w:hAnsi="宋体" w:cs="宋体"/>
          <w:color w:val="auto"/>
          <w:sz w:val="22"/>
          <w:szCs w:val="22"/>
          <w:highlight w:val="none"/>
          <w:u w:val="single"/>
          <w:lang w:val="en-US" w:eastAsia="zh-CN"/>
        </w:rPr>
        <w:t>劳动</w:t>
      </w:r>
      <w:r>
        <w:rPr>
          <w:rFonts w:hint="eastAsia" w:ascii="宋体" w:hAnsi="宋体" w:eastAsia="宋体" w:cs="宋体"/>
          <w:color w:val="auto"/>
          <w:sz w:val="22"/>
          <w:szCs w:val="22"/>
          <w:highlight w:val="none"/>
          <w:u w:val="single"/>
          <w:lang w:val="en-US" w:eastAsia="zh-CN"/>
        </w:rPr>
        <w:t>争议：调解员</w:t>
      </w:r>
      <w:r>
        <w:rPr>
          <w:rFonts w:hint="eastAsia" w:hAnsi="宋体" w:cs="宋体"/>
          <w:color w:val="auto"/>
          <w:sz w:val="22"/>
          <w:szCs w:val="22"/>
          <w:highlight w:val="none"/>
          <w:u w:val="single"/>
          <w:lang w:val="en-US" w:eastAsia="zh-CN"/>
        </w:rPr>
        <w:t>8</w:t>
      </w:r>
      <w:r>
        <w:rPr>
          <w:rFonts w:hint="eastAsia" w:ascii="宋体" w:hAnsi="宋体" w:eastAsia="宋体" w:cs="宋体"/>
          <w:color w:val="auto"/>
          <w:sz w:val="22"/>
          <w:szCs w:val="22"/>
          <w:highlight w:val="none"/>
          <w:u w:val="single"/>
          <w:lang w:val="en-US" w:eastAsia="zh-CN"/>
        </w:rPr>
        <w:t>人</w:t>
      </w:r>
      <w:r>
        <w:rPr>
          <w:rFonts w:hint="eastAsia" w:hAnsi="宋体" w:cs="宋体"/>
          <w:color w:val="auto"/>
          <w:sz w:val="22"/>
          <w:szCs w:val="22"/>
          <w:highlight w:val="none"/>
          <w:u w:val="single"/>
          <w:lang w:val="en-US" w:eastAsia="zh-CN"/>
        </w:rPr>
        <w:t>；</w:t>
      </w:r>
    </w:p>
    <w:p w14:paraId="3030AAE8">
      <w:pPr>
        <w:pStyle w:val="28"/>
        <w:keepNext w:val="0"/>
        <w:keepLines w:val="0"/>
        <w:pageBreakBefore w:val="0"/>
        <w:numPr>
          <w:ilvl w:val="0"/>
          <w:numId w:val="0"/>
        </w:numPr>
        <w:kinsoku/>
        <w:wordWrap/>
        <w:overflowPunct/>
        <w:topLinePunct w:val="0"/>
        <w:autoSpaceDE/>
        <w:autoSpaceDN/>
        <w:bidi w:val="0"/>
        <w:adjustRightInd/>
        <w:snapToGrid/>
        <w:spacing w:line="360" w:lineRule="auto"/>
        <w:ind w:firstLine="440" w:firstLineChars="200"/>
        <w:textAlignment w:val="auto"/>
        <w:rPr>
          <w:rFonts w:hint="eastAsia" w:hAnsi="宋体" w:cs="宋体"/>
          <w:color w:val="auto"/>
          <w:sz w:val="22"/>
          <w:szCs w:val="22"/>
          <w:highlight w:val="none"/>
          <w:u w:val="single"/>
          <w:lang w:val="en-US" w:eastAsia="zh-CN"/>
        </w:rPr>
      </w:pPr>
      <w:r>
        <w:rPr>
          <w:rFonts w:hint="eastAsia" w:ascii="宋体" w:hAnsi="宋体" w:eastAsia="宋体" w:cs="宋体"/>
          <w:color w:val="auto"/>
          <w:kern w:val="2"/>
          <w:sz w:val="22"/>
          <w:szCs w:val="22"/>
          <w:highlight w:val="none"/>
          <w:u w:val="single"/>
          <w:lang w:val="en-US" w:eastAsia="zh-CN" w:bidi="ar-SA"/>
        </w:rPr>
        <w:t>（</w:t>
      </w:r>
      <w:r>
        <w:rPr>
          <w:rFonts w:hint="eastAsia" w:hAnsi="宋体" w:cs="宋体"/>
          <w:color w:val="auto"/>
          <w:kern w:val="2"/>
          <w:sz w:val="22"/>
          <w:szCs w:val="22"/>
          <w:highlight w:val="none"/>
          <w:u w:val="single"/>
          <w:lang w:val="en-US" w:eastAsia="zh-CN" w:bidi="ar-SA"/>
        </w:rPr>
        <w:t>5</w:t>
      </w:r>
      <w:r>
        <w:rPr>
          <w:rFonts w:hint="eastAsia" w:ascii="宋体" w:hAnsi="宋体" w:eastAsia="宋体" w:cs="宋体"/>
          <w:color w:val="auto"/>
          <w:kern w:val="2"/>
          <w:sz w:val="22"/>
          <w:szCs w:val="22"/>
          <w:highlight w:val="none"/>
          <w:u w:val="single"/>
          <w:lang w:val="en-US" w:eastAsia="zh-CN" w:bidi="ar-SA"/>
        </w:rPr>
        <w:t>）</w:t>
      </w:r>
      <w:r>
        <w:rPr>
          <w:rFonts w:hint="eastAsia" w:hAnsi="宋体" w:cs="宋体"/>
          <w:color w:val="auto"/>
          <w:sz w:val="22"/>
          <w:szCs w:val="22"/>
          <w:highlight w:val="none"/>
          <w:u w:val="single"/>
          <w:lang w:val="en-US" w:eastAsia="zh-CN"/>
        </w:rPr>
        <w:t>人民调解</w:t>
      </w:r>
      <w:r>
        <w:rPr>
          <w:rFonts w:hint="eastAsia" w:ascii="宋体" w:hAnsi="宋体" w:eastAsia="宋体" w:cs="宋体"/>
          <w:color w:val="auto"/>
          <w:sz w:val="22"/>
          <w:szCs w:val="22"/>
          <w:highlight w:val="none"/>
          <w:u w:val="single"/>
          <w:lang w:val="en-US" w:eastAsia="zh-CN"/>
        </w:rPr>
        <w:t>：调解员</w:t>
      </w:r>
      <w:r>
        <w:rPr>
          <w:rFonts w:hint="eastAsia" w:hAnsi="宋体" w:cs="宋体"/>
          <w:color w:val="auto"/>
          <w:sz w:val="22"/>
          <w:szCs w:val="22"/>
          <w:highlight w:val="none"/>
          <w:u w:val="single"/>
          <w:lang w:val="en-US" w:eastAsia="zh-CN"/>
        </w:rPr>
        <w:t>2</w:t>
      </w:r>
      <w:r>
        <w:rPr>
          <w:rFonts w:hint="eastAsia" w:ascii="宋体" w:hAnsi="宋体" w:eastAsia="宋体" w:cs="宋体"/>
          <w:color w:val="auto"/>
          <w:sz w:val="22"/>
          <w:szCs w:val="22"/>
          <w:highlight w:val="none"/>
          <w:u w:val="single"/>
          <w:lang w:val="en-US" w:eastAsia="zh-CN"/>
        </w:rPr>
        <w:t>人</w:t>
      </w:r>
      <w:r>
        <w:rPr>
          <w:rFonts w:hint="eastAsia" w:hAnsi="宋体" w:cs="宋体"/>
          <w:color w:val="auto"/>
          <w:sz w:val="22"/>
          <w:szCs w:val="22"/>
          <w:highlight w:val="none"/>
          <w:u w:val="single"/>
          <w:lang w:val="en-US" w:eastAsia="zh-CN"/>
        </w:rPr>
        <w:t>；</w:t>
      </w:r>
    </w:p>
    <w:p w14:paraId="6089E5E2">
      <w:pPr>
        <w:pStyle w:val="28"/>
        <w:keepNext w:val="0"/>
        <w:keepLines w:val="0"/>
        <w:pageBreakBefore w:val="0"/>
        <w:numPr>
          <w:ilvl w:val="0"/>
          <w:numId w:val="0"/>
        </w:numPr>
        <w:kinsoku/>
        <w:wordWrap/>
        <w:overflowPunct/>
        <w:topLinePunct w:val="0"/>
        <w:autoSpaceDE/>
        <w:autoSpaceDN/>
        <w:bidi w:val="0"/>
        <w:adjustRightInd/>
        <w:snapToGrid/>
        <w:spacing w:line="360" w:lineRule="auto"/>
        <w:ind w:firstLine="440" w:firstLineChars="200"/>
        <w:textAlignment w:val="auto"/>
        <w:rPr>
          <w:rFonts w:hint="eastAsia"/>
          <w:color w:val="auto"/>
          <w:highlight w:val="none"/>
          <w:lang w:val="en-US" w:eastAsia="zh-CN"/>
        </w:rPr>
      </w:pPr>
      <w:r>
        <w:rPr>
          <w:rFonts w:hint="eastAsia" w:ascii="宋体" w:hAnsi="宋体" w:eastAsia="宋体" w:cs="宋体"/>
          <w:color w:val="auto"/>
          <w:kern w:val="2"/>
          <w:sz w:val="22"/>
          <w:szCs w:val="22"/>
          <w:highlight w:val="none"/>
          <w:u w:val="single"/>
          <w:lang w:val="en-US" w:eastAsia="zh-CN" w:bidi="ar-SA"/>
        </w:rPr>
        <w:t>（</w:t>
      </w:r>
      <w:r>
        <w:rPr>
          <w:rFonts w:hint="eastAsia" w:hAnsi="宋体" w:cs="宋体"/>
          <w:color w:val="auto"/>
          <w:kern w:val="2"/>
          <w:sz w:val="22"/>
          <w:szCs w:val="22"/>
          <w:highlight w:val="none"/>
          <w:u w:val="single"/>
          <w:lang w:val="en-US" w:eastAsia="zh-CN" w:bidi="ar-SA"/>
        </w:rPr>
        <w:t>6</w:t>
      </w:r>
      <w:r>
        <w:rPr>
          <w:rFonts w:hint="eastAsia" w:ascii="宋体" w:hAnsi="宋体" w:eastAsia="宋体" w:cs="宋体"/>
          <w:color w:val="auto"/>
          <w:kern w:val="2"/>
          <w:sz w:val="22"/>
          <w:szCs w:val="22"/>
          <w:highlight w:val="none"/>
          <w:u w:val="single"/>
          <w:lang w:val="en-US" w:eastAsia="zh-CN" w:bidi="ar-SA"/>
        </w:rPr>
        <w:t>）</w:t>
      </w:r>
      <w:r>
        <w:rPr>
          <w:rFonts w:hint="eastAsia" w:ascii="宋体" w:hAnsi="宋体" w:eastAsia="宋体" w:cs="宋体"/>
          <w:color w:val="auto"/>
          <w:sz w:val="22"/>
          <w:szCs w:val="22"/>
          <w:highlight w:val="none"/>
          <w:u w:val="single"/>
          <w:lang w:val="en-US" w:eastAsia="zh-CN"/>
        </w:rPr>
        <w:t>行政争议：调解员</w:t>
      </w:r>
      <w:r>
        <w:rPr>
          <w:rFonts w:hint="eastAsia" w:hAnsi="宋体" w:cs="宋体"/>
          <w:color w:val="auto"/>
          <w:sz w:val="22"/>
          <w:szCs w:val="22"/>
          <w:highlight w:val="none"/>
          <w:u w:val="single"/>
          <w:lang w:val="en-US" w:eastAsia="zh-CN"/>
        </w:rPr>
        <w:t>1</w:t>
      </w:r>
      <w:r>
        <w:rPr>
          <w:rFonts w:hint="eastAsia" w:ascii="宋体" w:hAnsi="宋体" w:eastAsia="宋体" w:cs="宋体"/>
          <w:color w:val="auto"/>
          <w:sz w:val="22"/>
          <w:szCs w:val="22"/>
          <w:highlight w:val="none"/>
          <w:u w:val="single"/>
          <w:lang w:val="en-US" w:eastAsia="zh-CN"/>
        </w:rPr>
        <w:t>人</w:t>
      </w:r>
      <w:r>
        <w:rPr>
          <w:rFonts w:hint="eastAsia" w:hAnsi="宋体" w:cs="宋体"/>
          <w:color w:val="auto"/>
          <w:sz w:val="22"/>
          <w:szCs w:val="22"/>
          <w:highlight w:val="none"/>
          <w:u w:val="single"/>
          <w:lang w:val="en-US" w:eastAsia="zh-CN"/>
        </w:rPr>
        <w:t>；</w:t>
      </w:r>
    </w:p>
    <w:p w14:paraId="722A2A1B">
      <w:pPr>
        <w:pStyle w:val="28"/>
        <w:keepNext w:val="0"/>
        <w:keepLines w:val="0"/>
        <w:pageBreakBefore w:val="0"/>
        <w:numPr>
          <w:ilvl w:val="0"/>
          <w:numId w:val="0"/>
        </w:numPr>
        <w:kinsoku/>
        <w:wordWrap/>
        <w:overflowPunct/>
        <w:topLinePunct w:val="0"/>
        <w:autoSpaceDE/>
        <w:autoSpaceDN/>
        <w:bidi w:val="0"/>
        <w:adjustRightInd/>
        <w:snapToGrid/>
        <w:spacing w:line="360" w:lineRule="auto"/>
        <w:ind w:firstLine="442" w:firstLineChars="200"/>
        <w:textAlignment w:val="auto"/>
        <w:rPr>
          <w:rFonts w:hint="eastAsia" w:ascii="宋体" w:hAnsi="宋体" w:eastAsia="宋体" w:cs="宋体"/>
          <w:b/>
          <w:bCs/>
          <w:color w:val="auto"/>
          <w:sz w:val="22"/>
          <w:szCs w:val="22"/>
          <w:highlight w:val="none"/>
          <w:u w:val="single"/>
          <w:lang w:val="en-US" w:eastAsia="zh-CN"/>
        </w:rPr>
      </w:pPr>
      <w:r>
        <w:rPr>
          <w:rFonts w:hint="eastAsia" w:ascii="宋体" w:hAnsi="宋体" w:eastAsia="宋体" w:cs="宋体"/>
          <w:b/>
          <w:bCs/>
          <w:color w:val="auto"/>
          <w:sz w:val="22"/>
          <w:szCs w:val="22"/>
          <w:highlight w:val="none"/>
          <w:u w:val="single"/>
          <w:lang w:val="en-US" w:eastAsia="zh-CN"/>
        </w:rPr>
        <w:t>特邀调解员，共</w:t>
      </w:r>
      <w:r>
        <w:rPr>
          <w:rFonts w:hint="eastAsia" w:hAnsi="宋体" w:cs="宋体"/>
          <w:b/>
          <w:bCs/>
          <w:color w:val="auto"/>
          <w:sz w:val="22"/>
          <w:szCs w:val="22"/>
          <w:highlight w:val="none"/>
          <w:u w:val="single"/>
          <w:lang w:val="en-US" w:eastAsia="zh-CN"/>
        </w:rPr>
        <w:t>4</w:t>
      </w:r>
      <w:r>
        <w:rPr>
          <w:rFonts w:hint="eastAsia" w:ascii="宋体" w:hAnsi="宋体" w:eastAsia="宋体" w:cs="宋体"/>
          <w:b/>
          <w:bCs/>
          <w:color w:val="auto"/>
          <w:sz w:val="22"/>
          <w:szCs w:val="22"/>
          <w:highlight w:val="none"/>
          <w:u w:val="single"/>
          <w:lang w:val="en-US" w:eastAsia="zh-CN"/>
        </w:rPr>
        <w:t>人，明细如下：</w:t>
      </w:r>
    </w:p>
    <w:p w14:paraId="7603F60D">
      <w:pPr>
        <w:pStyle w:val="28"/>
        <w:keepNext w:val="0"/>
        <w:keepLines w:val="0"/>
        <w:pageBreakBefore w:val="0"/>
        <w:numPr>
          <w:ilvl w:val="0"/>
          <w:numId w:val="0"/>
        </w:numPr>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u w:val="single"/>
          <w:lang w:val="en-US" w:eastAsia="zh-CN"/>
        </w:rPr>
      </w:pPr>
      <w:r>
        <w:rPr>
          <w:rFonts w:hint="eastAsia" w:ascii="宋体" w:hAnsi="宋体" w:eastAsia="宋体" w:cs="宋体"/>
          <w:color w:val="auto"/>
          <w:kern w:val="2"/>
          <w:sz w:val="22"/>
          <w:szCs w:val="22"/>
          <w:highlight w:val="none"/>
          <w:u w:val="single"/>
          <w:lang w:val="en-US" w:eastAsia="zh-CN" w:bidi="ar-SA"/>
        </w:rPr>
        <w:t>（1）</w:t>
      </w:r>
      <w:r>
        <w:rPr>
          <w:rFonts w:hint="eastAsia" w:ascii="宋体" w:hAnsi="宋体" w:eastAsia="宋体" w:cs="宋体"/>
          <w:color w:val="auto"/>
          <w:sz w:val="22"/>
          <w:szCs w:val="22"/>
          <w:highlight w:val="none"/>
          <w:u w:val="single"/>
          <w:lang w:val="en-US" w:eastAsia="zh-CN"/>
        </w:rPr>
        <w:t>金融纠纷：特邀调解员2人，主要调解金融借款合同纠纷和10万元及以上的信用卡纠纷；</w:t>
      </w:r>
    </w:p>
    <w:p w14:paraId="4CD76F2C">
      <w:pPr>
        <w:pStyle w:val="28"/>
        <w:keepNext w:val="0"/>
        <w:keepLines w:val="0"/>
        <w:pageBreakBefore w:val="0"/>
        <w:numPr>
          <w:ilvl w:val="0"/>
          <w:numId w:val="0"/>
        </w:numPr>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u w:val="single"/>
          <w:lang w:val="en-US" w:eastAsia="zh-CN"/>
        </w:rPr>
      </w:pPr>
      <w:r>
        <w:rPr>
          <w:rFonts w:hint="eastAsia" w:ascii="宋体" w:hAnsi="宋体" w:eastAsia="宋体" w:cs="宋体"/>
          <w:color w:val="auto"/>
          <w:kern w:val="2"/>
          <w:sz w:val="22"/>
          <w:szCs w:val="22"/>
          <w:highlight w:val="none"/>
          <w:u w:val="single"/>
          <w:lang w:val="en-US" w:eastAsia="zh-CN" w:bidi="ar-SA"/>
        </w:rPr>
        <w:t>（2）</w:t>
      </w:r>
      <w:r>
        <w:rPr>
          <w:rFonts w:hint="eastAsia" w:ascii="宋体" w:hAnsi="宋体" w:eastAsia="宋体" w:cs="宋体"/>
          <w:color w:val="auto"/>
          <w:sz w:val="22"/>
          <w:szCs w:val="22"/>
          <w:highlight w:val="none"/>
          <w:u w:val="single"/>
          <w:lang w:val="en-US" w:eastAsia="zh-CN"/>
        </w:rPr>
        <w:t>物业纠纷：调解员</w:t>
      </w:r>
      <w:r>
        <w:rPr>
          <w:rFonts w:hint="eastAsia" w:hAnsi="宋体" w:cs="宋体"/>
          <w:color w:val="auto"/>
          <w:sz w:val="22"/>
          <w:szCs w:val="22"/>
          <w:highlight w:val="none"/>
          <w:u w:val="single"/>
          <w:lang w:val="en-US" w:eastAsia="zh-CN"/>
        </w:rPr>
        <w:t>1</w:t>
      </w:r>
      <w:r>
        <w:rPr>
          <w:rFonts w:hint="eastAsia" w:ascii="宋体" w:hAnsi="宋体" w:eastAsia="宋体" w:cs="宋体"/>
          <w:color w:val="auto"/>
          <w:sz w:val="22"/>
          <w:szCs w:val="22"/>
          <w:highlight w:val="none"/>
          <w:u w:val="single"/>
          <w:lang w:val="en-US" w:eastAsia="zh-CN"/>
        </w:rPr>
        <w:t>人，主要调解物业纠纷；</w:t>
      </w:r>
    </w:p>
    <w:p w14:paraId="25DA5D97">
      <w:pPr>
        <w:pStyle w:val="28"/>
        <w:keepNext w:val="0"/>
        <w:keepLines w:val="0"/>
        <w:pageBreakBefore w:val="0"/>
        <w:numPr>
          <w:ilvl w:val="0"/>
          <w:numId w:val="0"/>
        </w:numPr>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u w:val="single"/>
          <w:lang w:val="en-US" w:eastAsia="zh-CN"/>
        </w:rPr>
      </w:pPr>
      <w:r>
        <w:rPr>
          <w:rFonts w:hint="eastAsia" w:ascii="宋体" w:hAnsi="宋体" w:eastAsia="宋体" w:cs="宋体"/>
          <w:color w:val="auto"/>
          <w:kern w:val="2"/>
          <w:sz w:val="22"/>
          <w:szCs w:val="22"/>
          <w:highlight w:val="none"/>
          <w:u w:val="single"/>
          <w:lang w:val="en-US" w:eastAsia="zh-CN" w:bidi="ar-SA"/>
        </w:rPr>
        <w:t>（3）</w:t>
      </w:r>
      <w:r>
        <w:rPr>
          <w:rFonts w:hint="eastAsia" w:hAnsi="宋体" w:cs="宋体"/>
          <w:color w:val="auto"/>
          <w:kern w:val="2"/>
          <w:sz w:val="22"/>
          <w:szCs w:val="22"/>
          <w:highlight w:val="none"/>
          <w:u w:val="single"/>
          <w:lang w:val="en-US" w:eastAsia="zh-CN" w:bidi="ar-SA"/>
        </w:rPr>
        <w:t>法院：</w:t>
      </w:r>
      <w:r>
        <w:rPr>
          <w:rFonts w:hint="eastAsia" w:ascii="宋体" w:hAnsi="宋体" w:eastAsia="宋体" w:cs="宋体"/>
          <w:color w:val="auto"/>
          <w:sz w:val="22"/>
          <w:szCs w:val="22"/>
          <w:highlight w:val="none"/>
          <w:u w:val="single"/>
          <w:lang w:val="en-US" w:eastAsia="zh-CN"/>
        </w:rPr>
        <w:t>特邀调解员1人；</w:t>
      </w:r>
    </w:p>
    <w:p w14:paraId="25DC83C6">
      <w:pPr>
        <w:pStyle w:val="28"/>
        <w:keepNext w:val="0"/>
        <w:keepLines w:val="0"/>
        <w:pageBreakBefore w:val="0"/>
        <w:numPr>
          <w:ilvl w:val="0"/>
          <w:numId w:val="0"/>
        </w:numPr>
        <w:kinsoku/>
        <w:wordWrap/>
        <w:overflowPunct/>
        <w:topLinePunct w:val="0"/>
        <w:autoSpaceDE/>
        <w:autoSpaceDN/>
        <w:bidi w:val="0"/>
        <w:adjustRightInd/>
        <w:snapToGrid/>
        <w:spacing w:line="360" w:lineRule="auto"/>
        <w:ind w:firstLine="442"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b/>
          <w:bCs/>
          <w:strike w:val="0"/>
          <w:dstrike w:val="0"/>
          <w:color w:val="auto"/>
          <w:sz w:val="22"/>
          <w:szCs w:val="22"/>
          <w:highlight w:val="none"/>
          <w:lang w:val="en-US" w:eastAsia="zh-CN"/>
        </w:rPr>
        <w:t>上述专职、特邀调解员数量根据法院、人社、治理中心需要随时调整。</w:t>
      </w:r>
    </w:p>
    <w:p w14:paraId="4F96DC39">
      <w:pPr>
        <w:pStyle w:val="6"/>
        <w:pageBreakBefore w:val="0"/>
        <w:kinsoku/>
        <w:wordWrap/>
        <w:overflowPunct/>
        <w:topLinePunct w:val="0"/>
        <w:autoSpaceDE/>
        <w:autoSpaceDN/>
        <w:bidi w:val="0"/>
        <w:adjustRightInd/>
        <w:snapToGrid/>
        <w:spacing w:before="0" w:beforeLines="0" w:after="0" w:afterLines="0" w:line="336" w:lineRule="auto"/>
        <w:textAlignment w:val="auto"/>
        <w:rPr>
          <w:rFonts w:hint="eastAsia" w:ascii="宋体" w:hAnsi="宋体" w:eastAsia="宋体" w:cs="宋体"/>
          <w:color w:val="auto"/>
          <w:sz w:val="22"/>
          <w:szCs w:val="22"/>
          <w:highlight w:val="none"/>
        </w:rPr>
      </w:pPr>
      <w:bookmarkStart w:id="31" w:name="_Toc11787"/>
      <w:bookmarkStart w:id="32" w:name="_Toc3522"/>
      <w:r>
        <w:rPr>
          <w:rFonts w:hint="eastAsia" w:ascii="宋体" w:hAnsi="宋体" w:eastAsia="宋体" w:cs="宋体"/>
          <w:color w:val="auto"/>
          <w:sz w:val="22"/>
          <w:szCs w:val="22"/>
          <w:highlight w:val="none"/>
          <w:lang w:val="en-US" w:eastAsia="zh-CN"/>
        </w:rPr>
        <w:t>二、</w:t>
      </w:r>
      <w:r>
        <w:rPr>
          <w:rFonts w:hint="eastAsia" w:ascii="宋体" w:hAnsi="宋体" w:eastAsia="宋体" w:cs="宋体"/>
          <w:color w:val="auto"/>
          <w:sz w:val="22"/>
          <w:szCs w:val="22"/>
          <w:highlight w:val="none"/>
        </w:rPr>
        <w:t>项目服务内容</w:t>
      </w:r>
      <w:bookmarkEnd w:id="31"/>
      <w:bookmarkEnd w:id="32"/>
    </w:p>
    <w:p w14:paraId="60CB32FF">
      <w:pPr>
        <w:keepNext w:val="0"/>
        <w:keepLines w:val="0"/>
        <w:pageBreakBefore w:val="0"/>
        <w:numPr>
          <w:ilvl w:val="0"/>
          <w:numId w:val="0"/>
        </w:numPr>
        <w:kinsoku/>
        <w:wordWrap/>
        <w:overflowPunct/>
        <w:topLinePunct w:val="0"/>
        <w:autoSpaceDE/>
        <w:autoSpaceDN/>
        <w:bidi w:val="0"/>
        <w:adjustRightIn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2"/>
          <w:sz w:val="22"/>
          <w:szCs w:val="22"/>
          <w:highlight w:val="none"/>
          <w:lang w:val="en-US" w:eastAsia="zh-CN" w:bidi="ar-SA"/>
        </w:rPr>
        <w:t>（1）</w:t>
      </w:r>
      <w:r>
        <w:rPr>
          <w:rFonts w:hint="eastAsia" w:ascii="宋体" w:hAnsi="宋体" w:eastAsia="宋体" w:cs="宋体"/>
          <w:color w:val="auto"/>
          <w:sz w:val="22"/>
          <w:szCs w:val="22"/>
          <w:highlight w:val="none"/>
        </w:rPr>
        <w:t>派驻人员的工作主要包括</w:t>
      </w:r>
      <w:r>
        <w:rPr>
          <w:rFonts w:hint="eastAsia" w:ascii="宋体" w:hAnsi="宋体" w:eastAsia="宋体" w:cs="宋体"/>
          <w:color w:val="auto"/>
          <w:sz w:val="22"/>
          <w:szCs w:val="22"/>
          <w:highlight w:val="none"/>
          <w:lang w:val="en-US" w:eastAsia="zh-CN"/>
        </w:rPr>
        <w:t>法律、金融、</w:t>
      </w:r>
      <w:r>
        <w:rPr>
          <w:rFonts w:hint="eastAsia" w:ascii="宋体" w:hAnsi="宋体" w:eastAsia="宋体" w:cs="宋体"/>
          <w:color w:val="auto"/>
          <w:sz w:val="22"/>
          <w:szCs w:val="22"/>
          <w:highlight w:val="none"/>
        </w:rPr>
        <w:t>劳动、民事、商事、家事等方面的矛盾纠纷调解服务</w:t>
      </w:r>
      <w:r>
        <w:rPr>
          <w:rFonts w:hint="eastAsia" w:ascii="宋体" w:hAnsi="宋体" w:eastAsia="宋体" w:cs="宋体"/>
          <w:color w:val="auto"/>
          <w:sz w:val="22"/>
          <w:szCs w:val="22"/>
          <w:highlight w:val="none"/>
          <w:lang w:eastAsia="zh-CN"/>
        </w:rPr>
        <w:t>。</w:t>
      </w:r>
    </w:p>
    <w:p w14:paraId="2E670179">
      <w:pPr>
        <w:keepNext w:val="0"/>
        <w:keepLines w:val="0"/>
        <w:pageBreakBefore w:val="0"/>
        <w:numPr>
          <w:ilvl w:val="0"/>
          <w:numId w:val="0"/>
        </w:numPr>
        <w:kinsoku/>
        <w:wordWrap/>
        <w:overflowPunct/>
        <w:topLinePunct w:val="0"/>
        <w:autoSpaceDE/>
        <w:autoSpaceDN/>
        <w:bidi w:val="0"/>
        <w:adjustRightIn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kern w:val="2"/>
          <w:sz w:val="22"/>
          <w:szCs w:val="22"/>
          <w:highlight w:val="none"/>
          <w:lang w:val="en-US" w:eastAsia="zh-CN" w:bidi="ar-SA"/>
        </w:rPr>
        <w:t>（2）</w:t>
      </w:r>
      <w:r>
        <w:rPr>
          <w:rFonts w:hint="eastAsia" w:ascii="宋体" w:hAnsi="宋体" w:eastAsia="宋体" w:cs="宋体"/>
          <w:color w:val="auto"/>
          <w:sz w:val="22"/>
          <w:szCs w:val="22"/>
          <w:highlight w:val="none"/>
        </w:rPr>
        <w:t>工作地点为</w:t>
      </w:r>
      <w:r>
        <w:rPr>
          <w:rFonts w:hint="eastAsia" w:ascii="宋体" w:hAnsi="宋体" w:eastAsia="宋体" w:cs="宋体"/>
          <w:color w:val="auto"/>
          <w:sz w:val="22"/>
          <w:szCs w:val="22"/>
          <w:highlight w:val="none"/>
          <w:lang w:val="en-US" w:eastAsia="zh-CN"/>
        </w:rPr>
        <w:t>义乌市社会治理中心（法院诉前调解员由法院指定工作地点）</w:t>
      </w:r>
      <w:r>
        <w:rPr>
          <w:rFonts w:hint="eastAsia" w:ascii="宋体" w:hAnsi="宋体" w:eastAsia="宋体" w:cs="宋体"/>
          <w:color w:val="auto"/>
          <w:sz w:val="22"/>
          <w:szCs w:val="22"/>
          <w:highlight w:val="none"/>
        </w:rPr>
        <w:t>，执行中心规定上下班时间</w:t>
      </w:r>
      <w:r>
        <w:rPr>
          <w:rFonts w:hint="eastAsia" w:ascii="宋体" w:hAnsi="宋体" w:eastAsia="宋体" w:cs="宋体"/>
          <w:color w:val="auto"/>
          <w:sz w:val="22"/>
          <w:szCs w:val="22"/>
          <w:highlight w:val="none"/>
          <w:lang w:eastAsia="zh-CN"/>
        </w:rPr>
        <w:t>。</w:t>
      </w:r>
    </w:p>
    <w:p w14:paraId="3145FED5">
      <w:pPr>
        <w:keepNext w:val="0"/>
        <w:keepLines w:val="0"/>
        <w:pageBreakBefore w:val="0"/>
        <w:numPr>
          <w:ilvl w:val="0"/>
          <w:numId w:val="0"/>
        </w:numPr>
        <w:kinsoku/>
        <w:wordWrap/>
        <w:overflowPunct/>
        <w:topLinePunct w:val="0"/>
        <w:autoSpaceDE/>
        <w:autoSpaceDN/>
        <w:bidi w:val="0"/>
        <w:adjustRightIn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2"/>
          <w:sz w:val="22"/>
          <w:szCs w:val="22"/>
          <w:highlight w:val="none"/>
          <w:lang w:val="en-US" w:eastAsia="zh-CN" w:bidi="ar-SA"/>
        </w:rPr>
        <w:t>（3）</w:t>
      </w:r>
      <w:r>
        <w:rPr>
          <w:rFonts w:hint="eastAsia" w:ascii="宋体" w:hAnsi="宋体" w:eastAsia="宋体" w:cs="宋体"/>
          <w:color w:val="auto"/>
          <w:sz w:val="22"/>
          <w:szCs w:val="22"/>
          <w:highlight w:val="none"/>
          <w:lang w:val="en-US" w:eastAsia="zh-CN"/>
        </w:rPr>
        <w:t>提供咨询服务。提供纠纷咨询服务，积极指导当事人使用网上平台，引导当事人通过合理合法途径化解纠纷。</w:t>
      </w:r>
    </w:p>
    <w:p w14:paraId="2CFE0874">
      <w:pPr>
        <w:keepNext w:val="0"/>
        <w:keepLines w:val="0"/>
        <w:pageBreakBefore w:val="0"/>
        <w:numPr>
          <w:ilvl w:val="0"/>
          <w:numId w:val="0"/>
        </w:numPr>
        <w:kinsoku/>
        <w:wordWrap/>
        <w:overflowPunct/>
        <w:topLinePunct w:val="0"/>
        <w:autoSpaceDE/>
        <w:autoSpaceDN/>
        <w:bidi w:val="0"/>
        <w:adjustRightIn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2"/>
          <w:sz w:val="22"/>
          <w:szCs w:val="22"/>
          <w:highlight w:val="none"/>
          <w:lang w:val="en-US" w:eastAsia="zh-CN" w:bidi="ar-SA"/>
        </w:rPr>
        <w:t>（4）</w:t>
      </w:r>
      <w:r>
        <w:rPr>
          <w:rFonts w:hint="eastAsia" w:ascii="宋体" w:hAnsi="宋体" w:eastAsia="宋体" w:cs="宋体"/>
          <w:color w:val="auto"/>
          <w:sz w:val="22"/>
          <w:szCs w:val="22"/>
          <w:highlight w:val="none"/>
          <w:lang w:val="en-US" w:eastAsia="zh-CN"/>
        </w:rPr>
        <w:t>受理调解申请。受理当事人的调解申请和其他单位委托调解，并进行登记。对不符合人民调解的，及时告知并引导进入其他合法途径处理。</w:t>
      </w:r>
    </w:p>
    <w:p w14:paraId="53B876E4">
      <w:pPr>
        <w:keepNext w:val="0"/>
        <w:keepLines w:val="0"/>
        <w:pageBreakBefore w:val="0"/>
        <w:numPr>
          <w:ilvl w:val="0"/>
          <w:numId w:val="0"/>
        </w:numPr>
        <w:kinsoku/>
        <w:wordWrap/>
        <w:overflowPunct/>
        <w:topLinePunct w:val="0"/>
        <w:autoSpaceDE/>
        <w:autoSpaceDN/>
        <w:bidi w:val="0"/>
        <w:adjustRightIn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2"/>
          <w:sz w:val="22"/>
          <w:szCs w:val="22"/>
          <w:highlight w:val="none"/>
          <w:lang w:val="en-US" w:eastAsia="zh-CN" w:bidi="ar-SA"/>
        </w:rPr>
        <w:t>（5）</w:t>
      </w:r>
      <w:r>
        <w:rPr>
          <w:rFonts w:hint="eastAsia" w:ascii="宋体" w:hAnsi="宋体" w:eastAsia="宋体" w:cs="宋体"/>
          <w:color w:val="auto"/>
          <w:sz w:val="22"/>
          <w:szCs w:val="22"/>
          <w:highlight w:val="none"/>
          <w:lang w:val="en-US" w:eastAsia="zh-CN"/>
        </w:rPr>
        <w:t>开展纠纷化解。负责调解已受理的各类纠纷，通过通讯、面谈、法律知识宣传、上门走访等形式开展调解工作。</w:t>
      </w:r>
    </w:p>
    <w:p w14:paraId="72487569">
      <w:pPr>
        <w:keepNext w:val="0"/>
        <w:keepLines w:val="0"/>
        <w:pageBreakBefore w:val="0"/>
        <w:numPr>
          <w:ilvl w:val="0"/>
          <w:numId w:val="0"/>
        </w:numPr>
        <w:kinsoku/>
        <w:wordWrap/>
        <w:overflowPunct/>
        <w:topLinePunct w:val="0"/>
        <w:autoSpaceDE/>
        <w:autoSpaceDN/>
        <w:bidi w:val="0"/>
        <w:adjustRightIn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2"/>
          <w:sz w:val="22"/>
          <w:szCs w:val="22"/>
          <w:highlight w:val="none"/>
          <w:lang w:val="en-US" w:eastAsia="zh-CN" w:bidi="ar-SA"/>
        </w:rPr>
        <w:t>（6）</w:t>
      </w:r>
      <w:r>
        <w:rPr>
          <w:rFonts w:hint="eastAsia" w:ascii="宋体" w:hAnsi="宋体" w:eastAsia="宋体" w:cs="宋体"/>
          <w:color w:val="auto"/>
          <w:sz w:val="22"/>
          <w:szCs w:val="22"/>
          <w:highlight w:val="none"/>
          <w:lang w:val="en-US" w:eastAsia="zh-CN"/>
        </w:rPr>
        <w:t>及时进行回访。适时开展回访，了解调解协议履行情况，当事人对调解的满意程度以及对调解工作的意见、要求等，同时了解调解过程中是否存在纰漏，通过回访彻底消除隐患。</w:t>
      </w:r>
    </w:p>
    <w:p w14:paraId="231A7180">
      <w:pPr>
        <w:keepNext w:val="0"/>
        <w:keepLines w:val="0"/>
        <w:pageBreakBefore w:val="0"/>
        <w:numPr>
          <w:ilvl w:val="0"/>
          <w:numId w:val="0"/>
        </w:numPr>
        <w:kinsoku/>
        <w:wordWrap/>
        <w:overflowPunct/>
        <w:topLinePunct w:val="0"/>
        <w:autoSpaceDE/>
        <w:autoSpaceDN/>
        <w:bidi w:val="0"/>
        <w:adjustRightIn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2"/>
          <w:sz w:val="22"/>
          <w:szCs w:val="22"/>
          <w:highlight w:val="none"/>
          <w:lang w:val="en-US" w:eastAsia="zh-CN" w:bidi="ar-SA"/>
        </w:rPr>
        <w:t>（7）</w:t>
      </w:r>
      <w:r>
        <w:rPr>
          <w:rFonts w:hint="eastAsia" w:ascii="宋体" w:hAnsi="宋体" w:eastAsia="宋体" w:cs="宋体"/>
          <w:color w:val="auto"/>
          <w:sz w:val="22"/>
          <w:szCs w:val="22"/>
          <w:highlight w:val="none"/>
          <w:lang w:val="en-US" w:eastAsia="zh-CN"/>
        </w:rPr>
        <w:t>建立工作台账。规范使用全省人民调解工作大数据管理平台，及时登记；规范使用人民调解文书，形成人民调解卷宗等工作台账；按照要求及时报送相关报表。</w:t>
      </w:r>
    </w:p>
    <w:p w14:paraId="62E8B693">
      <w:pPr>
        <w:keepNext w:val="0"/>
        <w:keepLines w:val="0"/>
        <w:pageBreakBefore w:val="0"/>
        <w:numPr>
          <w:ilvl w:val="0"/>
          <w:numId w:val="0"/>
        </w:numPr>
        <w:kinsoku/>
        <w:wordWrap/>
        <w:overflowPunct/>
        <w:topLinePunct w:val="0"/>
        <w:autoSpaceDE/>
        <w:autoSpaceDN/>
        <w:bidi w:val="0"/>
        <w:adjustRightInd/>
        <w:spacing w:line="360" w:lineRule="auto"/>
        <w:ind w:firstLine="440" w:firstLineChars="200"/>
        <w:textAlignment w:val="auto"/>
        <w:rPr>
          <w:rFonts w:hint="eastAsia" w:ascii="宋体" w:hAnsi="宋体" w:eastAsia="宋体" w:cs="宋体"/>
          <w:color w:val="auto"/>
          <w:sz w:val="22"/>
          <w:szCs w:val="22"/>
          <w:highlight w:val="none"/>
          <w:lang w:val="en-US"/>
        </w:rPr>
      </w:pPr>
      <w:r>
        <w:rPr>
          <w:rFonts w:hint="eastAsia" w:ascii="宋体" w:hAnsi="宋体" w:eastAsia="宋体" w:cs="宋体"/>
          <w:color w:val="auto"/>
          <w:kern w:val="2"/>
          <w:sz w:val="22"/>
          <w:szCs w:val="22"/>
          <w:highlight w:val="none"/>
          <w:lang w:val="en-US" w:eastAsia="zh-CN" w:bidi="ar-SA"/>
        </w:rPr>
        <w:t>（8）</w:t>
      </w:r>
      <w:r>
        <w:rPr>
          <w:rFonts w:hint="eastAsia" w:ascii="宋体" w:hAnsi="宋体" w:eastAsia="宋体" w:cs="宋体"/>
          <w:color w:val="auto"/>
          <w:sz w:val="22"/>
          <w:szCs w:val="22"/>
          <w:highlight w:val="none"/>
          <w:lang w:val="en-US" w:eastAsia="zh-CN"/>
        </w:rPr>
        <w:t>定期召开例会。定期召开例会，交流工作开展情况，分析各类纠纷的动态与特点，研究疑难纠纷，商讨化解办法。积极参加各部门组织的相关业务培训活动，提升调解技能。</w:t>
      </w:r>
    </w:p>
    <w:p w14:paraId="7674F604">
      <w:pPr>
        <w:keepNext w:val="0"/>
        <w:keepLines w:val="0"/>
        <w:pageBreakBefore w:val="0"/>
        <w:numPr>
          <w:ilvl w:val="0"/>
          <w:numId w:val="0"/>
        </w:numPr>
        <w:kinsoku/>
        <w:wordWrap/>
        <w:overflowPunct/>
        <w:topLinePunct w:val="0"/>
        <w:autoSpaceDE/>
        <w:autoSpaceDN/>
        <w:bidi w:val="0"/>
        <w:adjustRightIn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2"/>
          <w:sz w:val="22"/>
          <w:szCs w:val="22"/>
          <w:highlight w:val="none"/>
          <w:lang w:val="en-US" w:eastAsia="zh-CN" w:bidi="ar-SA"/>
        </w:rPr>
        <w:t>（9）</w:t>
      </w:r>
      <w:r>
        <w:rPr>
          <w:rFonts w:hint="eastAsia" w:ascii="宋体" w:hAnsi="宋体" w:eastAsia="宋体" w:cs="宋体"/>
          <w:color w:val="auto"/>
          <w:sz w:val="22"/>
          <w:szCs w:val="22"/>
          <w:highlight w:val="none"/>
        </w:rPr>
        <w:t>提供免费法律咨询服务</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引导符合条件的群众申请法律援助或受理、转交法律援助申请</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协助公共法律服务中心进园区、进社区、进小微企业等场所开展宣传、服务活动</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在工作开展过程中根据实际需要增加的其他法律服务。</w:t>
      </w:r>
    </w:p>
    <w:p w14:paraId="4CBDE5F7">
      <w:pPr>
        <w:keepNext w:val="0"/>
        <w:keepLines w:val="0"/>
        <w:pageBreakBefore w:val="0"/>
        <w:numPr>
          <w:ilvl w:val="0"/>
          <w:numId w:val="0"/>
        </w:numPr>
        <w:kinsoku/>
        <w:wordWrap/>
        <w:overflowPunct/>
        <w:topLinePunct w:val="0"/>
        <w:autoSpaceDE/>
        <w:autoSpaceDN/>
        <w:bidi w:val="0"/>
        <w:adjustRightIn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10</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若有政策调整的，供应商应无条件配合。</w:t>
      </w:r>
    </w:p>
    <w:p w14:paraId="30964B52">
      <w:pPr>
        <w:pStyle w:val="6"/>
        <w:pageBreakBefore w:val="0"/>
        <w:kinsoku/>
        <w:wordWrap/>
        <w:overflowPunct/>
        <w:topLinePunct w:val="0"/>
        <w:autoSpaceDE/>
        <w:autoSpaceDN/>
        <w:bidi w:val="0"/>
        <w:adjustRightInd/>
        <w:snapToGrid/>
        <w:spacing w:before="0" w:beforeLines="0" w:after="0" w:afterLines="0" w:line="336" w:lineRule="auto"/>
        <w:textAlignment w:val="auto"/>
        <w:rPr>
          <w:rFonts w:hint="eastAsia" w:ascii="宋体" w:hAnsi="宋体" w:eastAsia="宋体" w:cs="宋体"/>
          <w:color w:val="auto"/>
          <w:sz w:val="22"/>
          <w:szCs w:val="22"/>
          <w:highlight w:val="none"/>
        </w:rPr>
      </w:pPr>
      <w:bookmarkStart w:id="33" w:name="_Toc11410"/>
      <w:bookmarkStart w:id="34" w:name="_Toc14597"/>
      <w:r>
        <w:rPr>
          <w:rFonts w:hint="eastAsia" w:ascii="宋体" w:hAnsi="宋体" w:eastAsia="宋体" w:cs="宋体"/>
          <w:color w:val="auto"/>
          <w:sz w:val="22"/>
          <w:szCs w:val="22"/>
          <w:highlight w:val="none"/>
        </w:rPr>
        <w:t>三、服务团队要求</w:t>
      </w:r>
      <w:bookmarkEnd w:id="33"/>
      <w:bookmarkEnd w:id="34"/>
    </w:p>
    <w:p w14:paraId="1773AACB">
      <w:pPr>
        <w:pStyle w:val="17"/>
        <w:keepNext w:val="0"/>
        <w:keepLines w:val="0"/>
        <w:pageBreakBefore w:val="0"/>
        <w:kinsoku/>
        <w:wordWrap/>
        <w:overflowPunct/>
        <w:topLinePunct w:val="0"/>
        <w:autoSpaceDE/>
        <w:autoSpaceDN/>
        <w:bidi w:val="0"/>
        <w:adjustRightInd/>
        <w:spacing w:line="360" w:lineRule="auto"/>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矛盾调解岗位要求：</w:t>
      </w:r>
    </w:p>
    <w:p w14:paraId="0CBCC0D4">
      <w:pPr>
        <w:keepNext w:val="0"/>
        <w:keepLines w:val="0"/>
        <w:pageBreakBefore w:val="0"/>
        <w:kinsoku/>
        <w:wordWrap/>
        <w:overflowPunct/>
        <w:topLinePunct w:val="0"/>
        <w:autoSpaceDE/>
        <w:autoSpaceDN/>
        <w:bidi w:val="0"/>
        <w:adjustRightIn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（1）拥护中华人民共和国宪法，遵守国家法律法规；</w:t>
      </w:r>
    </w:p>
    <w:p w14:paraId="528FDA4B">
      <w:pPr>
        <w:keepNext w:val="0"/>
        <w:keepLines w:val="0"/>
        <w:pageBreakBefore w:val="0"/>
        <w:kinsoku/>
        <w:wordWrap/>
        <w:overflowPunct/>
        <w:topLinePunct w:val="0"/>
        <w:autoSpaceDE/>
        <w:autoSpaceDN/>
        <w:bidi w:val="0"/>
        <w:adjustRightIn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（2）身体健康，无各种传染性疾病，五官、体型端正，无纹身，口齿伶俐，反应敏捷，面部无明显缺陷</w:t>
      </w:r>
      <w:r>
        <w:rPr>
          <w:rFonts w:hint="eastAsia" w:ascii="宋体" w:hAnsi="宋体" w:eastAsia="宋体" w:cs="宋体"/>
          <w:color w:val="auto"/>
          <w:sz w:val="22"/>
          <w:szCs w:val="22"/>
          <w:highlight w:val="none"/>
          <w:lang w:eastAsia="zh-CN"/>
        </w:rPr>
        <w:t>；</w:t>
      </w:r>
    </w:p>
    <w:p w14:paraId="138FC3FC">
      <w:pPr>
        <w:keepNext w:val="0"/>
        <w:keepLines w:val="0"/>
        <w:pageBreakBefore w:val="0"/>
        <w:kinsoku/>
        <w:wordWrap/>
        <w:overflowPunct/>
        <w:topLinePunct w:val="0"/>
        <w:autoSpaceDE/>
        <w:autoSpaceDN/>
        <w:bidi w:val="0"/>
        <w:adjustRightIn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lang w:val="en-US" w:eastAsia="zh-CN"/>
        </w:rPr>
        <w:t>具备一定的法律业务知识和调解业务能力，能确保各项人民调解工作顺利开展，</w:t>
      </w:r>
      <w:r>
        <w:rPr>
          <w:rFonts w:hint="eastAsia" w:ascii="宋体" w:hAnsi="宋体" w:eastAsia="宋体" w:cs="宋体"/>
          <w:color w:val="auto"/>
          <w:sz w:val="22"/>
          <w:szCs w:val="22"/>
          <w:highlight w:val="none"/>
        </w:rPr>
        <w:t>具有相关工作经验者优先；</w:t>
      </w:r>
    </w:p>
    <w:p w14:paraId="4E02B377">
      <w:pPr>
        <w:pStyle w:val="17"/>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需接收各专业调解委员会日常管理，遵守所在单位各项规章制度，服从工作安排；</w:t>
      </w:r>
    </w:p>
    <w:p w14:paraId="0AE2A54C">
      <w:pPr>
        <w:pStyle w:val="17"/>
        <w:keepNext w:val="0"/>
        <w:keepLines w:val="0"/>
        <w:pageBreakBefore w:val="0"/>
        <w:numPr>
          <w:ilvl w:val="0"/>
          <w:numId w:val="0"/>
        </w:numPr>
        <w:kinsoku/>
        <w:wordWrap/>
        <w:overflowPunct/>
        <w:topLinePunct w:val="0"/>
        <w:autoSpaceDE/>
        <w:autoSpaceDN/>
        <w:bidi w:val="0"/>
        <w:adjustRightInd/>
        <w:spacing w:line="360"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kern w:val="2"/>
          <w:sz w:val="22"/>
          <w:szCs w:val="22"/>
          <w:highlight w:val="none"/>
          <w:lang w:val="en-US" w:eastAsia="zh-CN" w:bidi="ar-SA"/>
        </w:rPr>
        <w:t>（5）</w:t>
      </w:r>
      <w:r>
        <w:rPr>
          <w:rFonts w:hint="eastAsia" w:ascii="宋体" w:hAnsi="宋体" w:eastAsia="宋体" w:cs="宋体"/>
          <w:color w:val="auto"/>
          <w:sz w:val="22"/>
          <w:szCs w:val="22"/>
          <w:highlight w:val="none"/>
          <w:lang w:val="en-US" w:eastAsia="zh-CN"/>
        </w:rPr>
        <w:t>根据各专业调解委员会安排，每年定期对相关调解从业人员组织开展政治教育和业务培训；</w:t>
      </w:r>
    </w:p>
    <w:p w14:paraId="3B04960B">
      <w:pPr>
        <w:pStyle w:val="17"/>
        <w:keepNext w:val="0"/>
        <w:keepLines w:val="0"/>
        <w:pageBreakBefore w:val="0"/>
        <w:numPr>
          <w:ilvl w:val="0"/>
          <w:numId w:val="0"/>
        </w:numPr>
        <w:kinsoku/>
        <w:wordWrap/>
        <w:overflowPunct/>
        <w:topLinePunct w:val="0"/>
        <w:autoSpaceDE/>
        <w:autoSpaceDN/>
        <w:bidi w:val="0"/>
        <w:adjustRightInd/>
        <w:spacing w:line="360"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kern w:val="2"/>
          <w:sz w:val="22"/>
          <w:szCs w:val="22"/>
          <w:highlight w:val="none"/>
          <w:lang w:val="en-US" w:eastAsia="zh-CN" w:bidi="ar-SA"/>
        </w:rPr>
        <w:t>（6）</w:t>
      </w:r>
      <w:r>
        <w:rPr>
          <w:rFonts w:hint="eastAsia" w:ascii="宋体" w:hAnsi="宋体" w:eastAsia="宋体" w:cs="宋体"/>
          <w:color w:val="auto"/>
          <w:sz w:val="22"/>
          <w:szCs w:val="22"/>
          <w:highlight w:val="none"/>
          <w:lang w:val="en-US" w:eastAsia="zh-CN"/>
        </w:rPr>
        <w:t>定期开展业务总结，相互提出相关改进措施和建议；</w:t>
      </w:r>
    </w:p>
    <w:p w14:paraId="3EBD6095">
      <w:pPr>
        <w:pStyle w:val="17"/>
        <w:keepNext w:val="0"/>
        <w:keepLines w:val="0"/>
        <w:pageBreakBefore w:val="0"/>
        <w:numPr>
          <w:ilvl w:val="0"/>
          <w:numId w:val="0"/>
        </w:numPr>
        <w:kinsoku/>
        <w:wordWrap/>
        <w:overflowPunct/>
        <w:topLinePunct w:val="0"/>
        <w:autoSpaceDE/>
        <w:autoSpaceDN/>
        <w:bidi w:val="0"/>
        <w:adjustRightInd/>
        <w:spacing w:line="360"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kern w:val="2"/>
          <w:sz w:val="22"/>
          <w:szCs w:val="22"/>
          <w:highlight w:val="none"/>
          <w:lang w:val="en-US" w:eastAsia="zh-CN" w:bidi="ar-SA"/>
        </w:rPr>
        <w:t>（7）</w:t>
      </w:r>
      <w:r>
        <w:rPr>
          <w:rFonts w:hint="eastAsia" w:ascii="宋体" w:hAnsi="宋体" w:eastAsia="宋体" w:cs="宋体"/>
          <w:color w:val="auto"/>
          <w:sz w:val="22"/>
          <w:szCs w:val="22"/>
          <w:highlight w:val="none"/>
          <w:lang w:val="en-US" w:eastAsia="zh-CN"/>
        </w:rPr>
        <w:t>完成所在单位的其他与调解业务相关的工作。</w:t>
      </w:r>
    </w:p>
    <w:p w14:paraId="6E3D5352">
      <w:pPr>
        <w:pStyle w:val="6"/>
        <w:pageBreakBefore w:val="0"/>
        <w:numPr>
          <w:ilvl w:val="0"/>
          <w:numId w:val="0"/>
        </w:numPr>
        <w:kinsoku/>
        <w:wordWrap/>
        <w:overflowPunct/>
        <w:topLinePunct w:val="0"/>
        <w:autoSpaceDE/>
        <w:autoSpaceDN/>
        <w:bidi w:val="0"/>
        <w:adjustRightInd/>
        <w:snapToGrid/>
        <w:spacing w:before="0" w:beforeLines="0" w:after="0" w:afterLines="0" w:line="336" w:lineRule="auto"/>
        <w:textAlignment w:val="auto"/>
        <w:rPr>
          <w:rFonts w:hint="eastAsia" w:ascii="宋体" w:hAnsi="宋体" w:eastAsia="宋体" w:cs="宋体"/>
          <w:color w:val="auto"/>
          <w:sz w:val="22"/>
          <w:szCs w:val="22"/>
          <w:highlight w:val="none"/>
          <w:lang w:val="en-US" w:eastAsia="zh-CN"/>
        </w:rPr>
      </w:pPr>
      <w:bookmarkStart w:id="35" w:name="_Toc2462"/>
      <w:bookmarkStart w:id="36" w:name="_Toc13589"/>
      <w:r>
        <w:rPr>
          <w:rFonts w:hint="eastAsia" w:ascii="宋体" w:hAnsi="宋体" w:eastAsia="宋体" w:cs="宋体"/>
          <w:b/>
          <w:color w:val="auto"/>
          <w:kern w:val="1"/>
          <w:sz w:val="22"/>
          <w:szCs w:val="22"/>
          <w:highlight w:val="none"/>
          <w:lang w:val="en-US" w:eastAsia="zh-CN" w:bidi="ar-SA"/>
        </w:rPr>
        <w:t>四、</w:t>
      </w:r>
      <w:r>
        <w:rPr>
          <w:rFonts w:hint="eastAsia" w:ascii="宋体" w:hAnsi="宋体" w:eastAsia="宋体" w:cs="宋体"/>
          <w:color w:val="auto"/>
          <w:sz w:val="22"/>
          <w:szCs w:val="22"/>
          <w:highlight w:val="none"/>
          <w:lang w:val="en-US" w:eastAsia="zh-CN"/>
        </w:rPr>
        <w:t>诉前调解案件</w:t>
      </w:r>
    </w:p>
    <w:p w14:paraId="58083259">
      <w:pPr>
        <w:pStyle w:val="17"/>
        <w:keepNext w:val="0"/>
        <w:keepLines w:val="0"/>
        <w:pageBreakBefore w:val="0"/>
        <w:numPr>
          <w:ilvl w:val="0"/>
          <w:numId w:val="0"/>
        </w:numPr>
        <w:kinsoku/>
        <w:wordWrap/>
        <w:overflowPunct/>
        <w:topLinePunct w:val="0"/>
        <w:autoSpaceDE/>
        <w:autoSpaceDN/>
        <w:bidi w:val="0"/>
        <w:adjustRightInd/>
        <w:spacing w:line="360" w:lineRule="auto"/>
        <w:ind w:firstLine="440" w:firstLineChars="200"/>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★诉前调解案件无需报价，合同单价固定为230元/件，供应商</w:t>
      </w:r>
      <w:r>
        <w:rPr>
          <w:rFonts w:hint="eastAsia" w:ascii="宋体" w:hAnsi="宋体" w:cs="宋体"/>
          <w:color w:val="auto"/>
          <w:sz w:val="22"/>
          <w:szCs w:val="22"/>
          <w:highlight w:val="none"/>
          <w:lang w:val="en-US" w:eastAsia="zh-CN"/>
        </w:rPr>
        <w:t>应按230元/件标准扣除税费后</w:t>
      </w:r>
      <w:r>
        <w:rPr>
          <w:rFonts w:hint="eastAsia" w:ascii="宋体" w:hAnsi="宋体" w:eastAsia="宋体" w:cs="宋体"/>
          <w:color w:val="auto"/>
          <w:sz w:val="22"/>
          <w:szCs w:val="22"/>
          <w:highlight w:val="none"/>
          <w:lang w:val="en-US" w:eastAsia="zh-CN"/>
        </w:rPr>
        <w:t>足额将调解费发放给调解员。</w:t>
      </w:r>
    </w:p>
    <w:p w14:paraId="3F3F8C57">
      <w:pPr>
        <w:pStyle w:val="6"/>
        <w:pageBreakBefore w:val="0"/>
        <w:numPr>
          <w:ilvl w:val="0"/>
          <w:numId w:val="0"/>
        </w:numPr>
        <w:kinsoku/>
        <w:wordWrap/>
        <w:overflowPunct/>
        <w:topLinePunct w:val="0"/>
        <w:autoSpaceDE/>
        <w:autoSpaceDN/>
        <w:bidi w:val="0"/>
        <w:adjustRightInd/>
        <w:snapToGrid/>
        <w:spacing w:before="0" w:beforeLines="0" w:after="0" w:afterLines="0" w:line="336"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b/>
          <w:color w:val="auto"/>
          <w:kern w:val="1"/>
          <w:sz w:val="22"/>
          <w:szCs w:val="22"/>
          <w:highlight w:val="none"/>
          <w:lang w:val="en-US" w:eastAsia="zh-CN" w:bidi="ar-SA"/>
        </w:rPr>
        <w:t>五、</w:t>
      </w:r>
      <w:r>
        <w:rPr>
          <w:rFonts w:hint="eastAsia" w:ascii="宋体" w:hAnsi="宋体" w:eastAsia="宋体" w:cs="宋体"/>
          <w:color w:val="auto"/>
          <w:sz w:val="22"/>
          <w:szCs w:val="22"/>
          <w:highlight w:val="none"/>
          <w:lang w:val="en-US" w:eastAsia="zh-CN"/>
        </w:rPr>
        <w:t>奖励补贴</w:t>
      </w:r>
      <w:bookmarkEnd w:id="35"/>
    </w:p>
    <w:p w14:paraId="13205C34">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1.行政争议案件补贴方案：以行政争议案件是否调解成功为标准进行差额发放。每参与调解一件行政争议案件，补贴150元；每调解成功一件行政争议案件，再补贴300元。</w:t>
      </w:r>
    </w:p>
    <w:p w14:paraId="7D2B88FC">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2.疑难复杂矛盾纠纷，按以下标准分类奖励：</w:t>
      </w:r>
    </w:p>
    <w:p w14:paraId="57A8240A">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（1）争议标的在2万元以上20万元以下的一般疑难复杂纠纷，每件补贴300元；</w:t>
      </w:r>
    </w:p>
    <w:p w14:paraId="72A3D6E1">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（2）1人非正常死亡或2人以上伤残、连续2年到市级以上党政机关上访的纠纷、法院执行不了重新调解履行的纠纷，或标的在20万元以上100万元以下的重大疑难复杂纠纷，每件补贴1000元。</w:t>
      </w:r>
    </w:p>
    <w:p w14:paraId="6E2ADF09">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（3）2人以上非正常死亡，或标的在100万元以上的重特大纠纷、在辖区内有重大影响且涉及人数10人以上群体性纠纷、市以上领导交办的疑难复杂纠纷，每件补贴2000元。</w:t>
      </w:r>
    </w:p>
    <w:p w14:paraId="0543DB58">
      <w:pPr>
        <w:pStyle w:val="6"/>
        <w:pageBreakBefore w:val="0"/>
        <w:kinsoku/>
        <w:wordWrap/>
        <w:overflowPunct/>
        <w:topLinePunct w:val="0"/>
        <w:autoSpaceDE/>
        <w:autoSpaceDN/>
        <w:bidi w:val="0"/>
        <w:adjustRightInd/>
        <w:snapToGrid/>
        <w:spacing w:before="0" w:beforeLines="0" w:after="0" w:afterLines="0" w:line="336" w:lineRule="auto"/>
        <w:textAlignment w:val="auto"/>
        <w:rPr>
          <w:rFonts w:hint="eastAsia" w:ascii="宋体" w:hAnsi="宋体" w:eastAsia="宋体" w:cs="宋体"/>
          <w:color w:val="auto"/>
          <w:sz w:val="22"/>
          <w:szCs w:val="22"/>
          <w:highlight w:val="none"/>
          <w:lang w:val="en-US" w:eastAsia="zh-CN"/>
        </w:rPr>
      </w:pPr>
      <w:bookmarkStart w:id="37" w:name="_Toc10485"/>
      <w:r>
        <w:rPr>
          <w:rFonts w:hint="eastAsia" w:ascii="宋体" w:hAnsi="宋体" w:eastAsia="宋体" w:cs="宋体"/>
          <w:color w:val="auto"/>
          <w:sz w:val="22"/>
          <w:szCs w:val="22"/>
          <w:highlight w:val="none"/>
          <w:lang w:val="en-US" w:eastAsia="zh-CN"/>
        </w:rPr>
        <w:t>六、结算方法及费用支付</w:t>
      </w:r>
      <w:bookmarkEnd w:id="36"/>
      <w:bookmarkEnd w:id="37"/>
    </w:p>
    <w:p w14:paraId="4F11B9A1">
      <w:pPr>
        <w:pStyle w:val="17"/>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b w:val="0"/>
          <w:bCs w:val="0"/>
          <w:i w:val="0"/>
          <w:caps w:val="0"/>
          <w:color w:val="auto"/>
          <w:spacing w:val="0"/>
          <w:w w:val="100"/>
          <w:kern w:val="0"/>
          <w:sz w:val="22"/>
          <w:szCs w:val="22"/>
          <w:highlight w:val="none"/>
          <w:lang w:val="en-US" w:eastAsia="zh-CN"/>
        </w:rPr>
        <w:t>1.签订合同且具备实施条件后7个工作日内支付合同价的40%作为预付款，</w:t>
      </w:r>
      <w:r>
        <w:rPr>
          <w:rFonts w:hint="eastAsia" w:ascii="宋体" w:hAnsi="宋体" w:eastAsia="宋体" w:cs="宋体"/>
          <w:color w:val="auto"/>
          <w:sz w:val="22"/>
          <w:szCs w:val="22"/>
          <w:highlight w:val="none"/>
        </w:rPr>
        <w:t>在签订合同时，</w:t>
      </w:r>
      <w:r>
        <w:rPr>
          <w:rFonts w:hint="eastAsia" w:ascii="宋体" w:hAnsi="宋体" w:eastAsia="宋体" w:cs="宋体"/>
          <w:color w:val="auto"/>
          <w:sz w:val="22"/>
          <w:szCs w:val="22"/>
          <w:highlight w:val="none"/>
          <w:lang w:val="en-US" w:eastAsia="zh-CN"/>
        </w:rPr>
        <w:t>中标人</w:t>
      </w:r>
      <w:r>
        <w:rPr>
          <w:rFonts w:hint="eastAsia" w:ascii="宋体" w:hAnsi="宋体" w:eastAsia="宋体" w:cs="宋体"/>
          <w:color w:val="auto"/>
          <w:sz w:val="22"/>
          <w:szCs w:val="22"/>
          <w:highlight w:val="none"/>
        </w:rPr>
        <w:t>明确表示无需预付款或者主动要求降低预付款比例的，</w:t>
      </w:r>
      <w:r>
        <w:rPr>
          <w:rFonts w:hint="eastAsia" w:ascii="宋体" w:hAnsi="宋体" w:eastAsia="宋体" w:cs="宋体"/>
          <w:color w:val="auto"/>
          <w:sz w:val="22"/>
          <w:szCs w:val="22"/>
          <w:highlight w:val="none"/>
          <w:lang w:val="en-US" w:eastAsia="zh-CN"/>
        </w:rPr>
        <w:t>采购人</w:t>
      </w:r>
      <w:r>
        <w:rPr>
          <w:rFonts w:hint="eastAsia" w:ascii="宋体" w:hAnsi="宋体" w:eastAsia="宋体" w:cs="宋体"/>
          <w:color w:val="auto"/>
          <w:sz w:val="22"/>
          <w:szCs w:val="22"/>
          <w:highlight w:val="none"/>
        </w:rPr>
        <w:t>可不支付或减少预付款支付比例；</w:t>
      </w:r>
    </w:p>
    <w:p w14:paraId="47EBE422">
      <w:pPr>
        <w:pStyle w:val="17"/>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2.结算方法：中标单价×完成调解案件的数量，奖励金额按本招标文件规定数额计算。调解成果是否合格由采购人、法院、司法局、人社局进行认定。</w:t>
      </w:r>
    </w:p>
    <w:p w14:paraId="30EA9985">
      <w:pPr>
        <w:pStyle w:val="17"/>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3.支付方式：按月支付，由采购人在次月中旬前支付上月结算费用。</w:t>
      </w:r>
    </w:p>
    <w:p w14:paraId="335D5577">
      <w:pPr>
        <w:pStyle w:val="6"/>
        <w:pageBreakBefore w:val="0"/>
        <w:kinsoku/>
        <w:wordWrap/>
        <w:overflowPunct/>
        <w:topLinePunct w:val="0"/>
        <w:autoSpaceDE/>
        <w:autoSpaceDN/>
        <w:bidi w:val="0"/>
        <w:adjustRightInd/>
        <w:snapToGrid/>
        <w:spacing w:before="0" w:beforeLines="0" w:after="0" w:afterLines="0" w:line="336" w:lineRule="auto"/>
        <w:textAlignment w:val="auto"/>
        <w:rPr>
          <w:rFonts w:hint="eastAsia" w:ascii="宋体" w:hAnsi="宋体" w:eastAsia="宋体" w:cs="宋体"/>
          <w:color w:val="auto"/>
          <w:sz w:val="22"/>
          <w:szCs w:val="22"/>
          <w:highlight w:val="none"/>
        </w:rPr>
      </w:pPr>
      <w:bookmarkStart w:id="38" w:name="_Toc27095"/>
      <w:bookmarkStart w:id="39" w:name="_Toc16045"/>
      <w:r>
        <w:rPr>
          <w:rFonts w:hint="eastAsia" w:ascii="宋体" w:hAnsi="宋体" w:eastAsia="宋体" w:cs="宋体"/>
          <w:color w:val="auto"/>
          <w:sz w:val="22"/>
          <w:szCs w:val="22"/>
          <w:highlight w:val="none"/>
          <w:lang w:val="en-US" w:eastAsia="zh-CN"/>
        </w:rPr>
        <w:t>七</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考核</w:t>
      </w:r>
      <w:r>
        <w:rPr>
          <w:rFonts w:hint="eastAsia" w:ascii="宋体" w:hAnsi="宋体" w:eastAsia="宋体" w:cs="宋体"/>
          <w:color w:val="auto"/>
          <w:sz w:val="22"/>
          <w:szCs w:val="22"/>
          <w:highlight w:val="none"/>
        </w:rPr>
        <w:t>验收</w:t>
      </w:r>
      <w:bookmarkEnd w:id="26"/>
      <w:bookmarkEnd w:id="27"/>
      <w:bookmarkEnd w:id="28"/>
      <w:bookmarkEnd w:id="38"/>
      <w:bookmarkEnd w:id="39"/>
    </w:p>
    <w:p w14:paraId="052928C5">
      <w:pPr>
        <w:pageBreakBefore w:val="0"/>
        <w:kinsoku/>
        <w:wordWrap/>
        <w:overflowPunct/>
        <w:topLinePunct w:val="0"/>
        <w:autoSpaceDE/>
        <w:autoSpaceDN/>
        <w:bidi w:val="0"/>
        <w:adjustRightInd/>
        <w:snapToGrid/>
        <w:spacing w:line="336"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履约评价：</w:t>
      </w:r>
    </w:p>
    <w:p w14:paraId="5374AB7A">
      <w:pPr>
        <w:pageBreakBefore w:val="0"/>
        <w:kinsoku/>
        <w:wordWrap/>
        <w:overflowPunct/>
        <w:topLinePunct w:val="0"/>
        <w:autoSpaceDE/>
        <w:autoSpaceDN/>
        <w:bidi w:val="0"/>
        <w:adjustRightInd/>
        <w:snapToGrid/>
        <w:spacing w:line="336"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本项目履约评价实行民主评价制度，采购人将会同市治理中心各单位（科室）、法院、司法局、人社局等相关部门一起对中标供应商的调解服务质量进行评价考核。考核按季度进行，每季度组织一次评价，若考核结果的综合评分</w:t>
      </w:r>
      <w:r>
        <w:rPr>
          <w:rFonts w:hint="eastAsia" w:ascii="宋体" w:hAnsi="宋体" w:cs="宋体"/>
          <w:color w:val="auto"/>
          <w:sz w:val="22"/>
          <w:szCs w:val="22"/>
          <w:highlight w:val="none"/>
          <w:lang w:val="en-US" w:eastAsia="zh-CN"/>
        </w:rPr>
        <w:t>80分及以下</w:t>
      </w:r>
      <w:r>
        <w:rPr>
          <w:rFonts w:hint="eastAsia" w:ascii="宋体" w:hAnsi="宋体" w:eastAsia="宋体" w:cs="宋体"/>
          <w:color w:val="auto"/>
          <w:sz w:val="22"/>
          <w:szCs w:val="22"/>
          <w:highlight w:val="none"/>
          <w:lang w:val="en-US" w:eastAsia="zh-CN"/>
        </w:rPr>
        <w:t>的，采购人有权取消中标供应商的服务资格并终止合同。</w:t>
      </w:r>
    </w:p>
    <w:p w14:paraId="7AF86640">
      <w:pPr>
        <w:pageBreakBefore w:val="0"/>
        <w:kinsoku/>
        <w:wordWrap/>
        <w:overflowPunct/>
        <w:topLinePunct w:val="0"/>
        <w:autoSpaceDE/>
        <w:autoSpaceDN/>
        <w:bidi w:val="0"/>
        <w:adjustRightInd/>
        <w:snapToGrid/>
        <w:spacing w:line="336"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（2）履约验收：</w:t>
      </w:r>
    </w:p>
    <w:p w14:paraId="75D667CD">
      <w:pPr>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采购人应按《义乌市政府采购合同履约和验收管理办法（暂行）》（义招管办</w:t>
      </w:r>
      <w:r>
        <w:rPr>
          <w:rFonts w:hint="eastAsia" w:ascii="宋体" w:hAnsi="宋体" w:eastAsia="宋体" w:cs="宋体"/>
          <w:color w:val="auto"/>
          <w:sz w:val="22"/>
          <w:szCs w:val="22"/>
          <w:highlight w:val="none"/>
          <w:lang w:eastAsia="zh-CN"/>
        </w:rPr>
        <w:t>〔2008〕32号</w:t>
      </w:r>
      <w:r>
        <w:rPr>
          <w:rFonts w:hint="eastAsia" w:ascii="宋体" w:hAnsi="宋体" w:eastAsia="宋体" w:cs="宋体"/>
          <w:color w:val="auto"/>
          <w:sz w:val="22"/>
          <w:szCs w:val="22"/>
          <w:highlight w:val="none"/>
        </w:rPr>
        <w:t>）及《义乌市关于规范政府采购管理的若干意见》（义政办发</w:t>
      </w:r>
      <w:r>
        <w:rPr>
          <w:rFonts w:hint="eastAsia" w:ascii="宋体" w:hAnsi="宋体" w:eastAsia="宋体" w:cs="宋体"/>
          <w:color w:val="auto"/>
          <w:sz w:val="22"/>
          <w:szCs w:val="22"/>
          <w:highlight w:val="none"/>
          <w:lang w:eastAsia="zh-CN"/>
        </w:rPr>
        <w:t>〔2017〕102号</w:t>
      </w:r>
      <w:r>
        <w:rPr>
          <w:rFonts w:hint="eastAsia" w:ascii="宋体" w:hAnsi="宋体" w:eastAsia="宋体" w:cs="宋体"/>
          <w:color w:val="auto"/>
          <w:sz w:val="22"/>
          <w:szCs w:val="22"/>
          <w:highlight w:val="none"/>
        </w:rPr>
        <w:t>）等有关规定，对政府采购项目履约情况予以监督并及时、认真组织验收</w:t>
      </w:r>
      <w:r>
        <w:rPr>
          <w:rFonts w:hint="eastAsia" w:ascii="宋体" w:hAnsi="宋体" w:eastAsia="宋体" w:cs="宋体"/>
          <w:color w:val="auto"/>
          <w:sz w:val="22"/>
          <w:szCs w:val="22"/>
          <w:highlight w:val="none"/>
          <w:lang w:val="en-US" w:eastAsia="zh-CN"/>
        </w:rPr>
        <w:t>。</w:t>
      </w:r>
    </w:p>
    <w:p w14:paraId="5872AA95">
      <w:pPr>
        <w:pStyle w:val="6"/>
        <w:pageBreakBefore w:val="0"/>
        <w:kinsoku/>
        <w:wordWrap/>
        <w:overflowPunct/>
        <w:topLinePunct w:val="0"/>
        <w:autoSpaceDE/>
        <w:autoSpaceDN/>
        <w:bidi w:val="0"/>
        <w:adjustRightInd/>
        <w:snapToGrid/>
        <w:spacing w:before="0" w:beforeLines="0" w:after="0" w:afterLines="0" w:line="336" w:lineRule="auto"/>
        <w:textAlignment w:val="auto"/>
        <w:rPr>
          <w:rFonts w:hint="default"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八、调解服务质量评价考核标准</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6120"/>
        <w:gridCol w:w="1254"/>
      </w:tblGrid>
      <w:tr w14:paraId="2F511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980" w:type="dxa"/>
            <w:noWrap w:val="0"/>
            <w:vAlign w:val="center"/>
          </w:tcPr>
          <w:p w14:paraId="429AB8C3">
            <w:pPr>
              <w:spacing w:line="240" w:lineRule="auto"/>
              <w:jc w:val="center"/>
              <w:rPr>
                <w:rFonts w:hint="default" w:hAnsi="宋体" w:eastAsia="宋体"/>
                <w:b/>
                <w:color w:val="auto"/>
                <w:szCs w:val="21"/>
                <w:highlight w:val="none"/>
                <w:lang w:val="en-US" w:eastAsia="zh-CN"/>
              </w:rPr>
            </w:pPr>
            <w:r>
              <w:rPr>
                <w:rFonts w:hint="eastAsia" w:hAnsi="宋体"/>
                <w:b/>
                <w:color w:val="auto"/>
                <w:szCs w:val="21"/>
                <w:highlight w:val="none"/>
                <w:lang w:val="en-US" w:eastAsia="zh-CN"/>
              </w:rPr>
              <w:t>评价单位</w:t>
            </w:r>
          </w:p>
        </w:tc>
        <w:tc>
          <w:tcPr>
            <w:tcW w:w="7374" w:type="dxa"/>
            <w:gridSpan w:val="2"/>
            <w:noWrap w:val="0"/>
            <w:vAlign w:val="center"/>
          </w:tcPr>
          <w:p w14:paraId="6AB45F1C">
            <w:pPr>
              <w:spacing w:line="240" w:lineRule="auto"/>
              <w:jc w:val="left"/>
              <w:rPr>
                <w:b/>
                <w:color w:val="auto"/>
                <w:szCs w:val="21"/>
                <w:highlight w:val="none"/>
              </w:rPr>
            </w:pPr>
          </w:p>
        </w:tc>
      </w:tr>
      <w:tr w14:paraId="5FAC2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980" w:type="dxa"/>
            <w:noWrap w:val="0"/>
            <w:vAlign w:val="center"/>
          </w:tcPr>
          <w:p w14:paraId="782E7953">
            <w:pPr>
              <w:spacing w:line="240" w:lineRule="auto"/>
              <w:jc w:val="center"/>
              <w:rPr>
                <w:rFonts w:hint="default" w:hAnsi="宋体" w:eastAsia="宋体"/>
                <w:b/>
                <w:color w:val="auto"/>
                <w:szCs w:val="21"/>
                <w:highlight w:val="none"/>
                <w:lang w:val="en-US" w:eastAsia="zh-CN"/>
              </w:rPr>
            </w:pPr>
            <w:r>
              <w:rPr>
                <w:rFonts w:hint="eastAsia" w:hAnsi="宋体"/>
                <w:b/>
                <w:color w:val="auto"/>
                <w:szCs w:val="21"/>
                <w:highlight w:val="none"/>
                <w:lang w:val="en-US" w:eastAsia="zh-CN"/>
              </w:rPr>
              <w:t>评价时间</w:t>
            </w:r>
          </w:p>
        </w:tc>
        <w:tc>
          <w:tcPr>
            <w:tcW w:w="7374" w:type="dxa"/>
            <w:gridSpan w:val="2"/>
            <w:noWrap w:val="0"/>
            <w:vAlign w:val="center"/>
          </w:tcPr>
          <w:p w14:paraId="4C033F30">
            <w:pPr>
              <w:spacing w:line="240" w:lineRule="auto"/>
              <w:jc w:val="left"/>
              <w:rPr>
                <w:b/>
                <w:color w:val="auto"/>
                <w:szCs w:val="21"/>
                <w:highlight w:val="none"/>
              </w:rPr>
            </w:pPr>
          </w:p>
        </w:tc>
      </w:tr>
      <w:tr w14:paraId="44547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980" w:type="dxa"/>
            <w:noWrap w:val="0"/>
            <w:vAlign w:val="center"/>
          </w:tcPr>
          <w:p w14:paraId="5FE1B512">
            <w:pPr>
              <w:spacing w:line="240" w:lineRule="auto"/>
              <w:jc w:val="center"/>
              <w:rPr>
                <w:rFonts w:hAnsi="宋体"/>
                <w:b/>
                <w:color w:val="auto"/>
                <w:kern w:val="2"/>
                <w:sz w:val="21"/>
                <w:szCs w:val="21"/>
                <w:highlight w:val="none"/>
                <w:lang w:val="en-US" w:eastAsia="zh-CN" w:bidi="ar-SA"/>
              </w:rPr>
            </w:pPr>
            <w:r>
              <w:rPr>
                <w:rFonts w:hAnsi="宋体"/>
                <w:b/>
                <w:color w:val="auto"/>
                <w:szCs w:val="21"/>
                <w:highlight w:val="none"/>
              </w:rPr>
              <w:t>项  目</w:t>
            </w:r>
          </w:p>
        </w:tc>
        <w:tc>
          <w:tcPr>
            <w:tcW w:w="6120" w:type="dxa"/>
            <w:noWrap w:val="0"/>
            <w:vAlign w:val="center"/>
          </w:tcPr>
          <w:p w14:paraId="3FFACA72">
            <w:pPr>
              <w:spacing w:line="240" w:lineRule="auto"/>
              <w:jc w:val="center"/>
              <w:rPr>
                <w:rFonts w:hAnsi="宋体"/>
                <w:b/>
                <w:color w:val="auto"/>
                <w:kern w:val="2"/>
                <w:sz w:val="21"/>
                <w:szCs w:val="21"/>
                <w:highlight w:val="none"/>
                <w:lang w:val="en-US" w:eastAsia="zh-CN" w:bidi="ar-SA"/>
              </w:rPr>
            </w:pPr>
            <w:r>
              <w:rPr>
                <w:rFonts w:hAnsi="宋体"/>
                <w:b/>
                <w:color w:val="auto"/>
                <w:szCs w:val="21"/>
                <w:highlight w:val="none"/>
              </w:rPr>
              <w:t>具体评分标准（总分：100分）</w:t>
            </w:r>
          </w:p>
        </w:tc>
        <w:tc>
          <w:tcPr>
            <w:tcW w:w="1254" w:type="dxa"/>
            <w:noWrap w:val="0"/>
            <w:vAlign w:val="center"/>
          </w:tcPr>
          <w:p w14:paraId="5156EE09">
            <w:pPr>
              <w:spacing w:line="240" w:lineRule="auto"/>
              <w:jc w:val="center"/>
              <w:rPr>
                <w:b/>
                <w:color w:val="auto"/>
                <w:kern w:val="2"/>
                <w:sz w:val="21"/>
                <w:szCs w:val="21"/>
                <w:highlight w:val="none"/>
                <w:lang w:val="en-US" w:eastAsia="zh-CN" w:bidi="ar-SA"/>
              </w:rPr>
            </w:pPr>
            <w:r>
              <w:rPr>
                <w:rFonts w:hAnsi="宋体"/>
                <w:b/>
                <w:color w:val="auto"/>
                <w:szCs w:val="21"/>
                <w:highlight w:val="none"/>
              </w:rPr>
              <w:t>得分</w:t>
            </w:r>
          </w:p>
        </w:tc>
      </w:tr>
      <w:tr w14:paraId="6A41C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980" w:type="dxa"/>
            <w:vMerge w:val="restart"/>
            <w:noWrap w:val="0"/>
            <w:vAlign w:val="center"/>
          </w:tcPr>
          <w:p w14:paraId="63D5F80B">
            <w:pPr>
              <w:spacing w:line="240" w:lineRule="auto"/>
              <w:jc w:val="center"/>
              <w:rPr>
                <w:color w:val="auto"/>
                <w:szCs w:val="21"/>
                <w:highlight w:val="none"/>
              </w:rPr>
            </w:pPr>
            <w:r>
              <w:rPr>
                <w:rFonts w:hAnsi="宋体"/>
                <w:color w:val="auto"/>
                <w:szCs w:val="21"/>
                <w:highlight w:val="none"/>
              </w:rPr>
              <w:t>迅速</w:t>
            </w:r>
            <w:r>
              <w:rPr>
                <w:rFonts w:hint="eastAsia" w:hAnsi="宋体"/>
                <w:color w:val="auto"/>
                <w:szCs w:val="21"/>
                <w:highlight w:val="none"/>
                <w:lang w:eastAsia="zh-CN"/>
              </w:rPr>
              <w:t>地</w:t>
            </w:r>
            <w:r>
              <w:rPr>
                <w:rFonts w:hAnsi="宋体"/>
                <w:color w:val="auto"/>
                <w:szCs w:val="21"/>
                <w:highlight w:val="none"/>
              </w:rPr>
              <w:t>反应时间</w:t>
            </w:r>
          </w:p>
          <w:p w14:paraId="62831E73">
            <w:pPr>
              <w:spacing w:line="240" w:lineRule="auto"/>
              <w:jc w:val="center"/>
              <w:rPr>
                <w:color w:val="auto"/>
                <w:szCs w:val="21"/>
                <w:highlight w:val="none"/>
              </w:rPr>
            </w:pPr>
            <w:r>
              <w:rPr>
                <w:rFonts w:hAnsi="宋体"/>
                <w:color w:val="auto"/>
                <w:szCs w:val="21"/>
                <w:highlight w:val="none"/>
              </w:rPr>
              <w:t>快速</w:t>
            </w:r>
            <w:r>
              <w:rPr>
                <w:rFonts w:hint="eastAsia" w:hAnsi="宋体"/>
                <w:color w:val="auto"/>
                <w:szCs w:val="21"/>
                <w:highlight w:val="none"/>
                <w:lang w:eastAsia="zh-CN"/>
              </w:rPr>
              <w:t>地</w:t>
            </w:r>
            <w:r>
              <w:rPr>
                <w:rFonts w:hAnsi="宋体"/>
                <w:color w:val="auto"/>
                <w:szCs w:val="21"/>
                <w:highlight w:val="none"/>
              </w:rPr>
              <w:t>提供服务</w:t>
            </w:r>
          </w:p>
          <w:p w14:paraId="3A0B0A1A">
            <w:pPr>
              <w:spacing w:line="240" w:lineRule="auto"/>
              <w:jc w:val="center"/>
              <w:rPr>
                <w:color w:val="auto"/>
                <w:szCs w:val="21"/>
                <w:highlight w:val="none"/>
              </w:rPr>
            </w:pPr>
            <w:r>
              <w:rPr>
                <w:rFonts w:hAnsi="宋体"/>
                <w:color w:val="auto"/>
                <w:szCs w:val="21"/>
                <w:highlight w:val="none"/>
              </w:rPr>
              <w:t>（</w:t>
            </w:r>
            <w:r>
              <w:rPr>
                <w:rFonts w:hint="eastAsia"/>
                <w:color w:val="auto"/>
                <w:szCs w:val="21"/>
                <w:highlight w:val="none"/>
                <w:lang w:val="en-US" w:eastAsia="zh-CN"/>
              </w:rPr>
              <w:t>40</w:t>
            </w:r>
            <w:r>
              <w:rPr>
                <w:rFonts w:hAnsi="宋体"/>
                <w:color w:val="auto"/>
                <w:szCs w:val="21"/>
                <w:highlight w:val="none"/>
              </w:rPr>
              <w:t>分）</w:t>
            </w:r>
          </w:p>
        </w:tc>
        <w:tc>
          <w:tcPr>
            <w:tcW w:w="6120" w:type="dxa"/>
            <w:noWrap w:val="0"/>
            <w:vAlign w:val="center"/>
          </w:tcPr>
          <w:p w14:paraId="549267B6">
            <w:pPr>
              <w:spacing w:line="240" w:lineRule="auto"/>
              <w:rPr>
                <w:rFonts w:hint="eastAsia"/>
                <w:color w:val="auto"/>
                <w:szCs w:val="21"/>
                <w:highlight w:val="none"/>
              </w:rPr>
            </w:pPr>
            <w:r>
              <w:rPr>
                <w:rFonts w:hAnsi="宋体"/>
                <w:color w:val="auto"/>
                <w:szCs w:val="21"/>
                <w:highlight w:val="none"/>
              </w:rPr>
              <w:t>咨询类：电话或者当面进行解答，提出</w:t>
            </w:r>
            <w:r>
              <w:rPr>
                <w:rFonts w:hint="eastAsia" w:hAnsi="宋体"/>
                <w:color w:val="auto"/>
                <w:szCs w:val="21"/>
                <w:highlight w:val="none"/>
                <w:lang w:val="en-US" w:eastAsia="zh-CN"/>
              </w:rPr>
              <w:t>相关</w:t>
            </w:r>
            <w:r>
              <w:rPr>
                <w:rFonts w:hAnsi="宋体"/>
                <w:color w:val="auto"/>
                <w:szCs w:val="21"/>
                <w:highlight w:val="none"/>
              </w:rPr>
              <w:t>意见；对于重大事项需要提出书面意见的，应于</w:t>
            </w:r>
            <w:r>
              <w:rPr>
                <w:rFonts w:hint="eastAsia"/>
                <w:color w:val="auto"/>
                <w:szCs w:val="21"/>
                <w:highlight w:val="none"/>
                <w:lang w:val="en-US" w:eastAsia="zh-CN"/>
              </w:rPr>
              <w:t>24</w:t>
            </w:r>
            <w:r>
              <w:rPr>
                <w:rFonts w:hAnsi="宋体"/>
                <w:color w:val="auto"/>
                <w:szCs w:val="21"/>
                <w:highlight w:val="none"/>
              </w:rPr>
              <w:t>小时内对咨询问题出具书面意见书。</w:t>
            </w:r>
            <w:r>
              <w:rPr>
                <w:rFonts w:hint="eastAsia"/>
                <w:color w:val="auto"/>
                <w:szCs w:val="21"/>
                <w:highlight w:val="none"/>
              </w:rPr>
              <w:t>（</w:t>
            </w:r>
            <w:r>
              <w:rPr>
                <w:rFonts w:hint="eastAsia"/>
                <w:color w:val="auto"/>
                <w:szCs w:val="21"/>
                <w:highlight w:val="none"/>
                <w:lang w:val="en-US" w:eastAsia="zh-CN"/>
              </w:rPr>
              <w:t>10</w:t>
            </w:r>
            <w:r>
              <w:rPr>
                <w:rFonts w:hAnsi="宋体"/>
                <w:color w:val="auto"/>
                <w:szCs w:val="21"/>
                <w:highlight w:val="none"/>
              </w:rPr>
              <w:t>分</w:t>
            </w:r>
            <w:r>
              <w:rPr>
                <w:rFonts w:hint="eastAsia"/>
                <w:color w:val="auto"/>
                <w:szCs w:val="21"/>
                <w:highlight w:val="none"/>
              </w:rPr>
              <w:t>）</w:t>
            </w:r>
          </w:p>
        </w:tc>
        <w:tc>
          <w:tcPr>
            <w:tcW w:w="1254" w:type="dxa"/>
            <w:noWrap w:val="0"/>
            <w:vAlign w:val="top"/>
          </w:tcPr>
          <w:p w14:paraId="41447E71">
            <w:pPr>
              <w:spacing w:line="240" w:lineRule="auto"/>
              <w:rPr>
                <w:color w:val="auto"/>
                <w:szCs w:val="21"/>
                <w:highlight w:val="none"/>
              </w:rPr>
            </w:pPr>
          </w:p>
        </w:tc>
      </w:tr>
      <w:tr w14:paraId="3F155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980" w:type="dxa"/>
            <w:vMerge w:val="continue"/>
            <w:noWrap w:val="0"/>
            <w:vAlign w:val="top"/>
          </w:tcPr>
          <w:p w14:paraId="3EA2A077">
            <w:pPr>
              <w:spacing w:line="240" w:lineRule="auto"/>
              <w:rPr>
                <w:color w:val="auto"/>
                <w:szCs w:val="21"/>
                <w:highlight w:val="none"/>
              </w:rPr>
            </w:pPr>
          </w:p>
        </w:tc>
        <w:tc>
          <w:tcPr>
            <w:tcW w:w="6120" w:type="dxa"/>
            <w:noWrap w:val="0"/>
            <w:vAlign w:val="center"/>
          </w:tcPr>
          <w:p w14:paraId="3A9E29DE">
            <w:pPr>
              <w:spacing w:line="240" w:lineRule="auto"/>
              <w:rPr>
                <w:rFonts w:hint="default" w:hAnsi="宋体" w:eastAsia="宋体"/>
                <w:color w:val="auto"/>
                <w:szCs w:val="21"/>
                <w:highlight w:val="none"/>
                <w:lang w:val="en-US" w:eastAsia="zh-CN"/>
              </w:rPr>
            </w:pPr>
            <w:r>
              <w:rPr>
                <w:rFonts w:hint="eastAsia" w:hAnsi="宋体"/>
                <w:color w:val="auto"/>
                <w:szCs w:val="21"/>
                <w:highlight w:val="none"/>
                <w:lang w:val="en-US" w:eastAsia="zh-CN"/>
              </w:rPr>
              <w:t>会议参会：甲方因工作需要乙方参加甲方的工作会议的，乙方应派项目团队成员按时参加。</w:t>
            </w:r>
            <w:r>
              <w:rPr>
                <w:rFonts w:hint="eastAsia"/>
                <w:color w:val="auto"/>
                <w:szCs w:val="21"/>
                <w:highlight w:val="none"/>
              </w:rPr>
              <w:t>（</w:t>
            </w:r>
            <w:r>
              <w:rPr>
                <w:rFonts w:hint="eastAsia"/>
                <w:color w:val="auto"/>
                <w:szCs w:val="21"/>
                <w:highlight w:val="none"/>
                <w:lang w:val="en-US" w:eastAsia="zh-CN"/>
              </w:rPr>
              <w:t>10</w:t>
            </w:r>
            <w:r>
              <w:rPr>
                <w:rFonts w:hAnsi="宋体"/>
                <w:color w:val="auto"/>
                <w:szCs w:val="21"/>
                <w:highlight w:val="none"/>
              </w:rPr>
              <w:t>分</w:t>
            </w:r>
            <w:r>
              <w:rPr>
                <w:rFonts w:hint="eastAsia"/>
                <w:color w:val="auto"/>
                <w:szCs w:val="21"/>
                <w:highlight w:val="none"/>
              </w:rPr>
              <w:t>）</w:t>
            </w:r>
          </w:p>
        </w:tc>
        <w:tc>
          <w:tcPr>
            <w:tcW w:w="1254" w:type="dxa"/>
            <w:noWrap w:val="0"/>
            <w:vAlign w:val="top"/>
          </w:tcPr>
          <w:p w14:paraId="6098DA3E">
            <w:pPr>
              <w:spacing w:line="240" w:lineRule="auto"/>
              <w:rPr>
                <w:color w:val="auto"/>
                <w:szCs w:val="21"/>
                <w:highlight w:val="none"/>
              </w:rPr>
            </w:pPr>
          </w:p>
        </w:tc>
      </w:tr>
      <w:tr w14:paraId="1AAEE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980" w:type="dxa"/>
            <w:vMerge w:val="continue"/>
            <w:noWrap w:val="0"/>
            <w:vAlign w:val="top"/>
          </w:tcPr>
          <w:p w14:paraId="3EAFD984">
            <w:pPr>
              <w:spacing w:line="240" w:lineRule="auto"/>
              <w:rPr>
                <w:color w:val="auto"/>
                <w:szCs w:val="21"/>
                <w:highlight w:val="none"/>
              </w:rPr>
            </w:pPr>
          </w:p>
        </w:tc>
        <w:tc>
          <w:tcPr>
            <w:tcW w:w="6120" w:type="dxa"/>
            <w:noWrap w:val="0"/>
            <w:vAlign w:val="center"/>
          </w:tcPr>
          <w:p w14:paraId="1A539C4F">
            <w:pPr>
              <w:spacing w:line="240" w:lineRule="auto"/>
              <w:rPr>
                <w:rFonts w:hint="default" w:hAnsi="宋体"/>
                <w:color w:val="auto"/>
                <w:szCs w:val="21"/>
                <w:highlight w:val="none"/>
                <w:lang w:val="en-US" w:eastAsia="zh-CN"/>
              </w:rPr>
            </w:pPr>
            <w:r>
              <w:rPr>
                <w:rFonts w:hint="eastAsia" w:hAnsi="宋体"/>
                <w:color w:val="auto"/>
                <w:szCs w:val="21"/>
                <w:highlight w:val="none"/>
                <w:lang w:val="en-US" w:eastAsia="zh-CN"/>
              </w:rPr>
              <w:t>值班出勤：</w:t>
            </w:r>
            <w:r>
              <w:rPr>
                <w:rFonts w:hint="eastAsia" w:ascii="新宋体" w:hAnsi="新宋体" w:eastAsia="新宋体" w:cs="Times New Roman"/>
                <w:color w:val="auto"/>
                <w:sz w:val="22"/>
                <w:szCs w:val="22"/>
                <w:highlight w:val="none"/>
                <w:lang w:val="en-US" w:eastAsia="zh-CN"/>
              </w:rPr>
              <w:t>甲方需要乙方提供现场值班服务的，乙方应派项目团队成员按时参加。（10分）</w:t>
            </w:r>
          </w:p>
        </w:tc>
        <w:tc>
          <w:tcPr>
            <w:tcW w:w="1254" w:type="dxa"/>
            <w:noWrap w:val="0"/>
            <w:vAlign w:val="top"/>
          </w:tcPr>
          <w:p w14:paraId="2949535D">
            <w:pPr>
              <w:spacing w:line="240" w:lineRule="auto"/>
              <w:rPr>
                <w:color w:val="auto"/>
                <w:szCs w:val="21"/>
                <w:highlight w:val="none"/>
              </w:rPr>
            </w:pPr>
          </w:p>
        </w:tc>
      </w:tr>
      <w:tr w14:paraId="477FD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980" w:type="dxa"/>
            <w:vMerge w:val="continue"/>
            <w:tcBorders>
              <w:bottom w:val="single" w:color="auto" w:sz="4" w:space="0"/>
            </w:tcBorders>
            <w:noWrap w:val="0"/>
            <w:vAlign w:val="top"/>
          </w:tcPr>
          <w:p w14:paraId="0DA17E6D">
            <w:pPr>
              <w:spacing w:line="240" w:lineRule="auto"/>
              <w:rPr>
                <w:color w:val="auto"/>
                <w:szCs w:val="21"/>
                <w:highlight w:val="none"/>
              </w:rPr>
            </w:pPr>
          </w:p>
        </w:tc>
        <w:tc>
          <w:tcPr>
            <w:tcW w:w="6120" w:type="dxa"/>
            <w:tcBorders>
              <w:bottom w:val="single" w:color="auto" w:sz="4" w:space="0"/>
            </w:tcBorders>
            <w:noWrap w:val="0"/>
            <w:vAlign w:val="center"/>
          </w:tcPr>
          <w:p w14:paraId="2E028A6E">
            <w:pPr>
              <w:spacing w:line="240" w:lineRule="auto"/>
              <w:rPr>
                <w:rFonts w:hint="eastAsia"/>
                <w:color w:val="auto"/>
                <w:szCs w:val="21"/>
                <w:highlight w:val="none"/>
              </w:rPr>
            </w:pPr>
            <w:r>
              <w:rPr>
                <w:rFonts w:hAnsi="宋体"/>
                <w:color w:val="auto"/>
                <w:szCs w:val="21"/>
                <w:highlight w:val="none"/>
              </w:rPr>
              <w:t>其他：乙方对于甲方提出的服务要求应不超过</w:t>
            </w:r>
            <w:r>
              <w:rPr>
                <w:color w:val="auto"/>
                <w:szCs w:val="21"/>
                <w:highlight w:val="none"/>
              </w:rPr>
              <w:t>24</w:t>
            </w:r>
            <w:r>
              <w:rPr>
                <w:rFonts w:hAnsi="宋体"/>
                <w:color w:val="auto"/>
                <w:szCs w:val="21"/>
                <w:highlight w:val="none"/>
              </w:rPr>
              <w:t>小时内提出答复。</w:t>
            </w:r>
            <w:r>
              <w:rPr>
                <w:rFonts w:hint="eastAsia"/>
                <w:color w:val="auto"/>
                <w:szCs w:val="21"/>
                <w:highlight w:val="none"/>
              </w:rPr>
              <w:t>（</w:t>
            </w:r>
            <w:r>
              <w:rPr>
                <w:rFonts w:hint="eastAsia"/>
                <w:color w:val="auto"/>
                <w:szCs w:val="21"/>
                <w:highlight w:val="none"/>
                <w:lang w:val="en-US" w:eastAsia="zh-CN"/>
              </w:rPr>
              <w:t>10</w:t>
            </w:r>
            <w:r>
              <w:rPr>
                <w:rFonts w:hAnsi="宋体"/>
                <w:color w:val="auto"/>
                <w:szCs w:val="21"/>
                <w:highlight w:val="none"/>
              </w:rPr>
              <w:t>分</w:t>
            </w:r>
            <w:r>
              <w:rPr>
                <w:rFonts w:hint="eastAsia"/>
                <w:color w:val="auto"/>
                <w:szCs w:val="21"/>
                <w:highlight w:val="none"/>
              </w:rPr>
              <w:t>）</w:t>
            </w:r>
          </w:p>
        </w:tc>
        <w:tc>
          <w:tcPr>
            <w:tcW w:w="1254" w:type="dxa"/>
            <w:tcBorders>
              <w:bottom w:val="single" w:color="auto" w:sz="4" w:space="0"/>
            </w:tcBorders>
            <w:noWrap w:val="0"/>
            <w:vAlign w:val="top"/>
          </w:tcPr>
          <w:p w14:paraId="4D954525">
            <w:pPr>
              <w:spacing w:line="240" w:lineRule="auto"/>
              <w:rPr>
                <w:color w:val="auto"/>
                <w:szCs w:val="21"/>
                <w:highlight w:val="none"/>
              </w:rPr>
            </w:pPr>
          </w:p>
        </w:tc>
      </w:tr>
      <w:tr w14:paraId="5EF5A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980" w:type="dxa"/>
            <w:vMerge w:val="restart"/>
            <w:noWrap w:val="0"/>
            <w:vAlign w:val="center"/>
          </w:tcPr>
          <w:p w14:paraId="3DED654B">
            <w:pPr>
              <w:spacing w:line="240" w:lineRule="auto"/>
              <w:jc w:val="center"/>
              <w:rPr>
                <w:color w:val="auto"/>
                <w:szCs w:val="21"/>
                <w:highlight w:val="none"/>
              </w:rPr>
            </w:pPr>
            <w:r>
              <w:rPr>
                <w:rFonts w:hAnsi="宋体"/>
                <w:color w:val="auto"/>
                <w:szCs w:val="21"/>
                <w:highlight w:val="none"/>
              </w:rPr>
              <w:t>良好的服务态度</w:t>
            </w:r>
          </w:p>
          <w:p w14:paraId="67A5661A">
            <w:pPr>
              <w:spacing w:line="240" w:lineRule="auto"/>
              <w:jc w:val="center"/>
              <w:rPr>
                <w:color w:val="auto"/>
                <w:szCs w:val="21"/>
                <w:highlight w:val="none"/>
              </w:rPr>
            </w:pPr>
            <w:r>
              <w:rPr>
                <w:rFonts w:hAnsi="宋体"/>
                <w:color w:val="auto"/>
                <w:szCs w:val="21"/>
                <w:highlight w:val="none"/>
              </w:rPr>
              <w:t>（</w:t>
            </w:r>
            <w:r>
              <w:rPr>
                <w:color w:val="auto"/>
                <w:szCs w:val="21"/>
                <w:highlight w:val="none"/>
              </w:rPr>
              <w:t>1</w:t>
            </w:r>
            <w:r>
              <w:rPr>
                <w:rFonts w:hint="eastAsia"/>
                <w:color w:val="auto"/>
                <w:szCs w:val="21"/>
                <w:highlight w:val="none"/>
                <w:lang w:val="en-US" w:eastAsia="zh-CN"/>
              </w:rPr>
              <w:t>5</w:t>
            </w:r>
            <w:r>
              <w:rPr>
                <w:rFonts w:hAnsi="宋体"/>
                <w:color w:val="auto"/>
                <w:szCs w:val="21"/>
                <w:highlight w:val="none"/>
              </w:rPr>
              <w:t>分）</w:t>
            </w:r>
          </w:p>
        </w:tc>
        <w:tc>
          <w:tcPr>
            <w:tcW w:w="6120" w:type="dxa"/>
            <w:noWrap w:val="0"/>
            <w:vAlign w:val="center"/>
          </w:tcPr>
          <w:p w14:paraId="4B5A80A9">
            <w:pPr>
              <w:spacing w:line="240" w:lineRule="auto"/>
              <w:rPr>
                <w:rFonts w:hint="eastAsia"/>
                <w:color w:val="auto"/>
                <w:szCs w:val="21"/>
                <w:highlight w:val="none"/>
              </w:rPr>
            </w:pPr>
            <w:r>
              <w:rPr>
                <w:rFonts w:hAnsi="宋体"/>
                <w:color w:val="auto"/>
                <w:szCs w:val="21"/>
                <w:highlight w:val="none"/>
              </w:rPr>
              <w:t>在接受咨询及提供服务过程中，态度热情，积极主动，反应迅速及时，不拖延，不推诿。</w:t>
            </w:r>
            <w:r>
              <w:rPr>
                <w:rFonts w:hint="eastAsia"/>
                <w:color w:val="auto"/>
                <w:szCs w:val="21"/>
                <w:highlight w:val="none"/>
              </w:rPr>
              <w:t>（</w:t>
            </w:r>
            <w:r>
              <w:rPr>
                <w:rFonts w:hint="eastAsia"/>
                <w:color w:val="auto"/>
                <w:szCs w:val="21"/>
                <w:highlight w:val="none"/>
                <w:lang w:val="en-US" w:eastAsia="zh-CN"/>
              </w:rPr>
              <w:t>5</w:t>
            </w:r>
            <w:r>
              <w:rPr>
                <w:rFonts w:hAnsi="宋体"/>
                <w:color w:val="auto"/>
                <w:szCs w:val="21"/>
                <w:highlight w:val="none"/>
              </w:rPr>
              <w:t>分</w:t>
            </w:r>
            <w:r>
              <w:rPr>
                <w:rFonts w:hint="eastAsia"/>
                <w:color w:val="auto"/>
                <w:szCs w:val="21"/>
                <w:highlight w:val="none"/>
              </w:rPr>
              <w:t>）</w:t>
            </w:r>
          </w:p>
        </w:tc>
        <w:tc>
          <w:tcPr>
            <w:tcW w:w="1254" w:type="dxa"/>
            <w:noWrap w:val="0"/>
            <w:vAlign w:val="top"/>
          </w:tcPr>
          <w:p w14:paraId="4EDAB16D">
            <w:pPr>
              <w:spacing w:line="240" w:lineRule="auto"/>
              <w:jc w:val="center"/>
              <w:rPr>
                <w:color w:val="auto"/>
                <w:szCs w:val="21"/>
                <w:highlight w:val="none"/>
              </w:rPr>
            </w:pPr>
          </w:p>
        </w:tc>
      </w:tr>
      <w:tr w14:paraId="76A5E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980" w:type="dxa"/>
            <w:vMerge w:val="continue"/>
            <w:noWrap w:val="0"/>
            <w:vAlign w:val="top"/>
          </w:tcPr>
          <w:p w14:paraId="6B9FD309">
            <w:pPr>
              <w:spacing w:line="240" w:lineRule="auto"/>
              <w:rPr>
                <w:color w:val="auto"/>
                <w:szCs w:val="21"/>
                <w:highlight w:val="none"/>
              </w:rPr>
            </w:pPr>
          </w:p>
        </w:tc>
        <w:tc>
          <w:tcPr>
            <w:tcW w:w="6120" w:type="dxa"/>
            <w:noWrap w:val="0"/>
            <w:vAlign w:val="center"/>
          </w:tcPr>
          <w:p w14:paraId="1E4BFEDD">
            <w:pPr>
              <w:spacing w:line="240" w:lineRule="auto"/>
              <w:rPr>
                <w:rFonts w:hint="eastAsia"/>
                <w:color w:val="auto"/>
                <w:szCs w:val="21"/>
                <w:highlight w:val="none"/>
              </w:rPr>
            </w:pPr>
            <w:r>
              <w:rPr>
                <w:rFonts w:hAnsi="宋体"/>
                <w:color w:val="auto"/>
                <w:szCs w:val="21"/>
                <w:highlight w:val="none"/>
              </w:rPr>
              <w:t>乙方应在</w:t>
            </w:r>
            <w:r>
              <w:rPr>
                <w:rFonts w:hint="eastAsia" w:hAnsi="宋体"/>
                <w:strike w:val="0"/>
                <w:dstrike w:val="0"/>
                <w:color w:val="auto"/>
                <w:szCs w:val="21"/>
                <w:highlight w:val="none"/>
                <w:lang w:eastAsia="zh-CN"/>
              </w:rPr>
              <w:t>服务期</w:t>
            </w:r>
            <w:r>
              <w:rPr>
                <w:rFonts w:hAnsi="宋体"/>
                <w:color w:val="auto"/>
                <w:szCs w:val="21"/>
                <w:highlight w:val="none"/>
              </w:rPr>
              <w:t>内向甲方提供优质热忱的服务；在工作时间外，乙方应保证手机等通讯方式畅通，随时能协助甲方处理紧急情况及突发事件。</w:t>
            </w:r>
            <w:r>
              <w:rPr>
                <w:rFonts w:hint="eastAsia"/>
                <w:color w:val="auto"/>
                <w:szCs w:val="21"/>
                <w:highlight w:val="none"/>
              </w:rPr>
              <w:t>（</w:t>
            </w:r>
            <w:r>
              <w:rPr>
                <w:rFonts w:hint="eastAsia"/>
                <w:color w:val="auto"/>
                <w:szCs w:val="21"/>
                <w:highlight w:val="none"/>
                <w:lang w:val="en-US" w:eastAsia="zh-CN"/>
              </w:rPr>
              <w:t>5</w:t>
            </w:r>
            <w:r>
              <w:rPr>
                <w:rFonts w:hAnsi="宋体"/>
                <w:color w:val="auto"/>
                <w:szCs w:val="21"/>
                <w:highlight w:val="none"/>
              </w:rPr>
              <w:t>分</w:t>
            </w:r>
            <w:r>
              <w:rPr>
                <w:rFonts w:hint="eastAsia"/>
                <w:color w:val="auto"/>
                <w:szCs w:val="21"/>
                <w:highlight w:val="none"/>
              </w:rPr>
              <w:t>）</w:t>
            </w:r>
          </w:p>
        </w:tc>
        <w:tc>
          <w:tcPr>
            <w:tcW w:w="1254" w:type="dxa"/>
            <w:noWrap w:val="0"/>
            <w:vAlign w:val="top"/>
          </w:tcPr>
          <w:p w14:paraId="7762B42F">
            <w:pPr>
              <w:spacing w:line="240" w:lineRule="auto"/>
              <w:rPr>
                <w:color w:val="auto"/>
                <w:szCs w:val="21"/>
                <w:highlight w:val="none"/>
              </w:rPr>
            </w:pPr>
          </w:p>
        </w:tc>
      </w:tr>
      <w:tr w14:paraId="711B4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980" w:type="dxa"/>
            <w:vMerge w:val="continue"/>
            <w:noWrap w:val="0"/>
            <w:vAlign w:val="top"/>
          </w:tcPr>
          <w:p w14:paraId="6238B9D7">
            <w:pPr>
              <w:spacing w:line="240" w:lineRule="auto"/>
              <w:rPr>
                <w:color w:val="auto"/>
                <w:szCs w:val="21"/>
                <w:highlight w:val="none"/>
              </w:rPr>
            </w:pPr>
          </w:p>
        </w:tc>
        <w:tc>
          <w:tcPr>
            <w:tcW w:w="6120" w:type="dxa"/>
            <w:noWrap w:val="0"/>
            <w:vAlign w:val="center"/>
          </w:tcPr>
          <w:p w14:paraId="52F80367">
            <w:pPr>
              <w:spacing w:line="240" w:lineRule="auto"/>
              <w:rPr>
                <w:rFonts w:hint="eastAsia"/>
                <w:color w:val="auto"/>
                <w:szCs w:val="21"/>
                <w:highlight w:val="none"/>
              </w:rPr>
            </w:pPr>
            <w:r>
              <w:rPr>
                <w:rFonts w:hAnsi="宋体"/>
                <w:color w:val="auto"/>
                <w:szCs w:val="21"/>
                <w:highlight w:val="none"/>
              </w:rPr>
              <w:t>在与外界进行交涉时，着装正规整洁，热情大方，使用礼貌用语，维护甲方良好社会形象。</w:t>
            </w:r>
            <w:r>
              <w:rPr>
                <w:rFonts w:hint="eastAsia"/>
                <w:color w:val="auto"/>
                <w:szCs w:val="21"/>
                <w:highlight w:val="none"/>
              </w:rPr>
              <w:t>（</w:t>
            </w:r>
            <w:r>
              <w:rPr>
                <w:color w:val="auto"/>
                <w:szCs w:val="21"/>
                <w:highlight w:val="none"/>
              </w:rPr>
              <w:t>5</w:t>
            </w:r>
            <w:r>
              <w:rPr>
                <w:rFonts w:hAnsi="宋体"/>
                <w:color w:val="auto"/>
                <w:szCs w:val="21"/>
                <w:highlight w:val="none"/>
              </w:rPr>
              <w:t>分</w:t>
            </w:r>
            <w:r>
              <w:rPr>
                <w:rFonts w:hint="eastAsia"/>
                <w:color w:val="auto"/>
                <w:szCs w:val="21"/>
                <w:highlight w:val="none"/>
              </w:rPr>
              <w:t>）</w:t>
            </w:r>
          </w:p>
        </w:tc>
        <w:tc>
          <w:tcPr>
            <w:tcW w:w="1254" w:type="dxa"/>
            <w:noWrap w:val="0"/>
            <w:vAlign w:val="top"/>
          </w:tcPr>
          <w:p w14:paraId="57F6ED68">
            <w:pPr>
              <w:spacing w:line="240" w:lineRule="auto"/>
              <w:rPr>
                <w:color w:val="auto"/>
                <w:szCs w:val="21"/>
                <w:highlight w:val="none"/>
              </w:rPr>
            </w:pPr>
          </w:p>
        </w:tc>
      </w:tr>
      <w:tr w14:paraId="21C42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980" w:type="dxa"/>
            <w:vMerge w:val="restart"/>
            <w:noWrap w:val="0"/>
            <w:vAlign w:val="center"/>
          </w:tcPr>
          <w:p w14:paraId="066F2DF5">
            <w:pPr>
              <w:spacing w:line="240" w:lineRule="auto"/>
              <w:jc w:val="center"/>
              <w:rPr>
                <w:rFonts w:hint="eastAsia" w:eastAsia="宋体"/>
                <w:color w:val="auto"/>
                <w:szCs w:val="21"/>
                <w:highlight w:val="none"/>
                <w:lang w:eastAsia="zh-CN"/>
              </w:rPr>
            </w:pPr>
            <w:r>
              <w:rPr>
                <w:rFonts w:hAnsi="宋体"/>
                <w:color w:val="auto"/>
                <w:szCs w:val="21"/>
                <w:highlight w:val="none"/>
              </w:rPr>
              <w:t>工作</w:t>
            </w:r>
            <w:r>
              <w:rPr>
                <w:rFonts w:hint="eastAsia" w:hAnsi="宋体"/>
                <w:color w:val="auto"/>
                <w:szCs w:val="21"/>
                <w:highlight w:val="none"/>
                <w:lang w:val="en-US" w:eastAsia="zh-CN"/>
              </w:rPr>
              <w:t>表现</w:t>
            </w:r>
          </w:p>
          <w:p w14:paraId="30309A73">
            <w:pPr>
              <w:spacing w:line="240" w:lineRule="auto"/>
              <w:jc w:val="center"/>
              <w:rPr>
                <w:color w:val="auto"/>
                <w:szCs w:val="21"/>
                <w:highlight w:val="none"/>
              </w:rPr>
            </w:pPr>
            <w:r>
              <w:rPr>
                <w:rFonts w:hAnsi="宋体"/>
                <w:color w:val="auto"/>
                <w:szCs w:val="21"/>
                <w:highlight w:val="none"/>
              </w:rPr>
              <w:t>（</w:t>
            </w:r>
            <w:r>
              <w:rPr>
                <w:rFonts w:hint="eastAsia"/>
                <w:color w:val="auto"/>
                <w:szCs w:val="21"/>
                <w:highlight w:val="none"/>
                <w:lang w:val="en-US" w:eastAsia="zh-CN"/>
              </w:rPr>
              <w:t>35</w:t>
            </w:r>
            <w:r>
              <w:rPr>
                <w:rFonts w:hAnsi="宋体"/>
                <w:color w:val="auto"/>
                <w:szCs w:val="21"/>
                <w:highlight w:val="none"/>
              </w:rPr>
              <w:t>分）</w:t>
            </w:r>
          </w:p>
        </w:tc>
        <w:tc>
          <w:tcPr>
            <w:tcW w:w="6120" w:type="dxa"/>
            <w:tcBorders>
              <w:bottom w:val="single" w:color="auto" w:sz="4" w:space="0"/>
            </w:tcBorders>
            <w:noWrap w:val="0"/>
            <w:vAlign w:val="center"/>
          </w:tcPr>
          <w:p w14:paraId="4BE5175B">
            <w:pPr>
              <w:spacing w:line="240" w:lineRule="auto"/>
              <w:rPr>
                <w:rFonts w:hint="eastAsia"/>
                <w:color w:val="auto"/>
                <w:szCs w:val="21"/>
                <w:highlight w:val="none"/>
              </w:rPr>
            </w:pPr>
            <w:r>
              <w:rPr>
                <w:rFonts w:hAnsi="宋体"/>
                <w:color w:val="auto"/>
                <w:szCs w:val="21"/>
                <w:highlight w:val="none"/>
              </w:rPr>
              <w:t>在</w:t>
            </w:r>
            <w:r>
              <w:rPr>
                <w:rFonts w:hint="eastAsia" w:hAnsi="宋体"/>
                <w:color w:val="auto"/>
                <w:szCs w:val="21"/>
                <w:highlight w:val="none"/>
                <w:lang w:val="en-US" w:eastAsia="zh-CN"/>
              </w:rPr>
              <w:t>服务期</w:t>
            </w:r>
            <w:r>
              <w:rPr>
                <w:rFonts w:hAnsi="宋体"/>
                <w:color w:val="auto"/>
                <w:szCs w:val="21"/>
                <w:highlight w:val="none"/>
              </w:rPr>
              <w:t>中，准确无误地解答</w:t>
            </w:r>
            <w:r>
              <w:rPr>
                <w:rFonts w:hint="eastAsia" w:hAnsi="宋体"/>
                <w:color w:val="auto"/>
                <w:szCs w:val="21"/>
                <w:highlight w:val="none"/>
                <w:lang w:val="en-US" w:eastAsia="zh-CN"/>
              </w:rPr>
              <w:t>当事人</w:t>
            </w:r>
            <w:r>
              <w:rPr>
                <w:rFonts w:hAnsi="宋体"/>
                <w:color w:val="auto"/>
                <w:szCs w:val="21"/>
                <w:highlight w:val="none"/>
              </w:rPr>
              <w:t>提出的相关疑问，提出</w:t>
            </w:r>
            <w:r>
              <w:rPr>
                <w:rFonts w:hint="eastAsia" w:hAnsi="宋体"/>
                <w:color w:val="auto"/>
                <w:szCs w:val="21"/>
                <w:highlight w:val="none"/>
                <w:lang w:val="en-US" w:eastAsia="zh-CN"/>
              </w:rPr>
              <w:t>相关</w:t>
            </w:r>
            <w:r>
              <w:rPr>
                <w:rFonts w:hAnsi="宋体"/>
                <w:color w:val="auto"/>
                <w:szCs w:val="21"/>
                <w:highlight w:val="none"/>
              </w:rPr>
              <w:t>依据，通过乙方的工作，能够切实解答</w:t>
            </w:r>
            <w:r>
              <w:rPr>
                <w:rFonts w:hint="eastAsia" w:hAnsi="宋体"/>
                <w:color w:val="auto"/>
                <w:szCs w:val="21"/>
                <w:highlight w:val="none"/>
                <w:lang w:val="en-US" w:eastAsia="zh-CN"/>
              </w:rPr>
              <w:t>当事人</w:t>
            </w:r>
            <w:r>
              <w:rPr>
                <w:rFonts w:hAnsi="宋体"/>
                <w:color w:val="auto"/>
                <w:szCs w:val="21"/>
                <w:highlight w:val="none"/>
              </w:rPr>
              <w:t>的疑问。</w:t>
            </w:r>
            <w:r>
              <w:rPr>
                <w:rFonts w:hint="eastAsia"/>
                <w:color w:val="auto"/>
                <w:szCs w:val="21"/>
                <w:highlight w:val="none"/>
              </w:rPr>
              <w:t>（</w:t>
            </w:r>
            <w:r>
              <w:rPr>
                <w:color w:val="auto"/>
                <w:szCs w:val="21"/>
                <w:highlight w:val="none"/>
              </w:rPr>
              <w:t>10</w:t>
            </w:r>
            <w:r>
              <w:rPr>
                <w:rFonts w:hAnsi="宋体"/>
                <w:color w:val="auto"/>
                <w:szCs w:val="21"/>
                <w:highlight w:val="none"/>
              </w:rPr>
              <w:t>分</w:t>
            </w:r>
            <w:r>
              <w:rPr>
                <w:rFonts w:hint="eastAsia"/>
                <w:color w:val="auto"/>
                <w:szCs w:val="21"/>
                <w:highlight w:val="none"/>
              </w:rPr>
              <w:t>）</w:t>
            </w:r>
          </w:p>
        </w:tc>
        <w:tc>
          <w:tcPr>
            <w:tcW w:w="1254" w:type="dxa"/>
            <w:tcBorders>
              <w:bottom w:val="single" w:color="auto" w:sz="4" w:space="0"/>
            </w:tcBorders>
            <w:noWrap w:val="0"/>
            <w:vAlign w:val="top"/>
          </w:tcPr>
          <w:p w14:paraId="4FCDD512">
            <w:pPr>
              <w:spacing w:line="240" w:lineRule="auto"/>
              <w:rPr>
                <w:color w:val="auto"/>
                <w:szCs w:val="21"/>
                <w:highlight w:val="none"/>
              </w:rPr>
            </w:pPr>
          </w:p>
        </w:tc>
      </w:tr>
      <w:tr w14:paraId="7A591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980" w:type="dxa"/>
            <w:vMerge w:val="continue"/>
            <w:noWrap w:val="0"/>
            <w:vAlign w:val="center"/>
          </w:tcPr>
          <w:p w14:paraId="0FF0D70C">
            <w:pPr>
              <w:spacing w:line="240" w:lineRule="auto"/>
              <w:jc w:val="center"/>
              <w:rPr>
                <w:color w:val="auto"/>
                <w:szCs w:val="21"/>
                <w:highlight w:val="none"/>
              </w:rPr>
            </w:pPr>
          </w:p>
        </w:tc>
        <w:tc>
          <w:tcPr>
            <w:tcW w:w="6120" w:type="dxa"/>
            <w:tcBorders>
              <w:bottom w:val="single" w:color="auto" w:sz="4" w:space="0"/>
            </w:tcBorders>
            <w:noWrap w:val="0"/>
            <w:vAlign w:val="center"/>
          </w:tcPr>
          <w:p w14:paraId="2CA04B7E">
            <w:pPr>
              <w:spacing w:line="240" w:lineRule="auto"/>
              <w:rPr>
                <w:rFonts w:hint="eastAsia"/>
                <w:color w:val="auto"/>
                <w:szCs w:val="21"/>
                <w:highlight w:val="none"/>
              </w:rPr>
            </w:pPr>
            <w:r>
              <w:rPr>
                <w:rFonts w:hAnsi="宋体"/>
                <w:color w:val="auto"/>
                <w:szCs w:val="21"/>
                <w:highlight w:val="none"/>
              </w:rPr>
              <w:t>乙方服务期间，</w:t>
            </w:r>
            <w:r>
              <w:rPr>
                <w:rFonts w:hint="eastAsia" w:hAnsi="宋体"/>
                <w:color w:val="auto"/>
                <w:szCs w:val="21"/>
                <w:highlight w:val="none"/>
                <w:lang w:val="en-US" w:eastAsia="zh-CN"/>
              </w:rPr>
              <w:t>及时进行纠纷化解工作</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及时进行回访，</w:t>
            </w:r>
            <w:r>
              <w:rPr>
                <w:rFonts w:hint="eastAsia" w:ascii="宋体" w:hAnsi="宋体" w:eastAsia="宋体" w:cs="宋体"/>
                <w:color w:val="auto"/>
                <w:sz w:val="22"/>
                <w:szCs w:val="22"/>
                <w:highlight w:val="none"/>
              </w:rPr>
              <w:t>汇总所有相关文件，</w:t>
            </w:r>
            <w:r>
              <w:rPr>
                <w:rFonts w:hint="eastAsia" w:ascii="宋体" w:hAnsi="宋体" w:eastAsia="宋体" w:cs="宋体"/>
                <w:color w:val="auto"/>
                <w:sz w:val="22"/>
                <w:szCs w:val="22"/>
                <w:highlight w:val="none"/>
                <w:lang w:val="en-US" w:eastAsia="zh-CN"/>
              </w:rPr>
              <w:t>建立工作台账</w:t>
            </w:r>
            <w:r>
              <w:rPr>
                <w:rFonts w:hAnsi="宋体"/>
                <w:color w:val="auto"/>
                <w:szCs w:val="21"/>
                <w:highlight w:val="none"/>
              </w:rPr>
              <w:t>。</w:t>
            </w:r>
            <w:r>
              <w:rPr>
                <w:rFonts w:hint="eastAsia"/>
                <w:color w:val="auto"/>
                <w:szCs w:val="21"/>
                <w:highlight w:val="none"/>
              </w:rPr>
              <w:t>（</w:t>
            </w:r>
            <w:r>
              <w:rPr>
                <w:rFonts w:hint="eastAsia"/>
                <w:color w:val="auto"/>
                <w:szCs w:val="21"/>
                <w:highlight w:val="none"/>
                <w:lang w:val="en-US" w:eastAsia="zh-CN"/>
              </w:rPr>
              <w:t>25</w:t>
            </w:r>
            <w:r>
              <w:rPr>
                <w:rFonts w:hAnsi="宋体"/>
                <w:color w:val="auto"/>
                <w:szCs w:val="21"/>
                <w:highlight w:val="none"/>
              </w:rPr>
              <w:t>分</w:t>
            </w:r>
            <w:r>
              <w:rPr>
                <w:rFonts w:hint="eastAsia"/>
                <w:color w:val="auto"/>
                <w:szCs w:val="21"/>
                <w:highlight w:val="none"/>
              </w:rPr>
              <w:t>）</w:t>
            </w:r>
          </w:p>
        </w:tc>
        <w:tc>
          <w:tcPr>
            <w:tcW w:w="1254" w:type="dxa"/>
            <w:tcBorders>
              <w:bottom w:val="single" w:color="auto" w:sz="4" w:space="0"/>
            </w:tcBorders>
            <w:noWrap w:val="0"/>
            <w:vAlign w:val="top"/>
          </w:tcPr>
          <w:p w14:paraId="74F45004">
            <w:pPr>
              <w:spacing w:line="240" w:lineRule="auto"/>
              <w:rPr>
                <w:color w:val="auto"/>
                <w:szCs w:val="21"/>
                <w:highlight w:val="none"/>
              </w:rPr>
            </w:pPr>
          </w:p>
        </w:tc>
      </w:tr>
      <w:tr w14:paraId="478BD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980" w:type="dxa"/>
            <w:vMerge w:val="restart"/>
            <w:noWrap w:val="0"/>
            <w:vAlign w:val="center"/>
          </w:tcPr>
          <w:p w14:paraId="33209CD1">
            <w:pPr>
              <w:spacing w:line="240" w:lineRule="auto"/>
              <w:jc w:val="center"/>
              <w:rPr>
                <w:color w:val="auto"/>
                <w:szCs w:val="21"/>
                <w:highlight w:val="none"/>
              </w:rPr>
            </w:pPr>
            <w:r>
              <w:rPr>
                <w:rFonts w:hAnsi="宋体"/>
                <w:color w:val="auto"/>
                <w:szCs w:val="21"/>
                <w:highlight w:val="none"/>
              </w:rPr>
              <w:t>良好的职业道德</w:t>
            </w:r>
          </w:p>
          <w:p w14:paraId="5B110714">
            <w:pPr>
              <w:spacing w:line="240" w:lineRule="auto"/>
              <w:jc w:val="center"/>
              <w:rPr>
                <w:color w:val="auto"/>
                <w:szCs w:val="21"/>
                <w:highlight w:val="none"/>
              </w:rPr>
            </w:pPr>
            <w:r>
              <w:rPr>
                <w:rFonts w:hAnsi="宋体"/>
                <w:color w:val="auto"/>
                <w:szCs w:val="21"/>
                <w:highlight w:val="none"/>
              </w:rPr>
              <w:t>（</w:t>
            </w:r>
            <w:r>
              <w:rPr>
                <w:rFonts w:hint="eastAsia"/>
                <w:color w:val="auto"/>
                <w:szCs w:val="21"/>
                <w:highlight w:val="none"/>
                <w:lang w:val="en-US" w:eastAsia="zh-CN"/>
              </w:rPr>
              <w:t>10</w:t>
            </w:r>
            <w:r>
              <w:rPr>
                <w:rFonts w:hAnsi="宋体"/>
                <w:color w:val="auto"/>
                <w:szCs w:val="21"/>
                <w:highlight w:val="none"/>
              </w:rPr>
              <w:t>分）</w:t>
            </w:r>
          </w:p>
        </w:tc>
        <w:tc>
          <w:tcPr>
            <w:tcW w:w="6120" w:type="dxa"/>
            <w:tcBorders>
              <w:bottom w:val="single" w:color="auto" w:sz="4" w:space="0"/>
            </w:tcBorders>
            <w:noWrap w:val="0"/>
            <w:vAlign w:val="center"/>
          </w:tcPr>
          <w:p w14:paraId="4B0F7711">
            <w:pPr>
              <w:spacing w:line="240" w:lineRule="auto"/>
              <w:rPr>
                <w:rFonts w:hint="eastAsia"/>
                <w:color w:val="auto"/>
                <w:szCs w:val="21"/>
                <w:highlight w:val="none"/>
              </w:rPr>
            </w:pPr>
            <w:r>
              <w:rPr>
                <w:rFonts w:hAnsi="宋体"/>
                <w:color w:val="auto"/>
                <w:szCs w:val="21"/>
                <w:highlight w:val="none"/>
              </w:rPr>
              <w:t>乙方因工作关系接触到甲方的机密</w:t>
            </w:r>
            <w:r>
              <w:rPr>
                <w:rFonts w:hint="eastAsia" w:hAnsi="宋体"/>
                <w:color w:val="auto"/>
                <w:szCs w:val="21"/>
                <w:highlight w:val="none"/>
                <w:lang w:val="en-US" w:eastAsia="zh-CN"/>
              </w:rPr>
              <w:t>文件</w:t>
            </w:r>
            <w:r>
              <w:rPr>
                <w:rFonts w:hAnsi="宋体"/>
                <w:color w:val="auto"/>
                <w:szCs w:val="21"/>
                <w:highlight w:val="none"/>
              </w:rPr>
              <w:t>、隐私</w:t>
            </w:r>
            <w:r>
              <w:rPr>
                <w:rFonts w:hint="eastAsia" w:hAnsi="宋体"/>
                <w:color w:val="auto"/>
                <w:szCs w:val="21"/>
                <w:highlight w:val="none"/>
                <w:lang w:val="en-US" w:eastAsia="zh-CN"/>
              </w:rPr>
              <w:t>信息</w:t>
            </w:r>
            <w:r>
              <w:rPr>
                <w:rFonts w:hAnsi="宋体"/>
                <w:color w:val="auto"/>
                <w:szCs w:val="21"/>
                <w:highlight w:val="none"/>
              </w:rPr>
              <w:t>，具有保密义务，因泄露给甲方造成损失，依法承担赔偿责任。</w:t>
            </w:r>
            <w:r>
              <w:rPr>
                <w:rFonts w:hint="eastAsia"/>
                <w:color w:val="auto"/>
                <w:szCs w:val="21"/>
                <w:highlight w:val="none"/>
              </w:rPr>
              <w:t>（</w:t>
            </w:r>
            <w:r>
              <w:rPr>
                <w:rFonts w:hint="eastAsia"/>
                <w:color w:val="auto"/>
                <w:szCs w:val="21"/>
                <w:highlight w:val="none"/>
                <w:lang w:val="en-US" w:eastAsia="zh-CN"/>
              </w:rPr>
              <w:t>5</w:t>
            </w:r>
            <w:r>
              <w:rPr>
                <w:rFonts w:hAnsi="宋体"/>
                <w:color w:val="auto"/>
                <w:szCs w:val="21"/>
                <w:highlight w:val="none"/>
              </w:rPr>
              <w:t>分</w:t>
            </w:r>
            <w:r>
              <w:rPr>
                <w:rFonts w:hint="eastAsia"/>
                <w:color w:val="auto"/>
                <w:szCs w:val="21"/>
                <w:highlight w:val="none"/>
              </w:rPr>
              <w:t>）</w:t>
            </w:r>
          </w:p>
        </w:tc>
        <w:tc>
          <w:tcPr>
            <w:tcW w:w="1254" w:type="dxa"/>
            <w:tcBorders>
              <w:bottom w:val="single" w:color="auto" w:sz="4" w:space="0"/>
            </w:tcBorders>
            <w:noWrap w:val="0"/>
            <w:vAlign w:val="top"/>
          </w:tcPr>
          <w:p w14:paraId="3ED0039B">
            <w:pPr>
              <w:spacing w:line="240" w:lineRule="auto"/>
              <w:rPr>
                <w:color w:val="auto"/>
                <w:szCs w:val="21"/>
                <w:highlight w:val="none"/>
              </w:rPr>
            </w:pPr>
          </w:p>
        </w:tc>
      </w:tr>
      <w:tr w14:paraId="0981D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980" w:type="dxa"/>
            <w:vMerge w:val="continue"/>
            <w:noWrap w:val="0"/>
            <w:vAlign w:val="center"/>
          </w:tcPr>
          <w:p w14:paraId="01EDAADB">
            <w:pPr>
              <w:spacing w:line="240" w:lineRule="auto"/>
              <w:jc w:val="center"/>
              <w:rPr>
                <w:color w:val="auto"/>
                <w:szCs w:val="21"/>
                <w:highlight w:val="none"/>
              </w:rPr>
            </w:pPr>
          </w:p>
        </w:tc>
        <w:tc>
          <w:tcPr>
            <w:tcW w:w="6120" w:type="dxa"/>
            <w:tcBorders>
              <w:bottom w:val="single" w:color="auto" w:sz="4" w:space="0"/>
            </w:tcBorders>
            <w:noWrap w:val="0"/>
            <w:vAlign w:val="center"/>
          </w:tcPr>
          <w:p w14:paraId="1F06D94E">
            <w:pPr>
              <w:spacing w:line="240" w:lineRule="auto"/>
              <w:rPr>
                <w:rFonts w:hint="eastAsia"/>
                <w:color w:val="auto"/>
                <w:szCs w:val="21"/>
                <w:highlight w:val="none"/>
              </w:rPr>
            </w:pPr>
            <w:r>
              <w:rPr>
                <w:rFonts w:hAnsi="宋体"/>
                <w:color w:val="auto"/>
                <w:szCs w:val="21"/>
                <w:highlight w:val="none"/>
              </w:rPr>
              <w:t>乙方</w:t>
            </w:r>
            <w:r>
              <w:rPr>
                <w:rFonts w:hint="eastAsia" w:hAnsi="宋体"/>
                <w:color w:val="auto"/>
                <w:szCs w:val="21"/>
                <w:highlight w:val="none"/>
                <w:lang w:val="en-US" w:eastAsia="zh-CN"/>
              </w:rPr>
              <w:t>在服务期内</w:t>
            </w:r>
            <w:r>
              <w:rPr>
                <w:rFonts w:hAnsi="宋体"/>
                <w:color w:val="auto"/>
                <w:szCs w:val="21"/>
                <w:highlight w:val="none"/>
              </w:rPr>
              <w:t>，不得从事有损甲方利益的活动。</w:t>
            </w:r>
            <w:r>
              <w:rPr>
                <w:rFonts w:hint="eastAsia"/>
                <w:color w:val="auto"/>
                <w:szCs w:val="21"/>
                <w:highlight w:val="none"/>
              </w:rPr>
              <w:t>（</w:t>
            </w:r>
            <w:r>
              <w:rPr>
                <w:rFonts w:hint="eastAsia"/>
                <w:color w:val="auto"/>
                <w:szCs w:val="21"/>
                <w:highlight w:val="none"/>
                <w:lang w:val="en-US" w:eastAsia="zh-CN"/>
              </w:rPr>
              <w:t>3</w:t>
            </w:r>
            <w:r>
              <w:rPr>
                <w:rFonts w:hAnsi="宋体"/>
                <w:color w:val="auto"/>
                <w:szCs w:val="21"/>
                <w:highlight w:val="none"/>
              </w:rPr>
              <w:t>分</w:t>
            </w:r>
            <w:r>
              <w:rPr>
                <w:rFonts w:hint="eastAsia"/>
                <w:color w:val="auto"/>
                <w:szCs w:val="21"/>
                <w:highlight w:val="none"/>
              </w:rPr>
              <w:t>）</w:t>
            </w:r>
          </w:p>
        </w:tc>
        <w:tc>
          <w:tcPr>
            <w:tcW w:w="1254" w:type="dxa"/>
            <w:tcBorders>
              <w:bottom w:val="single" w:color="auto" w:sz="4" w:space="0"/>
            </w:tcBorders>
            <w:noWrap w:val="0"/>
            <w:vAlign w:val="top"/>
          </w:tcPr>
          <w:p w14:paraId="343B86FA">
            <w:pPr>
              <w:spacing w:line="240" w:lineRule="auto"/>
              <w:rPr>
                <w:color w:val="auto"/>
                <w:szCs w:val="21"/>
                <w:highlight w:val="none"/>
              </w:rPr>
            </w:pPr>
          </w:p>
        </w:tc>
      </w:tr>
      <w:tr w14:paraId="53A94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980" w:type="dxa"/>
            <w:vMerge w:val="continue"/>
            <w:tcBorders>
              <w:bottom w:val="single" w:color="auto" w:sz="4" w:space="0"/>
            </w:tcBorders>
            <w:noWrap w:val="0"/>
            <w:vAlign w:val="center"/>
          </w:tcPr>
          <w:p w14:paraId="708575DA">
            <w:pPr>
              <w:spacing w:line="240" w:lineRule="auto"/>
              <w:jc w:val="center"/>
              <w:rPr>
                <w:color w:val="auto"/>
                <w:szCs w:val="21"/>
                <w:highlight w:val="none"/>
              </w:rPr>
            </w:pPr>
          </w:p>
        </w:tc>
        <w:tc>
          <w:tcPr>
            <w:tcW w:w="6120" w:type="dxa"/>
            <w:tcBorders>
              <w:bottom w:val="single" w:color="auto" w:sz="4" w:space="0"/>
            </w:tcBorders>
            <w:noWrap w:val="0"/>
            <w:vAlign w:val="center"/>
          </w:tcPr>
          <w:p w14:paraId="3C30B41D">
            <w:pPr>
              <w:spacing w:line="240" w:lineRule="auto"/>
              <w:rPr>
                <w:rFonts w:hint="eastAsia"/>
                <w:color w:val="auto"/>
                <w:szCs w:val="21"/>
                <w:highlight w:val="none"/>
              </w:rPr>
            </w:pPr>
            <w:r>
              <w:rPr>
                <w:rFonts w:hAnsi="宋体"/>
                <w:color w:val="auto"/>
                <w:szCs w:val="21"/>
                <w:highlight w:val="none"/>
              </w:rPr>
              <w:t>其他损害</w:t>
            </w:r>
            <w:r>
              <w:rPr>
                <w:rFonts w:hint="eastAsia" w:hAnsi="宋体"/>
                <w:color w:val="auto"/>
                <w:szCs w:val="21"/>
                <w:highlight w:val="none"/>
                <w:lang w:val="en-US" w:eastAsia="zh-CN"/>
              </w:rPr>
              <w:t>甲方</w:t>
            </w:r>
            <w:r>
              <w:rPr>
                <w:rFonts w:hAnsi="宋体"/>
                <w:color w:val="auto"/>
                <w:szCs w:val="21"/>
                <w:highlight w:val="none"/>
              </w:rPr>
              <w:t>合法权益的行为。</w:t>
            </w:r>
            <w:r>
              <w:rPr>
                <w:rFonts w:hint="eastAsia"/>
                <w:color w:val="auto"/>
                <w:szCs w:val="21"/>
                <w:highlight w:val="none"/>
              </w:rPr>
              <w:t>（</w:t>
            </w:r>
            <w:r>
              <w:rPr>
                <w:color w:val="auto"/>
                <w:szCs w:val="21"/>
                <w:highlight w:val="none"/>
              </w:rPr>
              <w:t>2</w:t>
            </w:r>
            <w:r>
              <w:rPr>
                <w:rFonts w:hAnsi="宋体"/>
                <w:color w:val="auto"/>
                <w:szCs w:val="21"/>
                <w:highlight w:val="none"/>
              </w:rPr>
              <w:t>分</w:t>
            </w:r>
            <w:r>
              <w:rPr>
                <w:rFonts w:hint="eastAsia"/>
                <w:color w:val="auto"/>
                <w:szCs w:val="21"/>
                <w:highlight w:val="none"/>
              </w:rPr>
              <w:t>）</w:t>
            </w:r>
          </w:p>
        </w:tc>
        <w:tc>
          <w:tcPr>
            <w:tcW w:w="1254" w:type="dxa"/>
            <w:tcBorders>
              <w:bottom w:val="single" w:color="auto" w:sz="4" w:space="0"/>
            </w:tcBorders>
            <w:noWrap w:val="0"/>
            <w:vAlign w:val="top"/>
          </w:tcPr>
          <w:p w14:paraId="53F48524">
            <w:pPr>
              <w:spacing w:line="240" w:lineRule="auto"/>
              <w:rPr>
                <w:color w:val="auto"/>
                <w:szCs w:val="21"/>
                <w:highlight w:val="none"/>
              </w:rPr>
            </w:pPr>
          </w:p>
        </w:tc>
      </w:tr>
      <w:tr w14:paraId="63C56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100" w:type="dxa"/>
            <w:gridSpan w:val="2"/>
            <w:noWrap w:val="0"/>
            <w:vAlign w:val="center"/>
          </w:tcPr>
          <w:p w14:paraId="27145FD5">
            <w:pPr>
              <w:spacing w:line="240" w:lineRule="auto"/>
              <w:jc w:val="center"/>
              <w:rPr>
                <w:b/>
                <w:bCs/>
                <w:color w:val="auto"/>
                <w:szCs w:val="21"/>
                <w:highlight w:val="none"/>
              </w:rPr>
            </w:pPr>
            <w:r>
              <w:rPr>
                <w:rFonts w:hAnsi="宋体"/>
                <w:b/>
                <w:bCs/>
                <w:color w:val="auto"/>
                <w:szCs w:val="21"/>
                <w:highlight w:val="none"/>
              </w:rPr>
              <w:t>总得分</w:t>
            </w:r>
          </w:p>
        </w:tc>
        <w:tc>
          <w:tcPr>
            <w:tcW w:w="1254" w:type="dxa"/>
            <w:noWrap w:val="0"/>
            <w:vAlign w:val="top"/>
          </w:tcPr>
          <w:p w14:paraId="3D1B54AE">
            <w:pPr>
              <w:spacing w:line="240" w:lineRule="auto"/>
              <w:rPr>
                <w:b/>
                <w:bCs/>
                <w:color w:val="auto"/>
                <w:szCs w:val="21"/>
                <w:highlight w:val="none"/>
              </w:rPr>
            </w:pPr>
          </w:p>
        </w:tc>
      </w:tr>
    </w:tbl>
    <w:p w14:paraId="033A1375">
      <w:pPr>
        <w:rPr>
          <w:rFonts w:hint="default"/>
          <w:color w:val="auto"/>
          <w:highlight w:val="none"/>
          <w:lang w:val="en-US" w:eastAsia="zh-CN"/>
        </w:rPr>
      </w:pPr>
    </w:p>
    <w:bookmarkEnd w:id="29"/>
    <w:bookmarkEnd w:id="30"/>
    <w:p w14:paraId="1B226226">
      <w:pPr>
        <w:keepNext w:val="0"/>
        <w:keepLines w:val="0"/>
        <w:pageBreakBefore w:val="0"/>
        <w:kinsoku/>
        <w:wordWrap/>
        <w:overflowPunct/>
        <w:topLinePunct w:val="0"/>
        <w:autoSpaceDE/>
        <w:autoSpaceDN/>
        <w:bidi w:val="0"/>
        <w:adjustRightInd w:val="0"/>
        <w:snapToGrid/>
        <w:spacing w:line="360" w:lineRule="auto"/>
        <w:ind w:firstLine="440" w:firstLineChars="200"/>
        <w:textAlignment w:val="auto"/>
        <w:rPr>
          <w:color w:val="auto"/>
          <w:sz w:val="22"/>
          <w:szCs w:val="22"/>
          <w:highlight w:val="none"/>
        </w:rPr>
        <w:sectPr>
          <w:pgSz w:w="11906" w:h="16838"/>
          <w:pgMar w:top="1247" w:right="1361" w:bottom="1247" w:left="1417" w:header="851" w:footer="992" w:gutter="0"/>
          <w:pgBorders>
            <w:top w:val="none" w:sz="0" w:space="0"/>
            <w:left w:val="none" w:sz="0" w:space="0"/>
            <w:bottom w:val="none" w:sz="0" w:space="0"/>
            <w:right w:val="none" w:sz="0" w:space="0"/>
          </w:pgBorders>
          <w:pgNumType w:fmt="numberInDash"/>
          <w:cols w:space="720" w:num="1"/>
          <w:titlePg/>
          <w:rtlGutter w:val="1"/>
        </w:sectPr>
      </w:pPr>
    </w:p>
    <w:p w14:paraId="04DC9F68">
      <w:pPr>
        <w:pStyle w:val="5"/>
        <w:numPr>
          <w:ilvl w:val="0"/>
          <w:numId w:val="6"/>
        </w:numPr>
        <w:spacing w:before="0" w:after="0" w:line="360" w:lineRule="auto"/>
        <w:jc w:val="center"/>
        <w:rPr>
          <w:color w:val="auto"/>
          <w:sz w:val="32"/>
          <w:highlight w:val="none"/>
        </w:rPr>
      </w:pPr>
      <w:bookmarkStart w:id="40" w:name="_Toc3678"/>
      <w:r>
        <w:rPr>
          <w:color w:val="auto"/>
          <w:sz w:val="32"/>
          <w:highlight w:val="none"/>
        </w:rPr>
        <w:t>开标、评标和定标须知</w:t>
      </w:r>
      <w:bookmarkEnd w:id="40"/>
    </w:p>
    <w:p w14:paraId="44508F72">
      <w:pPr>
        <w:pStyle w:val="6"/>
        <w:numPr>
          <w:ilvl w:val="1"/>
          <w:numId w:val="4"/>
        </w:numPr>
        <w:spacing w:before="0" w:after="0" w:line="360" w:lineRule="auto"/>
        <w:jc w:val="left"/>
        <w:rPr>
          <w:rFonts w:ascii="Times New Roman" w:hAnsi="Times New Roman" w:eastAsia="宋体"/>
          <w:color w:val="auto"/>
          <w:sz w:val="24"/>
          <w:szCs w:val="22"/>
          <w:highlight w:val="none"/>
        </w:rPr>
      </w:pPr>
      <w:bookmarkStart w:id="41" w:name="_Toc362250704"/>
      <w:bookmarkEnd w:id="41"/>
      <w:bookmarkStart w:id="42" w:name="_Toc274303252"/>
      <w:bookmarkEnd w:id="42"/>
      <w:bookmarkStart w:id="43" w:name="_Toc24763"/>
      <w:bookmarkStart w:id="44" w:name="_Toc13194"/>
      <w:r>
        <w:rPr>
          <w:rFonts w:ascii="Times New Roman" w:hAnsi="Times New Roman" w:eastAsia="宋体"/>
          <w:color w:val="auto"/>
          <w:sz w:val="24"/>
          <w:szCs w:val="22"/>
          <w:highlight w:val="none"/>
        </w:rPr>
        <w:t>一、开标</w:t>
      </w:r>
      <w:bookmarkEnd w:id="43"/>
      <w:bookmarkEnd w:id="44"/>
    </w:p>
    <w:p w14:paraId="7A0EABBC">
      <w:pPr>
        <w:spacing w:line="360" w:lineRule="auto"/>
        <w:ind w:firstLine="440" w:firstLineChars="200"/>
        <w:rPr>
          <w:color w:val="auto"/>
          <w:sz w:val="22"/>
          <w:szCs w:val="22"/>
          <w:highlight w:val="none"/>
        </w:rPr>
      </w:pPr>
      <w:bookmarkStart w:id="45" w:name="_Toc226973002"/>
      <w:bookmarkEnd w:id="45"/>
      <w:bookmarkStart w:id="46" w:name="_Toc261519847"/>
      <w:bookmarkEnd w:id="46"/>
      <w:bookmarkStart w:id="47" w:name="_Toc274303253"/>
      <w:bookmarkEnd w:id="47"/>
      <w:bookmarkStart w:id="48" w:name="_Toc263090375"/>
      <w:bookmarkEnd w:id="48"/>
      <w:bookmarkStart w:id="49" w:name="_Toc362250705"/>
      <w:bookmarkEnd w:id="49"/>
      <w:r>
        <w:rPr>
          <w:rFonts w:hint="eastAsia"/>
          <w:color w:val="auto"/>
          <w:sz w:val="22"/>
          <w:szCs w:val="22"/>
          <w:highlight w:val="none"/>
          <w:lang w:eastAsia="zh-CN"/>
        </w:rPr>
        <w:t>1.</w:t>
      </w:r>
      <w:r>
        <w:rPr>
          <w:color w:val="auto"/>
          <w:sz w:val="22"/>
          <w:szCs w:val="22"/>
          <w:highlight w:val="none"/>
        </w:rPr>
        <w:t>本项目实行电子开评标，投标方无需前往开评标现场，只需在规定时间内在“政采云”平台上上传电子投标文件。</w:t>
      </w:r>
    </w:p>
    <w:p w14:paraId="098C342C">
      <w:pPr>
        <w:spacing w:line="360" w:lineRule="auto"/>
        <w:ind w:firstLine="440" w:firstLineChars="200"/>
        <w:rPr>
          <w:color w:val="auto"/>
          <w:sz w:val="22"/>
          <w:szCs w:val="22"/>
          <w:highlight w:val="none"/>
        </w:rPr>
      </w:pPr>
      <w:r>
        <w:rPr>
          <w:rFonts w:hint="eastAsia"/>
          <w:color w:val="auto"/>
          <w:sz w:val="22"/>
          <w:szCs w:val="22"/>
          <w:highlight w:val="none"/>
          <w:lang w:eastAsia="zh-CN"/>
        </w:rPr>
        <w:t>2.</w:t>
      </w:r>
      <w:r>
        <w:rPr>
          <w:color w:val="auto"/>
          <w:sz w:val="22"/>
          <w:szCs w:val="22"/>
          <w:highlight w:val="none"/>
        </w:rPr>
        <w:t>电子开评标及评审程序</w:t>
      </w:r>
    </w:p>
    <w:p w14:paraId="35BDF81E">
      <w:pPr>
        <w:spacing w:line="360" w:lineRule="auto"/>
        <w:ind w:firstLine="442" w:firstLineChars="200"/>
        <w:rPr>
          <w:b/>
          <w:color w:val="auto"/>
          <w:sz w:val="22"/>
          <w:szCs w:val="22"/>
          <w:highlight w:val="none"/>
        </w:rPr>
      </w:pPr>
      <w:r>
        <w:rPr>
          <w:b/>
          <w:color w:val="auto"/>
          <w:sz w:val="22"/>
          <w:szCs w:val="22"/>
          <w:highlight w:val="none"/>
        </w:rPr>
        <w:t>2.1投标截止时间后的1小时内，由各投标人自行对电子投标文件进行解密（请各投标人务必在规定时间内完成电子投标文件的解密工作，在电子开评标期间，投标方（授权代表）需确保在各自所在的区域具备上网的技术条件并保持网络及联系方式畅通），同时为避免出现</w:t>
      </w:r>
      <w:r>
        <w:rPr>
          <w:rFonts w:hint="eastAsia"/>
          <w:b/>
          <w:color w:val="auto"/>
          <w:sz w:val="22"/>
          <w:szCs w:val="22"/>
          <w:highlight w:val="none"/>
        </w:rPr>
        <w:t>意外</w:t>
      </w:r>
      <w:r>
        <w:rPr>
          <w:b/>
          <w:color w:val="auto"/>
          <w:sz w:val="22"/>
          <w:szCs w:val="22"/>
          <w:highlight w:val="none"/>
        </w:rPr>
        <w:t xml:space="preserve">，建议全程由一台电脑进行操作（包括标书制作、上传、解密等），中途不要更换电脑； </w:t>
      </w:r>
    </w:p>
    <w:p w14:paraId="710EBF0F">
      <w:pPr>
        <w:spacing w:line="360" w:lineRule="auto"/>
        <w:ind w:firstLine="440" w:firstLineChars="200"/>
        <w:rPr>
          <w:color w:val="auto"/>
          <w:sz w:val="22"/>
          <w:szCs w:val="22"/>
          <w:highlight w:val="none"/>
        </w:rPr>
      </w:pPr>
      <w:r>
        <w:rPr>
          <w:color w:val="auto"/>
          <w:sz w:val="22"/>
          <w:szCs w:val="22"/>
          <w:highlight w:val="none"/>
        </w:rPr>
        <w:t>2.2.评标委员会对投标方的资格和商务技术响应文件进行评审；</w:t>
      </w:r>
    </w:p>
    <w:p w14:paraId="468A12D2">
      <w:pPr>
        <w:spacing w:line="360" w:lineRule="auto"/>
        <w:ind w:firstLine="440" w:firstLineChars="200"/>
        <w:rPr>
          <w:color w:val="auto"/>
          <w:sz w:val="22"/>
          <w:szCs w:val="22"/>
          <w:highlight w:val="none"/>
        </w:rPr>
      </w:pPr>
      <w:r>
        <w:rPr>
          <w:color w:val="auto"/>
          <w:sz w:val="22"/>
          <w:szCs w:val="22"/>
          <w:highlight w:val="none"/>
        </w:rPr>
        <w:t>2.3评标委员会对报价情况进行评审；</w:t>
      </w:r>
    </w:p>
    <w:p w14:paraId="67419179">
      <w:pPr>
        <w:spacing w:line="360" w:lineRule="auto"/>
        <w:ind w:firstLine="440" w:firstLineChars="200"/>
        <w:rPr>
          <w:color w:val="auto"/>
          <w:sz w:val="22"/>
          <w:szCs w:val="22"/>
          <w:highlight w:val="none"/>
        </w:rPr>
      </w:pPr>
      <w:r>
        <w:rPr>
          <w:color w:val="auto"/>
          <w:sz w:val="22"/>
          <w:szCs w:val="22"/>
          <w:highlight w:val="none"/>
        </w:rPr>
        <w:t>2.4在系统上公布评审结果。</w:t>
      </w:r>
    </w:p>
    <w:p w14:paraId="5E2BA007">
      <w:pPr>
        <w:spacing w:line="360" w:lineRule="auto"/>
        <w:ind w:firstLine="442" w:firstLineChars="200"/>
        <w:rPr>
          <w:b/>
          <w:color w:val="auto"/>
          <w:sz w:val="22"/>
          <w:szCs w:val="22"/>
          <w:highlight w:val="none"/>
          <w:u w:val="single"/>
        </w:rPr>
      </w:pPr>
      <w:r>
        <w:rPr>
          <w:b/>
          <w:color w:val="auto"/>
          <w:sz w:val="22"/>
          <w:szCs w:val="22"/>
          <w:highlight w:val="none"/>
          <w:u w:val="single"/>
        </w:rPr>
        <w:t>特别说明：政采云公司如对电子化开标及评审程序有调整的，按调整后的程序操作。</w:t>
      </w:r>
    </w:p>
    <w:p w14:paraId="1882E601">
      <w:pPr>
        <w:pStyle w:val="6"/>
        <w:numPr>
          <w:ilvl w:val="1"/>
          <w:numId w:val="4"/>
        </w:numPr>
        <w:spacing w:before="0" w:after="0" w:line="360" w:lineRule="auto"/>
        <w:jc w:val="left"/>
        <w:rPr>
          <w:rFonts w:ascii="Times New Roman" w:hAnsi="Times New Roman" w:eastAsia="宋体"/>
          <w:color w:val="auto"/>
          <w:sz w:val="24"/>
          <w:szCs w:val="22"/>
          <w:highlight w:val="none"/>
        </w:rPr>
      </w:pPr>
      <w:bookmarkStart w:id="50" w:name="_Toc19177"/>
      <w:bookmarkStart w:id="51" w:name="_Toc24524"/>
      <w:r>
        <w:rPr>
          <w:rFonts w:ascii="Times New Roman" w:hAnsi="Times New Roman" w:eastAsia="宋体"/>
          <w:color w:val="auto"/>
          <w:sz w:val="24"/>
          <w:szCs w:val="22"/>
          <w:highlight w:val="none"/>
        </w:rPr>
        <w:t>二、评标</w:t>
      </w:r>
      <w:bookmarkEnd w:id="50"/>
      <w:bookmarkEnd w:id="51"/>
    </w:p>
    <w:p w14:paraId="252631C7">
      <w:pPr>
        <w:spacing w:line="360" w:lineRule="auto"/>
        <w:ind w:firstLine="480"/>
        <w:rPr>
          <w:b/>
          <w:color w:val="auto"/>
          <w:sz w:val="22"/>
          <w:szCs w:val="22"/>
          <w:highlight w:val="none"/>
        </w:rPr>
      </w:pPr>
      <w:r>
        <w:rPr>
          <w:rFonts w:hint="eastAsia"/>
          <w:b/>
          <w:color w:val="auto"/>
          <w:sz w:val="22"/>
          <w:szCs w:val="22"/>
          <w:highlight w:val="none"/>
          <w:lang w:eastAsia="zh-CN"/>
        </w:rPr>
        <w:t>3.</w:t>
      </w:r>
      <w:r>
        <w:rPr>
          <w:b/>
          <w:color w:val="auto"/>
          <w:sz w:val="22"/>
          <w:szCs w:val="22"/>
          <w:highlight w:val="none"/>
        </w:rPr>
        <w:t>评标小组</w:t>
      </w:r>
    </w:p>
    <w:p w14:paraId="306F9FE8">
      <w:pPr>
        <w:spacing w:line="360" w:lineRule="auto"/>
        <w:ind w:firstLine="440" w:firstLineChars="200"/>
        <w:rPr>
          <w:color w:val="auto"/>
          <w:sz w:val="22"/>
          <w:szCs w:val="22"/>
          <w:highlight w:val="none"/>
        </w:rPr>
      </w:pPr>
      <w:r>
        <w:rPr>
          <w:color w:val="auto"/>
          <w:sz w:val="22"/>
          <w:szCs w:val="22"/>
          <w:highlight w:val="none"/>
        </w:rPr>
        <w:t>招标方将根据招标采购项目的特点确定评标委员会（即评标小组）。其成员由评审专家和采购人代表5人及以上单数组成。评标小组对投标文件进行审查、质疑、评估和比较。</w:t>
      </w:r>
    </w:p>
    <w:p w14:paraId="1FE66D88">
      <w:pPr>
        <w:spacing w:line="360" w:lineRule="auto"/>
        <w:ind w:firstLine="480"/>
        <w:rPr>
          <w:b/>
          <w:color w:val="auto"/>
          <w:sz w:val="22"/>
          <w:szCs w:val="22"/>
          <w:highlight w:val="none"/>
        </w:rPr>
      </w:pPr>
      <w:r>
        <w:rPr>
          <w:rFonts w:hint="eastAsia"/>
          <w:b/>
          <w:color w:val="auto"/>
          <w:sz w:val="22"/>
          <w:szCs w:val="22"/>
          <w:highlight w:val="none"/>
          <w:lang w:eastAsia="zh-CN"/>
        </w:rPr>
        <w:t>4.</w:t>
      </w:r>
      <w:r>
        <w:rPr>
          <w:b/>
          <w:color w:val="auto"/>
          <w:sz w:val="22"/>
          <w:szCs w:val="22"/>
          <w:highlight w:val="none"/>
        </w:rPr>
        <w:t>评标原则</w:t>
      </w:r>
    </w:p>
    <w:p w14:paraId="3BD99815">
      <w:pPr>
        <w:spacing w:line="360" w:lineRule="auto"/>
        <w:ind w:firstLine="440" w:firstLineChars="200"/>
        <w:rPr>
          <w:color w:val="auto"/>
          <w:sz w:val="22"/>
          <w:szCs w:val="22"/>
          <w:highlight w:val="none"/>
        </w:rPr>
      </w:pPr>
      <w:r>
        <w:rPr>
          <w:color w:val="auto"/>
          <w:sz w:val="22"/>
          <w:szCs w:val="22"/>
          <w:highlight w:val="none"/>
        </w:rPr>
        <w:t>4.1评标小组将遵循公开、公平、公正的原则，严格遵守评标工作纪律。</w:t>
      </w:r>
    </w:p>
    <w:p w14:paraId="42FE2AA8">
      <w:pPr>
        <w:spacing w:line="360" w:lineRule="auto"/>
        <w:ind w:firstLine="440" w:firstLineChars="200"/>
        <w:rPr>
          <w:color w:val="auto"/>
          <w:sz w:val="22"/>
          <w:szCs w:val="22"/>
          <w:highlight w:val="none"/>
        </w:rPr>
      </w:pPr>
      <w:r>
        <w:rPr>
          <w:color w:val="auto"/>
          <w:sz w:val="22"/>
          <w:szCs w:val="22"/>
          <w:highlight w:val="none"/>
        </w:rPr>
        <w:t>4.2先评资格及商务技术标，再评报价标。</w:t>
      </w:r>
    </w:p>
    <w:p w14:paraId="3E3260E1">
      <w:pPr>
        <w:spacing w:line="360" w:lineRule="auto"/>
        <w:ind w:firstLine="440" w:firstLineChars="200"/>
        <w:rPr>
          <w:color w:val="auto"/>
          <w:sz w:val="22"/>
          <w:szCs w:val="22"/>
          <w:highlight w:val="none"/>
        </w:rPr>
      </w:pPr>
      <w:r>
        <w:rPr>
          <w:color w:val="auto"/>
          <w:sz w:val="22"/>
          <w:szCs w:val="22"/>
          <w:highlight w:val="none"/>
        </w:rPr>
        <w:t>4.3客观公正对待所有投标人，对所有投标评审均采用相同的程序和标准。评标的依据为招标文件和投标文件。</w:t>
      </w:r>
    </w:p>
    <w:p w14:paraId="23A001BE">
      <w:pPr>
        <w:spacing w:line="360" w:lineRule="auto"/>
        <w:ind w:firstLine="440" w:firstLineChars="200"/>
        <w:rPr>
          <w:color w:val="auto"/>
          <w:sz w:val="22"/>
          <w:szCs w:val="22"/>
          <w:highlight w:val="none"/>
        </w:rPr>
      </w:pPr>
      <w:r>
        <w:rPr>
          <w:color w:val="auto"/>
          <w:sz w:val="22"/>
          <w:szCs w:val="22"/>
          <w:highlight w:val="none"/>
        </w:rPr>
        <w:t>4.4异常或特殊情况处理：</w:t>
      </w:r>
    </w:p>
    <w:p w14:paraId="19C03FA6">
      <w:pPr>
        <w:spacing w:line="360" w:lineRule="auto"/>
        <w:ind w:firstLine="440" w:firstLineChars="200"/>
        <w:rPr>
          <w:color w:val="auto"/>
          <w:sz w:val="22"/>
          <w:szCs w:val="22"/>
          <w:highlight w:val="none"/>
        </w:rPr>
      </w:pPr>
      <w:r>
        <w:rPr>
          <w:color w:val="auto"/>
          <w:sz w:val="22"/>
          <w:szCs w:val="22"/>
          <w:highlight w:val="none"/>
        </w:rPr>
        <w:t>4.4.1在评标过程中，出现以下情况的，经评标委员讨论作出处理意见，并在征得所有供应商同意后可以继续进行招标活动，如有供应商不同意，则本项目招标作废标处理。招标文件中的实质性内容或评审标准有不一致的（招标文件中</w:t>
      </w:r>
      <w:r>
        <w:rPr>
          <w:rFonts w:hint="eastAsia"/>
          <w:color w:val="auto"/>
          <w:sz w:val="22"/>
          <w:szCs w:val="22"/>
          <w:highlight w:val="none"/>
          <w:lang w:eastAsia="zh-CN"/>
        </w:rPr>
        <w:t>其他</w:t>
      </w:r>
      <w:r>
        <w:rPr>
          <w:color w:val="auto"/>
          <w:sz w:val="22"/>
          <w:szCs w:val="22"/>
          <w:highlight w:val="none"/>
        </w:rPr>
        <w:t>地方规定有处理方法的除外）。</w:t>
      </w:r>
    </w:p>
    <w:p w14:paraId="351198C9">
      <w:pPr>
        <w:spacing w:line="360" w:lineRule="auto"/>
        <w:ind w:firstLine="440" w:firstLineChars="200"/>
        <w:rPr>
          <w:color w:val="auto"/>
          <w:sz w:val="22"/>
          <w:szCs w:val="22"/>
          <w:highlight w:val="none"/>
        </w:rPr>
      </w:pPr>
      <w:r>
        <w:rPr>
          <w:color w:val="auto"/>
          <w:sz w:val="22"/>
          <w:szCs w:val="22"/>
          <w:highlight w:val="none"/>
        </w:rPr>
        <w:t>4.4.2在评标过程中，出现</w:t>
      </w:r>
      <w:r>
        <w:rPr>
          <w:rFonts w:hint="eastAsia"/>
          <w:color w:val="auto"/>
          <w:sz w:val="22"/>
          <w:szCs w:val="22"/>
          <w:highlight w:val="none"/>
          <w:lang w:eastAsia="zh-CN"/>
        </w:rPr>
        <w:t>其他异常</w:t>
      </w:r>
      <w:r>
        <w:rPr>
          <w:color w:val="auto"/>
          <w:sz w:val="22"/>
          <w:szCs w:val="22"/>
          <w:highlight w:val="none"/>
        </w:rPr>
        <w:t>或特殊情况时，由评标小组集体讨论决定。</w:t>
      </w:r>
    </w:p>
    <w:p w14:paraId="2F1FB7D3">
      <w:pPr>
        <w:spacing w:line="360" w:lineRule="auto"/>
        <w:ind w:firstLine="480"/>
        <w:rPr>
          <w:b/>
          <w:color w:val="auto"/>
          <w:sz w:val="22"/>
          <w:szCs w:val="22"/>
          <w:highlight w:val="none"/>
        </w:rPr>
      </w:pPr>
      <w:r>
        <w:rPr>
          <w:b/>
          <w:color w:val="auto"/>
          <w:sz w:val="22"/>
          <w:szCs w:val="22"/>
          <w:highlight w:val="none"/>
        </w:rPr>
        <w:t>4.5供应商的认定</w:t>
      </w:r>
    </w:p>
    <w:p w14:paraId="27619203">
      <w:pPr>
        <w:spacing w:line="360" w:lineRule="auto"/>
        <w:ind w:firstLine="440" w:firstLineChars="200"/>
        <w:rPr>
          <w:color w:val="auto"/>
          <w:sz w:val="22"/>
          <w:szCs w:val="22"/>
          <w:highlight w:val="none"/>
        </w:rPr>
      </w:pPr>
      <w:r>
        <w:rPr>
          <w:color w:val="auto"/>
          <w:sz w:val="22"/>
          <w:szCs w:val="22"/>
          <w:highlight w:val="none"/>
        </w:rPr>
        <w:t>不同供应商之间单位负责人（法定代表人）为同一人或者存在直接控股、管理关系的不同供应商，不得参加同一合同项下的政府采购活动。</w:t>
      </w:r>
    </w:p>
    <w:p w14:paraId="67FB24CB">
      <w:pPr>
        <w:pStyle w:val="28"/>
        <w:spacing w:line="360" w:lineRule="auto"/>
        <w:ind w:firstLine="442" w:firstLineChars="200"/>
        <w:rPr>
          <w:rFonts w:ascii="Times New Roman" w:hAnsi="Times New Roman"/>
          <w:color w:val="auto"/>
          <w:sz w:val="22"/>
          <w:szCs w:val="22"/>
          <w:highlight w:val="none"/>
        </w:rPr>
      </w:pPr>
      <w:r>
        <w:rPr>
          <w:rFonts w:hint="eastAsia" w:ascii="Times New Roman" w:hAnsi="Times New Roman"/>
          <w:b/>
          <w:color w:val="auto"/>
          <w:sz w:val="22"/>
          <w:szCs w:val="22"/>
          <w:highlight w:val="none"/>
          <w:lang w:eastAsia="zh-CN"/>
        </w:rPr>
        <w:t>5.</w:t>
      </w:r>
      <w:r>
        <w:rPr>
          <w:rFonts w:ascii="Times New Roman" w:hAnsi="Times New Roman"/>
          <w:b/>
          <w:color w:val="auto"/>
          <w:sz w:val="22"/>
          <w:szCs w:val="22"/>
          <w:highlight w:val="none"/>
        </w:rPr>
        <w:t>评标过程的保密</w:t>
      </w:r>
    </w:p>
    <w:p w14:paraId="0C767C97">
      <w:pPr>
        <w:spacing w:line="360" w:lineRule="auto"/>
        <w:ind w:firstLine="440" w:firstLineChars="200"/>
        <w:rPr>
          <w:color w:val="auto"/>
          <w:sz w:val="22"/>
          <w:szCs w:val="22"/>
          <w:highlight w:val="none"/>
        </w:rPr>
      </w:pPr>
      <w:r>
        <w:rPr>
          <w:color w:val="auto"/>
          <w:sz w:val="22"/>
          <w:szCs w:val="22"/>
          <w:highlight w:val="none"/>
        </w:rPr>
        <w:t>5.1开标后，直至授予中标人合同为止，凡属于对投标文件的审查、澄清、评价和比较等有关的资料以及中标候选人的推荐情况等与评标有关的任何情况均严格保密。</w:t>
      </w:r>
    </w:p>
    <w:p w14:paraId="05896D7A">
      <w:pPr>
        <w:spacing w:line="360" w:lineRule="auto"/>
        <w:ind w:firstLine="440" w:firstLineChars="200"/>
        <w:rPr>
          <w:color w:val="auto"/>
          <w:sz w:val="22"/>
          <w:szCs w:val="22"/>
          <w:highlight w:val="none"/>
        </w:rPr>
      </w:pPr>
      <w:r>
        <w:rPr>
          <w:color w:val="auto"/>
          <w:sz w:val="22"/>
          <w:szCs w:val="22"/>
          <w:highlight w:val="none"/>
        </w:rPr>
        <w:t>5.2在投标文件的评审和比较、中标候选人推荐以及授予合同的过程中，投标人向采购人和评标小组施加影响的任何行为，都将会导致其投标被拒绝。</w:t>
      </w:r>
    </w:p>
    <w:p w14:paraId="6B35D0CB">
      <w:pPr>
        <w:spacing w:line="360" w:lineRule="auto"/>
        <w:ind w:firstLine="440" w:firstLineChars="200"/>
        <w:rPr>
          <w:color w:val="auto"/>
          <w:sz w:val="22"/>
          <w:szCs w:val="22"/>
          <w:highlight w:val="none"/>
        </w:rPr>
      </w:pPr>
      <w:r>
        <w:rPr>
          <w:color w:val="auto"/>
          <w:sz w:val="22"/>
          <w:szCs w:val="22"/>
          <w:highlight w:val="none"/>
        </w:rPr>
        <w:t>5.3中标人确认后，采购人不对未中标人就评标过程以及未能中标原因作出任何解释。未中标人不得向评标小组人员或其他有关人员索问评标过程的全部情况。</w:t>
      </w:r>
    </w:p>
    <w:p w14:paraId="278D5211">
      <w:pPr>
        <w:spacing w:line="360" w:lineRule="auto"/>
        <w:ind w:firstLine="440" w:firstLineChars="200"/>
        <w:rPr>
          <w:color w:val="auto"/>
          <w:sz w:val="22"/>
          <w:szCs w:val="22"/>
          <w:highlight w:val="none"/>
        </w:rPr>
      </w:pPr>
      <w:r>
        <w:rPr>
          <w:color w:val="auto"/>
          <w:sz w:val="22"/>
          <w:szCs w:val="22"/>
          <w:highlight w:val="none"/>
        </w:rPr>
        <w:t>5.4为保证定标的公正性，在评标过程中，评标成员不得与投标人私人交换意见。在招标工作结束后，凡与评标情况有接触的任何人不得也不应将评标情况扩散出评标成员之外。</w:t>
      </w:r>
    </w:p>
    <w:p w14:paraId="3D20F3A4">
      <w:pPr>
        <w:spacing w:line="360" w:lineRule="auto"/>
        <w:ind w:firstLine="440" w:firstLineChars="200"/>
        <w:rPr>
          <w:color w:val="auto"/>
          <w:sz w:val="22"/>
          <w:szCs w:val="22"/>
          <w:highlight w:val="none"/>
        </w:rPr>
      </w:pPr>
      <w:r>
        <w:rPr>
          <w:color w:val="auto"/>
          <w:sz w:val="22"/>
          <w:szCs w:val="22"/>
          <w:highlight w:val="none"/>
        </w:rPr>
        <w:t>5.5评标小组不向落标方解释落标原因，不退还投标文件。</w:t>
      </w:r>
    </w:p>
    <w:p w14:paraId="7FD513D5">
      <w:pPr>
        <w:adjustRightInd w:val="0"/>
        <w:snapToGrid w:val="0"/>
        <w:spacing w:line="360" w:lineRule="auto"/>
        <w:ind w:firstLine="433" w:firstLineChars="196"/>
        <w:rPr>
          <w:b/>
          <w:color w:val="auto"/>
          <w:sz w:val="22"/>
          <w:szCs w:val="22"/>
          <w:highlight w:val="none"/>
        </w:rPr>
      </w:pPr>
      <w:r>
        <w:rPr>
          <w:rFonts w:hint="eastAsia"/>
          <w:b/>
          <w:color w:val="auto"/>
          <w:sz w:val="22"/>
          <w:szCs w:val="22"/>
          <w:highlight w:val="none"/>
          <w:lang w:eastAsia="zh-CN"/>
        </w:rPr>
        <w:t>6.</w:t>
      </w:r>
      <w:r>
        <w:rPr>
          <w:b/>
          <w:color w:val="auto"/>
          <w:sz w:val="22"/>
          <w:szCs w:val="22"/>
          <w:highlight w:val="none"/>
        </w:rPr>
        <w:t>投标文件的澄清</w:t>
      </w:r>
    </w:p>
    <w:p w14:paraId="1B2D4EC6">
      <w:pPr>
        <w:spacing w:line="360" w:lineRule="auto"/>
        <w:ind w:firstLine="440" w:firstLineChars="200"/>
        <w:rPr>
          <w:color w:val="auto"/>
          <w:sz w:val="22"/>
          <w:szCs w:val="22"/>
          <w:highlight w:val="none"/>
        </w:rPr>
      </w:pPr>
      <w:r>
        <w:rPr>
          <w:color w:val="auto"/>
          <w:sz w:val="22"/>
          <w:szCs w:val="22"/>
          <w:highlight w:val="none"/>
        </w:rPr>
        <w:t>6.1为有助于投标文件的审查、评价和比较，评标小组可以在“政采云”平台在线询标或其他有效形式要求投标人对同一份投标文件含义不明确或同类问题表述不一致的内容（招标文件</w:t>
      </w:r>
      <w:r>
        <w:rPr>
          <w:rFonts w:hint="eastAsia"/>
          <w:color w:val="auto"/>
          <w:sz w:val="22"/>
          <w:szCs w:val="22"/>
          <w:highlight w:val="none"/>
          <w:lang w:eastAsia="zh-CN"/>
        </w:rPr>
        <w:t>其他</w:t>
      </w:r>
      <w:r>
        <w:rPr>
          <w:color w:val="auto"/>
          <w:sz w:val="22"/>
          <w:szCs w:val="22"/>
          <w:highlight w:val="none"/>
        </w:rPr>
        <w:t>地方有规定处理方法的除外）作必要的澄清或说明，投标人应采用在线回复或其他有效形式在询标规定时间内进行澄清或说明（</w:t>
      </w:r>
      <w:r>
        <w:rPr>
          <w:rFonts w:hint="eastAsia"/>
          <w:color w:val="auto"/>
          <w:sz w:val="22"/>
          <w:szCs w:val="22"/>
          <w:highlight w:val="none"/>
          <w:lang w:eastAsia="zh-CN"/>
        </w:rPr>
        <w:t>需加</w:t>
      </w:r>
      <w:r>
        <w:rPr>
          <w:color w:val="auto"/>
          <w:sz w:val="22"/>
          <w:szCs w:val="22"/>
          <w:highlight w:val="none"/>
        </w:rPr>
        <w:t>盖电子签章或实体公章），但不得超出投标文件的范围或改变投标文件的实质性内容。根据本须知第8条规定，凡属于评标小组在评标中发现的计算错误并进行核实的修改不在此列。</w:t>
      </w:r>
    </w:p>
    <w:p w14:paraId="755F04D8">
      <w:pPr>
        <w:spacing w:line="360" w:lineRule="auto"/>
        <w:ind w:firstLine="440" w:firstLineChars="200"/>
        <w:rPr>
          <w:color w:val="auto"/>
          <w:sz w:val="22"/>
          <w:szCs w:val="22"/>
          <w:highlight w:val="none"/>
        </w:rPr>
      </w:pPr>
      <w:r>
        <w:rPr>
          <w:color w:val="auto"/>
          <w:sz w:val="22"/>
          <w:szCs w:val="22"/>
          <w:highlight w:val="none"/>
        </w:rPr>
        <w:t>6.2如果投标方代表拒绝按评标委员会要求在“政采云”平台作出在线回复且无其他有效回复方式的，评标委员会可以对其作出无效标处理。</w:t>
      </w:r>
    </w:p>
    <w:p w14:paraId="602008D9">
      <w:pPr>
        <w:adjustRightInd w:val="0"/>
        <w:snapToGrid w:val="0"/>
        <w:spacing w:line="360" w:lineRule="auto"/>
        <w:ind w:firstLine="440" w:firstLineChars="200"/>
        <w:rPr>
          <w:color w:val="auto"/>
          <w:sz w:val="22"/>
          <w:szCs w:val="22"/>
          <w:highlight w:val="none"/>
        </w:rPr>
      </w:pPr>
      <w:r>
        <w:rPr>
          <w:rFonts w:hint="eastAsia"/>
          <w:color w:val="auto"/>
          <w:sz w:val="22"/>
          <w:szCs w:val="22"/>
          <w:highlight w:val="none"/>
          <w:lang w:eastAsia="zh-CN"/>
        </w:rPr>
        <w:t>7.</w:t>
      </w:r>
      <w:r>
        <w:rPr>
          <w:b/>
          <w:color w:val="auto"/>
          <w:sz w:val="22"/>
          <w:szCs w:val="22"/>
          <w:highlight w:val="none"/>
        </w:rPr>
        <w:t>投标文件的资格性和符合性评审</w:t>
      </w:r>
    </w:p>
    <w:p w14:paraId="7075A47B">
      <w:pPr>
        <w:spacing w:line="360" w:lineRule="auto"/>
        <w:ind w:firstLine="440" w:firstLineChars="200"/>
        <w:rPr>
          <w:color w:val="auto"/>
          <w:sz w:val="22"/>
          <w:szCs w:val="22"/>
          <w:highlight w:val="none"/>
        </w:rPr>
      </w:pPr>
      <w:r>
        <w:rPr>
          <w:color w:val="auto"/>
          <w:sz w:val="22"/>
          <w:szCs w:val="22"/>
          <w:highlight w:val="none"/>
        </w:rPr>
        <w:t>7.1评标时，评标小组将首先评定每份投标文件是否在实质上响应了招标文件的要求。所谓实质上响应，是指投标文件应与招标文件的所有实质性条款、条件和要求相符，无显著差异或保留，</w:t>
      </w:r>
    </w:p>
    <w:p w14:paraId="55211478">
      <w:pPr>
        <w:spacing w:line="360" w:lineRule="auto"/>
        <w:ind w:firstLine="440" w:firstLineChars="200"/>
        <w:rPr>
          <w:color w:val="auto"/>
          <w:sz w:val="22"/>
          <w:szCs w:val="22"/>
          <w:highlight w:val="none"/>
        </w:rPr>
      </w:pPr>
      <w:r>
        <w:rPr>
          <w:color w:val="auto"/>
          <w:sz w:val="22"/>
          <w:szCs w:val="22"/>
          <w:highlight w:val="none"/>
        </w:rPr>
        <w:t>7.2如果投标文件出现第五章规定的内容，即为实质上不响应招标文件的各项要求，评标小组将予以拒绝（或作为无效标），并且不允许投标人通过修改或撤销其不符合要求的差异或保留，使之成为具有响应性的投标。</w:t>
      </w:r>
    </w:p>
    <w:p w14:paraId="75C08F6B">
      <w:pPr>
        <w:adjustRightInd w:val="0"/>
        <w:snapToGrid w:val="0"/>
        <w:spacing w:line="360" w:lineRule="auto"/>
        <w:ind w:firstLine="442" w:firstLineChars="200"/>
        <w:rPr>
          <w:b/>
          <w:color w:val="auto"/>
          <w:sz w:val="22"/>
          <w:szCs w:val="22"/>
          <w:highlight w:val="none"/>
        </w:rPr>
      </w:pPr>
      <w:r>
        <w:rPr>
          <w:b/>
          <w:color w:val="auto"/>
          <w:sz w:val="22"/>
          <w:szCs w:val="22"/>
          <w:highlight w:val="none"/>
        </w:rPr>
        <w:t>7.3评标小组在作出任何一项无效标决定前，都应当严格遵循以下程序：</w:t>
      </w:r>
    </w:p>
    <w:p w14:paraId="06B2BFA2">
      <w:pPr>
        <w:spacing w:line="360" w:lineRule="auto"/>
        <w:ind w:firstLine="440" w:firstLineChars="200"/>
        <w:rPr>
          <w:color w:val="auto"/>
          <w:sz w:val="22"/>
          <w:szCs w:val="22"/>
          <w:highlight w:val="none"/>
        </w:rPr>
      </w:pPr>
      <w:r>
        <w:rPr>
          <w:color w:val="auto"/>
          <w:sz w:val="22"/>
          <w:szCs w:val="22"/>
          <w:highlight w:val="none"/>
        </w:rPr>
        <w:t>7.3.1要求当事投标人</w:t>
      </w:r>
      <w:r>
        <w:rPr>
          <w:rFonts w:hint="eastAsia"/>
          <w:color w:val="auto"/>
          <w:sz w:val="22"/>
          <w:szCs w:val="22"/>
          <w:highlight w:val="none"/>
          <w:lang w:eastAsia="zh-CN"/>
        </w:rPr>
        <w:t>做</w:t>
      </w:r>
      <w:r>
        <w:rPr>
          <w:color w:val="auto"/>
          <w:sz w:val="22"/>
          <w:szCs w:val="22"/>
          <w:highlight w:val="none"/>
        </w:rPr>
        <w:t>相应的答辩</w:t>
      </w:r>
    </w:p>
    <w:p w14:paraId="7EA199CC">
      <w:pPr>
        <w:spacing w:line="360" w:lineRule="auto"/>
        <w:ind w:firstLine="440" w:firstLineChars="200"/>
        <w:rPr>
          <w:color w:val="auto"/>
          <w:sz w:val="22"/>
          <w:szCs w:val="22"/>
          <w:highlight w:val="none"/>
        </w:rPr>
      </w:pPr>
      <w:r>
        <w:rPr>
          <w:color w:val="auto"/>
          <w:sz w:val="22"/>
          <w:szCs w:val="22"/>
          <w:highlight w:val="none"/>
        </w:rPr>
        <w:t>7.3.2在充分讨论的基础上集体表决</w:t>
      </w:r>
    </w:p>
    <w:p w14:paraId="005739DE">
      <w:pPr>
        <w:pStyle w:val="28"/>
        <w:spacing w:line="360" w:lineRule="auto"/>
        <w:ind w:firstLine="482"/>
        <w:rPr>
          <w:rFonts w:ascii="Times New Roman" w:hAnsi="Times New Roman"/>
          <w:b/>
          <w:color w:val="auto"/>
          <w:sz w:val="22"/>
          <w:szCs w:val="22"/>
          <w:highlight w:val="none"/>
        </w:rPr>
      </w:pPr>
      <w:r>
        <w:rPr>
          <w:rFonts w:hint="eastAsia" w:ascii="Times New Roman" w:hAnsi="Times New Roman"/>
          <w:b/>
          <w:color w:val="auto"/>
          <w:sz w:val="22"/>
          <w:szCs w:val="22"/>
          <w:highlight w:val="none"/>
          <w:lang w:eastAsia="zh-CN"/>
        </w:rPr>
        <w:t>8.</w:t>
      </w:r>
      <w:r>
        <w:rPr>
          <w:rFonts w:ascii="Times New Roman" w:hAnsi="Times New Roman"/>
          <w:b/>
          <w:color w:val="auto"/>
          <w:sz w:val="22"/>
          <w:szCs w:val="22"/>
          <w:highlight w:val="none"/>
        </w:rPr>
        <w:t>投标文件</w:t>
      </w:r>
      <w:r>
        <w:rPr>
          <w:rFonts w:ascii="Times New Roman" w:hAnsi="Times New Roman"/>
          <w:b/>
          <w:color w:val="auto"/>
          <w:sz w:val="22"/>
          <w:szCs w:val="22"/>
          <w:highlight w:val="none"/>
          <w:u w:val="single"/>
        </w:rPr>
        <w:t>计算错误和不同文字文本</w:t>
      </w:r>
      <w:r>
        <w:rPr>
          <w:rFonts w:ascii="Times New Roman" w:hAnsi="Times New Roman"/>
          <w:b/>
          <w:color w:val="auto"/>
          <w:sz w:val="22"/>
          <w:szCs w:val="22"/>
          <w:highlight w:val="none"/>
        </w:rPr>
        <w:t>的修正</w:t>
      </w:r>
    </w:p>
    <w:p w14:paraId="3EBD8695">
      <w:pPr>
        <w:pStyle w:val="28"/>
        <w:spacing w:line="360" w:lineRule="auto"/>
        <w:ind w:firstLine="482"/>
        <w:rPr>
          <w:rFonts w:ascii="Times New Roman" w:hAnsi="Times New Roman"/>
          <w:color w:val="auto"/>
          <w:sz w:val="22"/>
          <w:szCs w:val="22"/>
          <w:highlight w:val="none"/>
        </w:rPr>
      </w:pPr>
      <w:r>
        <w:rPr>
          <w:rFonts w:ascii="Times New Roman" w:hAnsi="Times New Roman"/>
          <w:color w:val="auto"/>
          <w:sz w:val="22"/>
          <w:szCs w:val="22"/>
          <w:highlight w:val="none"/>
        </w:rPr>
        <w:t>8.1修正原则如下：</w:t>
      </w:r>
    </w:p>
    <w:p w14:paraId="2E6C67AD">
      <w:pPr>
        <w:pStyle w:val="28"/>
        <w:spacing w:line="360" w:lineRule="auto"/>
        <w:ind w:firstLine="482"/>
        <w:rPr>
          <w:rFonts w:ascii="Times New Roman" w:hAnsi="Times New Roman"/>
          <w:color w:val="auto"/>
          <w:sz w:val="22"/>
          <w:szCs w:val="22"/>
          <w:highlight w:val="none"/>
        </w:rPr>
      </w:pPr>
      <w:r>
        <w:rPr>
          <w:rFonts w:ascii="Times New Roman" w:hAnsi="Times New Roman"/>
          <w:color w:val="auto"/>
          <w:sz w:val="22"/>
          <w:szCs w:val="22"/>
          <w:highlight w:val="none"/>
        </w:rPr>
        <w:t>8.1.1《报价</w:t>
      </w:r>
      <w:r>
        <w:rPr>
          <w:rFonts w:ascii="Times New Roman" w:hAnsi="Times New Roman"/>
          <w:b/>
          <w:color w:val="auto"/>
          <w:sz w:val="22"/>
          <w:szCs w:val="22"/>
          <w:highlight w:val="none"/>
        </w:rPr>
        <w:t>（开标）</w:t>
      </w:r>
      <w:r>
        <w:rPr>
          <w:rFonts w:ascii="Times New Roman" w:hAnsi="Times New Roman"/>
          <w:color w:val="auto"/>
          <w:sz w:val="22"/>
          <w:szCs w:val="22"/>
          <w:highlight w:val="none"/>
        </w:rPr>
        <w:t>一览表》内容与</w:t>
      </w:r>
      <w:r>
        <w:rPr>
          <w:rFonts w:ascii="Times New Roman" w:hAnsi="Times New Roman"/>
          <w:b/>
          <w:color w:val="auto"/>
          <w:sz w:val="22"/>
          <w:szCs w:val="22"/>
          <w:highlight w:val="none"/>
        </w:rPr>
        <w:t>《分项报价表》</w:t>
      </w:r>
      <w:r>
        <w:rPr>
          <w:rFonts w:ascii="Times New Roman" w:hAnsi="Times New Roman"/>
          <w:color w:val="auto"/>
          <w:sz w:val="22"/>
          <w:szCs w:val="22"/>
          <w:highlight w:val="none"/>
        </w:rPr>
        <w:t>内容不一致的，以《报价</w:t>
      </w:r>
      <w:r>
        <w:rPr>
          <w:rFonts w:ascii="Times New Roman" w:hAnsi="Times New Roman"/>
          <w:b/>
          <w:color w:val="auto"/>
          <w:sz w:val="22"/>
          <w:szCs w:val="22"/>
          <w:highlight w:val="none"/>
        </w:rPr>
        <w:t>（开标）</w:t>
      </w:r>
      <w:r>
        <w:rPr>
          <w:rFonts w:ascii="Times New Roman" w:hAnsi="Times New Roman"/>
          <w:color w:val="auto"/>
          <w:sz w:val="22"/>
          <w:szCs w:val="22"/>
          <w:highlight w:val="none"/>
        </w:rPr>
        <w:t>一览表》为准。</w:t>
      </w:r>
    </w:p>
    <w:p w14:paraId="08476292">
      <w:pPr>
        <w:pStyle w:val="28"/>
        <w:spacing w:line="360" w:lineRule="auto"/>
        <w:ind w:firstLine="482"/>
        <w:rPr>
          <w:rFonts w:ascii="Times New Roman" w:hAnsi="Times New Roman"/>
          <w:color w:val="auto"/>
          <w:sz w:val="22"/>
          <w:szCs w:val="22"/>
          <w:highlight w:val="none"/>
        </w:rPr>
      </w:pPr>
      <w:r>
        <w:rPr>
          <w:rFonts w:ascii="Times New Roman" w:hAnsi="Times New Roman"/>
          <w:color w:val="auto"/>
          <w:sz w:val="22"/>
          <w:szCs w:val="22"/>
          <w:highlight w:val="none"/>
        </w:rPr>
        <w:t>8.1.2投标文件的大写金额和小写金额不一致的，以大写金额为准。</w:t>
      </w:r>
    </w:p>
    <w:p w14:paraId="1FF7AD36">
      <w:pPr>
        <w:pStyle w:val="28"/>
        <w:spacing w:line="360" w:lineRule="auto"/>
        <w:ind w:firstLine="482"/>
        <w:rPr>
          <w:rFonts w:ascii="Times New Roman" w:hAnsi="Times New Roman"/>
          <w:color w:val="auto"/>
          <w:sz w:val="22"/>
          <w:szCs w:val="22"/>
          <w:highlight w:val="none"/>
        </w:rPr>
      </w:pPr>
      <w:r>
        <w:rPr>
          <w:rFonts w:ascii="Times New Roman" w:hAnsi="Times New Roman"/>
          <w:color w:val="auto"/>
          <w:sz w:val="22"/>
          <w:szCs w:val="22"/>
          <w:highlight w:val="none"/>
        </w:rPr>
        <w:t>8.1.3总价金额与按单价汇总金额不一致的，以单价汇总金额计算结果为准。</w:t>
      </w:r>
    </w:p>
    <w:p w14:paraId="6B096F5C">
      <w:pPr>
        <w:pStyle w:val="28"/>
        <w:spacing w:line="360" w:lineRule="auto"/>
        <w:ind w:firstLine="482"/>
        <w:rPr>
          <w:rFonts w:ascii="Times New Roman" w:hAnsi="Times New Roman"/>
          <w:color w:val="auto"/>
          <w:sz w:val="22"/>
          <w:szCs w:val="22"/>
          <w:highlight w:val="none"/>
        </w:rPr>
      </w:pPr>
      <w:r>
        <w:rPr>
          <w:rFonts w:ascii="Times New Roman" w:hAnsi="Times New Roman"/>
          <w:color w:val="auto"/>
          <w:sz w:val="22"/>
          <w:szCs w:val="22"/>
          <w:highlight w:val="none"/>
        </w:rPr>
        <w:t>8.1.4当单价与数量的乘积与合价不一致时，以单价为准，除非评标小组认为单价金额小数点有明显错误的，此时应以总价为准，并修改单价。</w:t>
      </w:r>
    </w:p>
    <w:p w14:paraId="62B75934">
      <w:pPr>
        <w:pStyle w:val="28"/>
        <w:spacing w:line="360" w:lineRule="auto"/>
        <w:ind w:firstLine="482"/>
        <w:rPr>
          <w:rFonts w:ascii="Times New Roman" w:hAnsi="Times New Roman"/>
          <w:color w:val="auto"/>
          <w:sz w:val="22"/>
          <w:szCs w:val="22"/>
          <w:highlight w:val="none"/>
        </w:rPr>
      </w:pPr>
      <w:r>
        <w:rPr>
          <w:rFonts w:ascii="Times New Roman" w:hAnsi="Times New Roman"/>
          <w:color w:val="auto"/>
          <w:sz w:val="22"/>
          <w:szCs w:val="22"/>
          <w:highlight w:val="none"/>
        </w:rPr>
        <w:t>8.1.5对不同文字文本投标文件的解释发生</w:t>
      </w:r>
      <w:r>
        <w:rPr>
          <w:rFonts w:hint="eastAsia" w:ascii="Times New Roman" w:hAnsi="Times New Roman"/>
          <w:color w:val="auto"/>
          <w:sz w:val="22"/>
          <w:szCs w:val="22"/>
          <w:highlight w:val="none"/>
          <w:lang w:eastAsia="zh-CN"/>
        </w:rPr>
        <w:t>异议</w:t>
      </w:r>
      <w:r>
        <w:rPr>
          <w:rFonts w:ascii="Times New Roman" w:hAnsi="Times New Roman"/>
          <w:color w:val="auto"/>
          <w:sz w:val="22"/>
          <w:szCs w:val="22"/>
          <w:highlight w:val="none"/>
        </w:rPr>
        <w:t>的，以中文文本为准。</w:t>
      </w:r>
    </w:p>
    <w:p w14:paraId="3A3DF045">
      <w:pPr>
        <w:pStyle w:val="28"/>
        <w:spacing w:line="360" w:lineRule="auto"/>
        <w:ind w:firstLine="482"/>
        <w:rPr>
          <w:rFonts w:ascii="Times New Roman" w:hAnsi="Times New Roman"/>
          <w:color w:val="auto"/>
          <w:sz w:val="22"/>
          <w:szCs w:val="22"/>
          <w:highlight w:val="none"/>
        </w:rPr>
      </w:pPr>
      <w:r>
        <w:rPr>
          <w:rFonts w:ascii="Times New Roman" w:hAnsi="Times New Roman"/>
          <w:color w:val="auto"/>
          <w:sz w:val="22"/>
          <w:szCs w:val="22"/>
          <w:highlight w:val="none"/>
        </w:rPr>
        <w:t>8.1.6客户端填写的报价与以pdf格式上传文件中的报价不一致的，应以Pdf格式上传文件中的报价为准。</w:t>
      </w:r>
    </w:p>
    <w:p w14:paraId="36836096">
      <w:pPr>
        <w:spacing w:line="360" w:lineRule="auto"/>
        <w:ind w:firstLine="440" w:firstLineChars="200"/>
        <w:rPr>
          <w:color w:val="auto"/>
          <w:sz w:val="22"/>
          <w:szCs w:val="22"/>
          <w:highlight w:val="none"/>
        </w:rPr>
      </w:pPr>
      <w:r>
        <w:rPr>
          <w:color w:val="auto"/>
          <w:sz w:val="22"/>
          <w:szCs w:val="22"/>
          <w:highlight w:val="none"/>
        </w:rPr>
        <w:t>评标委员会可以拒绝接受不是中文版的投标文件以及与投标相关的资料。</w:t>
      </w:r>
    </w:p>
    <w:p w14:paraId="2464CB8B">
      <w:pPr>
        <w:spacing w:line="360" w:lineRule="auto"/>
        <w:ind w:firstLine="440" w:firstLineChars="200"/>
        <w:rPr>
          <w:color w:val="auto"/>
          <w:sz w:val="22"/>
          <w:szCs w:val="22"/>
          <w:highlight w:val="none"/>
        </w:rPr>
      </w:pPr>
      <w:r>
        <w:rPr>
          <w:color w:val="auto"/>
          <w:sz w:val="22"/>
          <w:szCs w:val="22"/>
          <w:highlight w:val="none"/>
        </w:rPr>
        <w:t>8.2按上述修正错误的原则及方法调整或修正投标文件的投标报价，投标人同意后，调整后的投标报价对投标人起约束作用。如果投标人不接受修正后的报价，则其投标将被拒绝，并不影响评标工作。</w:t>
      </w:r>
    </w:p>
    <w:p w14:paraId="7E7C5898">
      <w:pPr>
        <w:spacing w:line="360" w:lineRule="auto"/>
        <w:ind w:firstLine="442" w:firstLineChars="200"/>
        <w:rPr>
          <w:b/>
          <w:bCs/>
          <w:color w:val="auto"/>
          <w:sz w:val="22"/>
          <w:szCs w:val="22"/>
          <w:highlight w:val="none"/>
        </w:rPr>
      </w:pPr>
      <w:r>
        <w:rPr>
          <w:rFonts w:hint="eastAsia"/>
          <w:b/>
          <w:bCs/>
          <w:color w:val="auto"/>
          <w:sz w:val="22"/>
          <w:szCs w:val="22"/>
          <w:highlight w:val="none"/>
          <w:lang w:eastAsia="zh-CN"/>
        </w:rPr>
        <w:t>9.</w:t>
      </w:r>
      <w:r>
        <w:rPr>
          <w:b/>
          <w:bCs/>
          <w:color w:val="auto"/>
          <w:sz w:val="22"/>
          <w:szCs w:val="22"/>
          <w:highlight w:val="none"/>
        </w:rPr>
        <w:t>评标办法</w:t>
      </w:r>
    </w:p>
    <w:p w14:paraId="27CD0CA7">
      <w:pPr>
        <w:spacing w:line="360" w:lineRule="auto"/>
        <w:ind w:firstLine="440" w:firstLineChars="200"/>
        <w:rPr>
          <w:color w:val="auto"/>
          <w:sz w:val="22"/>
          <w:szCs w:val="22"/>
          <w:highlight w:val="none"/>
        </w:rPr>
      </w:pPr>
      <w:r>
        <w:rPr>
          <w:color w:val="auto"/>
          <w:sz w:val="22"/>
          <w:szCs w:val="22"/>
          <w:highlight w:val="none"/>
        </w:rPr>
        <w:t>本项目采用综合评分法（具体评标办法见后）。</w:t>
      </w:r>
    </w:p>
    <w:p w14:paraId="4E5DC3A0">
      <w:pPr>
        <w:spacing w:line="360" w:lineRule="auto"/>
        <w:ind w:firstLine="442" w:firstLineChars="200"/>
        <w:rPr>
          <w:b/>
          <w:bCs/>
          <w:color w:val="auto"/>
          <w:sz w:val="22"/>
          <w:szCs w:val="22"/>
          <w:highlight w:val="none"/>
        </w:rPr>
      </w:pPr>
      <w:r>
        <w:rPr>
          <w:b/>
          <w:bCs/>
          <w:color w:val="auto"/>
          <w:sz w:val="22"/>
          <w:szCs w:val="22"/>
          <w:highlight w:val="none"/>
        </w:rPr>
        <w:t>1</w:t>
      </w:r>
      <w:r>
        <w:rPr>
          <w:rFonts w:hint="eastAsia"/>
          <w:b/>
          <w:bCs/>
          <w:color w:val="auto"/>
          <w:sz w:val="22"/>
          <w:szCs w:val="22"/>
          <w:highlight w:val="none"/>
          <w:lang w:eastAsia="zh-CN"/>
        </w:rPr>
        <w:t>0.</w:t>
      </w:r>
      <w:r>
        <w:rPr>
          <w:b/>
          <w:bCs/>
          <w:color w:val="auto"/>
          <w:sz w:val="22"/>
          <w:szCs w:val="22"/>
          <w:highlight w:val="none"/>
        </w:rPr>
        <w:t>决标</w:t>
      </w:r>
    </w:p>
    <w:p w14:paraId="7F84FB00">
      <w:pPr>
        <w:spacing w:line="360" w:lineRule="auto"/>
        <w:ind w:firstLine="440" w:firstLineChars="200"/>
        <w:rPr>
          <w:color w:val="auto"/>
          <w:sz w:val="22"/>
          <w:szCs w:val="22"/>
          <w:highlight w:val="none"/>
        </w:rPr>
      </w:pPr>
      <w:r>
        <w:rPr>
          <w:color w:val="auto"/>
          <w:sz w:val="22"/>
          <w:szCs w:val="22"/>
          <w:highlight w:val="none"/>
        </w:rPr>
        <w:t>评标小组依据本招标文件规定的评标标准和方法，对投标文件进行评审和比较，向招标方提出书面评标报告，并直接确定中标人。</w:t>
      </w:r>
    </w:p>
    <w:p w14:paraId="443CB3B6">
      <w:pPr>
        <w:pStyle w:val="6"/>
        <w:numPr>
          <w:ilvl w:val="1"/>
          <w:numId w:val="4"/>
        </w:numPr>
        <w:spacing w:before="0" w:after="0" w:line="360" w:lineRule="auto"/>
        <w:jc w:val="left"/>
        <w:rPr>
          <w:rFonts w:ascii="Times New Roman" w:hAnsi="Times New Roman" w:eastAsia="宋体"/>
          <w:color w:val="auto"/>
          <w:sz w:val="24"/>
          <w:szCs w:val="22"/>
          <w:highlight w:val="none"/>
        </w:rPr>
      </w:pPr>
      <w:bookmarkStart w:id="52" w:name="_Toc34950021"/>
      <w:bookmarkStart w:id="53" w:name="_Toc261519848"/>
      <w:bookmarkStart w:id="54" w:name="_Toc274303254"/>
      <w:bookmarkStart w:id="55" w:name="_Toc226973003"/>
      <w:bookmarkStart w:id="56" w:name="_Toc384297862"/>
      <w:bookmarkStart w:id="57" w:name="_Toc406413939"/>
      <w:bookmarkStart w:id="58" w:name="_Toc362250706"/>
      <w:bookmarkStart w:id="59" w:name="_Toc263090376"/>
      <w:bookmarkStart w:id="60" w:name="_Toc30984"/>
      <w:bookmarkStart w:id="61" w:name="_Toc4236"/>
      <w:r>
        <w:rPr>
          <w:rFonts w:ascii="Times New Roman" w:hAnsi="Times New Roman" w:eastAsia="宋体"/>
          <w:color w:val="auto"/>
          <w:sz w:val="24"/>
          <w:szCs w:val="22"/>
          <w:highlight w:val="none"/>
        </w:rPr>
        <w:t>三、定标</w:t>
      </w:r>
      <w:bookmarkEnd w:id="52"/>
      <w:bookmarkEnd w:id="53"/>
      <w:bookmarkEnd w:id="54"/>
      <w:bookmarkEnd w:id="55"/>
      <w:bookmarkEnd w:id="56"/>
      <w:bookmarkEnd w:id="57"/>
      <w:bookmarkEnd w:id="58"/>
      <w:bookmarkEnd w:id="59"/>
      <w:bookmarkEnd w:id="60"/>
      <w:bookmarkEnd w:id="61"/>
    </w:p>
    <w:p w14:paraId="67C8C882">
      <w:pPr>
        <w:spacing w:line="360" w:lineRule="auto"/>
        <w:ind w:firstLine="442" w:firstLineChars="200"/>
        <w:rPr>
          <w:b/>
          <w:bCs/>
          <w:color w:val="auto"/>
          <w:sz w:val="22"/>
          <w:szCs w:val="22"/>
          <w:highlight w:val="none"/>
        </w:rPr>
      </w:pPr>
      <w:r>
        <w:rPr>
          <w:b/>
          <w:color w:val="auto"/>
          <w:sz w:val="22"/>
          <w:szCs w:val="22"/>
          <w:highlight w:val="none"/>
        </w:rPr>
        <w:t>1</w:t>
      </w:r>
      <w:r>
        <w:rPr>
          <w:rFonts w:hint="eastAsia"/>
          <w:b/>
          <w:color w:val="auto"/>
          <w:sz w:val="22"/>
          <w:szCs w:val="22"/>
          <w:highlight w:val="none"/>
          <w:lang w:eastAsia="zh-CN"/>
        </w:rPr>
        <w:t>1.</w:t>
      </w:r>
      <w:r>
        <w:rPr>
          <w:b/>
          <w:bCs/>
          <w:color w:val="auto"/>
          <w:sz w:val="22"/>
          <w:szCs w:val="22"/>
          <w:highlight w:val="none"/>
        </w:rPr>
        <w:t>中标通知</w:t>
      </w:r>
    </w:p>
    <w:p w14:paraId="4AEF9DA2">
      <w:pPr>
        <w:spacing w:line="360" w:lineRule="auto"/>
        <w:ind w:firstLine="440" w:firstLineChars="200"/>
        <w:rPr>
          <w:color w:val="auto"/>
          <w:sz w:val="22"/>
          <w:szCs w:val="22"/>
          <w:highlight w:val="none"/>
        </w:rPr>
      </w:pPr>
      <w:r>
        <w:rPr>
          <w:color w:val="auto"/>
          <w:sz w:val="22"/>
          <w:szCs w:val="22"/>
          <w:highlight w:val="none"/>
        </w:rPr>
        <w:t>11.1</w:t>
      </w:r>
      <w:r>
        <w:rPr>
          <w:rFonts w:hint="eastAsia"/>
          <w:color w:val="auto"/>
          <w:sz w:val="22"/>
          <w:szCs w:val="22"/>
          <w:highlight w:val="none"/>
        </w:rPr>
        <w:t>中</w:t>
      </w:r>
      <w:r>
        <w:rPr>
          <w:color w:val="auto"/>
          <w:sz w:val="22"/>
          <w:szCs w:val="22"/>
          <w:highlight w:val="none"/>
        </w:rPr>
        <w:t>标人自</w:t>
      </w:r>
      <w:r>
        <w:rPr>
          <w:rFonts w:hint="eastAsia"/>
          <w:color w:val="auto"/>
          <w:sz w:val="22"/>
          <w:szCs w:val="22"/>
          <w:highlight w:val="none"/>
        </w:rPr>
        <w:t>202</w:t>
      </w:r>
      <w:r>
        <w:rPr>
          <w:rFonts w:hint="eastAsia"/>
          <w:color w:val="auto"/>
          <w:sz w:val="22"/>
          <w:szCs w:val="22"/>
          <w:highlight w:val="none"/>
          <w:lang w:val="en-US" w:eastAsia="zh-CN"/>
        </w:rPr>
        <w:t>2</w:t>
      </w:r>
      <w:r>
        <w:rPr>
          <w:rFonts w:hint="eastAsia"/>
          <w:color w:val="auto"/>
          <w:sz w:val="22"/>
          <w:szCs w:val="22"/>
          <w:highlight w:val="none"/>
        </w:rPr>
        <w:t>年</w:t>
      </w:r>
      <w:r>
        <w:rPr>
          <w:rFonts w:hint="eastAsia"/>
          <w:color w:val="auto"/>
          <w:sz w:val="22"/>
          <w:szCs w:val="22"/>
          <w:highlight w:val="none"/>
          <w:lang w:val="en-US" w:eastAsia="zh-CN"/>
        </w:rPr>
        <w:t>0</w:t>
      </w:r>
      <w:r>
        <w:rPr>
          <w:color w:val="auto"/>
          <w:sz w:val="22"/>
          <w:szCs w:val="22"/>
          <w:highlight w:val="none"/>
        </w:rPr>
        <w:t>1月</w:t>
      </w:r>
      <w:r>
        <w:rPr>
          <w:rFonts w:hint="eastAsia"/>
          <w:color w:val="auto"/>
          <w:sz w:val="22"/>
          <w:szCs w:val="22"/>
          <w:highlight w:val="none"/>
          <w:lang w:val="en-US" w:eastAsia="zh-CN"/>
        </w:rPr>
        <w:t>0</w:t>
      </w:r>
      <w:r>
        <w:rPr>
          <w:color w:val="auto"/>
          <w:sz w:val="22"/>
          <w:szCs w:val="22"/>
          <w:highlight w:val="none"/>
        </w:rPr>
        <w:t>1日起到中标公告期结束前无行贿犯罪记录［</w:t>
      </w:r>
      <w:r>
        <w:rPr>
          <w:rFonts w:hint="eastAsia"/>
          <w:color w:val="auto"/>
          <w:sz w:val="22"/>
          <w:szCs w:val="22"/>
          <w:highlight w:val="none"/>
        </w:rPr>
        <w:t>以</w:t>
      </w:r>
      <w:r>
        <w:rPr>
          <w:color w:val="auto"/>
          <w:sz w:val="22"/>
          <w:szCs w:val="22"/>
          <w:highlight w:val="none"/>
        </w:rPr>
        <w:t>中国裁判文书网（http://wenshu.court.gov.cn/）查询结果为准］</w:t>
      </w:r>
      <w:r>
        <w:rPr>
          <w:rFonts w:hint="eastAsia"/>
          <w:color w:val="auto"/>
          <w:sz w:val="22"/>
          <w:szCs w:val="22"/>
          <w:highlight w:val="none"/>
        </w:rPr>
        <w:t>。</w:t>
      </w:r>
      <w:r>
        <w:rPr>
          <w:color w:val="auto"/>
          <w:sz w:val="22"/>
          <w:szCs w:val="22"/>
          <w:highlight w:val="none"/>
        </w:rPr>
        <w:t>经查实，中标人有前述行贿犯罪记录的，取消其中标资格，采购人依法重新组织采购。</w:t>
      </w:r>
    </w:p>
    <w:p w14:paraId="4E9ABE1F">
      <w:pPr>
        <w:spacing w:line="360" w:lineRule="auto"/>
        <w:ind w:firstLine="440" w:firstLineChars="200"/>
        <w:rPr>
          <w:color w:val="auto"/>
          <w:sz w:val="22"/>
          <w:szCs w:val="22"/>
          <w:highlight w:val="none"/>
        </w:rPr>
      </w:pPr>
      <w:r>
        <w:rPr>
          <w:color w:val="auto"/>
          <w:sz w:val="22"/>
          <w:szCs w:val="22"/>
          <w:highlight w:val="none"/>
        </w:rPr>
        <w:t>11.2评标结束后，评标结果公告期限为自本公告发布之日起至第2日24小时止，发布评标结果公告的媒体为：浙江政府采购网。</w:t>
      </w:r>
    </w:p>
    <w:p w14:paraId="42164578">
      <w:pPr>
        <w:spacing w:line="360" w:lineRule="auto"/>
        <w:ind w:firstLine="440" w:firstLineChars="200"/>
        <w:rPr>
          <w:color w:val="auto"/>
          <w:sz w:val="22"/>
          <w:szCs w:val="22"/>
          <w:highlight w:val="none"/>
        </w:rPr>
      </w:pPr>
      <w:r>
        <w:rPr>
          <w:color w:val="auto"/>
          <w:sz w:val="22"/>
          <w:szCs w:val="22"/>
          <w:highlight w:val="none"/>
        </w:rPr>
        <w:t>11.3如无有效异议，由采购人和代理机构</w:t>
      </w:r>
      <w:r>
        <w:rPr>
          <w:rFonts w:hint="eastAsia"/>
          <w:color w:val="auto"/>
          <w:sz w:val="22"/>
          <w:szCs w:val="22"/>
          <w:highlight w:val="none"/>
        </w:rPr>
        <w:t>共同</w:t>
      </w:r>
      <w:r>
        <w:rPr>
          <w:color w:val="auto"/>
          <w:sz w:val="22"/>
          <w:szCs w:val="22"/>
          <w:highlight w:val="none"/>
        </w:rPr>
        <w:t>签发《中标通知书</w:t>
      </w:r>
      <w:r>
        <w:rPr>
          <w:rFonts w:hint="eastAsia"/>
          <w:color w:val="auto"/>
          <w:sz w:val="22"/>
          <w:szCs w:val="22"/>
          <w:highlight w:val="none"/>
          <w:lang w:eastAsia="zh-CN"/>
        </w:rPr>
        <w:t>》，《</w:t>
      </w:r>
      <w:r>
        <w:rPr>
          <w:color w:val="auto"/>
          <w:sz w:val="22"/>
          <w:szCs w:val="22"/>
          <w:highlight w:val="none"/>
        </w:rPr>
        <w:t>中标通知书》一经发出即发生法律效力。</w:t>
      </w:r>
    </w:p>
    <w:p w14:paraId="29706F2B">
      <w:pPr>
        <w:pStyle w:val="28"/>
        <w:tabs>
          <w:tab w:val="left" w:pos="900"/>
        </w:tabs>
        <w:spacing w:line="360" w:lineRule="auto"/>
        <w:ind w:firstLine="442" w:firstLineChars="200"/>
        <w:rPr>
          <w:rFonts w:ascii="Times New Roman" w:hAnsi="Times New Roman"/>
          <w:b/>
          <w:color w:val="auto"/>
          <w:sz w:val="22"/>
          <w:szCs w:val="22"/>
          <w:highlight w:val="none"/>
        </w:rPr>
      </w:pPr>
      <w:r>
        <w:rPr>
          <w:rFonts w:ascii="Times New Roman" w:hAnsi="Times New Roman"/>
          <w:b/>
          <w:color w:val="auto"/>
          <w:sz w:val="22"/>
          <w:szCs w:val="22"/>
          <w:highlight w:val="none"/>
        </w:rPr>
        <w:t>1</w:t>
      </w:r>
      <w:r>
        <w:rPr>
          <w:rFonts w:hint="eastAsia" w:ascii="Times New Roman" w:hAnsi="Times New Roman"/>
          <w:b/>
          <w:color w:val="auto"/>
          <w:sz w:val="22"/>
          <w:szCs w:val="22"/>
          <w:highlight w:val="none"/>
          <w:lang w:eastAsia="zh-CN"/>
        </w:rPr>
        <w:t>2.</w:t>
      </w:r>
      <w:r>
        <w:rPr>
          <w:rFonts w:ascii="Times New Roman" w:hAnsi="Times New Roman"/>
          <w:b/>
          <w:color w:val="auto"/>
          <w:sz w:val="22"/>
          <w:szCs w:val="22"/>
          <w:highlight w:val="none"/>
        </w:rPr>
        <w:t>合同签订</w:t>
      </w:r>
    </w:p>
    <w:p w14:paraId="0D452B01">
      <w:pPr>
        <w:spacing w:line="360" w:lineRule="auto"/>
        <w:ind w:firstLine="440" w:firstLineChars="200"/>
        <w:rPr>
          <w:color w:val="auto"/>
          <w:sz w:val="22"/>
          <w:szCs w:val="22"/>
          <w:highlight w:val="none"/>
        </w:rPr>
      </w:pPr>
      <w:r>
        <w:rPr>
          <w:color w:val="auto"/>
          <w:sz w:val="22"/>
          <w:szCs w:val="22"/>
          <w:highlight w:val="none"/>
        </w:rPr>
        <w:t>12.1中标人自接到《中标通知书》后应在三十天内到采购人处与采购人签订合同。</w:t>
      </w:r>
    </w:p>
    <w:p w14:paraId="7B564487">
      <w:pPr>
        <w:spacing w:line="360" w:lineRule="auto"/>
        <w:ind w:firstLine="440" w:firstLineChars="200"/>
        <w:rPr>
          <w:color w:val="auto"/>
          <w:sz w:val="22"/>
          <w:szCs w:val="22"/>
          <w:highlight w:val="none"/>
        </w:rPr>
      </w:pPr>
      <w:r>
        <w:rPr>
          <w:color w:val="auto"/>
          <w:sz w:val="22"/>
          <w:szCs w:val="22"/>
          <w:highlight w:val="none"/>
        </w:rPr>
        <w:t>12.2招标文件、中标人的投标文件、评标过程中投标人在询标时作出的承诺及其澄清文件等，均为签订合同的依据。</w:t>
      </w:r>
    </w:p>
    <w:p w14:paraId="66E596C0">
      <w:pPr>
        <w:spacing w:line="360" w:lineRule="auto"/>
        <w:ind w:firstLine="440" w:firstLineChars="200"/>
        <w:rPr>
          <w:color w:val="auto"/>
          <w:sz w:val="22"/>
          <w:szCs w:val="22"/>
          <w:highlight w:val="none"/>
        </w:rPr>
      </w:pPr>
      <w:r>
        <w:rPr>
          <w:color w:val="auto"/>
          <w:sz w:val="22"/>
          <w:szCs w:val="22"/>
          <w:highlight w:val="none"/>
        </w:rPr>
        <w:t>12.3中标人不遵守招标文件和投标文件的要约及承诺而擅自修改报价，或在接到《中标通知书》后借故拖延、拒签合同而造成超过规定时间的，取消该投标人的中标资格。在此情况下，采购人和招标代理机构重新招标，对受影响的投标人不承担任何责任。</w:t>
      </w:r>
    </w:p>
    <w:p w14:paraId="7DB41DA3">
      <w:pPr>
        <w:spacing w:line="360" w:lineRule="auto"/>
        <w:ind w:firstLine="440" w:firstLineChars="200"/>
        <w:rPr>
          <w:color w:val="auto"/>
          <w:sz w:val="22"/>
          <w:szCs w:val="22"/>
          <w:highlight w:val="none"/>
        </w:rPr>
      </w:pPr>
      <w:r>
        <w:rPr>
          <w:color w:val="auto"/>
          <w:sz w:val="22"/>
          <w:szCs w:val="22"/>
          <w:highlight w:val="none"/>
        </w:rPr>
        <w:t>12.4采购人与中标人签订合同后招标代理机构将中标结果通知落选投标人，采购人和招标代理机构对评标结果不负责解释。</w:t>
      </w:r>
    </w:p>
    <w:p w14:paraId="5FB70A4D">
      <w:pPr>
        <w:spacing w:line="360" w:lineRule="auto"/>
        <w:ind w:firstLine="440" w:firstLineChars="200"/>
        <w:rPr>
          <w:color w:val="auto"/>
          <w:sz w:val="22"/>
          <w:szCs w:val="22"/>
          <w:highlight w:val="none"/>
        </w:rPr>
      </w:pPr>
      <w:r>
        <w:rPr>
          <w:color w:val="auto"/>
          <w:sz w:val="22"/>
          <w:szCs w:val="22"/>
          <w:highlight w:val="none"/>
        </w:rPr>
        <w:t>12.5采购人变更数量的权利</w:t>
      </w:r>
    </w:p>
    <w:p w14:paraId="767546A1">
      <w:pPr>
        <w:spacing w:line="360" w:lineRule="auto"/>
        <w:ind w:firstLine="440" w:firstLineChars="200"/>
        <w:rPr>
          <w:color w:val="auto"/>
          <w:sz w:val="22"/>
          <w:szCs w:val="22"/>
          <w:highlight w:val="none"/>
        </w:rPr>
      </w:pPr>
      <w:r>
        <w:rPr>
          <w:color w:val="auto"/>
          <w:sz w:val="22"/>
          <w:szCs w:val="22"/>
          <w:highlight w:val="none"/>
        </w:rPr>
        <w:t>采购人在授予合同时有权对“技术要求及采购货物一览表”中规定的货物数量和服务予以增加或减少，但必须符合《中华人民共和国政府采购法》及义乌市政府采购的相关规定。</w:t>
      </w:r>
    </w:p>
    <w:p w14:paraId="7AB70428">
      <w:pPr>
        <w:pStyle w:val="6"/>
        <w:numPr>
          <w:ilvl w:val="1"/>
          <w:numId w:val="4"/>
        </w:numPr>
        <w:spacing w:before="0" w:after="0" w:line="360" w:lineRule="auto"/>
        <w:jc w:val="left"/>
        <w:rPr>
          <w:rFonts w:ascii="Times New Roman" w:hAnsi="Times New Roman" w:eastAsia="宋体"/>
          <w:color w:val="auto"/>
          <w:sz w:val="24"/>
          <w:szCs w:val="22"/>
          <w:highlight w:val="none"/>
        </w:rPr>
      </w:pPr>
      <w:bookmarkStart w:id="62" w:name="_Toc800"/>
      <w:bookmarkStart w:id="63" w:name="_Toc3819"/>
      <w:r>
        <w:rPr>
          <w:rFonts w:ascii="Times New Roman" w:hAnsi="Times New Roman" w:eastAsia="宋体"/>
          <w:color w:val="auto"/>
          <w:sz w:val="24"/>
          <w:szCs w:val="22"/>
          <w:highlight w:val="none"/>
        </w:rPr>
        <w:t>四、质疑和投诉</w:t>
      </w:r>
      <w:bookmarkEnd w:id="62"/>
      <w:bookmarkEnd w:id="63"/>
    </w:p>
    <w:p w14:paraId="7F090C54">
      <w:pPr>
        <w:pStyle w:val="28"/>
        <w:tabs>
          <w:tab w:val="left" w:pos="900"/>
        </w:tabs>
        <w:spacing w:line="360" w:lineRule="auto"/>
        <w:ind w:firstLine="440" w:firstLineChars="200"/>
        <w:rPr>
          <w:rFonts w:ascii="Times New Roman" w:hAnsi="Times New Roman"/>
          <w:color w:val="auto"/>
          <w:sz w:val="22"/>
          <w:szCs w:val="22"/>
          <w:highlight w:val="none"/>
        </w:rPr>
      </w:pPr>
      <w:r>
        <w:rPr>
          <w:rFonts w:ascii="Times New Roman" w:hAnsi="Times New Roman"/>
          <w:color w:val="auto"/>
          <w:sz w:val="22"/>
          <w:szCs w:val="22"/>
          <w:highlight w:val="none"/>
        </w:rPr>
        <w:t>13.1开标过程中，投标人对开标有异议的，应当在“政采云”平台上及时提出，评审委员应对异常情况制作相关记录。</w:t>
      </w:r>
    </w:p>
    <w:p w14:paraId="526693CF">
      <w:pPr>
        <w:pStyle w:val="28"/>
        <w:tabs>
          <w:tab w:val="left" w:pos="900"/>
        </w:tabs>
        <w:spacing w:line="360" w:lineRule="auto"/>
        <w:ind w:firstLine="440" w:firstLineChars="200"/>
        <w:rPr>
          <w:rFonts w:ascii="Times New Roman" w:hAnsi="Times New Roman"/>
          <w:color w:val="auto"/>
          <w:sz w:val="22"/>
          <w:szCs w:val="22"/>
          <w:highlight w:val="none"/>
        </w:rPr>
      </w:pPr>
      <w:r>
        <w:rPr>
          <w:rFonts w:ascii="Times New Roman" w:hAnsi="Times New Roman"/>
          <w:color w:val="auto"/>
          <w:sz w:val="22"/>
          <w:szCs w:val="22"/>
          <w:highlight w:val="none"/>
        </w:rPr>
        <w:t>13.2开评标结束后，投标人或者其他利害关系人对依法必须进行招标的项目的评标结果有异议的，应在采购结果公告期限结束之日（公告发布之日起至第2日24小时止）起7个工作日内依据招投标相关法律法规向采购人、招标代理机构提出质疑。采购人或招标代理机构将在收到书面质疑后7个工作日内对质疑内容作出答复。若投标人对采购人或招标代理机构的答复、处理结果不满意，应在收到采购人或招标代理机构的书面答复后十五个工作日内到招标投标管理部门投诉。</w:t>
      </w:r>
    </w:p>
    <w:p w14:paraId="2922AC14">
      <w:pPr>
        <w:pStyle w:val="28"/>
        <w:tabs>
          <w:tab w:val="left" w:pos="900"/>
        </w:tabs>
        <w:spacing w:line="360" w:lineRule="auto"/>
        <w:ind w:firstLine="440" w:firstLineChars="200"/>
        <w:rPr>
          <w:rFonts w:ascii="Times New Roman" w:hAnsi="Times New Roman"/>
          <w:color w:val="auto"/>
          <w:sz w:val="22"/>
          <w:szCs w:val="22"/>
          <w:highlight w:val="none"/>
        </w:rPr>
      </w:pPr>
      <w:r>
        <w:rPr>
          <w:rFonts w:ascii="Times New Roman" w:hAnsi="Times New Roman"/>
          <w:color w:val="auto"/>
          <w:sz w:val="22"/>
          <w:szCs w:val="22"/>
          <w:highlight w:val="none"/>
        </w:rPr>
        <w:t>13.3质疑投诉的相关规定</w:t>
      </w:r>
    </w:p>
    <w:p w14:paraId="52A1EE58">
      <w:pPr>
        <w:pStyle w:val="28"/>
        <w:tabs>
          <w:tab w:val="left" w:pos="900"/>
        </w:tabs>
        <w:spacing w:line="360" w:lineRule="auto"/>
        <w:ind w:firstLine="440" w:firstLineChars="200"/>
        <w:rPr>
          <w:rFonts w:ascii="Times New Roman" w:hAnsi="Times New Roman"/>
          <w:color w:val="auto"/>
          <w:sz w:val="22"/>
          <w:szCs w:val="22"/>
          <w:highlight w:val="none"/>
        </w:rPr>
      </w:pPr>
      <w:r>
        <w:rPr>
          <w:rFonts w:ascii="Times New Roman" w:hAnsi="Times New Roman"/>
          <w:color w:val="auto"/>
          <w:sz w:val="22"/>
          <w:szCs w:val="22"/>
          <w:highlight w:val="none"/>
        </w:rPr>
        <w:t>（一）质疑投诉递交的资料需为书面材料。质疑投诉书面材料需法人代表人（或负责人）或授权代表签字并加盖公章。</w:t>
      </w:r>
    </w:p>
    <w:p w14:paraId="663F66D4">
      <w:pPr>
        <w:adjustRightInd w:val="0"/>
        <w:spacing w:line="360" w:lineRule="auto"/>
        <w:ind w:firstLine="440" w:firstLineChars="200"/>
        <w:rPr>
          <w:color w:val="auto"/>
          <w:sz w:val="22"/>
          <w:szCs w:val="22"/>
          <w:highlight w:val="none"/>
        </w:rPr>
      </w:pPr>
      <w:r>
        <w:rPr>
          <w:rFonts w:hint="eastAsia"/>
          <w:color w:val="auto"/>
          <w:sz w:val="22"/>
          <w:szCs w:val="22"/>
          <w:highlight w:val="none"/>
          <w:lang w:eastAsia="zh-CN"/>
        </w:rPr>
        <w:t>（</w:t>
      </w:r>
      <w:r>
        <w:rPr>
          <w:rFonts w:hint="eastAsia"/>
          <w:color w:val="auto"/>
          <w:sz w:val="22"/>
          <w:szCs w:val="22"/>
          <w:highlight w:val="none"/>
          <w:lang w:val="en-US" w:eastAsia="zh-CN"/>
        </w:rPr>
        <w:t>二</w:t>
      </w:r>
      <w:r>
        <w:rPr>
          <w:rFonts w:hint="eastAsia"/>
          <w:color w:val="auto"/>
          <w:sz w:val="22"/>
          <w:szCs w:val="22"/>
          <w:highlight w:val="none"/>
          <w:lang w:eastAsia="zh-CN"/>
        </w:rPr>
        <w:t>）</w:t>
      </w:r>
      <w:r>
        <w:rPr>
          <w:rFonts w:hint="eastAsia"/>
          <w:color w:val="auto"/>
          <w:sz w:val="22"/>
          <w:szCs w:val="22"/>
          <w:highlight w:val="none"/>
        </w:rPr>
        <w:t>针对同一采购程序环节的质疑，供应商应在规定期限内一次性提出（即针对同一采购程序环节的质疑采购人或采购代理机构仅受理一次），逾期提出或针对同一采购程序环节多次提出的质疑将不予受理、答复。</w:t>
      </w:r>
    </w:p>
    <w:p w14:paraId="267A0735">
      <w:pPr>
        <w:adjustRightInd w:val="0"/>
        <w:spacing w:line="360" w:lineRule="auto"/>
        <w:ind w:firstLine="440" w:firstLineChars="200"/>
        <w:rPr>
          <w:color w:val="auto"/>
          <w:sz w:val="22"/>
          <w:szCs w:val="22"/>
          <w:highlight w:val="none"/>
        </w:rPr>
      </w:pPr>
      <w:r>
        <w:rPr>
          <w:color w:val="auto"/>
          <w:sz w:val="22"/>
          <w:szCs w:val="22"/>
          <w:highlight w:val="none"/>
        </w:rPr>
        <w:t>（</w:t>
      </w:r>
      <w:r>
        <w:rPr>
          <w:rFonts w:hint="eastAsia"/>
          <w:color w:val="auto"/>
          <w:sz w:val="22"/>
          <w:szCs w:val="22"/>
          <w:highlight w:val="none"/>
          <w:lang w:val="en-US" w:eastAsia="zh-CN"/>
        </w:rPr>
        <w:t>三</w:t>
      </w:r>
      <w:r>
        <w:rPr>
          <w:color w:val="auto"/>
          <w:sz w:val="22"/>
          <w:szCs w:val="22"/>
          <w:highlight w:val="none"/>
        </w:rPr>
        <w:t>）质疑投诉属于以下情况之一的，将不予受理：</w:t>
      </w:r>
    </w:p>
    <w:p w14:paraId="1B0823A6">
      <w:pPr>
        <w:adjustRightInd w:val="0"/>
        <w:spacing w:line="360" w:lineRule="auto"/>
        <w:ind w:firstLine="440" w:firstLineChars="200"/>
        <w:rPr>
          <w:color w:val="auto"/>
          <w:sz w:val="22"/>
          <w:szCs w:val="22"/>
          <w:highlight w:val="none"/>
        </w:rPr>
      </w:pPr>
      <w:r>
        <w:rPr>
          <w:color w:val="auto"/>
          <w:sz w:val="22"/>
          <w:szCs w:val="22"/>
          <w:highlight w:val="none"/>
        </w:rPr>
        <w:t>（1）质疑投诉人不是所投诉项目的参与者，或者与质疑投诉项目无任何利害关系。</w:t>
      </w:r>
    </w:p>
    <w:p w14:paraId="54DAC2AB">
      <w:pPr>
        <w:adjustRightInd w:val="0"/>
        <w:spacing w:line="360" w:lineRule="auto"/>
        <w:ind w:firstLine="440" w:firstLineChars="200"/>
        <w:rPr>
          <w:color w:val="auto"/>
          <w:sz w:val="22"/>
          <w:szCs w:val="22"/>
          <w:highlight w:val="none"/>
        </w:rPr>
      </w:pPr>
      <w:r>
        <w:rPr>
          <w:color w:val="auto"/>
          <w:sz w:val="22"/>
          <w:szCs w:val="22"/>
          <w:highlight w:val="none"/>
        </w:rPr>
        <w:t>（2）质疑投诉事项不具体，且未提供有效线索，难以查证。</w:t>
      </w:r>
    </w:p>
    <w:p w14:paraId="2EC870EB">
      <w:pPr>
        <w:adjustRightInd w:val="0"/>
        <w:spacing w:line="360" w:lineRule="auto"/>
        <w:ind w:firstLine="440" w:firstLineChars="200"/>
        <w:rPr>
          <w:color w:val="auto"/>
          <w:sz w:val="22"/>
          <w:szCs w:val="22"/>
          <w:highlight w:val="none"/>
        </w:rPr>
      </w:pPr>
      <w:r>
        <w:rPr>
          <w:color w:val="auto"/>
          <w:sz w:val="22"/>
          <w:szCs w:val="22"/>
          <w:highlight w:val="none"/>
        </w:rPr>
        <w:t>（3）未提供书面质疑或者质疑未加盖公章的；投诉人为法人或者其他组织，其投诉书未经法定代表人或者主要负责人签字并加盖公章的。</w:t>
      </w:r>
    </w:p>
    <w:p w14:paraId="1C97F71F">
      <w:pPr>
        <w:adjustRightInd w:val="0"/>
        <w:spacing w:line="360" w:lineRule="auto"/>
        <w:ind w:firstLine="440" w:firstLineChars="200"/>
        <w:rPr>
          <w:color w:val="auto"/>
          <w:sz w:val="22"/>
          <w:szCs w:val="22"/>
          <w:highlight w:val="none"/>
        </w:rPr>
      </w:pPr>
      <w:r>
        <w:rPr>
          <w:color w:val="auto"/>
          <w:sz w:val="22"/>
          <w:szCs w:val="22"/>
          <w:highlight w:val="none"/>
        </w:rPr>
        <w:t>（4）已超过招标文件规定质疑投诉提出期限的事项。</w:t>
      </w:r>
    </w:p>
    <w:p w14:paraId="35F81A31">
      <w:pPr>
        <w:adjustRightInd w:val="0"/>
        <w:spacing w:line="360" w:lineRule="auto"/>
        <w:ind w:firstLine="440" w:firstLineChars="200"/>
        <w:rPr>
          <w:color w:val="auto"/>
          <w:sz w:val="22"/>
          <w:szCs w:val="22"/>
          <w:highlight w:val="none"/>
        </w:rPr>
      </w:pPr>
      <w:r>
        <w:rPr>
          <w:color w:val="auto"/>
          <w:sz w:val="22"/>
          <w:szCs w:val="22"/>
          <w:highlight w:val="none"/>
        </w:rPr>
        <w:t>（5）投诉事项已作出处理决定，并且投诉人没有提出新的证据</w:t>
      </w:r>
    </w:p>
    <w:p w14:paraId="7E48BA00">
      <w:pPr>
        <w:adjustRightInd w:val="0"/>
        <w:spacing w:line="360" w:lineRule="auto"/>
        <w:ind w:firstLine="440" w:firstLineChars="200"/>
        <w:rPr>
          <w:color w:val="auto"/>
          <w:sz w:val="22"/>
          <w:szCs w:val="22"/>
          <w:highlight w:val="none"/>
        </w:rPr>
      </w:pPr>
      <w:r>
        <w:rPr>
          <w:color w:val="auto"/>
          <w:sz w:val="22"/>
          <w:szCs w:val="22"/>
          <w:highlight w:val="none"/>
        </w:rPr>
        <w:t>（6）质疑投诉的事项已经进入行政复议或者行政诉讼程序的；投诉事项应先提出质疑而没有提出质疑的。</w:t>
      </w:r>
    </w:p>
    <w:p w14:paraId="103BF5CD">
      <w:pPr>
        <w:adjustRightInd w:val="0"/>
        <w:spacing w:line="360" w:lineRule="auto"/>
        <w:ind w:firstLine="440" w:firstLineChars="200"/>
        <w:rPr>
          <w:color w:val="auto"/>
          <w:sz w:val="22"/>
          <w:szCs w:val="22"/>
          <w:highlight w:val="none"/>
        </w:rPr>
      </w:pPr>
      <w:r>
        <w:rPr>
          <w:color w:val="auto"/>
          <w:sz w:val="22"/>
          <w:szCs w:val="22"/>
          <w:highlight w:val="none"/>
        </w:rPr>
        <w:t>（7）不符合《政府采购质疑和投诉办法》（财政部令第94号）等有关规定的投诉。</w:t>
      </w:r>
    </w:p>
    <w:p w14:paraId="7CA0C44A">
      <w:pPr>
        <w:pStyle w:val="5"/>
        <w:spacing w:before="0" w:after="0" w:line="360" w:lineRule="auto"/>
        <w:jc w:val="center"/>
        <w:rPr>
          <w:color w:val="auto"/>
          <w:sz w:val="32"/>
          <w:highlight w:val="none"/>
        </w:rPr>
        <w:sectPr>
          <w:pgSz w:w="11906" w:h="16838"/>
          <w:pgMar w:top="1247" w:right="1361" w:bottom="1247" w:left="1417" w:header="851" w:footer="992" w:gutter="0"/>
          <w:pgBorders>
            <w:top w:val="none" w:sz="0" w:space="0"/>
            <w:left w:val="none" w:sz="0" w:space="0"/>
            <w:bottom w:val="none" w:sz="0" w:space="0"/>
            <w:right w:val="none" w:sz="0" w:space="0"/>
          </w:pgBorders>
          <w:pgNumType w:fmt="numberInDash"/>
          <w:cols w:space="720" w:num="1"/>
          <w:titlePg/>
          <w:rtlGutter w:val="1"/>
        </w:sectPr>
      </w:pPr>
      <w:bookmarkStart w:id="64" w:name="_Toc362268017"/>
      <w:bookmarkEnd w:id="64"/>
    </w:p>
    <w:p w14:paraId="720643BC">
      <w:pPr>
        <w:pStyle w:val="5"/>
        <w:spacing w:before="0" w:after="0" w:line="360" w:lineRule="auto"/>
        <w:jc w:val="center"/>
        <w:rPr>
          <w:color w:val="auto"/>
          <w:sz w:val="36"/>
          <w:highlight w:val="none"/>
        </w:rPr>
      </w:pPr>
      <w:bookmarkStart w:id="65" w:name="_Toc12505"/>
      <w:r>
        <w:rPr>
          <w:color w:val="auto"/>
          <w:sz w:val="32"/>
          <w:highlight w:val="none"/>
        </w:rPr>
        <w:t>第五章  投标文件的有效性</w:t>
      </w:r>
      <w:bookmarkEnd w:id="65"/>
    </w:p>
    <w:p w14:paraId="2B0EEDEA">
      <w:pPr>
        <w:pStyle w:val="28"/>
        <w:spacing w:line="360" w:lineRule="auto"/>
        <w:ind w:firstLine="433" w:firstLineChars="196"/>
        <w:rPr>
          <w:rFonts w:ascii="Times New Roman" w:hAnsi="Times New Roman"/>
          <w:b/>
          <w:color w:val="auto"/>
          <w:sz w:val="22"/>
          <w:szCs w:val="22"/>
          <w:highlight w:val="none"/>
        </w:rPr>
      </w:pPr>
      <w:bookmarkStart w:id="66" w:name="_Toc226973004"/>
      <w:bookmarkEnd w:id="66"/>
      <w:bookmarkStart w:id="67" w:name="_Toc274303255"/>
      <w:bookmarkEnd w:id="67"/>
      <w:bookmarkStart w:id="68" w:name="_Toc145992551"/>
      <w:bookmarkEnd w:id="68"/>
      <w:r>
        <w:rPr>
          <w:rFonts w:hint="eastAsia" w:ascii="Times New Roman" w:hAnsi="Times New Roman"/>
          <w:b/>
          <w:color w:val="auto"/>
          <w:sz w:val="22"/>
          <w:szCs w:val="22"/>
          <w:highlight w:val="none"/>
          <w:lang w:eastAsia="zh-CN"/>
        </w:rPr>
        <w:t>1.</w:t>
      </w:r>
      <w:r>
        <w:rPr>
          <w:rFonts w:ascii="Times New Roman" w:hAnsi="Times New Roman"/>
          <w:b/>
          <w:color w:val="auto"/>
          <w:sz w:val="22"/>
          <w:szCs w:val="22"/>
          <w:highlight w:val="none"/>
        </w:rPr>
        <w:t>有下列情形之一的，招标方将不予受理投标文件：</w:t>
      </w:r>
    </w:p>
    <w:p w14:paraId="2EBB1B82">
      <w:pPr>
        <w:pStyle w:val="28"/>
        <w:spacing w:line="360" w:lineRule="auto"/>
        <w:ind w:firstLine="440" w:firstLineChars="200"/>
        <w:rPr>
          <w:rFonts w:ascii="Times New Roman" w:hAnsi="Times New Roman"/>
          <w:color w:val="auto"/>
          <w:sz w:val="22"/>
          <w:szCs w:val="22"/>
          <w:highlight w:val="none"/>
        </w:rPr>
      </w:pPr>
      <w:r>
        <w:rPr>
          <w:rFonts w:ascii="Times New Roman" w:hAnsi="Times New Roman"/>
          <w:color w:val="auto"/>
          <w:sz w:val="22"/>
          <w:szCs w:val="22"/>
          <w:highlight w:val="none"/>
        </w:rPr>
        <w:t>1.1逾期上传电子档投标文件至“政采云”平台的；</w:t>
      </w:r>
    </w:p>
    <w:p w14:paraId="10DAB003">
      <w:pPr>
        <w:spacing w:line="360" w:lineRule="auto"/>
        <w:ind w:firstLine="440" w:firstLineChars="200"/>
        <w:rPr>
          <w:color w:val="auto"/>
          <w:sz w:val="22"/>
          <w:szCs w:val="22"/>
          <w:highlight w:val="none"/>
        </w:rPr>
      </w:pPr>
      <w:r>
        <w:rPr>
          <w:color w:val="auto"/>
          <w:sz w:val="22"/>
          <w:szCs w:val="22"/>
          <w:highlight w:val="none"/>
        </w:rPr>
        <w:t>1.2投标文件只有商务技术标或者商务技术标与报价标部分上传在一份文档中的。</w:t>
      </w:r>
    </w:p>
    <w:p w14:paraId="0B9436DC">
      <w:pPr>
        <w:adjustRightInd w:val="0"/>
        <w:snapToGrid w:val="0"/>
        <w:spacing w:line="360" w:lineRule="auto"/>
        <w:ind w:firstLine="442" w:firstLineChars="200"/>
        <w:rPr>
          <w:rFonts w:hint="eastAsia"/>
          <w:b/>
          <w:color w:val="auto"/>
          <w:sz w:val="22"/>
          <w:szCs w:val="22"/>
          <w:highlight w:val="none"/>
          <w:lang w:eastAsia="zh-CN"/>
        </w:rPr>
      </w:pPr>
      <w:r>
        <w:rPr>
          <w:rFonts w:hint="eastAsia"/>
          <w:b/>
          <w:color w:val="auto"/>
          <w:sz w:val="22"/>
          <w:szCs w:val="22"/>
          <w:highlight w:val="none"/>
          <w:lang w:eastAsia="zh-CN"/>
        </w:rPr>
        <w:t>2参与同一个标段(包)的投标人存在下列情形之一的，其投标(响应)文件无效：</w:t>
      </w:r>
    </w:p>
    <w:p w14:paraId="2BD5A40C">
      <w:pPr>
        <w:adjustRightInd w:val="0"/>
        <w:snapToGrid w:val="0"/>
        <w:spacing w:line="360" w:lineRule="auto"/>
        <w:ind w:firstLine="440" w:firstLineChars="200"/>
        <w:rPr>
          <w:rFonts w:hint="eastAsia"/>
          <w:b w:val="0"/>
          <w:bCs/>
          <w:color w:val="auto"/>
          <w:sz w:val="22"/>
          <w:szCs w:val="22"/>
          <w:highlight w:val="none"/>
          <w:lang w:eastAsia="zh-CN"/>
        </w:rPr>
      </w:pPr>
      <w:r>
        <w:rPr>
          <w:rFonts w:hint="eastAsia"/>
          <w:b w:val="0"/>
          <w:bCs/>
          <w:color w:val="auto"/>
          <w:sz w:val="22"/>
          <w:szCs w:val="22"/>
          <w:highlight w:val="none"/>
          <w:lang w:eastAsia="zh-CN"/>
        </w:rPr>
        <w:t>2.1不同供应商制作电子投标(响应)文件的计算机网卡MAC地址相同的；</w:t>
      </w:r>
    </w:p>
    <w:p w14:paraId="155078FF">
      <w:pPr>
        <w:adjustRightInd w:val="0"/>
        <w:snapToGrid w:val="0"/>
        <w:spacing w:line="360" w:lineRule="auto"/>
        <w:ind w:firstLine="440" w:firstLineChars="200"/>
        <w:rPr>
          <w:rFonts w:hint="eastAsia"/>
          <w:b w:val="0"/>
          <w:bCs/>
          <w:color w:val="auto"/>
          <w:sz w:val="22"/>
          <w:szCs w:val="22"/>
          <w:highlight w:val="none"/>
          <w:lang w:eastAsia="zh-CN"/>
        </w:rPr>
      </w:pPr>
      <w:r>
        <w:rPr>
          <w:rFonts w:hint="eastAsia"/>
          <w:b w:val="0"/>
          <w:bCs/>
          <w:color w:val="auto"/>
          <w:sz w:val="22"/>
          <w:szCs w:val="22"/>
          <w:highlight w:val="none"/>
          <w:lang w:eastAsia="zh-CN"/>
        </w:rPr>
        <w:t>2.2不同供应商制作电子投标(响应)文件的计算机硬盘序列号相同的；</w:t>
      </w:r>
    </w:p>
    <w:p w14:paraId="3B22E1C5">
      <w:pPr>
        <w:adjustRightInd w:val="0"/>
        <w:snapToGrid w:val="0"/>
        <w:spacing w:line="360" w:lineRule="auto"/>
        <w:ind w:firstLine="440" w:firstLineChars="200"/>
        <w:rPr>
          <w:rFonts w:hint="default"/>
          <w:b w:val="0"/>
          <w:bCs/>
          <w:color w:val="auto"/>
          <w:sz w:val="22"/>
          <w:szCs w:val="22"/>
          <w:highlight w:val="none"/>
          <w:lang w:val="en-US" w:eastAsia="zh-CN"/>
        </w:rPr>
      </w:pPr>
      <w:r>
        <w:rPr>
          <w:rFonts w:hint="eastAsia"/>
          <w:b w:val="0"/>
          <w:bCs/>
          <w:color w:val="auto"/>
          <w:sz w:val="22"/>
          <w:szCs w:val="22"/>
          <w:highlight w:val="none"/>
          <w:lang w:eastAsia="zh-CN"/>
        </w:rPr>
        <w:t>2.3不同供应商的投标(响应)文件的内容存在两处以上细节错误一致，且无法合理解释的。</w:t>
      </w:r>
    </w:p>
    <w:p w14:paraId="6C6207FD">
      <w:pPr>
        <w:adjustRightInd w:val="0"/>
        <w:snapToGrid w:val="0"/>
        <w:spacing w:line="360" w:lineRule="auto"/>
        <w:ind w:firstLine="442" w:firstLineChars="200"/>
        <w:rPr>
          <w:b/>
          <w:color w:val="auto"/>
          <w:sz w:val="22"/>
          <w:szCs w:val="22"/>
          <w:highlight w:val="none"/>
        </w:rPr>
      </w:pPr>
      <w:r>
        <w:rPr>
          <w:rFonts w:hint="eastAsia"/>
          <w:b/>
          <w:color w:val="auto"/>
          <w:sz w:val="22"/>
          <w:szCs w:val="22"/>
          <w:highlight w:val="none"/>
          <w:lang w:val="en-US" w:eastAsia="zh-CN"/>
        </w:rPr>
        <w:t>3</w:t>
      </w:r>
      <w:r>
        <w:rPr>
          <w:rFonts w:hint="eastAsia"/>
          <w:b/>
          <w:color w:val="auto"/>
          <w:sz w:val="22"/>
          <w:szCs w:val="22"/>
          <w:highlight w:val="none"/>
          <w:lang w:eastAsia="zh-CN"/>
        </w:rPr>
        <w:t>.</w:t>
      </w:r>
      <w:r>
        <w:rPr>
          <w:b/>
          <w:color w:val="auto"/>
          <w:sz w:val="22"/>
          <w:szCs w:val="22"/>
          <w:highlight w:val="none"/>
        </w:rPr>
        <w:t>投标文件在</w:t>
      </w:r>
      <w:r>
        <w:rPr>
          <w:rFonts w:hint="eastAsia"/>
          <w:b/>
          <w:color w:val="auto"/>
          <w:sz w:val="22"/>
          <w:szCs w:val="22"/>
          <w:highlight w:val="none"/>
          <w:lang w:val="en-US" w:eastAsia="zh-CN"/>
        </w:rPr>
        <w:t>资格响应文件或</w:t>
      </w:r>
      <w:r>
        <w:rPr>
          <w:b/>
          <w:color w:val="auto"/>
          <w:sz w:val="22"/>
          <w:szCs w:val="22"/>
          <w:highlight w:val="none"/>
        </w:rPr>
        <w:t>商务技术响应文件评审出现下列情形之一的，由评标委员会审核后按无效投标文件处理：</w:t>
      </w:r>
    </w:p>
    <w:p w14:paraId="6404CA9C">
      <w:pPr>
        <w:tabs>
          <w:tab w:val="left" w:pos="5325"/>
        </w:tabs>
        <w:adjustRightInd w:val="0"/>
        <w:snapToGrid w:val="0"/>
        <w:spacing w:line="360" w:lineRule="auto"/>
        <w:ind w:firstLine="440" w:firstLineChars="200"/>
        <w:rPr>
          <w:color w:val="auto"/>
          <w:sz w:val="22"/>
          <w:szCs w:val="22"/>
          <w:highlight w:val="none"/>
        </w:rPr>
      </w:pPr>
      <w:r>
        <w:rPr>
          <w:rFonts w:hint="eastAsia"/>
          <w:b w:val="0"/>
          <w:bCs w:val="0"/>
          <w:color w:val="auto"/>
          <w:sz w:val="22"/>
          <w:szCs w:val="22"/>
          <w:highlight w:val="none"/>
          <w:lang w:eastAsia="zh-CN"/>
        </w:rPr>
        <w:t>3.</w:t>
      </w:r>
      <w:r>
        <w:rPr>
          <w:b w:val="0"/>
          <w:bCs w:val="0"/>
          <w:color w:val="auto"/>
          <w:sz w:val="22"/>
          <w:szCs w:val="22"/>
          <w:highlight w:val="none"/>
        </w:rPr>
        <w:t>1</w:t>
      </w:r>
      <w:r>
        <w:rPr>
          <w:rFonts w:hint="eastAsia"/>
          <w:b w:val="0"/>
          <w:bCs w:val="0"/>
          <w:color w:val="auto"/>
          <w:sz w:val="22"/>
          <w:szCs w:val="22"/>
          <w:highlight w:val="none"/>
        </w:rPr>
        <w:t>资格响应文件或商务技术响应文件</w:t>
      </w:r>
      <w:r>
        <w:rPr>
          <w:b w:val="0"/>
          <w:bCs w:val="0"/>
          <w:color w:val="auto"/>
          <w:sz w:val="22"/>
          <w:szCs w:val="22"/>
          <w:highlight w:val="none"/>
        </w:rPr>
        <w:t>中包含</w:t>
      </w:r>
      <w:r>
        <w:rPr>
          <w:color w:val="auto"/>
          <w:sz w:val="22"/>
          <w:szCs w:val="22"/>
          <w:highlight w:val="none"/>
        </w:rPr>
        <w:t>投标报价的；</w:t>
      </w:r>
    </w:p>
    <w:p w14:paraId="53DCB3AF">
      <w:pPr>
        <w:tabs>
          <w:tab w:val="left" w:pos="5325"/>
        </w:tabs>
        <w:adjustRightInd w:val="0"/>
        <w:snapToGrid w:val="0"/>
        <w:spacing w:line="360" w:lineRule="auto"/>
        <w:ind w:firstLine="440" w:firstLineChars="200"/>
        <w:rPr>
          <w:color w:val="auto"/>
          <w:sz w:val="22"/>
          <w:szCs w:val="22"/>
          <w:highlight w:val="none"/>
        </w:rPr>
      </w:pPr>
      <w:r>
        <w:rPr>
          <w:rFonts w:hint="eastAsia"/>
          <w:color w:val="auto"/>
          <w:sz w:val="22"/>
          <w:szCs w:val="22"/>
          <w:highlight w:val="none"/>
          <w:lang w:eastAsia="zh-CN"/>
        </w:rPr>
        <w:t>3.</w:t>
      </w:r>
      <w:r>
        <w:rPr>
          <w:color w:val="auto"/>
          <w:sz w:val="22"/>
          <w:szCs w:val="22"/>
          <w:highlight w:val="none"/>
        </w:rPr>
        <w:t>2</w:t>
      </w:r>
      <w:r>
        <w:rPr>
          <w:rFonts w:hint="eastAsia"/>
          <w:color w:val="auto"/>
          <w:sz w:val="22"/>
          <w:szCs w:val="22"/>
          <w:highlight w:val="none"/>
        </w:rPr>
        <w:t>招标文件关于投标文件组成内容中商务技术响应文件要求的内容，投标方的投标文件内容未提供完整或关键字迹模糊、无法辨认的或未按其规定的格式及要求填写、签字、盖章或提供的投标文件内容不符合招标文件中有关打★号的条款的规定</w:t>
      </w:r>
      <w:r>
        <w:rPr>
          <w:color w:val="auto"/>
          <w:sz w:val="22"/>
          <w:szCs w:val="22"/>
          <w:highlight w:val="none"/>
        </w:rPr>
        <w:t>；</w:t>
      </w:r>
    </w:p>
    <w:p w14:paraId="49882694">
      <w:pPr>
        <w:adjustRightInd w:val="0"/>
        <w:snapToGrid w:val="0"/>
        <w:spacing w:line="360" w:lineRule="auto"/>
        <w:ind w:firstLine="440" w:firstLineChars="200"/>
        <w:rPr>
          <w:rFonts w:hint="eastAsia"/>
          <w:color w:val="auto"/>
          <w:sz w:val="22"/>
          <w:szCs w:val="22"/>
          <w:highlight w:val="none"/>
          <w:lang w:eastAsia="zh-CN"/>
        </w:rPr>
      </w:pPr>
      <w:r>
        <w:rPr>
          <w:rFonts w:hint="eastAsia"/>
          <w:color w:val="auto"/>
          <w:sz w:val="22"/>
          <w:szCs w:val="22"/>
          <w:highlight w:val="none"/>
          <w:lang w:eastAsia="zh-CN"/>
        </w:rPr>
        <w:t>3.3投标文件未按招标文件要求加盖单位公章或电子签章；或无法定代表人或法定代表人授权的全权代表签字或盖章的；或有授权的全权代表签字或盖章但未提交“授权委托书”原件的；或授权委托书无法定代表人签字或盖章的；或授权委托书未加盖单位公章或电子签章的；</w:t>
      </w:r>
    </w:p>
    <w:p w14:paraId="3BA642F7">
      <w:pPr>
        <w:adjustRightInd w:val="0"/>
        <w:snapToGrid w:val="0"/>
        <w:spacing w:line="360" w:lineRule="auto"/>
        <w:ind w:firstLine="440" w:firstLineChars="200"/>
        <w:rPr>
          <w:color w:val="auto"/>
          <w:sz w:val="22"/>
          <w:szCs w:val="22"/>
          <w:highlight w:val="none"/>
        </w:rPr>
      </w:pPr>
      <w:r>
        <w:rPr>
          <w:rFonts w:hint="eastAsia"/>
          <w:color w:val="auto"/>
          <w:sz w:val="22"/>
          <w:szCs w:val="22"/>
          <w:highlight w:val="none"/>
          <w:lang w:eastAsia="zh-CN"/>
        </w:rPr>
        <w:t>3.</w:t>
      </w:r>
      <w:r>
        <w:rPr>
          <w:rFonts w:hint="eastAsia"/>
          <w:color w:val="auto"/>
          <w:sz w:val="22"/>
          <w:szCs w:val="22"/>
          <w:highlight w:val="none"/>
          <w:lang w:val="en-US" w:eastAsia="zh-CN"/>
        </w:rPr>
        <w:t>4</w:t>
      </w:r>
      <w:r>
        <w:rPr>
          <w:color w:val="auto"/>
          <w:sz w:val="22"/>
          <w:szCs w:val="22"/>
          <w:highlight w:val="none"/>
        </w:rPr>
        <w:t>投标方的投标资格未符合招标文件的资格要求规定</w:t>
      </w:r>
      <w:r>
        <w:rPr>
          <w:rFonts w:hint="eastAsia"/>
          <w:color w:val="auto"/>
          <w:sz w:val="22"/>
          <w:szCs w:val="22"/>
          <w:highlight w:val="none"/>
        </w:rPr>
        <w:t>或未提供完整的资格文件的</w:t>
      </w:r>
      <w:r>
        <w:rPr>
          <w:color w:val="auto"/>
          <w:sz w:val="22"/>
          <w:szCs w:val="22"/>
          <w:highlight w:val="none"/>
        </w:rPr>
        <w:t>；</w:t>
      </w:r>
    </w:p>
    <w:p w14:paraId="440C1FB8">
      <w:pPr>
        <w:adjustRightInd w:val="0"/>
        <w:snapToGrid w:val="0"/>
        <w:spacing w:line="360" w:lineRule="auto"/>
        <w:ind w:firstLine="440" w:firstLineChars="200"/>
        <w:rPr>
          <w:color w:val="auto"/>
          <w:sz w:val="22"/>
          <w:szCs w:val="22"/>
          <w:highlight w:val="none"/>
        </w:rPr>
      </w:pPr>
      <w:r>
        <w:rPr>
          <w:rFonts w:hint="eastAsia"/>
          <w:color w:val="auto"/>
          <w:sz w:val="22"/>
          <w:szCs w:val="22"/>
          <w:highlight w:val="none"/>
          <w:lang w:eastAsia="zh-CN"/>
        </w:rPr>
        <w:t>3.</w:t>
      </w:r>
      <w:r>
        <w:rPr>
          <w:rFonts w:hint="eastAsia"/>
          <w:color w:val="auto"/>
          <w:sz w:val="22"/>
          <w:szCs w:val="22"/>
          <w:highlight w:val="none"/>
          <w:lang w:val="en-US" w:eastAsia="zh-CN"/>
        </w:rPr>
        <w:t>5</w:t>
      </w:r>
      <w:r>
        <w:rPr>
          <w:color w:val="auto"/>
          <w:sz w:val="22"/>
          <w:szCs w:val="22"/>
          <w:highlight w:val="none"/>
        </w:rPr>
        <w:t>投标人递交两份或多份内容不同的投标文件，且未声明哪一个有效，但按招标文件规定提交备选投标方案的除外；</w:t>
      </w:r>
    </w:p>
    <w:p w14:paraId="3E5E98F0">
      <w:pPr>
        <w:adjustRightInd w:val="0"/>
        <w:snapToGrid w:val="0"/>
        <w:spacing w:line="360" w:lineRule="auto"/>
        <w:ind w:firstLine="440" w:firstLineChars="200"/>
        <w:rPr>
          <w:color w:val="auto"/>
          <w:sz w:val="22"/>
          <w:szCs w:val="22"/>
          <w:highlight w:val="none"/>
        </w:rPr>
      </w:pPr>
      <w:r>
        <w:rPr>
          <w:rFonts w:hint="eastAsia"/>
          <w:color w:val="auto"/>
          <w:sz w:val="22"/>
          <w:szCs w:val="22"/>
          <w:highlight w:val="none"/>
          <w:lang w:eastAsia="zh-CN"/>
        </w:rPr>
        <w:t>3.</w:t>
      </w:r>
      <w:r>
        <w:rPr>
          <w:rFonts w:hint="eastAsia"/>
          <w:color w:val="auto"/>
          <w:sz w:val="22"/>
          <w:szCs w:val="22"/>
          <w:highlight w:val="none"/>
          <w:lang w:val="en-US" w:eastAsia="zh-CN"/>
        </w:rPr>
        <w:t>6</w:t>
      </w:r>
      <w:r>
        <w:rPr>
          <w:rFonts w:hint="eastAsia"/>
          <w:color w:val="auto"/>
          <w:sz w:val="22"/>
          <w:szCs w:val="22"/>
          <w:highlight w:val="none"/>
        </w:rPr>
        <w:t>联合体组成不符合要求或联合体投标未附联合体各方共同投标协议的；</w:t>
      </w:r>
    </w:p>
    <w:p w14:paraId="3658CAEF">
      <w:pPr>
        <w:tabs>
          <w:tab w:val="left" w:pos="5325"/>
        </w:tabs>
        <w:adjustRightInd w:val="0"/>
        <w:snapToGrid w:val="0"/>
        <w:spacing w:line="360" w:lineRule="auto"/>
        <w:ind w:firstLine="440" w:firstLineChars="200"/>
        <w:rPr>
          <w:color w:val="auto"/>
          <w:sz w:val="22"/>
          <w:szCs w:val="22"/>
          <w:highlight w:val="none"/>
        </w:rPr>
      </w:pPr>
      <w:r>
        <w:rPr>
          <w:rFonts w:hint="eastAsia"/>
          <w:color w:val="auto"/>
          <w:sz w:val="22"/>
          <w:szCs w:val="22"/>
          <w:highlight w:val="none"/>
          <w:lang w:eastAsia="zh-CN"/>
        </w:rPr>
        <w:t>3.</w:t>
      </w:r>
      <w:r>
        <w:rPr>
          <w:rFonts w:hint="eastAsia"/>
          <w:color w:val="auto"/>
          <w:sz w:val="22"/>
          <w:szCs w:val="22"/>
          <w:highlight w:val="none"/>
          <w:lang w:val="en-US" w:eastAsia="zh-CN"/>
        </w:rPr>
        <w:t>7</w:t>
      </w:r>
      <w:r>
        <w:rPr>
          <w:rFonts w:hint="eastAsia"/>
          <w:color w:val="auto"/>
          <w:sz w:val="22"/>
          <w:szCs w:val="22"/>
          <w:highlight w:val="none"/>
        </w:rPr>
        <w:t>投标方所投服务或产品的数量不符合招标文件规定的</w:t>
      </w:r>
      <w:r>
        <w:rPr>
          <w:color w:val="auto"/>
          <w:sz w:val="22"/>
          <w:szCs w:val="22"/>
          <w:highlight w:val="none"/>
        </w:rPr>
        <w:t>；</w:t>
      </w:r>
    </w:p>
    <w:p w14:paraId="417249D8">
      <w:pPr>
        <w:spacing w:line="360" w:lineRule="auto"/>
        <w:ind w:firstLine="440" w:firstLineChars="200"/>
        <w:rPr>
          <w:color w:val="auto"/>
          <w:sz w:val="22"/>
          <w:szCs w:val="22"/>
          <w:highlight w:val="none"/>
        </w:rPr>
      </w:pPr>
      <w:r>
        <w:rPr>
          <w:rFonts w:hint="eastAsia"/>
          <w:color w:val="auto"/>
          <w:sz w:val="22"/>
          <w:szCs w:val="22"/>
          <w:highlight w:val="none"/>
          <w:lang w:eastAsia="zh-CN"/>
        </w:rPr>
        <w:t>3.</w:t>
      </w:r>
      <w:r>
        <w:rPr>
          <w:rFonts w:hint="eastAsia"/>
          <w:color w:val="auto"/>
          <w:sz w:val="22"/>
          <w:szCs w:val="22"/>
          <w:highlight w:val="none"/>
          <w:lang w:val="en-US" w:eastAsia="zh-CN"/>
        </w:rPr>
        <w:t>8</w:t>
      </w:r>
      <w:r>
        <w:rPr>
          <w:color w:val="auto"/>
          <w:sz w:val="22"/>
          <w:szCs w:val="22"/>
          <w:highlight w:val="none"/>
        </w:rPr>
        <w:t>投标方借用或冒用他人名义或证件、涂改文件、伪造或编造投标文件的；</w:t>
      </w:r>
    </w:p>
    <w:p w14:paraId="577A2DF4">
      <w:pPr>
        <w:spacing w:line="360" w:lineRule="auto"/>
        <w:ind w:firstLine="440" w:firstLineChars="200"/>
        <w:rPr>
          <w:color w:val="auto"/>
          <w:sz w:val="22"/>
          <w:szCs w:val="22"/>
          <w:highlight w:val="none"/>
        </w:rPr>
      </w:pPr>
      <w:r>
        <w:rPr>
          <w:rFonts w:hint="eastAsia"/>
          <w:color w:val="auto"/>
          <w:sz w:val="22"/>
          <w:szCs w:val="22"/>
          <w:highlight w:val="none"/>
          <w:lang w:eastAsia="zh-CN"/>
        </w:rPr>
        <w:t>3.</w:t>
      </w:r>
      <w:r>
        <w:rPr>
          <w:rFonts w:hint="eastAsia"/>
          <w:color w:val="auto"/>
          <w:sz w:val="22"/>
          <w:szCs w:val="22"/>
          <w:highlight w:val="none"/>
          <w:lang w:val="en-US" w:eastAsia="zh-CN"/>
        </w:rPr>
        <w:t>9</w:t>
      </w:r>
      <w:r>
        <w:rPr>
          <w:color w:val="auto"/>
          <w:sz w:val="22"/>
          <w:szCs w:val="22"/>
          <w:highlight w:val="none"/>
        </w:rPr>
        <w:t>投标中不同投标单位的投标文件出现雷同或相似（包括部分雷同或相似），对所有雷同或相似投标人按废标处理，投标方串标的，招标方将保留进一步追究责任的权利；</w:t>
      </w:r>
    </w:p>
    <w:p w14:paraId="121478BC">
      <w:pPr>
        <w:spacing w:line="360" w:lineRule="auto"/>
        <w:ind w:firstLine="440" w:firstLineChars="200"/>
        <w:rPr>
          <w:color w:val="auto"/>
          <w:sz w:val="22"/>
          <w:szCs w:val="22"/>
          <w:highlight w:val="none"/>
        </w:rPr>
      </w:pPr>
      <w:r>
        <w:rPr>
          <w:rFonts w:hint="eastAsia"/>
          <w:color w:val="auto"/>
          <w:sz w:val="22"/>
          <w:szCs w:val="22"/>
          <w:highlight w:val="none"/>
          <w:lang w:eastAsia="zh-CN"/>
        </w:rPr>
        <w:t>3.</w:t>
      </w:r>
      <w:r>
        <w:rPr>
          <w:rFonts w:hint="eastAsia"/>
          <w:color w:val="auto"/>
          <w:sz w:val="22"/>
          <w:szCs w:val="22"/>
          <w:highlight w:val="none"/>
          <w:lang w:val="en-US" w:eastAsia="zh-CN"/>
        </w:rPr>
        <w:t>10</w:t>
      </w:r>
      <w:r>
        <w:rPr>
          <w:rFonts w:hint="eastAsia"/>
          <w:color w:val="auto"/>
          <w:sz w:val="22"/>
          <w:szCs w:val="22"/>
          <w:highlight w:val="none"/>
        </w:rPr>
        <w:t>其他对</w:t>
      </w:r>
      <w:r>
        <w:rPr>
          <w:color w:val="auto"/>
          <w:sz w:val="22"/>
          <w:szCs w:val="22"/>
          <w:highlight w:val="none"/>
        </w:rPr>
        <w:t>本招标文件中打★号的条款未完全响应的；</w:t>
      </w:r>
    </w:p>
    <w:p w14:paraId="7C0448FE">
      <w:pPr>
        <w:spacing w:line="360" w:lineRule="auto"/>
        <w:ind w:firstLine="440" w:firstLineChars="200"/>
        <w:rPr>
          <w:color w:val="auto"/>
          <w:sz w:val="22"/>
          <w:szCs w:val="22"/>
          <w:highlight w:val="none"/>
        </w:rPr>
      </w:pPr>
      <w:r>
        <w:rPr>
          <w:rFonts w:hint="eastAsia"/>
          <w:color w:val="auto"/>
          <w:sz w:val="22"/>
          <w:szCs w:val="22"/>
          <w:highlight w:val="none"/>
          <w:lang w:eastAsia="zh-CN"/>
        </w:rPr>
        <w:t>3.</w:t>
      </w:r>
      <w:r>
        <w:rPr>
          <w:rFonts w:hint="eastAsia"/>
          <w:color w:val="auto"/>
          <w:sz w:val="22"/>
          <w:szCs w:val="22"/>
          <w:highlight w:val="none"/>
        </w:rPr>
        <w:t>1</w:t>
      </w:r>
      <w:r>
        <w:rPr>
          <w:rFonts w:hint="eastAsia"/>
          <w:color w:val="auto"/>
          <w:sz w:val="22"/>
          <w:szCs w:val="22"/>
          <w:highlight w:val="none"/>
          <w:lang w:val="en-US" w:eastAsia="zh-CN"/>
        </w:rPr>
        <w:t>1</w:t>
      </w:r>
      <w:r>
        <w:rPr>
          <w:color w:val="auto"/>
          <w:sz w:val="22"/>
          <w:szCs w:val="22"/>
          <w:highlight w:val="none"/>
        </w:rPr>
        <w:t>经评标委员会认定，投标文件附有采购人不能接受的条件；</w:t>
      </w:r>
    </w:p>
    <w:p w14:paraId="4971EB59">
      <w:pPr>
        <w:spacing w:line="360" w:lineRule="auto"/>
        <w:ind w:firstLine="440" w:firstLineChars="200"/>
        <w:rPr>
          <w:color w:val="auto"/>
          <w:sz w:val="22"/>
          <w:szCs w:val="22"/>
          <w:highlight w:val="none"/>
        </w:rPr>
      </w:pPr>
      <w:r>
        <w:rPr>
          <w:rFonts w:hint="eastAsia"/>
          <w:color w:val="auto"/>
          <w:sz w:val="22"/>
          <w:szCs w:val="22"/>
          <w:highlight w:val="none"/>
          <w:lang w:eastAsia="zh-CN"/>
        </w:rPr>
        <w:t>3.</w:t>
      </w:r>
      <w:r>
        <w:rPr>
          <w:color w:val="auto"/>
          <w:sz w:val="22"/>
          <w:szCs w:val="22"/>
          <w:highlight w:val="none"/>
        </w:rPr>
        <w:t>1</w:t>
      </w:r>
      <w:r>
        <w:rPr>
          <w:rFonts w:hint="eastAsia"/>
          <w:color w:val="auto"/>
          <w:sz w:val="22"/>
          <w:szCs w:val="22"/>
          <w:highlight w:val="none"/>
          <w:lang w:val="en-US" w:eastAsia="zh-CN"/>
        </w:rPr>
        <w:t>2</w:t>
      </w:r>
      <w:r>
        <w:rPr>
          <w:color w:val="auto"/>
          <w:sz w:val="22"/>
          <w:szCs w:val="22"/>
          <w:highlight w:val="none"/>
        </w:rPr>
        <w:t>对于评标委员会提出的要求投标方澄清或说明的，如果投标方代表拒绝澄清或说明，或者拒绝签字的，评标委员会可以对其作出无效标处理；</w:t>
      </w:r>
    </w:p>
    <w:p w14:paraId="49C99C19">
      <w:pPr>
        <w:spacing w:line="360" w:lineRule="auto"/>
        <w:ind w:firstLine="440" w:firstLineChars="200"/>
        <w:rPr>
          <w:rFonts w:hint="eastAsia" w:eastAsia="宋体"/>
          <w:color w:val="auto"/>
          <w:sz w:val="22"/>
          <w:szCs w:val="22"/>
          <w:highlight w:val="none"/>
          <w:lang w:eastAsia="zh-CN"/>
        </w:rPr>
      </w:pPr>
      <w:r>
        <w:rPr>
          <w:rFonts w:hint="eastAsia"/>
          <w:color w:val="auto"/>
          <w:sz w:val="22"/>
          <w:szCs w:val="22"/>
          <w:highlight w:val="none"/>
          <w:lang w:eastAsia="zh-CN"/>
        </w:rPr>
        <w:t>3.</w:t>
      </w:r>
      <w:r>
        <w:rPr>
          <w:color w:val="auto"/>
          <w:sz w:val="22"/>
          <w:szCs w:val="22"/>
          <w:highlight w:val="none"/>
        </w:rPr>
        <w:t>1</w:t>
      </w:r>
      <w:r>
        <w:rPr>
          <w:rFonts w:hint="eastAsia"/>
          <w:color w:val="auto"/>
          <w:sz w:val="22"/>
          <w:szCs w:val="22"/>
          <w:highlight w:val="none"/>
          <w:lang w:val="en-US" w:eastAsia="zh-CN"/>
        </w:rPr>
        <w:t>3</w:t>
      </w:r>
      <w:r>
        <w:rPr>
          <w:color w:val="auto"/>
          <w:sz w:val="22"/>
          <w:szCs w:val="22"/>
          <w:highlight w:val="none"/>
        </w:rPr>
        <w:t>单位负责人为同一人或者存在直接控股、管理关系的不同供应商</w:t>
      </w:r>
      <w:r>
        <w:rPr>
          <w:rFonts w:hint="eastAsia"/>
          <w:color w:val="auto"/>
          <w:sz w:val="22"/>
          <w:szCs w:val="22"/>
          <w:highlight w:val="none"/>
          <w:lang w:eastAsia="zh-CN"/>
        </w:rPr>
        <w:t>；</w:t>
      </w:r>
    </w:p>
    <w:p w14:paraId="2118E1FF">
      <w:pPr>
        <w:spacing w:line="360" w:lineRule="auto"/>
        <w:ind w:firstLine="440" w:firstLineChars="200"/>
        <w:rPr>
          <w:rFonts w:hint="eastAsia" w:eastAsia="宋体"/>
          <w:color w:val="auto"/>
          <w:sz w:val="22"/>
          <w:szCs w:val="22"/>
          <w:highlight w:val="none"/>
          <w:lang w:eastAsia="zh-CN"/>
        </w:rPr>
      </w:pPr>
      <w:r>
        <w:rPr>
          <w:rFonts w:hint="eastAsia"/>
          <w:color w:val="auto"/>
          <w:sz w:val="22"/>
          <w:szCs w:val="22"/>
          <w:highlight w:val="none"/>
          <w:lang w:val="en-US" w:eastAsia="zh-CN"/>
        </w:rPr>
        <w:t>3.14</w:t>
      </w:r>
      <w:r>
        <w:rPr>
          <w:rFonts w:hint="eastAsia"/>
          <w:color w:val="auto"/>
          <w:sz w:val="22"/>
          <w:szCs w:val="22"/>
          <w:highlight w:val="none"/>
        </w:rPr>
        <w:t>评标小组认为技术或商务与招标文件偏离的部分过多，或在实质上不响应招标文件的</w:t>
      </w:r>
      <w:r>
        <w:rPr>
          <w:rFonts w:hint="eastAsia"/>
          <w:color w:val="auto"/>
          <w:sz w:val="22"/>
          <w:szCs w:val="22"/>
          <w:highlight w:val="none"/>
          <w:lang w:eastAsia="zh-CN"/>
        </w:rPr>
        <w:t>。</w:t>
      </w:r>
    </w:p>
    <w:p w14:paraId="2E4961CC">
      <w:pPr>
        <w:adjustRightInd w:val="0"/>
        <w:snapToGrid w:val="0"/>
        <w:spacing w:line="360" w:lineRule="auto"/>
        <w:ind w:firstLine="442" w:firstLineChars="200"/>
        <w:rPr>
          <w:b/>
          <w:color w:val="auto"/>
          <w:sz w:val="22"/>
          <w:szCs w:val="22"/>
          <w:highlight w:val="none"/>
        </w:rPr>
      </w:pPr>
      <w:r>
        <w:rPr>
          <w:rFonts w:hint="eastAsia"/>
          <w:b/>
          <w:color w:val="auto"/>
          <w:sz w:val="22"/>
          <w:szCs w:val="22"/>
          <w:highlight w:val="none"/>
          <w:lang w:val="en-US" w:eastAsia="zh-CN"/>
        </w:rPr>
        <w:t>4</w:t>
      </w:r>
      <w:r>
        <w:rPr>
          <w:rFonts w:hint="eastAsia"/>
          <w:b/>
          <w:color w:val="auto"/>
          <w:sz w:val="22"/>
          <w:szCs w:val="22"/>
          <w:highlight w:val="none"/>
          <w:lang w:eastAsia="zh-CN"/>
        </w:rPr>
        <w:t>.</w:t>
      </w:r>
      <w:r>
        <w:rPr>
          <w:b/>
          <w:color w:val="auto"/>
          <w:sz w:val="22"/>
          <w:szCs w:val="22"/>
          <w:highlight w:val="none"/>
        </w:rPr>
        <w:t>投标文件报价文件评审出现下列情形之一的，由评标委员会审核后按无效投标文件处理：</w:t>
      </w:r>
    </w:p>
    <w:p w14:paraId="5A6B0608">
      <w:pPr>
        <w:adjustRightInd w:val="0"/>
        <w:snapToGrid w:val="0"/>
        <w:spacing w:line="360" w:lineRule="auto"/>
        <w:ind w:firstLine="440" w:firstLineChars="200"/>
        <w:rPr>
          <w:color w:val="auto"/>
          <w:sz w:val="22"/>
          <w:szCs w:val="22"/>
          <w:highlight w:val="none"/>
        </w:rPr>
      </w:pPr>
      <w:r>
        <w:rPr>
          <w:rFonts w:hint="eastAsia"/>
          <w:color w:val="auto"/>
          <w:sz w:val="22"/>
          <w:szCs w:val="22"/>
          <w:highlight w:val="none"/>
          <w:lang w:val="en-US" w:eastAsia="zh-CN"/>
        </w:rPr>
        <w:t>4</w:t>
      </w:r>
      <w:r>
        <w:rPr>
          <w:color w:val="auto"/>
          <w:sz w:val="22"/>
          <w:szCs w:val="22"/>
          <w:highlight w:val="none"/>
        </w:rPr>
        <w:t>.1招标文件关于投标文件组成内容</w:t>
      </w:r>
      <w:r>
        <w:rPr>
          <w:rFonts w:hint="eastAsia"/>
          <w:color w:val="auto"/>
          <w:sz w:val="22"/>
          <w:szCs w:val="22"/>
          <w:highlight w:val="none"/>
        </w:rPr>
        <w:t>报价响应文件</w:t>
      </w:r>
      <w:r>
        <w:rPr>
          <w:color w:val="auto"/>
          <w:sz w:val="22"/>
          <w:szCs w:val="22"/>
          <w:highlight w:val="none"/>
        </w:rPr>
        <w:t>要求中打“★”的内容，投标方的投标文件内容未提供完整或关键字迹模糊、无法辨认的或未按其规定的格式及要求填写、签字、盖章或提供的投标文件内容不符合招标</w:t>
      </w:r>
      <w:r>
        <w:rPr>
          <w:rFonts w:hint="eastAsia"/>
          <w:color w:val="auto"/>
          <w:sz w:val="22"/>
          <w:szCs w:val="22"/>
          <w:highlight w:val="none"/>
        </w:rPr>
        <w:t>文件</w:t>
      </w:r>
      <w:r>
        <w:rPr>
          <w:color w:val="auto"/>
          <w:sz w:val="22"/>
          <w:szCs w:val="22"/>
          <w:highlight w:val="none"/>
        </w:rPr>
        <w:t>中有关打★号的条款的规定；</w:t>
      </w:r>
    </w:p>
    <w:p w14:paraId="151EE27D">
      <w:pPr>
        <w:adjustRightInd w:val="0"/>
        <w:snapToGrid w:val="0"/>
        <w:spacing w:line="360" w:lineRule="auto"/>
        <w:ind w:firstLine="440" w:firstLineChars="200"/>
        <w:rPr>
          <w:color w:val="auto"/>
          <w:sz w:val="22"/>
          <w:szCs w:val="22"/>
          <w:highlight w:val="none"/>
        </w:rPr>
      </w:pPr>
      <w:r>
        <w:rPr>
          <w:rFonts w:hint="eastAsia"/>
          <w:color w:val="auto"/>
          <w:sz w:val="22"/>
          <w:szCs w:val="22"/>
          <w:highlight w:val="none"/>
          <w:lang w:val="en-US" w:eastAsia="zh-CN"/>
        </w:rPr>
        <w:t>4</w:t>
      </w:r>
      <w:r>
        <w:rPr>
          <w:color w:val="auto"/>
          <w:sz w:val="22"/>
          <w:szCs w:val="22"/>
          <w:highlight w:val="none"/>
        </w:rPr>
        <w:t>.2投标报价</w:t>
      </w:r>
      <w:r>
        <w:rPr>
          <w:rFonts w:hint="eastAsia"/>
          <w:color w:val="auto"/>
          <w:sz w:val="22"/>
          <w:szCs w:val="22"/>
          <w:highlight w:val="none"/>
        </w:rPr>
        <w:t>高于最高限价的</w:t>
      </w:r>
      <w:r>
        <w:rPr>
          <w:color w:val="auto"/>
          <w:sz w:val="22"/>
          <w:szCs w:val="22"/>
          <w:highlight w:val="none"/>
        </w:rPr>
        <w:t>或投标报价低于企业成本价或未填报企业成本价的；投标函中的投标报价与报价一览表中的金额不一致的；</w:t>
      </w:r>
    </w:p>
    <w:p w14:paraId="605E146C">
      <w:pPr>
        <w:adjustRightInd w:val="0"/>
        <w:snapToGrid w:val="0"/>
        <w:spacing w:line="360" w:lineRule="auto"/>
        <w:ind w:firstLine="440" w:firstLineChars="200"/>
        <w:rPr>
          <w:color w:val="auto"/>
          <w:sz w:val="22"/>
          <w:szCs w:val="22"/>
          <w:highlight w:val="none"/>
        </w:rPr>
      </w:pPr>
      <w:r>
        <w:rPr>
          <w:rFonts w:hint="eastAsia"/>
          <w:color w:val="auto"/>
          <w:sz w:val="22"/>
          <w:szCs w:val="22"/>
          <w:highlight w:val="none"/>
          <w:lang w:val="en-US" w:eastAsia="zh-CN"/>
        </w:rPr>
        <w:t>4</w:t>
      </w:r>
      <w:r>
        <w:rPr>
          <w:color w:val="auto"/>
          <w:sz w:val="22"/>
          <w:szCs w:val="22"/>
          <w:highlight w:val="none"/>
        </w:rPr>
        <w:t>.3</w:t>
      </w:r>
      <w:r>
        <w:rPr>
          <w:rFonts w:hint="eastAsia"/>
          <w:color w:val="auto"/>
          <w:sz w:val="22"/>
          <w:szCs w:val="22"/>
          <w:highlight w:val="none"/>
        </w:rPr>
        <w:t>投标方所投服务或产品的数量不符合招标文件规定的</w:t>
      </w:r>
      <w:r>
        <w:rPr>
          <w:color w:val="auto"/>
          <w:sz w:val="22"/>
          <w:szCs w:val="22"/>
          <w:highlight w:val="none"/>
        </w:rPr>
        <w:t>；</w:t>
      </w:r>
    </w:p>
    <w:p w14:paraId="7E2A3CC5">
      <w:pPr>
        <w:adjustRightInd w:val="0"/>
        <w:snapToGrid w:val="0"/>
        <w:spacing w:line="360" w:lineRule="auto"/>
        <w:ind w:firstLine="440" w:firstLineChars="200"/>
        <w:rPr>
          <w:color w:val="auto"/>
          <w:sz w:val="22"/>
          <w:szCs w:val="22"/>
          <w:highlight w:val="none"/>
        </w:rPr>
      </w:pPr>
      <w:r>
        <w:rPr>
          <w:rFonts w:hint="eastAsia"/>
          <w:color w:val="auto"/>
          <w:sz w:val="22"/>
          <w:szCs w:val="22"/>
          <w:highlight w:val="none"/>
          <w:lang w:val="en-US" w:eastAsia="zh-CN"/>
        </w:rPr>
        <w:t>4</w:t>
      </w:r>
      <w:r>
        <w:rPr>
          <w:color w:val="auto"/>
          <w:sz w:val="22"/>
          <w:szCs w:val="22"/>
          <w:highlight w:val="none"/>
        </w:rPr>
        <w:t>.4投标方对同一采购项目两个或两个以上（两种或两种以上方案）报价的或两个或两个以上（两种或两种以上方案）成本价的，且未声明哪一个有效；</w:t>
      </w:r>
    </w:p>
    <w:p w14:paraId="7604988E">
      <w:pPr>
        <w:adjustRightInd w:val="0"/>
        <w:snapToGrid w:val="0"/>
        <w:spacing w:line="360" w:lineRule="auto"/>
        <w:ind w:firstLine="440" w:firstLineChars="200"/>
        <w:rPr>
          <w:color w:val="auto"/>
          <w:sz w:val="22"/>
          <w:szCs w:val="22"/>
          <w:highlight w:val="none"/>
        </w:rPr>
      </w:pPr>
      <w:r>
        <w:rPr>
          <w:rFonts w:hint="eastAsia"/>
          <w:color w:val="auto"/>
          <w:sz w:val="22"/>
          <w:szCs w:val="22"/>
          <w:highlight w:val="none"/>
          <w:lang w:val="en-US" w:eastAsia="zh-CN"/>
        </w:rPr>
        <w:t>4</w:t>
      </w:r>
      <w:r>
        <w:rPr>
          <w:color w:val="auto"/>
          <w:sz w:val="22"/>
          <w:szCs w:val="22"/>
          <w:highlight w:val="none"/>
        </w:rPr>
        <w:t>.5经评标委员会审议认为投标文件附有采购人不能接受的条件，评标委员会认为投标人的报价明显低于其他通过符合性审查投标人的报价，有可能影响产品质量或者不能诚信履约的，要求其通过“政采云”平台在规定的时间内提供CA签章的材料，投标人不能佐证其报价合理性的；</w:t>
      </w:r>
    </w:p>
    <w:p w14:paraId="09E8D56F">
      <w:pPr>
        <w:adjustRightInd w:val="0"/>
        <w:snapToGrid w:val="0"/>
        <w:spacing w:line="360" w:lineRule="auto"/>
        <w:ind w:firstLine="440" w:firstLineChars="200"/>
        <w:rPr>
          <w:color w:val="auto"/>
          <w:sz w:val="22"/>
          <w:szCs w:val="22"/>
          <w:highlight w:val="none"/>
        </w:rPr>
      </w:pPr>
      <w:r>
        <w:rPr>
          <w:rFonts w:hint="eastAsia"/>
          <w:color w:val="auto"/>
          <w:sz w:val="22"/>
          <w:szCs w:val="22"/>
          <w:highlight w:val="none"/>
          <w:lang w:val="en-US" w:eastAsia="zh-CN"/>
        </w:rPr>
        <w:t>4</w:t>
      </w:r>
      <w:r>
        <w:rPr>
          <w:color w:val="auto"/>
          <w:sz w:val="22"/>
          <w:szCs w:val="22"/>
          <w:highlight w:val="none"/>
        </w:rPr>
        <w:t>.6</w:t>
      </w:r>
      <w:r>
        <w:rPr>
          <w:rFonts w:hint="eastAsia"/>
          <w:color w:val="auto"/>
          <w:sz w:val="22"/>
          <w:szCs w:val="22"/>
          <w:highlight w:val="none"/>
        </w:rPr>
        <w:t>其他对</w:t>
      </w:r>
      <w:r>
        <w:rPr>
          <w:color w:val="auto"/>
          <w:sz w:val="22"/>
          <w:szCs w:val="22"/>
          <w:highlight w:val="none"/>
        </w:rPr>
        <w:t>本招标文件中打★号的条款未完全响应的；</w:t>
      </w:r>
    </w:p>
    <w:p w14:paraId="74CDE351">
      <w:pPr>
        <w:adjustRightInd w:val="0"/>
        <w:snapToGrid w:val="0"/>
        <w:spacing w:line="360" w:lineRule="auto"/>
        <w:ind w:firstLine="440" w:firstLineChars="200"/>
        <w:rPr>
          <w:rFonts w:hint="eastAsia"/>
          <w:color w:val="auto"/>
          <w:sz w:val="22"/>
          <w:szCs w:val="22"/>
          <w:highlight w:val="none"/>
        </w:rPr>
      </w:pPr>
      <w:r>
        <w:rPr>
          <w:rFonts w:hint="eastAsia"/>
          <w:color w:val="auto"/>
          <w:sz w:val="22"/>
          <w:szCs w:val="22"/>
          <w:highlight w:val="none"/>
          <w:lang w:val="en-US" w:eastAsia="zh-CN"/>
        </w:rPr>
        <w:t>4</w:t>
      </w:r>
      <w:r>
        <w:rPr>
          <w:rFonts w:hint="eastAsia"/>
          <w:color w:val="auto"/>
          <w:sz w:val="22"/>
          <w:szCs w:val="22"/>
          <w:highlight w:val="none"/>
        </w:rPr>
        <w:t>.7投标函中承诺的投标有效期少于招标文件规定的</w:t>
      </w:r>
      <w:r>
        <w:rPr>
          <w:color w:val="auto"/>
          <w:sz w:val="22"/>
          <w:szCs w:val="22"/>
          <w:highlight w:val="none"/>
        </w:rPr>
        <w:t>；</w:t>
      </w:r>
    </w:p>
    <w:p w14:paraId="45B99870">
      <w:pPr>
        <w:adjustRightInd w:val="0"/>
        <w:snapToGrid w:val="0"/>
        <w:spacing w:line="360" w:lineRule="auto"/>
        <w:ind w:firstLine="440" w:firstLineChars="200"/>
        <w:rPr>
          <w:color w:val="auto"/>
          <w:sz w:val="22"/>
          <w:szCs w:val="22"/>
          <w:highlight w:val="none"/>
        </w:rPr>
      </w:pPr>
      <w:r>
        <w:rPr>
          <w:rFonts w:hint="eastAsia"/>
          <w:color w:val="auto"/>
          <w:sz w:val="22"/>
          <w:szCs w:val="22"/>
          <w:highlight w:val="none"/>
          <w:lang w:val="en-US" w:eastAsia="zh-CN"/>
        </w:rPr>
        <w:t>4</w:t>
      </w:r>
      <w:r>
        <w:rPr>
          <w:rFonts w:hint="eastAsia"/>
          <w:color w:val="auto"/>
          <w:sz w:val="22"/>
          <w:szCs w:val="22"/>
          <w:highlight w:val="none"/>
        </w:rPr>
        <w:t>.8</w:t>
      </w:r>
      <w:r>
        <w:rPr>
          <w:color w:val="auto"/>
          <w:sz w:val="22"/>
          <w:szCs w:val="22"/>
          <w:highlight w:val="none"/>
        </w:rPr>
        <w:t>当投标人由于报价计算错误，投标人拒绝接受按招标文件的规定进行的修正处理（或拒绝签名确认）。</w:t>
      </w:r>
    </w:p>
    <w:p w14:paraId="157636A0">
      <w:pPr>
        <w:adjustRightInd w:val="0"/>
        <w:snapToGrid w:val="0"/>
        <w:spacing w:line="360" w:lineRule="auto"/>
        <w:ind w:firstLine="442" w:firstLineChars="200"/>
        <w:rPr>
          <w:rFonts w:hint="eastAsia"/>
          <w:b/>
          <w:color w:val="auto"/>
          <w:sz w:val="22"/>
          <w:szCs w:val="22"/>
          <w:highlight w:val="none"/>
        </w:rPr>
      </w:pPr>
      <w:r>
        <w:rPr>
          <w:rFonts w:hint="eastAsia"/>
          <w:b/>
          <w:color w:val="auto"/>
          <w:sz w:val="22"/>
          <w:szCs w:val="22"/>
          <w:highlight w:val="none"/>
          <w:lang w:val="en-US" w:eastAsia="zh-CN"/>
        </w:rPr>
        <w:t>5</w:t>
      </w:r>
      <w:r>
        <w:rPr>
          <w:rFonts w:hint="eastAsia"/>
          <w:b/>
          <w:color w:val="auto"/>
          <w:sz w:val="22"/>
          <w:szCs w:val="22"/>
          <w:highlight w:val="none"/>
          <w:lang w:eastAsia="zh-CN"/>
        </w:rPr>
        <w:t>.</w:t>
      </w:r>
      <w:r>
        <w:rPr>
          <w:rFonts w:hint="eastAsia"/>
          <w:b/>
          <w:color w:val="auto"/>
          <w:sz w:val="22"/>
          <w:szCs w:val="22"/>
          <w:highlight w:val="none"/>
        </w:rPr>
        <w:t>在资格审查及评审过程中，符合中华人民共和国财政部令第87号《政府采购货物和服务招标投标管理办法》第三十七条情形之一的，视为投标人串通投标，其投标无效，并移送采购监管部门：</w:t>
      </w:r>
    </w:p>
    <w:p w14:paraId="38CA4A12">
      <w:pPr>
        <w:adjustRightInd w:val="0"/>
        <w:snapToGrid w:val="0"/>
        <w:spacing w:line="360" w:lineRule="auto"/>
        <w:ind w:firstLine="440" w:firstLineChars="200"/>
        <w:rPr>
          <w:rFonts w:hint="eastAsia"/>
          <w:color w:val="auto"/>
          <w:sz w:val="22"/>
          <w:szCs w:val="22"/>
          <w:highlight w:val="none"/>
        </w:rPr>
      </w:pPr>
      <w:r>
        <w:rPr>
          <w:rFonts w:hint="eastAsia"/>
          <w:color w:val="auto"/>
          <w:sz w:val="22"/>
          <w:szCs w:val="22"/>
          <w:highlight w:val="none"/>
        </w:rPr>
        <w:t>（1）不同投标人的投标文件由同一单位或者个人编制；</w:t>
      </w:r>
    </w:p>
    <w:p w14:paraId="0B437640">
      <w:pPr>
        <w:adjustRightInd w:val="0"/>
        <w:snapToGrid w:val="0"/>
        <w:spacing w:line="360" w:lineRule="auto"/>
        <w:ind w:firstLine="440" w:firstLineChars="200"/>
        <w:rPr>
          <w:rFonts w:hint="eastAsia"/>
          <w:color w:val="auto"/>
          <w:sz w:val="22"/>
          <w:szCs w:val="22"/>
          <w:highlight w:val="none"/>
        </w:rPr>
      </w:pPr>
      <w:r>
        <w:rPr>
          <w:rFonts w:hint="eastAsia"/>
          <w:color w:val="auto"/>
          <w:sz w:val="22"/>
          <w:szCs w:val="22"/>
          <w:highlight w:val="none"/>
        </w:rPr>
        <w:t>（2）不同投标人委托同一单位或者个人办理投标事宜；</w:t>
      </w:r>
    </w:p>
    <w:p w14:paraId="1BFAA033">
      <w:pPr>
        <w:adjustRightInd w:val="0"/>
        <w:snapToGrid w:val="0"/>
        <w:spacing w:line="360" w:lineRule="auto"/>
        <w:ind w:firstLine="440" w:firstLineChars="200"/>
        <w:rPr>
          <w:rFonts w:hint="eastAsia"/>
          <w:color w:val="auto"/>
          <w:sz w:val="22"/>
          <w:szCs w:val="22"/>
          <w:highlight w:val="none"/>
        </w:rPr>
      </w:pPr>
      <w:r>
        <w:rPr>
          <w:rFonts w:hint="eastAsia"/>
          <w:color w:val="auto"/>
          <w:sz w:val="22"/>
          <w:szCs w:val="22"/>
          <w:highlight w:val="none"/>
        </w:rPr>
        <w:t>（3）不同投标人的投标文件载明的项目管理成员或者联系人员为同一人；</w:t>
      </w:r>
    </w:p>
    <w:p w14:paraId="017E073F">
      <w:pPr>
        <w:adjustRightInd w:val="0"/>
        <w:snapToGrid w:val="0"/>
        <w:spacing w:line="360" w:lineRule="auto"/>
        <w:ind w:firstLine="440" w:firstLineChars="200"/>
        <w:rPr>
          <w:rFonts w:hint="eastAsia"/>
          <w:color w:val="auto"/>
          <w:sz w:val="22"/>
          <w:szCs w:val="22"/>
          <w:highlight w:val="none"/>
        </w:rPr>
      </w:pPr>
      <w:r>
        <w:rPr>
          <w:rFonts w:hint="eastAsia"/>
          <w:color w:val="auto"/>
          <w:sz w:val="22"/>
          <w:szCs w:val="22"/>
          <w:highlight w:val="none"/>
        </w:rPr>
        <w:t>（4）不同投标人的投标文件异常一致或者投标报价呈规律性差异；</w:t>
      </w:r>
    </w:p>
    <w:p w14:paraId="297ECD2E">
      <w:pPr>
        <w:adjustRightInd w:val="0"/>
        <w:snapToGrid w:val="0"/>
        <w:spacing w:line="360" w:lineRule="auto"/>
        <w:ind w:firstLine="440" w:firstLineChars="200"/>
        <w:rPr>
          <w:rFonts w:hint="eastAsia"/>
          <w:color w:val="auto"/>
          <w:sz w:val="22"/>
          <w:szCs w:val="22"/>
          <w:highlight w:val="none"/>
        </w:rPr>
      </w:pPr>
      <w:r>
        <w:rPr>
          <w:rFonts w:hint="eastAsia"/>
          <w:color w:val="auto"/>
          <w:sz w:val="22"/>
          <w:szCs w:val="22"/>
          <w:highlight w:val="none"/>
        </w:rPr>
        <w:t>（5）不同投标人的投标文件相互混装；</w:t>
      </w:r>
    </w:p>
    <w:p w14:paraId="33741F07">
      <w:pPr>
        <w:pStyle w:val="28"/>
        <w:spacing w:line="360" w:lineRule="auto"/>
        <w:ind w:firstLine="431" w:firstLineChars="196"/>
        <w:rPr>
          <w:rFonts w:ascii="Times New Roman" w:hAnsi="Times New Roman"/>
          <w:color w:val="auto"/>
          <w:sz w:val="22"/>
          <w:szCs w:val="22"/>
          <w:highlight w:val="none"/>
        </w:rPr>
      </w:pPr>
      <w:r>
        <w:rPr>
          <w:rFonts w:hint="eastAsia" w:ascii="Times New Roman" w:hAnsi="Times New Roman"/>
          <w:color w:val="auto"/>
          <w:sz w:val="22"/>
          <w:szCs w:val="22"/>
          <w:highlight w:val="none"/>
          <w:lang w:val="en-US" w:eastAsia="zh-CN"/>
        </w:rPr>
        <w:t>6</w:t>
      </w:r>
      <w:r>
        <w:rPr>
          <w:rFonts w:hint="eastAsia" w:ascii="Times New Roman" w:hAnsi="Times New Roman"/>
          <w:color w:val="auto"/>
          <w:sz w:val="22"/>
          <w:szCs w:val="22"/>
          <w:highlight w:val="none"/>
          <w:lang w:eastAsia="zh-CN"/>
        </w:rPr>
        <w:t>.</w:t>
      </w:r>
      <w:r>
        <w:rPr>
          <w:rFonts w:ascii="Times New Roman" w:hAnsi="Times New Roman"/>
          <w:color w:val="auto"/>
          <w:sz w:val="22"/>
          <w:szCs w:val="22"/>
          <w:highlight w:val="none"/>
        </w:rPr>
        <w:t>其他违反法律法规的情况。</w:t>
      </w:r>
    </w:p>
    <w:p w14:paraId="0A44C6D7">
      <w:pPr>
        <w:spacing w:line="360" w:lineRule="auto"/>
        <w:ind w:firstLine="420"/>
        <w:rPr>
          <w:color w:val="auto"/>
          <w:highlight w:val="none"/>
        </w:rPr>
      </w:pPr>
      <w:r>
        <w:rPr>
          <w:rFonts w:hint="eastAsia"/>
          <w:color w:val="auto"/>
          <w:sz w:val="22"/>
          <w:szCs w:val="22"/>
          <w:highlight w:val="none"/>
          <w:lang w:val="en-US" w:eastAsia="zh-CN"/>
        </w:rPr>
        <w:t>7</w:t>
      </w:r>
      <w:r>
        <w:rPr>
          <w:rFonts w:hint="eastAsia"/>
          <w:color w:val="auto"/>
          <w:sz w:val="22"/>
          <w:szCs w:val="22"/>
          <w:highlight w:val="none"/>
          <w:lang w:eastAsia="zh-CN"/>
        </w:rPr>
        <w:t>.</w:t>
      </w:r>
      <w:r>
        <w:rPr>
          <w:rFonts w:ascii="Times New Roman" w:hAnsi="Times New Roman"/>
          <w:color w:val="auto"/>
          <w:sz w:val="22"/>
          <w:szCs w:val="22"/>
          <w:highlight w:val="none"/>
        </w:rPr>
        <w:t>评标过程中，非上述所罗列的情况，不得以无效标处理</w:t>
      </w:r>
      <w:r>
        <w:rPr>
          <w:color w:val="auto"/>
          <w:sz w:val="22"/>
          <w:szCs w:val="22"/>
          <w:highlight w:val="none"/>
        </w:rPr>
        <w:t>。</w:t>
      </w:r>
    </w:p>
    <w:p w14:paraId="59EDA23A">
      <w:pPr>
        <w:pStyle w:val="5"/>
        <w:spacing w:before="0" w:after="0" w:line="276" w:lineRule="auto"/>
        <w:jc w:val="center"/>
        <w:rPr>
          <w:color w:val="auto"/>
          <w:sz w:val="32"/>
          <w:highlight w:val="none"/>
        </w:rPr>
        <w:sectPr>
          <w:pgSz w:w="11906" w:h="16838"/>
          <w:pgMar w:top="1247" w:right="1361" w:bottom="1247" w:left="1417" w:header="851" w:footer="992" w:gutter="0"/>
          <w:pgBorders>
            <w:top w:val="none" w:sz="0" w:space="0"/>
            <w:left w:val="none" w:sz="0" w:space="0"/>
            <w:bottom w:val="none" w:sz="0" w:space="0"/>
            <w:right w:val="none" w:sz="0" w:space="0"/>
          </w:pgBorders>
          <w:pgNumType w:fmt="numberInDash"/>
          <w:cols w:space="720" w:num="1"/>
          <w:titlePg/>
          <w:rtlGutter w:val="1"/>
        </w:sectPr>
      </w:pPr>
    </w:p>
    <w:p w14:paraId="287492E5">
      <w:pPr>
        <w:pStyle w:val="5"/>
        <w:spacing w:beforeLines="100" w:afterLines="100" w:line="276" w:lineRule="auto"/>
        <w:jc w:val="center"/>
        <w:rPr>
          <w:color w:val="auto"/>
          <w:sz w:val="36"/>
          <w:highlight w:val="none"/>
        </w:rPr>
      </w:pPr>
      <w:bookmarkStart w:id="69" w:name="_Toc7043"/>
      <w:r>
        <w:rPr>
          <w:color w:val="auto"/>
          <w:sz w:val="32"/>
          <w:highlight w:val="none"/>
        </w:rPr>
        <w:t>第六章  评标办法</w:t>
      </w:r>
      <w:bookmarkEnd w:id="69"/>
    </w:p>
    <w:p w14:paraId="190DD5FB">
      <w:pPr>
        <w:pStyle w:val="28"/>
        <w:spacing w:line="420" w:lineRule="exact"/>
        <w:ind w:firstLine="420"/>
        <w:rPr>
          <w:rFonts w:ascii="Times New Roman" w:hAnsi="Times New Roman"/>
          <w:color w:val="auto"/>
          <w:sz w:val="22"/>
          <w:szCs w:val="22"/>
          <w:highlight w:val="none"/>
        </w:rPr>
      </w:pPr>
      <w:bookmarkStart w:id="70" w:name="_Toc269969080"/>
      <w:bookmarkEnd w:id="70"/>
      <w:bookmarkStart w:id="71" w:name="_Toc358884475"/>
      <w:bookmarkEnd w:id="71"/>
      <w:bookmarkStart w:id="72" w:name="_Toc330474791"/>
      <w:bookmarkEnd w:id="72"/>
      <w:bookmarkStart w:id="73" w:name="_Toc295815145"/>
      <w:bookmarkEnd w:id="73"/>
      <w:bookmarkStart w:id="74" w:name="_Toc362250710"/>
      <w:bookmarkEnd w:id="74"/>
      <w:bookmarkStart w:id="75" w:name="_Toc323024194"/>
      <w:bookmarkEnd w:id="75"/>
      <w:r>
        <w:rPr>
          <w:rFonts w:ascii="Times New Roman" w:hAnsi="Times New Roman"/>
          <w:color w:val="auto"/>
          <w:sz w:val="22"/>
          <w:szCs w:val="22"/>
          <w:highlight w:val="none"/>
        </w:rPr>
        <w:t>根据《中华人民共和国政府采购法》的有关规定，为更好地做到公开、公平、公正，结合本次招标的特点，特制定本评标办法。评标小组用综合评分法对招标项目作出评标结论。</w:t>
      </w:r>
    </w:p>
    <w:p w14:paraId="18435087">
      <w:pPr>
        <w:pStyle w:val="6"/>
        <w:numPr>
          <w:ilvl w:val="1"/>
          <w:numId w:val="4"/>
        </w:numPr>
        <w:spacing w:before="0" w:after="0" w:line="420" w:lineRule="exact"/>
        <w:jc w:val="left"/>
        <w:rPr>
          <w:rFonts w:ascii="Times New Roman" w:hAnsi="Times New Roman" w:eastAsia="宋体"/>
          <w:color w:val="auto"/>
          <w:sz w:val="24"/>
          <w:szCs w:val="22"/>
          <w:highlight w:val="none"/>
        </w:rPr>
      </w:pPr>
      <w:bookmarkStart w:id="76" w:name="_Toc916"/>
      <w:bookmarkStart w:id="77" w:name="_Toc8365"/>
      <w:bookmarkStart w:id="78" w:name="_Toc22618"/>
      <w:bookmarkStart w:id="79" w:name="_Toc13171"/>
      <w:bookmarkStart w:id="80" w:name="_Toc22852"/>
      <w:r>
        <w:rPr>
          <w:rFonts w:ascii="Times New Roman" w:hAnsi="Times New Roman" w:eastAsia="宋体"/>
          <w:color w:val="auto"/>
          <w:sz w:val="24"/>
          <w:szCs w:val="22"/>
          <w:highlight w:val="none"/>
        </w:rPr>
        <w:t>一、评审程序</w:t>
      </w:r>
      <w:bookmarkEnd w:id="76"/>
      <w:bookmarkEnd w:id="77"/>
      <w:bookmarkEnd w:id="78"/>
      <w:bookmarkEnd w:id="79"/>
      <w:bookmarkEnd w:id="80"/>
    </w:p>
    <w:p w14:paraId="3B489F0B">
      <w:pPr>
        <w:pStyle w:val="28"/>
        <w:spacing w:line="420" w:lineRule="exact"/>
        <w:ind w:firstLine="420"/>
        <w:rPr>
          <w:rFonts w:ascii="Times New Roman" w:hAnsi="Times New Roman"/>
          <w:bCs/>
          <w:color w:val="auto"/>
          <w:sz w:val="22"/>
          <w:szCs w:val="22"/>
          <w:highlight w:val="none"/>
        </w:rPr>
      </w:pPr>
      <w:r>
        <w:rPr>
          <w:rFonts w:ascii="Times New Roman" w:hAnsi="Times New Roman"/>
          <w:bCs/>
          <w:color w:val="auto"/>
          <w:sz w:val="22"/>
          <w:szCs w:val="22"/>
          <w:highlight w:val="none"/>
        </w:rPr>
        <w:t>评标小组以开标、评标、询标情况为基本依据，按照招标文件的规定，对各投标人的投标文件分资格部分、商务技术部分、投标报价三个部分按以下程序进行分析、评议：</w:t>
      </w:r>
    </w:p>
    <w:p w14:paraId="2EC7833E">
      <w:pPr>
        <w:pStyle w:val="28"/>
        <w:spacing w:line="420" w:lineRule="exact"/>
        <w:ind w:firstLine="420"/>
        <w:rPr>
          <w:rFonts w:ascii="Times New Roman" w:hAnsi="Times New Roman"/>
          <w:bCs/>
          <w:color w:val="auto"/>
          <w:sz w:val="22"/>
          <w:szCs w:val="22"/>
          <w:highlight w:val="none"/>
        </w:rPr>
      </w:pPr>
      <w:r>
        <w:rPr>
          <w:rFonts w:ascii="Times New Roman" w:hAnsi="Times New Roman"/>
          <w:bCs/>
          <w:color w:val="auto"/>
          <w:sz w:val="22"/>
          <w:szCs w:val="22"/>
          <w:highlight w:val="none"/>
        </w:rPr>
        <w:t>（一）对投标人的资格部分、商务技术文件进行符合性审查，确定技术标有效单位</w:t>
      </w:r>
    </w:p>
    <w:p w14:paraId="6EB46167">
      <w:pPr>
        <w:pStyle w:val="28"/>
        <w:spacing w:line="420" w:lineRule="exact"/>
        <w:ind w:firstLine="420"/>
        <w:rPr>
          <w:rFonts w:ascii="Times New Roman" w:hAnsi="Times New Roman"/>
          <w:bCs/>
          <w:color w:val="auto"/>
          <w:sz w:val="22"/>
          <w:szCs w:val="22"/>
          <w:highlight w:val="none"/>
        </w:rPr>
      </w:pPr>
      <w:r>
        <w:rPr>
          <w:rFonts w:ascii="Times New Roman" w:hAnsi="Times New Roman"/>
          <w:bCs/>
          <w:color w:val="auto"/>
          <w:sz w:val="22"/>
          <w:szCs w:val="22"/>
          <w:highlight w:val="none"/>
        </w:rPr>
        <w:t>（二）对技术标有效的投标单位的技术标进行评分，计算出各技术标有效投标单位的技术得分</w:t>
      </w:r>
    </w:p>
    <w:p w14:paraId="556997DF">
      <w:pPr>
        <w:pStyle w:val="28"/>
        <w:spacing w:line="420" w:lineRule="exact"/>
        <w:ind w:firstLine="420"/>
        <w:rPr>
          <w:rFonts w:ascii="Times New Roman" w:hAnsi="Times New Roman"/>
          <w:bCs/>
          <w:color w:val="auto"/>
          <w:sz w:val="22"/>
          <w:szCs w:val="22"/>
          <w:highlight w:val="none"/>
        </w:rPr>
      </w:pPr>
      <w:r>
        <w:rPr>
          <w:rFonts w:ascii="Times New Roman" w:hAnsi="Times New Roman"/>
          <w:bCs/>
          <w:color w:val="auto"/>
          <w:sz w:val="22"/>
          <w:szCs w:val="22"/>
          <w:highlight w:val="none"/>
        </w:rPr>
        <w:t>（三）对技术标有效的投标单位的投标报价在“政采云”平台上予以公开。</w:t>
      </w:r>
    </w:p>
    <w:p w14:paraId="3A942A2E">
      <w:pPr>
        <w:pStyle w:val="28"/>
        <w:spacing w:line="420" w:lineRule="exact"/>
        <w:ind w:firstLine="420"/>
        <w:rPr>
          <w:rFonts w:ascii="Times New Roman" w:hAnsi="Times New Roman"/>
          <w:bCs/>
          <w:color w:val="auto"/>
          <w:sz w:val="22"/>
          <w:szCs w:val="22"/>
          <w:highlight w:val="none"/>
        </w:rPr>
      </w:pPr>
      <w:r>
        <w:rPr>
          <w:rFonts w:ascii="Times New Roman" w:hAnsi="Times New Roman"/>
          <w:bCs/>
          <w:color w:val="auto"/>
          <w:sz w:val="22"/>
          <w:szCs w:val="22"/>
          <w:highlight w:val="none"/>
        </w:rPr>
        <w:t>（四）评标委员会对技术标有效的投标单位进行投标报价部分评审，确定投标报价评审有效投标单位。</w:t>
      </w:r>
    </w:p>
    <w:p w14:paraId="5AA97DD3">
      <w:pPr>
        <w:pStyle w:val="28"/>
        <w:spacing w:line="420" w:lineRule="exact"/>
        <w:ind w:firstLine="420"/>
        <w:rPr>
          <w:rFonts w:hint="eastAsia" w:ascii="Times New Roman" w:hAnsi="Times New Roman"/>
          <w:bCs/>
          <w:color w:val="auto"/>
          <w:sz w:val="22"/>
          <w:szCs w:val="22"/>
          <w:highlight w:val="none"/>
        </w:rPr>
      </w:pPr>
      <w:r>
        <w:rPr>
          <w:rFonts w:ascii="Times New Roman" w:hAnsi="Times New Roman"/>
          <w:bCs/>
          <w:color w:val="auto"/>
          <w:sz w:val="22"/>
          <w:szCs w:val="22"/>
          <w:highlight w:val="none"/>
        </w:rPr>
        <w:t>（五）对投标报价评审后有效的投标单位计算投标报价分和综合得分</w:t>
      </w:r>
      <w:r>
        <w:rPr>
          <w:rFonts w:hint="eastAsia" w:ascii="Times New Roman" w:hAnsi="Times New Roman"/>
          <w:bCs/>
          <w:color w:val="auto"/>
          <w:sz w:val="22"/>
          <w:szCs w:val="22"/>
          <w:highlight w:val="none"/>
        </w:rPr>
        <w:t>。</w:t>
      </w:r>
    </w:p>
    <w:p w14:paraId="72A9DFFB">
      <w:pPr>
        <w:pStyle w:val="28"/>
        <w:spacing w:line="420" w:lineRule="exact"/>
        <w:ind w:firstLine="420"/>
        <w:rPr>
          <w:rFonts w:ascii="Times New Roman" w:hAnsi="Times New Roman"/>
          <w:color w:val="auto"/>
          <w:spacing w:val="-4"/>
          <w:sz w:val="22"/>
          <w:szCs w:val="22"/>
          <w:highlight w:val="none"/>
        </w:rPr>
      </w:pPr>
      <w:r>
        <w:rPr>
          <w:rFonts w:ascii="Times New Roman" w:hAnsi="Times New Roman"/>
          <w:bCs/>
          <w:color w:val="auto"/>
          <w:sz w:val="22"/>
          <w:szCs w:val="22"/>
          <w:highlight w:val="none"/>
        </w:rPr>
        <w:t>（六）推荐中标候选人、出具评标报告</w:t>
      </w:r>
      <w:r>
        <w:rPr>
          <w:rFonts w:ascii="Times New Roman" w:hAnsi="Times New Roman"/>
          <w:color w:val="auto"/>
          <w:spacing w:val="-4"/>
          <w:sz w:val="22"/>
          <w:szCs w:val="22"/>
          <w:highlight w:val="none"/>
        </w:rPr>
        <w:t>。</w:t>
      </w:r>
    </w:p>
    <w:p w14:paraId="218D5C61">
      <w:pPr>
        <w:pStyle w:val="6"/>
        <w:numPr>
          <w:ilvl w:val="1"/>
          <w:numId w:val="4"/>
        </w:numPr>
        <w:spacing w:before="0" w:after="0" w:line="420" w:lineRule="exact"/>
        <w:jc w:val="left"/>
        <w:rPr>
          <w:rFonts w:ascii="Times New Roman" w:hAnsi="Times New Roman" w:eastAsia="宋体"/>
          <w:color w:val="auto"/>
          <w:sz w:val="24"/>
          <w:szCs w:val="22"/>
          <w:highlight w:val="none"/>
        </w:rPr>
      </w:pPr>
      <w:bookmarkStart w:id="81" w:name="_Toc2442"/>
      <w:bookmarkStart w:id="82" w:name="_Toc13023"/>
      <w:bookmarkStart w:id="83" w:name="_Toc3263"/>
      <w:bookmarkStart w:id="84" w:name="_Toc26423"/>
      <w:bookmarkStart w:id="85" w:name="_Toc10206"/>
      <w:r>
        <w:rPr>
          <w:rFonts w:ascii="Times New Roman" w:hAnsi="Times New Roman" w:eastAsia="宋体"/>
          <w:color w:val="auto"/>
          <w:sz w:val="24"/>
          <w:szCs w:val="22"/>
          <w:highlight w:val="none"/>
        </w:rPr>
        <w:t>二、评审办法</w:t>
      </w:r>
      <w:bookmarkEnd w:id="81"/>
      <w:bookmarkEnd w:id="82"/>
      <w:bookmarkEnd w:id="83"/>
      <w:bookmarkEnd w:id="84"/>
      <w:bookmarkEnd w:id="85"/>
    </w:p>
    <w:p w14:paraId="676BB0F8">
      <w:pPr>
        <w:pStyle w:val="28"/>
        <w:spacing w:line="420" w:lineRule="exact"/>
        <w:ind w:firstLine="420"/>
        <w:rPr>
          <w:rFonts w:ascii="Times New Roman" w:hAnsi="Times New Roman"/>
          <w:b/>
          <w:color w:val="auto"/>
          <w:sz w:val="22"/>
          <w:szCs w:val="22"/>
          <w:highlight w:val="none"/>
        </w:rPr>
      </w:pPr>
      <w:bookmarkStart w:id="86" w:name="_Toc34597455"/>
      <w:r>
        <w:rPr>
          <w:rFonts w:hint="eastAsia" w:ascii="Times New Roman" w:hAnsi="Times New Roman"/>
          <w:b/>
          <w:color w:val="auto"/>
          <w:sz w:val="22"/>
          <w:szCs w:val="22"/>
          <w:highlight w:val="none"/>
          <w:lang w:eastAsia="zh-CN"/>
        </w:rPr>
        <w:t>1.</w:t>
      </w:r>
      <w:r>
        <w:rPr>
          <w:rFonts w:ascii="Times New Roman" w:hAnsi="Times New Roman"/>
          <w:b/>
          <w:color w:val="auto"/>
          <w:sz w:val="22"/>
          <w:szCs w:val="22"/>
          <w:highlight w:val="none"/>
        </w:rPr>
        <w:t>技术标评审</w:t>
      </w:r>
      <w:bookmarkEnd w:id="86"/>
    </w:p>
    <w:p w14:paraId="508FA9C8">
      <w:pPr>
        <w:spacing w:afterLines="50" w:line="420" w:lineRule="exact"/>
        <w:ind w:firstLine="420"/>
        <w:rPr>
          <w:color w:val="auto"/>
          <w:kern w:val="1"/>
          <w:sz w:val="22"/>
          <w:szCs w:val="22"/>
          <w:highlight w:val="none"/>
        </w:rPr>
      </w:pPr>
      <w:r>
        <w:rPr>
          <w:color w:val="auto"/>
          <w:kern w:val="1"/>
          <w:sz w:val="22"/>
          <w:szCs w:val="22"/>
          <w:highlight w:val="none"/>
        </w:rPr>
        <w:t>技术分满分为</w:t>
      </w:r>
      <w:r>
        <w:rPr>
          <w:rFonts w:hint="eastAsia"/>
          <w:color w:val="auto"/>
          <w:kern w:val="1"/>
          <w:sz w:val="22"/>
          <w:szCs w:val="22"/>
          <w:highlight w:val="none"/>
          <w:lang w:val="en-US" w:eastAsia="zh-CN"/>
        </w:rPr>
        <w:t>70</w:t>
      </w:r>
      <w:r>
        <w:rPr>
          <w:color w:val="auto"/>
          <w:kern w:val="1"/>
          <w:sz w:val="22"/>
          <w:szCs w:val="22"/>
          <w:highlight w:val="none"/>
        </w:rPr>
        <w:t>分，分值分配见表格。评标委员会根据评分细则，对各投标人的技术部分进行书面审核和评论后，由各专家独立</w:t>
      </w:r>
      <w:r>
        <w:rPr>
          <w:rFonts w:hint="eastAsia"/>
          <w:color w:val="auto"/>
          <w:kern w:val="1"/>
          <w:sz w:val="22"/>
          <w:szCs w:val="22"/>
          <w:highlight w:val="none"/>
          <w:lang w:eastAsia="zh-CN"/>
        </w:rPr>
        <w:t>打分</w:t>
      </w:r>
      <w:r>
        <w:rPr>
          <w:color w:val="auto"/>
          <w:kern w:val="1"/>
          <w:sz w:val="22"/>
          <w:szCs w:val="22"/>
          <w:highlight w:val="none"/>
        </w:rPr>
        <w:t>，打分时保留小数1位。在统计得分时，如果发现某一单项评分超过评分标准规定的分值范围，则该张评分表无效。投标人最终得分为评标委员会所有成员的有效评分的算术平均值，计算时保留小数2位。</w:t>
      </w:r>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
        <w:gridCol w:w="1537"/>
        <w:gridCol w:w="980"/>
        <w:gridCol w:w="6005"/>
      </w:tblGrid>
      <w:tr w14:paraId="3EC0C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440" w:type="pct"/>
            <w:noWrap w:val="0"/>
            <w:vAlign w:val="center"/>
          </w:tcPr>
          <w:p w14:paraId="20C41BC2">
            <w:pPr>
              <w:pStyle w:val="28"/>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序号</w:t>
            </w:r>
          </w:p>
        </w:tc>
        <w:tc>
          <w:tcPr>
            <w:tcW w:w="822" w:type="pct"/>
            <w:noWrap w:val="0"/>
            <w:vAlign w:val="center"/>
          </w:tcPr>
          <w:p w14:paraId="4C6B68AF">
            <w:pPr>
              <w:pStyle w:val="28"/>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评分内容</w:t>
            </w:r>
          </w:p>
        </w:tc>
        <w:tc>
          <w:tcPr>
            <w:tcW w:w="524" w:type="pct"/>
            <w:noWrap w:val="0"/>
            <w:vAlign w:val="center"/>
          </w:tcPr>
          <w:p w14:paraId="04179BA8">
            <w:pPr>
              <w:pStyle w:val="28"/>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分值（分）</w:t>
            </w:r>
          </w:p>
        </w:tc>
        <w:tc>
          <w:tcPr>
            <w:tcW w:w="3212" w:type="pct"/>
            <w:noWrap w:val="0"/>
            <w:vAlign w:val="center"/>
          </w:tcPr>
          <w:p w14:paraId="1B0F3D28">
            <w:pPr>
              <w:pStyle w:val="28"/>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评分方法</w:t>
            </w:r>
          </w:p>
        </w:tc>
      </w:tr>
      <w:tr w14:paraId="5481E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440" w:type="pct"/>
            <w:noWrap w:val="0"/>
            <w:vAlign w:val="center"/>
          </w:tcPr>
          <w:p w14:paraId="2DC4985C">
            <w:pPr>
              <w:pStyle w:val="28"/>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1</w:t>
            </w:r>
          </w:p>
        </w:tc>
        <w:tc>
          <w:tcPr>
            <w:tcW w:w="822" w:type="pct"/>
            <w:noWrap w:val="0"/>
            <w:vAlign w:val="center"/>
          </w:tcPr>
          <w:p w14:paraId="71028598">
            <w:pPr>
              <w:pStyle w:val="28"/>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供应商情况（客观分）</w:t>
            </w:r>
          </w:p>
        </w:tc>
        <w:tc>
          <w:tcPr>
            <w:tcW w:w="524" w:type="pct"/>
            <w:noWrap w:val="0"/>
            <w:vAlign w:val="center"/>
          </w:tcPr>
          <w:p w14:paraId="4A8431FD">
            <w:pPr>
              <w:pStyle w:val="28"/>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3分</w:t>
            </w:r>
          </w:p>
        </w:tc>
        <w:tc>
          <w:tcPr>
            <w:tcW w:w="3212" w:type="pct"/>
            <w:noWrap w:val="0"/>
            <w:vAlign w:val="center"/>
          </w:tcPr>
          <w:p w14:paraId="782A3E68">
            <w:pPr>
              <w:keepNext w:val="0"/>
              <w:keepLines w:val="0"/>
              <w:pageBreakBefore w:val="0"/>
              <w:widowControl w:val="0"/>
              <w:kinsoku/>
              <w:wordWrap/>
              <w:overflowPunct/>
              <w:topLinePunct w:val="0"/>
              <w:autoSpaceDE/>
              <w:autoSpaceDN/>
              <w:bidi w:val="0"/>
              <w:snapToGrid/>
              <w:spacing w:line="240"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供应商承诺</w:t>
            </w:r>
            <w:r>
              <w:rPr>
                <w:rFonts w:hint="eastAsia" w:ascii="宋体" w:hAnsi="宋体" w:eastAsia="宋体" w:cs="宋体"/>
                <w:color w:val="auto"/>
                <w:sz w:val="22"/>
                <w:szCs w:val="22"/>
                <w:highlight w:val="none"/>
                <w:lang w:val="en-US" w:eastAsia="zh-CN"/>
              </w:rPr>
              <w:t>团队所有人员在近5年内未受行政主管部门或行业协会处罚、处分等不良行为记录的得3分。</w:t>
            </w:r>
          </w:p>
        </w:tc>
      </w:tr>
      <w:tr w14:paraId="1DCD7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440" w:type="pct"/>
            <w:noWrap w:val="0"/>
            <w:vAlign w:val="center"/>
          </w:tcPr>
          <w:p w14:paraId="74089F8F">
            <w:pPr>
              <w:pStyle w:val="28"/>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2</w:t>
            </w:r>
          </w:p>
        </w:tc>
        <w:tc>
          <w:tcPr>
            <w:tcW w:w="822" w:type="pct"/>
            <w:noWrap w:val="0"/>
            <w:vAlign w:val="center"/>
          </w:tcPr>
          <w:p w14:paraId="07C59BB5">
            <w:pPr>
              <w:pStyle w:val="28"/>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类似项目业绩</w:t>
            </w:r>
          </w:p>
          <w:p w14:paraId="05AF7D36">
            <w:pPr>
              <w:pStyle w:val="28"/>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（客观分）</w:t>
            </w:r>
          </w:p>
        </w:tc>
        <w:tc>
          <w:tcPr>
            <w:tcW w:w="524" w:type="pct"/>
            <w:noWrap w:val="0"/>
            <w:vAlign w:val="center"/>
          </w:tcPr>
          <w:p w14:paraId="3A8C836C">
            <w:pPr>
              <w:pStyle w:val="28"/>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3分</w:t>
            </w:r>
          </w:p>
        </w:tc>
        <w:tc>
          <w:tcPr>
            <w:tcW w:w="3212" w:type="pct"/>
            <w:noWrap w:val="0"/>
            <w:vAlign w:val="center"/>
          </w:tcPr>
          <w:p w14:paraId="238E8DD8">
            <w:pPr>
              <w:keepNext w:val="0"/>
              <w:keepLines w:val="0"/>
              <w:pageBreakBefore w:val="0"/>
              <w:widowControl w:val="0"/>
              <w:kinsoku/>
              <w:wordWrap/>
              <w:overflowPunct/>
              <w:topLinePunct w:val="0"/>
              <w:autoSpaceDE/>
              <w:autoSpaceDN/>
              <w:bidi w:val="0"/>
              <w:snapToGrid/>
              <w:spacing w:line="240"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供应商2021年1月1日以来（以合同签订时间为准）具备类似项目业绩的，每个有效业绩得1.5分，最高得3分。</w:t>
            </w:r>
          </w:p>
          <w:p w14:paraId="42308B14">
            <w:pPr>
              <w:keepNext w:val="0"/>
              <w:keepLines w:val="0"/>
              <w:pageBreakBefore w:val="0"/>
              <w:widowControl w:val="0"/>
              <w:kinsoku/>
              <w:wordWrap/>
              <w:overflowPunct/>
              <w:topLinePunct w:val="0"/>
              <w:autoSpaceDE/>
              <w:autoSpaceDN/>
              <w:bidi w:val="0"/>
              <w:snapToGrid/>
              <w:spacing w:line="240"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注：提供合同扫描件。</w:t>
            </w:r>
          </w:p>
        </w:tc>
      </w:tr>
      <w:tr w14:paraId="46A91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440" w:type="pct"/>
            <w:noWrap w:val="0"/>
            <w:vAlign w:val="center"/>
          </w:tcPr>
          <w:p w14:paraId="52E55554">
            <w:pPr>
              <w:pStyle w:val="28"/>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3</w:t>
            </w:r>
          </w:p>
        </w:tc>
        <w:tc>
          <w:tcPr>
            <w:tcW w:w="822" w:type="pct"/>
            <w:noWrap w:val="0"/>
            <w:vAlign w:val="center"/>
          </w:tcPr>
          <w:p w14:paraId="35276959">
            <w:pPr>
              <w:pStyle w:val="28"/>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团队综合实力</w:t>
            </w:r>
          </w:p>
          <w:p w14:paraId="7178FA4E">
            <w:pPr>
              <w:pStyle w:val="28"/>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（主观分）</w:t>
            </w:r>
          </w:p>
        </w:tc>
        <w:tc>
          <w:tcPr>
            <w:tcW w:w="524" w:type="pct"/>
            <w:noWrap w:val="0"/>
            <w:vAlign w:val="center"/>
          </w:tcPr>
          <w:p w14:paraId="50D6E991">
            <w:pPr>
              <w:pStyle w:val="28"/>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18分</w:t>
            </w:r>
          </w:p>
        </w:tc>
        <w:tc>
          <w:tcPr>
            <w:tcW w:w="3212" w:type="pct"/>
            <w:noWrap w:val="0"/>
            <w:vAlign w:val="center"/>
          </w:tcPr>
          <w:p w14:paraId="75E0FC3D">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240" w:lineRule="auto"/>
              <w:ind w:left="0" w:right="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1、根据供应商服务团队成员技术实力，从以下4个方面进行评分：专业素质（</w:t>
            </w:r>
            <w:r>
              <w:rPr>
                <w:rFonts w:hint="eastAsia" w:ascii="宋体" w:hAnsi="宋体" w:eastAsia="宋体" w:cs="宋体"/>
                <w:bCs/>
                <w:iCs/>
                <w:color w:val="auto"/>
                <w:sz w:val="22"/>
                <w:szCs w:val="22"/>
                <w:highlight w:val="none"/>
                <w:lang w:eastAsia="zh-CN"/>
              </w:rPr>
              <w:t>0分，0.5分，1分，1.4分，1.8分，2分</w:t>
            </w:r>
            <w:r>
              <w:rPr>
                <w:rFonts w:hint="eastAsia" w:ascii="宋体" w:hAnsi="宋体" w:eastAsia="宋体" w:cs="宋体"/>
                <w:color w:val="auto"/>
                <w:sz w:val="22"/>
                <w:szCs w:val="22"/>
                <w:highlight w:val="none"/>
                <w:lang w:val="en-US" w:eastAsia="zh-CN"/>
              </w:rPr>
              <w:t>）、教育背景（</w:t>
            </w:r>
            <w:r>
              <w:rPr>
                <w:rFonts w:hint="eastAsia" w:ascii="宋体" w:hAnsi="宋体" w:eastAsia="宋体" w:cs="宋体"/>
                <w:bCs/>
                <w:iCs/>
                <w:color w:val="auto"/>
                <w:sz w:val="22"/>
                <w:szCs w:val="22"/>
                <w:highlight w:val="none"/>
                <w:lang w:eastAsia="zh-CN"/>
              </w:rPr>
              <w:t>0分，0.5分，1分，1.4分，1.8分，2分</w:t>
            </w:r>
            <w:r>
              <w:rPr>
                <w:rFonts w:hint="eastAsia" w:ascii="宋体" w:hAnsi="宋体" w:eastAsia="宋体" w:cs="宋体"/>
                <w:color w:val="auto"/>
                <w:sz w:val="22"/>
                <w:szCs w:val="22"/>
                <w:highlight w:val="none"/>
                <w:lang w:val="en-US" w:eastAsia="zh-CN"/>
              </w:rPr>
              <w:t>）、技术能力（</w:t>
            </w:r>
            <w:r>
              <w:rPr>
                <w:rFonts w:hint="eastAsia" w:ascii="宋体" w:hAnsi="宋体" w:eastAsia="宋体" w:cs="宋体"/>
                <w:bCs/>
                <w:iCs/>
                <w:color w:val="auto"/>
                <w:sz w:val="22"/>
                <w:szCs w:val="22"/>
                <w:highlight w:val="none"/>
                <w:lang w:eastAsia="zh-CN"/>
              </w:rPr>
              <w:t>0分，0.5分，1分，1.4分，1.8分，2分</w:t>
            </w:r>
            <w:r>
              <w:rPr>
                <w:rFonts w:hint="eastAsia" w:ascii="宋体" w:hAnsi="宋体" w:eastAsia="宋体" w:cs="宋体"/>
                <w:color w:val="auto"/>
                <w:sz w:val="22"/>
                <w:szCs w:val="22"/>
                <w:highlight w:val="none"/>
                <w:lang w:val="en-US" w:eastAsia="zh-CN"/>
              </w:rPr>
              <w:t>）、工作能力（</w:t>
            </w:r>
            <w:r>
              <w:rPr>
                <w:rFonts w:hint="eastAsia" w:ascii="宋体" w:hAnsi="宋体" w:eastAsia="宋体" w:cs="宋体"/>
                <w:bCs/>
                <w:iCs/>
                <w:color w:val="auto"/>
                <w:sz w:val="22"/>
                <w:szCs w:val="22"/>
                <w:highlight w:val="none"/>
                <w:lang w:eastAsia="zh-CN"/>
              </w:rPr>
              <w:t>0分，0.5分，1分，1.4分，1.8分，2分</w:t>
            </w:r>
            <w:r>
              <w:rPr>
                <w:rFonts w:hint="eastAsia" w:ascii="宋体" w:hAnsi="宋体" w:eastAsia="宋体" w:cs="宋体"/>
                <w:color w:val="auto"/>
                <w:sz w:val="22"/>
                <w:szCs w:val="22"/>
                <w:highlight w:val="none"/>
                <w:lang w:val="en-US" w:eastAsia="zh-CN"/>
              </w:rPr>
              <w:t>）。</w:t>
            </w:r>
          </w:p>
          <w:p w14:paraId="21625F59">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240" w:lineRule="auto"/>
              <w:ind w:left="0" w:leftChars="0" w:right="0" w:rightChars="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2、供应商</w:t>
            </w:r>
            <w:r>
              <w:rPr>
                <w:rFonts w:hint="eastAsia" w:ascii="宋体" w:hAnsi="宋体" w:eastAsia="宋体" w:cs="宋体"/>
                <w:color w:val="auto"/>
                <w:sz w:val="22"/>
                <w:szCs w:val="22"/>
                <w:highlight w:val="none"/>
              </w:rPr>
              <w:t>拟派服务团队成员</w:t>
            </w:r>
            <w:r>
              <w:rPr>
                <w:rFonts w:hint="eastAsia" w:ascii="宋体" w:hAnsi="宋体" w:eastAsia="宋体" w:cs="宋体"/>
                <w:color w:val="auto"/>
                <w:sz w:val="22"/>
                <w:szCs w:val="22"/>
                <w:highlight w:val="none"/>
                <w:lang w:val="en-US" w:eastAsia="zh-CN"/>
              </w:rPr>
              <w:t>中具备一级调解员证书的，每有一人得2分；具备二级调解员证书的，每有一人得1.5分；具备三级调解员证书的，每有一人得1分；具备四级调解员证书的，每有一人得0.5分，本小项最高得10分</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需提供调解员证书扫描件</w:t>
            </w:r>
            <w:r>
              <w:rPr>
                <w:rFonts w:hint="eastAsia" w:ascii="宋体" w:hAnsi="宋体" w:eastAsia="宋体" w:cs="宋体"/>
                <w:color w:val="auto"/>
                <w:sz w:val="22"/>
                <w:szCs w:val="22"/>
                <w:highlight w:val="none"/>
                <w:lang w:eastAsia="zh-CN"/>
              </w:rPr>
              <w:t>）</w:t>
            </w:r>
          </w:p>
        </w:tc>
      </w:tr>
      <w:tr w14:paraId="35DBA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440" w:type="pct"/>
            <w:noWrap w:val="0"/>
            <w:vAlign w:val="center"/>
          </w:tcPr>
          <w:p w14:paraId="7F5E5347">
            <w:pPr>
              <w:pStyle w:val="28"/>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4</w:t>
            </w:r>
          </w:p>
        </w:tc>
        <w:tc>
          <w:tcPr>
            <w:tcW w:w="822" w:type="pct"/>
            <w:noWrap w:val="0"/>
            <w:vAlign w:val="center"/>
          </w:tcPr>
          <w:p w14:paraId="19F7501D">
            <w:pPr>
              <w:pStyle w:val="28"/>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项目理解</w:t>
            </w:r>
          </w:p>
          <w:p w14:paraId="4C569FC6">
            <w:pPr>
              <w:pStyle w:val="28"/>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（主观分）</w:t>
            </w:r>
          </w:p>
        </w:tc>
        <w:tc>
          <w:tcPr>
            <w:tcW w:w="524" w:type="pct"/>
            <w:noWrap w:val="0"/>
            <w:vAlign w:val="center"/>
          </w:tcPr>
          <w:p w14:paraId="5E99ED7E">
            <w:pPr>
              <w:pStyle w:val="28"/>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8分</w:t>
            </w:r>
          </w:p>
        </w:tc>
        <w:tc>
          <w:tcPr>
            <w:tcW w:w="3212" w:type="pct"/>
            <w:noWrap w:val="0"/>
            <w:vAlign w:val="center"/>
          </w:tcPr>
          <w:p w14:paraId="0A698FCB">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Cs/>
                <w:color w:val="auto"/>
                <w:kern w:val="1"/>
                <w:sz w:val="22"/>
                <w:szCs w:val="22"/>
                <w:highlight w:val="none"/>
                <w:lang w:val="en-US" w:eastAsia="zh-CN"/>
              </w:rPr>
              <w:t>1、</w:t>
            </w:r>
            <w:r>
              <w:rPr>
                <w:rFonts w:hint="eastAsia" w:ascii="宋体" w:hAnsi="宋体" w:eastAsia="宋体" w:cs="宋体"/>
                <w:bCs/>
                <w:color w:val="auto"/>
                <w:kern w:val="1"/>
                <w:sz w:val="22"/>
                <w:szCs w:val="22"/>
                <w:highlight w:val="none"/>
              </w:rPr>
              <w:t>根据</w:t>
            </w:r>
            <w:r>
              <w:rPr>
                <w:rFonts w:hint="eastAsia" w:ascii="宋体" w:hAnsi="宋体" w:eastAsia="宋体" w:cs="宋体"/>
                <w:bCs/>
                <w:color w:val="auto"/>
                <w:kern w:val="1"/>
                <w:sz w:val="22"/>
                <w:szCs w:val="22"/>
                <w:highlight w:val="none"/>
                <w:lang w:eastAsia="zh-CN"/>
              </w:rPr>
              <w:t>供应商</w:t>
            </w:r>
            <w:r>
              <w:rPr>
                <w:rFonts w:hint="eastAsia" w:ascii="宋体" w:hAnsi="宋体" w:eastAsia="宋体" w:cs="宋体"/>
                <w:bCs/>
                <w:color w:val="auto"/>
                <w:kern w:val="1"/>
                <w:sz w:val="22"/>
                <w:szCs w:val="22"/>
                <w:highlight w:val="none"/>
              </w:rPr>
              <w:t>对本项目工作目标的理解程度进行评分。</w:t>
            </w:r>
            <w:r>
              <w:rPr>
                <w:rFonts w:hint="eastAsia" w:ascii="宋体" w:hAnsi="宋体" w:eastAsia="宋体" w:cs="宋体"/>
                <w:bCs/>
                <w:color w:val="auto"/>
                <w:kern w:val="1"/>
                <w:sz w:val="22"/>
                <w:szCs w:val="22"/>
                <w:highlight w:val="none"/>
                <w:lang w:eastAsia="zh-CN"/>
              </w:rPr>
              <w:t>（</w:t>
            </w:r>
            <w:r>
              <w:rPr>
                <w:rFonts w:hint="eastAsia" w:ascii="宋体" w:hAnsi="宋体" w:eastAsia="宋体" w:cs="宋体"/>
                <w:bCs/>
                <w:color w:val="auto"/>
                <w:kern w:val="1"/>
                <w:sz w:val="22"/>
                <w:szCs w:val="22"/>
                <w:highlight w:val="none"/>
                <w:lang w:val="en-US" w:eastAsia="zh-CN"/>
              </w:rPr>
              <w:t>0分，0.5分，1分，1.4分，1.8分，2分</w:t>
            </w:r>
            <w:r>
              <w:rPr>
                <w:rFonts w:hint="eastAsia" w:ascii="宋体" w:hAnsi="宋体" w:eastAsia="宋体" w:cs="宋体"/>
                <w:bCs/>
                <w:color w:val="auto"/>
                <w:kern w:val="1"/>
                <w:sz w:val="22"/>
                <w:szCs w:val="22"/>
                <w:highlight w:val="none"/>
                <w:lang w:eastAsia="zh-CN"/>
              </w:rPr>
              <w:t>）</w:t>
            </w:r>
          </w:p>
          <w:p w14:paraId="4604BCEC">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r>
              <w:rPr>
                <w:rFonts w:hint="eastAsia" w:ascii="宋体" w:hAnsi="宋体" w:eastAsia="宋体" w:cs="宋体"/>
                <w:bCs/>
                <w:color w:val="auto"/>
                <w:kern w:val="1"/>
                <w:sz w:val="22"/>
                <w:szCs w:val="22"/>
                <w:highlight w:val="none"/>
              </w:rPr>
              <w:t>根据</w:t>
            </w:r>
            <w:r>
              <w:rPr>
                <w:rFonts w:hint="eastAsia" w:ascii="宋体" w:hAnsi="宋体" w:eastAsia="宋体" w:cs="宋体"/>
                <w:bCs/>
                <w:color w:val="auto"/>
                <w:kern w:val="1"/>
                <w:sz w:val="22"/>
                <w:szCs w:val="22"/>
                <w:highlight w:val="none"/>
                <w:lang w:eastAsia="zh-CN"/>
              </w:rPr>
              <w:t>供应商</w:t>
            </w:r>
            <w:r>
              <w:rPr>
                <w:rFonts w:hint="eastAsia" w:ascii="宋体" w:hAnsi="宋体" w:eastAsia="宋体" w:cs="宋体"/>
                <w:bCs/>
                <w:color w:val="auto"/>
                <w:kern w:val="1"/>
                <w:sz w:val="22"/>
                <w:szCs w:val="22"/>
                <w:highlight w:val="none"/>
              </w:rPr>
              <w:t>阐述本项目实施的总体思路进行评分。</w:t>
            </w:r>
            <w:r>
              <w:rPr>
                <w:rFonts w:hint="eastAsia" w:ascii="宋体" w:hAnsi="宋体" w:eastAsia="宋体" w:cs="宋体"/>
                <w:bCs/>
                <w:color w:val="auto"/>
                <w:kern w:val="1"/>
                <w:sz w:val="22"/>
                <w:szCs w:val="22"/>
                <w:highlight w:val="none"/>
                <w:lang w:eastAsia="zh-CN"/>
              </w:rPr>
              <w:t>（</w:t>
            </w:r>
            <w:r>
              <w:rPr>
                <w:rFonts w:hint="eastAsia" w:ascii="宋体" w:hAnsi="宋体" w:eastAsia="宋体" w:cs="宋体"/>
                <w:bCs/>
                <w:color w:val="auto"/>
                <w:kern w:val="1"/>
                <w:sz w:val="22"/>
                <w:szCs w:val="22"/>
                <w:highlight w:val="none"/>
                <w:lang w:val="en-US" w:eastAsia="zh-CN"/>
              </w:rPr>
              <w:t>0分，0.5分，1分，1.4分，1.8分，2分</w:t>
            </w:r>
            <w:r>
              <w:rPr>
                <w:rFonts w:hint="eastAsia" w:ascii="宋体" w:hAnsi="宋体" w:eastAsia="宋体" w:cs="宋体"/>
                <w:bCs/>
                <w:color w:val="auto"/>
                <w:kern w:val="1"/>
                <w:sz w:val="22"/>
                <w:szCs w:val="22"/>
                <w:highlight w:val="none"/>
                <w:lang w:eastAsia="zh-CN"/>
              </w:rPr>
              <w:t>）</w:t>
            </w:r>
          </w:p>
          <w:p w14:paraId="6DC7F0CC">
            <w:pPr>
              <w:keepNext w:val="0"/>
              <w:keepLines w:val="0"/>
              <w:widowControl/>
              <w:suppressLineNumbers w:val="0"/>
              <w:jc w:val="both"/>
              <w:textAlignment w:val="center"/>
              <w:rPr>
                <w:rFonts w:hint="eastAsia" w:ascii="宋体" w:hAnsi="宋体" w:eastAsia="宋体" w:cs="宋体"/>
                <w:bCs/>
                <w:color w:val="auto"/>
                <w:kern w:val="1"/>
                <w:sz w:val="22"/>
                <w:szCs w:val="22"/>
                <w:highlight w:val="none"/>
                <w:lang w:eastAsia="zh-CN"/>
              </w:rPr>
            </w:pPr>
            <w:r>
              <w:rPr>
                <w:rFonts w:hint="eastAsia" w:ascii="宋体" w:hAnsi="宋体" w:eastAsia="宋体" w:cs="宋体"/>
                <w:bCs/>
                <w:color w:val="auto"/>
                <w:kern w:val="1"/>
                <w:sz w:val="22"/>
                <w:szCs w:val="22"/>
                <w:highlight w:val="none"/>
                <w:lang w:val="en-US" w:eastAsia="zh-CN"/>
              </w:rPr>
              <w:t>3、</w:t>
            </w:r>
            <w:r>
              <w:rPr>
                <w:rFonts w:hint="eastAsia" w:ascii="宋体" w:hAnsi="宋体" w:eastAsia="宋体" w:cs="宋体"/>
                <w:bCs/>
                <w:color w:val="auto"/>
                <w:kern w:val="1"/>
                <w:sz w:val="22"/>
                <w:szCs w:val="22"/>
                <w:highlight w:val="none"/>
              </w:rPr>
              <w:t>根据</w:t>
            </w:r>
            <w:r>
              <w:rPr>
                <w:rFonts w:hint="eastAsia" w:ascii="宋体" w:hAnsi="宋体" w:eastAsia="宋体" w:cs="宋体"/>
                <w:bCs/>
                <w:color w:val="auto"/>
                <w:kern w:val="1"/>
                <w:sz w:val="22"/>
                <w:szCs w:val="22"/>
                <w:highlight w:val="none"/>
                <w:lang w:eastAsia="zh-CN"/>
              </w:rPr>
              <w:t>供应商</w:t>
            </w:r>
            <w:r>
              <w:rPr>
                <w:rFonts w:hint="eastAsia" w:ascii="宋体" w:hAnsi="宋体" w:eastAsia="宋体" w:cs="宋体"/>
                <w:bCs/>
                <w:color w:val="auto"/>
                <w:kern w:val="1"/>
                <w:sz w:val="22"/>
                <w:szCs w:val="22"/>
                <w:highlight w:val="none"/>
              </w:rPr>
              <w:t>对本项目重点、难点进行分析进行评分。</w:t>
            </w:r>
            <w:r>
              <w:rPr>
                <w:rFonts w:hint="eastAsia" w:ascii="宋体" w:hAnsi="宋体" w:eastAsia="宋体" w:cs="宋体"/>
                <w:bCs/>
                <w:color w:val="auto"/>
                <w:kern w:val="1"/>
                <w:sz w:val="22"/>
                <w:szCs w:val="22"/>
                <w:highlight w:val="none"/>
                <w:lang w:eastAsia="zh-CN"/>
              </w:rPr>
              <w:t>（</w:t>
            </w:r>
            <w:r>
              <w:rPr>
                <w:rFonts w:hint="eastAsia" w:ascii="宋体" w:hAnsi="宋体" w:eastAsia="宋体" w:cs="宋体"/>
                <w:bCs/>
                <w:color w:val="auto"/>
                <w:kern w:val="1"/>
                <w:sz w:val="22"/>
                <w:szCs w:val="22"/>
                <w:highlight w:val="none"/>
                <w:lang w:val="en-US" w:eastAsia="zh-CN"/>
              </w:rPr>
              <w:t>0分，0.5分，1分，1.4分，1.8分，2分</w:t>
            </w:r>
            <w:r>
              <w:rPr>
                <w:rFonts w:hint="eastAsia" w:ascii="宋体" w:hAnsi="宋体" w:eastAsia="宋体" w:cs="宋体"/>
                <w:bCs/>
                <w:color w:val="auto"/>
                <w:kern w:val="1"/>
                <w:sz w:val="22"/>
                <w:szCs w:val="22"/>
                <w:highlight w:val="none"/>
                <w:lang w:eastAsia="zh-CN"/>
              </w:rPr>
              <w:t>）</w:t>
            </w:r>
          </w:p>
          <w:p w14:paraId="0DD68A06">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240" w:lineRule="auto"/>
              <w:ind w:left="0" w:right="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4、</w:t>
            </w:r>
            <w:r>
              <w:rPr>
                <w:rFonts w:hint="eastAsia" w:ascii="宋体" w:hAnsi="宋体" w:eastAsia="宋体" w:cs="宋体"/>
                <w:bCs/>
                <w:color w:val="auto"/>
                <w:sz w:val="22"/>
                <w:szCs w:val="22"/>
                <w:highlight w:val="none"/>
              </w:rPr>
              <w:t>根据</w:t>
            </w:r>
            <w:r>
              <w:rPr>
                <w:rFonts w:hint="eastAsia" w:ascii="宋体" w:hAnsi="宋体" w:eastAsia="宋体" w:cs="宋体"/>
                <w:bCs/>
                <w:color w:val="auto"/>
                <w:sz w:val="22"/>
                <w:szCs w:val="22"/>
                <w:highlight w:val="none"/>
                <w:lang w:eastAsia="zh-CN"/>
              </w:rPr>
              <w:t>供应商</w:t>
            </w:r>
            <w:r>
              <w:rPr>
                <w:rFonts w:hint="eastAsia" w:ascii="宋体" w:hAnsi="宋体" w:eastAsia="宋体" w:cs="宋体"/>
                <w:bCs/>
                <w:color w:val="auto"/>
                <w:kern w:val="1"/>
                <w:sz w:val="22"/>
                <w:szCs w:val="22"/>
                <w:highlight w:val="none"/>
              </w:rPr>
              <w:t>对本项目重点、难点提出的解决方案是否科学，合理可行</w:t>
            </w:r>
            <w:r>
              <w:rPr>
                <w:rFonts w:hint="eastAsia" w:ascii="宋体" w:hAnsi="宋体" w:eastAsia="宋体" w:cs="宋体"/>
                <w:bCs/>
                <w:color w:val="auto"/>
                <w:kern w:val="1"/>
                <w:sz w:val="22"/>
                <w:szCs w:val="22"/>
                <w:highlight w:val="none"/>
                <w:lang w:val="en-US" w:eastAsia="zh-CN"/>
              </w:rPr>
              <w:t>进行评分</w:t>
            </w:r>
            <w:r>
              <w:rPr>
                <w:rFonts w:hint="eastAsia" w:ascii="宋体" w:hAnsi="宋体" w:eastAsia="宋体" w:cs="宋体"/>
                <w:bCs/>
                <w:color w:val="auto"/>
                <w:kern w:val="1"/>
                <w:sz w:val="22"/>
                <w:szCs w:val="22"/>
                <w:highlight w:val="none"/>
              </w:rPr>
              <w:t>。</w:t>
            </w:r>
            <w:r>
              <w:rPr>
                <w:rFonts w:hint="eastAsia" w:ascii="宋体" w:hAnsi="宋体" w:eastAsia="宋体" w:cs="宋体"/>
                <w:bCs/>
                <w:color w:val="auto"/>
                <w:kern w:val="1"/>
                <w:sz w:val="22"/>
                <w:szCs w:val="22"/>
                <w:highlight w:val="none"/>
                <w:lang w:eastAsia="zh-CN"/>
              </w:rPr>
              <w:t>（</w:t>
            </w:r>
            <w:r>
              <w:rPr>
                <w:rFonts w:hint="eastAsia" w:ascii="宋体" w:hAnsi="宋体" w:eastAsia="宋体" w:cs="宋体"/>
                <w:bCs/>
                <w:color w:val="auto"/>
                <w:kern w:val="1"/>
                <w:sz w:val="22"/>
                <w:szCs w:val="22"/>
                <w:highlight w:val="none"/>
                <w:lang w:val="en-US" w:eastAsia="zh-CN"/>
              </w:rPr>
              <w:t>0分，0.5分，1分，1.4分，1.8分，2分</w:t>
            </w:r>
            <w:r>
              <w:rPr>
                <w:rFonts w:hint="eastAsia" w:ascii="宋体" w:hAnsi="宋体" w:eastAsia="宋体" w:cs="宋体"/>
                <w:bCs/>
                <w:color w:val="auto"/>
                <w:kern w:val="1"/>
                <w:sz w:val="22"/>
                <w:szCs w:val="22"/>
                <w:highlight w:val="none"/>
                <w:lang w:eastAsia="zh-CN"/>
              </w:rPr>
              <w:t>）</w:t>
            </w:r>
          </w:p>
        </w:tc>
      </w:tr>
      <w:tr w14:paraId="68CBB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440" w:type="pct"/>
            <w:noWrap w:val="0"/>
            <w:vAlign w:val="center"/>
          </w:tcPr>
          <w:p w14:paraId="0024D46D">
            <w:pPr>
              <w:pStyle w:val="28"/>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5</w:t>
            </w:r>
          </w:p>
        </w:tc>
        <w:tc>
          <w:tcPr>
            <w:tcW w:w="822" w:type="pct"/>
            <w:noWrap w:val="0"/>
            <w:vAlign w:val="center"/>
          </w:tcPr>
          <w:p w14:paraId="25ADC224">
            <w:pPr>
              <w:pStyle w:val="28"/>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总体方案</w:t>
            </w:r>
          </w:p>
          <w:p w14:paraId="156D3029">
            <w:pPr>
              <w:pStyle w:val="28"/>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（主观分）</w:t>
            </w:r>
          </w:p>
        </w:tc>
        <w:tc>
          <w:tcPr>
            <w:tcW w:w="524" w:type="pct"/>
            <w:noWrap w:val="0"/>
            <w:vAlign w:val="center"/>
          </w:tcPr>
          <w:p w14:paraId="31C4CD2E">
            <w:pPr>
              <w:pStyle w:val="28"/>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20分</w:t>
            </w:r>
          </w:p>
        </w:tc>
        <w:tc>
          <w:tcPr>
            <w:tcW w:w="3212" w:type="pct"/>
            <w:noWrap w:val="0"/>
            <w:vAlign w:val="center"/>
          </w:tcPr>
          <w:p w14:paraId="5970469F">
            <w:pPr>
              <w:keepNext w:val="0"/>
              <w:keepLines w:val="0"/>
              <w:pageBreakBefore w:val="0"/>
              <w:widowControl w:val="0"/>
              <w:kinsoku/>
              <w:wordWrap/>
              <w:overflowPunct/>
              <w:topLinePunct w:val="0"/>
              <w:autoSpaceDE/>
              <w:autoSpaceDN/>
              <w:bidi w:val="0"/>
              <w:snapToGrid/>
              <w:spacing w:line="240"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1、工作内容：</w:t>
            </w:r>
            <w:r>
              <w:rPr>
                <w:rFonts w:hint="eastAsia" w:ascii="宋体" w:hAnsi="宋体" w:eastAsia="宋体" w:cs="宋体"/>
                <w:color w:val="auto"/>
                <w:sz w:val="22"/>
                <w:szCs w:val="22"/>
                <w:highlight w:val="none"/>
                <w:lang w:eastAsia="zh-CN"/>
              </w:rPr>
              <w:t>根据</w:t>
            </w:r>
            <w:r>
              <w:rPr>
                <w:rFonts w:hint="eastAsia" w:ascii="宋体" w:hAnsi="宋体" w:eastAsia="宋体" w:cs="宋体"/>
                <w:color w:val="auto"/>
                <w:sz w:val="22"/>
                <w:szCs w:val="22"/>
                <w:highlight w:val="none"/>
              </w:rPr>
              <w:t>具体的</w:t>
            </w:r>
            <w:r>
              <w:rPr>
                <w:rFonts w:hint="eastAsia" w:ascii="宋体" w:hAnsi="宋体" w:eastAsia="宋体" w:cs="宋体"/>
                <w:color w:val="auto"/>
                <w:sz w:val="22"/>
                <w:szCs w:val="22"/>
                <w:highlight w:val="none"/>
                <w:lang w:val="en-US" w:eastAsia="zh-CN"/>
              </w:rPr>
              <w:t>调解</w:t>
            </w:r>
            <w:r>
              <w:rPr>
                <w:rFonts w:hint="eastAsia" w:ascii="宋体" w:hAnsi="宋体" w:eastAsia="宋体" w:cs="宋体"/>
                <w:color w:val="auto"/>
                <w:sz w:val="22"/>
                <w:szCs w:val="22"/>
                <w:highlight w:val="none"/>
              </w:rPr>
              <w:t>服务工作内容，</w:t>
            </w:r>
            <w:r>
              <w:rPr>
                <w:rFonts w:hint="eastAsia" w:ascii="宋体" w:hAnsi="宋体" w:eastAsia="宋体" w:cs="宋体"/>
                <w:color w:val="auto"/>
                <w:sz w:val="22"/>
                <w:szCs w:val="22"/>
                <w:highlight w:val="none"/>
                <w:lang w:val="en-US" w:eastAsia="zh-CN"/>
              </w:rPr>
              <w:t>供应商阐述</w:t>
            </w:r>
            <w:r>
              <w:rPr>
                <w:rFonts w:hint="eastAsia" w:ascii="宋体" w:hAnsi="宋体" w:eastAsia="宋体" w:cs="宋体"/>
                <w:color w:val="auto"/>
                <w:sz w:val="22"/>
                <w:szCs w:val="22"/>
                <w:highlight w:val="none"/>
              </w:rPr>
              <w:t>工作策略和建议</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要求</w:t>
            </w:r>
            <w:r>
              <w:rPr>
                <w:rFonts w:hint="eastAsia" w:ascii="宋体" w:hAnsi="宋体" w:eastAsia="宋体" w:cs="宋体"/>
                <w:color w:val="auto"/>
                <w:sz w:val="22"/>
                <w:szCs w:val="22"/>
                <w:highlight w:val="none"/>
              </w:rPr>
              <w:t>工作内容满足招标人要求</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根据</w:t>
            </w:r>
            <w:r>
              <w:rPr>
                <w:rFonts w:hint="eastAsia" w:ascii="宋体" w:hAnsi="宋体" w:eastAsia="宋体" w:cs="宋体"/>
                <w:color w:val="auto"/>
                <w:sz w:val="22"/>
                <w:szCs w:val="22"/>
                <w:highlight w:val="none"/>
                <w:lang w:eastAsia="zh-CN"/>
              </w:rPr>
              <w:t>提出的工作策略（</w:t>
            </w:r>
            <w:r>
              <w:rPr>
                <w:rFonts w:hint="eastAsia" w:ascii="宋体" w:hAnsi="宋体" w:eastAsia="宋体" w:cs="宋体"/>
                <w:bCs/>
                <w:iCs/>
                <w:color w:val="auto"/>
                <w:sz w:val="22"/>
                <w:szCs w:val="22"/>
                <w:highlight w:val="none"/>
                <w:lang w:eastAsia="zh-CN"/>
              </w:rPr>
              <w:t>0分，0.5分，1分，1.4分，1.8分，2分</w:t>
            </w:r>
            <w:r>
              <w:rPr>
                <w:rFonts w:hint="eastAsia" w:ascii="宋体" w:hAnsi="宋体" w:eastAsia="宋体" w:cs="宋体"/>
                <w:color w:val="auto"/>
                <w:sz w:val="22"/>
                <w:szCs w:val="22"/>
                <w:highlight w:val="none"/>
                <w:lang w:eastAsia="zh-CN"/>
              </w:rPr>
              <w:t>）和建议（</w:t>
            </w:r>
            <w:r>
              <w:rPr>
                <w:rFonts w:hint="eastAsia" w:ascii="宋体" w:hAnsi="宋体" w:eastAsia="宋体" w:cs="宋体"/>
                <w:bCs/>
                <w:iCs/>
                <w:color w:val="auto"/>
                <w:sz w:val="22"/>
                <w:szCs w:val="22"/>
                <w:highlight w:val="none"/>
                <w:lang w:eastAsia="zh-CN"/>
              </w:rPr>
              <w:t>0分，0.5分，1分，1.4分，1.8分，2分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全面</w:t>
            </w:r>
            <w:r>
              <w:rPr>
                <w:rFonts w:hint="eastAsia" w:ascii="宋体" w:hAnsi="宋体" w:eastAsia="宋体" w:cs="宋体"/>
                <w:color w:val="auto"/>
                <w:sz w:val="22"/>
                <w:szCs w:val="22"/>
                <w:highlight w:val="none"/>
                <w:lang w:val="en-US" w:eastAsia="zh-CN"/>
              </w:rPr>
              <w:t>性</w:t>
            </w:r>
            <w:r>
              <w:rPr>
                <w:rFonts w:hint="eastAsia" w:ascii="宋体" w:hAnsi="宋体" w:eastAsia="宋体" w:cs="宋体"/>
                <w:color w:val="auto"/>
                <w:sz w:val="22"/>
                <w:szCs w:val="22"/>
                <w:highlight w:val="none"/>
              </w:rPr>
              <w:t>、合理</w:t>
            </w:r>
            <w:r>
              <w:rPr>
                <w:rFonts w:hint="eastAsia" w:ascii="宋体" w:hAnsi="宋体" w:eastAsia="宋体" w:cs="宋体"/>
                <w:color w:val="auto"/>
                <w:sz w:val="22"/>
                <w:szCs w:val="22"/>
                <w:highlight w:val="none"/>
                <w:lang w:val="en-US" w:eastAsia="zh-CN"/>
              </w:rPr>
              <w:t>性</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是否</w:t>
            </w:r>
            <w:r>
              <w:rPr>
                <w:rFonts w:hint="eastAsia" w:ascii="宋体" w:hAnsi="宋体" w:eastAsia="宋体" w:cs="宋体"/>
                <w:color w:val="auto"/>
                <w:sz w:val="22"/>
                <w:szCs w:val="22"/>
                <w:highlight w:val="none"/>
              </w:rPr>
              <w:t>有独特见解，针对性强</w:t>
            </w:r>
            <w:r>
              <w:rPr>
                <w:rFonts w:hint="eastAsia" w:ascii="宋体" w:hAnsi="宋体" w:eastAsia="宋体" w:cs="宋体"/>
                <w:color w:val="auto"/>
                <w:sz w:val="22"/>
                <w:szCs w:val="22"/>
                <w:highlight w:val="none"/>
                <w:lang w:val="en-US" w:eastAsia="zh-CN"/>
              </w:rPr>
              <w:t>等进行评分</w:t>
            </w:r>
            <w:r>
              <w:rPr>
                <w:rFonts w:hint="eastAsia" w:ascii="宋体" w:hAnsi="宋体" w:eastAsia="宋体" w:cs="宋体"/>
                <w:color w:val="auto"/>
                <w:sz w:val="22"/>
                <w:szCs w:val="22"/>
                <w:highlight w:val="none"/>
              </w:rPr>
              <w:t>。</w:t>
            </w:r>
          </w:p>
          <w:p w14:paraId="7898E44E">
            <w:pPr>
              <w:keepNext w:val="0"/>
              <w:keepLines w:val="0"/>
              <w:pageBreakBefore w:val="0"/>
              <w:widowControl w:val="0"/>
              <w:kinsoku/>
              <w:wordWrap/>
              <w:overflowPunct/>
              <w:topLinePunct w:val="0"/>
              <w:autoSpaceDE/>
              <w:autoSpaceDN/>
              <w:bidi w:val="0"/>
              <w:snapToGrid/>
              <w:spacing w:line="240"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2、工作安排：根据年度调解服务</w:t>
            </w:r>
            <w:r>
              <w:rPr>
                <w:rFonts w:hint="eastAsia" w:ascii="宋体" w:hAnsi="宋体" w:eastAsia="宋体" w:cs="宋体"/>
                <w:color w:val="auto"/>
                <w:sz w:val="22"/>
                <w:szCs w:val="22"/>
                <w:highlight w:val="none"/>
              </w:rPr>
              <w:t>工作部署和安排，</w:t>
            </w:r>
            <w:r>
              <w:rPr>
                <w:rFonts w:hint="eastAsia" w:ascii="宋体" w:hAnsi="宋体" w:eastAsia="宋体" w:cs="宋体"/>
                <w:color w:val="auto"/>
                <w:sz w:val="22"/>
                <w:szCs w:val="22"/>
                <w:highlight w:val="none"/>
                <w:lang w:val="en-US" w:eastAsia="zh-CN"/>
              </w:rPr>
              <w:t>要求</w:t>
            </w:r>
            <w:r>
              <w:rPr>
                <w:rFonts w:hint="eastAsia" w:ascii="宋体" w:hAnsi="宋体" w:eastAsia="宋体" w:cs="宋体"/>
                <w:color w:val="auto"/>
                <w:sz w:val="22"/>
                <w:szCs w:val="22"/>
                <w:highlight w:val="none"/>
              </w:rPr>
              <w:t>具体的工作部署和安排合理</w:t>
            </w:r>
            <w:r>
              <w:rPr>
                <w:rFonts w:hint="eastAsia" w:ascii="宋体" w:hAnsi="宋体" w:eastAsia="宋体" w:cs="宋体"/>
                <w:color w:val="auto"/>
                <w:sz w:val="22"/>
                <w:szCs w:val="22"/>
                <w:highlight w:val="none"/>
                <w:lang w:eastAsia="zh-CN"/>
              </w:rPr>
              <w:t>（</w:t>
            </w:r>
            <w:r>
              <w:rPr>
                <w:rFonts w:hint="eastAsia" w:ascii="宋体" w:hAnsi="宋体" w:eastAsia="宋体" w:cs="宋体"/>
                <w:bCs/>
                <w:iCs/>
                <w:color w:val="auto"/>
                <w:sz w:val="22"/>
                <w:szCs w:val="22"/>
                <w:highlight w:val="none"/>
                <w:lang w:eastAsia="zh-CN"/>
              </w:rPr>
              <w:t>0分，0.5分，1分，1.4分，1.8分，2分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，团队人员分工得当、实际可操作性高</w:t>
            </w:r>
            <w:r>
              <w:rPr>
                <w:rFonts w:hint="eastAsia" w:ascii="宋体" w:hAnsi="宋体" w:eastAsia="宋体" w:cs="宋体"/>
                <w:color w:val="auto"/>
                <w:sz w:val="22"/>
                <w:szCs w:val="22"/>
                <w:highlight w:val="none"/>
                <w:lang w:eastAsia="zh-CN"/>
              </w:rPr>
              <w:t>（</w:t>
            </w:r>
            <w:r>
              <w:rPr>
                <w:rFonts w:hint="eastAsia" w:ascii="宋体" w:hAnsi="宋体" w:eastAsia="宋体" w:cs="宋体"/>
                <w:bCs/>
                <w:iCs/>
                <w:color w:val="auto"/>
                <w:sz w:val="22"/>
                <w:szCs w:val="22"/>
                <w:highlight w:val="none"/>
                <w:lang w:eastAsia="zh-CN"/>
              </w:rPr>
              <w:t>0分，0.5分，1分，1.4分，1.8分，2分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根据</w:t>
            </w:r>
            <w:r>
              <w:rPr>
                <w:rFonts w:hint="eastAsia" w:ascii="宋体" w:hAnsi="宋体" w:eastAsia="宋体" w:cs="宋体"/>
                <w:color w:val="auto"/>
                <w:sz w:val="22"/>
                <w:szCs w:val="22"/>
                <w:highlight w:val="none"/>
              </w:rPr>
              <w:t>实际可操作性、适应性，科学性等进行评分。</w:t>
            </w:r>
          </w:p>
          <w:p w14:paraId="2D60FAC1">
            <w:pPr>
              <w:keepNext w:val="0"/>
              <w:keepLines w:val="0"/>
              <w:pageBreakBefore w:val="0"/>
              <w:widowControl w:val="0"/>
              <w:kinsoku/>
              <w:wordWrap/>
              <w:overflowPunct/>
              <w:topLinePunct w:val="0"/>
              <w:autoSpaceDE/>
              <w:autoSpaceDN/>
              <w:bidi w:val="0"/>
              <w:snapToGrid/>
              <w:spacing w:line="240"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lang w:eastAsia="zh-CN"/>
              </w:rPr>
              <w:t>服务效率：供应商</w:t>
            </w:r>
            <w:r>
              <w:rPr>
                <w:rFonts w:hint="eastAsia" w:ascii="宋体" w:hAnsi="宋体" w:eastAsia="宋体" w:cs="宋体"/>
                <w:color w:val="auto"/>
                <w:sz w:val="22"/>
                <w:szCs w:val="22"/>
                <w:highlight w:val="none"/>
              </w:rPr>
              <w:t>的服务响应时间等情况的合理性</w:t>
            </w:r>
            <w:r>
              <w:rPr>
                <w:rFonts w:hint="eastAsia" w:ascii="宋体" w:hAnsi="宋体" w:eastAsia="宋体" w:cs="宋体"/>
                <w:color w:val="auto"/>
                <w:sz w:val="22"/>
                <w:szCs w:val="22"/>
                <w:highlight w:val="none"/>
                <w:lang w:eastAsia="zh-CN"/>
              </w:rPr>
              <w:t>（</w:t>
            </w:r>
            <w:r>
              <w:rPr>
                <w:rFonts w:hint="eastAsia" w:ascii="宋体" w:hAnsi="宋体" w:eastAsia="宋体" w:cs="宋体"/>
                <w:bCs/>
                <w:iCs/>
                <w:color w:val="auto"/>
                <w:sz w:val="22"/>
                <w:szCs w:val="22"/>
                <w:highlight w:val="none"/>
                <w:lang w:eastAsia="zh-CN"/>
              </w:rPr>
              <w:t>0分，0.5分，1分，1.4分，1.8分，2分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针对不同的工作方式，设置有明确具体的响应时间</w:t>
            </w:r>
            <w:r>
              <w:rPr>
                <w:rFonts w:hint="eastAsia" w:ascii="宋体" w:hAnsi="宋体" w:eastAsia="宋体" w:cs="宋体"/>
                <w:color w:val="auto"/>
                <w:sz w:val="22"/>
                <w:szCs w:val="22"/>
                <w:highlight w:val="none"/>
                <w:lang w:eastAsia="zh-CN"/>
              </w:rPr>
              <w:t>（</w:t>
            </w:r>
            <w:r>
              <w:rPr>
                <w:rFonts w:hint="eastAsia" w:ascii="宋体" w:hAnsi="宋体" w:eastAsia="宋体" w:cs="宋体"/>
                <w:bCs/>
                <w:iCs/>
                <w:color w:val="auto"/>
                <w:sz w:val="22"/>
                <w:szCs w:val="22"/>
                <w:highlight w:val="none"/>
                <w:lang w:eastAsia="zh-CN"/>
              </w:rPr>
              <w:t>0分，0.5分，1分，1.4分，1.8分，2分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，能够实现高效、便捷的服务效果</w:t>
            </w:r>
            <w:r>
              <w:rPr>
                <w:rFonts w:hint="eastAsia" w:ascii="宋体" w:hAnsi="宋体" w:eastAsia="宋体" w:cs="宋体"/>
                <w:color w:val="auto"/>
                <w:sz w:val="22"/>
                <w:szCs w:val="22"/>
                <w:highlight w:val="none"/>
                <w:lang w:val="en-US" w:eastAsia="zh-CN"/>
              </w:rPr>
              <w:t>进行评分</w:t>
            </w:r>
            <w:r>
              <w:rPr>
                <w:rFonts w:hint="eastAsia" w:ascii="宋体" w:hAnsi="宋体" w:eastAsia="宋体" w:cs="宋体"/>
                <w:color w:val="auto"/>
                <w:sz w:val="22"/>
                <w:szCs w:val="22"/>
                <w:highlight w:val="none"/>
              </w:rPr>
              <w:t>。</w:t>
            </w:r>
          </w:p>
          <w:p w14:paraId="4A18AE30">
            <w:pPr>
              <w:keepNext w:val="0"/>
              <w:keepLines w:val="0"/>
              <w:pageBreakBefore w:val="0"/>
              <w:widowControl w:val="0"/>
              <w:kinsoku/>
              <w:wordWrap/>
              <w:overflowPunct/>
              <w:topLinePunct w:val="0"/>
              <w:autoSpaceDE/>
              <w:autoSpaceDN/>
              <w:bidi w:val="0"/>
              <w:snapToGrid/>
              <w:spacing w:line="240"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服务承诺</w:t>
            </w:r>
            <w:r>
              <w:rPr>
                <w:rFonts w:hint="eastAsia" w:ascii="宋体" w:hAnsi="宋体" w:eastAsia="宋体" w:cs="宋体"/>
                <w:color w:val="auto"/>
                <w:sz w:val="22"/>
                <w:szCs w:val="22"/>
                <w:highlight w:val="none"/>
                <w:lang w:eastAsia="zh-CN"/>
              </w:rPr>
              <w:t>：供应商</w:t>
            </w:r>
            <w:r>
              <w:rPr>
                <w:rFonts w:hint="eastAsia" w:ascii="宋体" w:hAnsi="宋体" w:eastAsia="宋体" w:cs="宋体"/>
                <w:color w:val="auto"/>
                <w:sz w:val="22"/>
                <w:szCs w:val="22"/>
                <w:highlight w:val="none"/>
              </w:rPr>
              <w:t>对项目的服务承诺</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从以下几点进行评分：</w:t>
            </w:r>
            <w:r>
              <w:rPr>
                <w:rFonts w:hint="eastAsia" w:ascii="宋体" w:hAnsi="宋体" w:eastAsia="宋体" w:cs="宋体"/>
                <w:color w:val="auto"/>
                <w:sz w:val="22"/>
                <w:szCs w:val="22"/>
                <w:highlight w:val="none"/>
              </w:rPr>
              <w:t>服务质量</w:t>
            </w:r>
            <w:r>
              <w:rPr>
                <w:rFonts w:hint="eastAsia" w:ascii="宋体" w:hAnsi="宋体" w:eastAsia="宋体" w:cs="宋体"/>
                <w:color w:val="auto"/>
                <w:sz w:val="22"/>
                <w:szCs w:val="22"/>
                <w:highlight w:val="none"/>
                <w:lang w:eastAsia="zh-CN"/>
              </w:rPr>
              <w:t>（</w:t>
            </w:r>
            <w:r>
              <w:rPr>
                <w:rFonts w:hint="eastAsia" w:ascii="宋体" w:hAnsi="宋体" w:eastAsia="宋体" w:cs="宋体"/>
                <w:bCs/>
                <w:iCs/>
                <w:color w:val="auto"/>
                <w:sz w:val="22"/>
                <w:szCs w:val="22"/>
                <w:highlight w:val="none"/>
                <w:lang w:eastAsia="zh-CN"/>
              </w:rPr>
              <w:t>0分，0.5分，1分，1.4分，1.8分，2分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、配合办理相关培训</w:t>
            </w:r>
            <w:r>
              <w:rPr>
                <w:rFonts w:hint="eastAsia" w:ascii="宋体" w:hAnsi="宋体" w:eastAsia="宋体" w:cs="宋体"/>
                <w:color w:val="auto"/>
                <w:sz w:val="22"/>
                <w:szCs w:val="22"/>
                <w:highlight w:val="none"/>
                <w:lang w:eastAsia="zh-CN"/>
              </w:rPr>
              <w:t>（</w:t>
            </w:r>
            <w:r>
              <w:rPr>
                <w:rFonts w:hint="eastAsia" w:ascii="宋体" w:hAnsi="宋体" w:eastAsia="宋体" w:cs="宋体"/>
                <w:bCs/>
                <w:iCs/>
                <w:color w:val="auto"/>
                <w:sz w:val="22"/>
                <w:szCs w:val="22"/>
                <w:highlight w:val="none"/>
                <w:lang w:eastAsia="zh-CN"/>
              </w:rPr>
              <w:t>0分，0.5分，1分，1.4分，1.8分，2分</w:t>
            </w:r>
            <w:r>
              <w:rPr>
                <w:rFonts w:hint="eastAsia" w:ascii="宋体" w:hAnsi="宋体" w:eastAsia="宋体" w:cs="宋体"/>
                <w:color w:val="auto"/>
                <w:sz w:val="22"/>
                <w:szCs w:val="22"/>
                <w:highlight w:val="none"/>
                <w:lang w:eastAsia="zh-CN"/>
              </w:rPr>
              <w:t>）、</w:t>
            </w:r>
            <w:r>
              <w:rPr>
                <w:rFonts w:hint="eastAsia" w:ascii="宋体" w:hAnsi="宋体" w:eastAsia="宋体" w:cs="宋体"/>
                <w:bCs/>
                <w:color w:val="auto"/>
                <w:kern w:val="1"/>
                <w:sz w:val="22"/>
                <w:szCs w:val="22"/>
                <w:highlight w:val="none"/>
                <w:lang w:eastAsia="zh-CN"/>
              </w:rPr>
              <w:t>供应商</w:t>
            </w:r>
            <w:r>
              <w:rPr>
                <w:rFonts w:hint="eastAsia" w:ascii="宋体" w:hAnsi="宋体" w:eastAsia="宋体" w:cs="宋体"/>
                <w:bCs/>
                <w:color w:val="auto"/>
                <w:kern w:val="1"/>
                <w:sz w:val="22"/>
                <w:szCs w:val="22"/>
                <w:highlight w:val="none"/>
              </w:rPr>
              <w:t>组织机构及服务质量的保证措施</w:t>
            </w:r>
            <w:r>
              <w:rPr>
                <w:rFonts w:hint="eastAsia" w:ascii="宋体" w:hAnsi="宋体" w:eastAsia="宋体" w:cs="宋体"/>
                <w:color w:val="auto"/>
                <w:sz w:val="22"/>
                <w:szCs w:val="22"/>
                <w:highlight w:val="none"/>
                <w:lang w:eastAsia="zh-CN"/>
              </w:rPr>
              <w:t>（</w:t>
            </w:r>
            <w:r>
              <w:rPr>
                <w:rFonts w:hint="eastAsia" w:ascii="宋体" w:hAnsi="宋体" w:eastAsia="宋体" w:cs="宋体"/>
                <w:bCs/>
                <w:iCs/>
                <w:color w:val="auto"/>
                <w:sz w:val="22"/>
                <w:szCs w:val="22"/>
                <w:highlight w:val="none"/>
                <w:lang w:eastAsia="zh-CN"/>
              </w:rPr>
              <w:t>0分，0.5分，1分，1.4分，1.8分，2分</w:t>
            </w:r>
            <w:r>
              <w:rPr>
                <w:rFonts w:hint="eastAsia" w:ascii="宋体" w:hAnsi="宋体" w:eastAsia="宋体" w:cs="宋体"/>
                <w:color w:val="auto"/>
                <w:sz w:val="22"/>
                <w:szCs w:val="22"/>
                <w:highlight w:val="none"/>
                <w:lang w:eastAsia="zh-CN"/>
              </w:rPr>
              <w:t>）</w:t>
            </w:r>
            <w:r>
              <w:rPr>
                <w:rFonts w:hint="eastAsia" w:ascii="宋体" w:hAnsi="宋体" w:eastAsia="宋体" w:cs="宋体"/>
                <w:bCs/>
                <w:color w:val="auto"/>
                <w:kern w:val="1"/>
                <w:sz w:val="22"/>
                <w:szCs w:val="22"/>
                <w:highlight w:val="none"/>
              </w:rPr>
              <w:t>、保密措施</w:t>
            </w:r>
            <w:r>
              <w:rPr>
                <w:rFonts w:hint="eastAsia" w:ascii="宋体" w:hAnsi="宋体" w:eastAsia="宋体" w:cs="宋体"/>
                <w:color w:val="auto"/>
                <w:sz w:val="22"/>
                <w:szCs w:val="22"/>
                <w:highlight w:val="none"/>
                <w:lang w:eastAsia="zh-CN"/>
              </w:rPr>
              <w:t>（</w:t>
            </w:r>
            <w:r>
              <w:rPr>
                <w:rFonts w:hint="eastAsia" w:ascii="宋体" w:hAnsi="宋体" w:eastAsia="宋体" w:cs="宋体"/>
                <w:bCs/>
                <w:iCs/>
                <w:color w:val="auto"/>
                <w:sz w:val="22"/>
                <w:szCs w:val="22"/>
                <w:highlight w:val="none"/>
                <w:lang w:eastAsia="zh-CN"/>
              </w:rPr>
              <w:t>0分，0.5分，1分，1.4分，1.8分，2分</w:t>
            </w:r>
            <w:r>
              <w:rPr>
                <w:rFonts w:hint="eastAsia" w:ascii="宋体" w:hAnsi="宋体" w:eastAsia="宋体" w:cs="宋体"/>
                <w:color w:val="auto"/>
                <w:sz w:val="22"/>
                <w:szCs w:val="22"/>
                <w:highlight w:val="none"/>
                <w:lang w:eastAsia="zh-CN"/>
              </w:rPr>
              <w:t>）。</w:t>
            </w:r>
          </w:p>
        </w:tc>
      </w:tr>
      <w:tr w14:paraId="0F9B6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440" w:type="pct"/>
            <w:noWrap w:val="0"/>
            <w:vAlign w:val="center"/>
          </w:tcPr>
          <w:p w14:paraId="0A1524BA">
            <w:pPr>
              <w:pStyle w:val="28"/>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6</w:t>
            </w:r>
          </w:p>
        </w:tc>
        <w:tc>
          <w:tcPr>
            <w:tcW w:w="822" w:type="pct"/>
            <w:noWrap w:val="0"/>
            <w:vAlign w:val="center"/>
          </w:tcPr>
          <w:p w14:paraId="7EE575C1">
            <w:pPr>
              <w:pStyle w:val="28"/>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纠纷化解方案（主观分）</w:t>
            </w:r>
          </w:p>
        </w:tc>
        <w:tc>
          <w:tcPr>
            <w:tcW w:w="524" w:type="pct"/>
            <w:noWrap w:val="0"/>
            <w:vAlign w:val="center"/>
          </w:tcPr>
          <w:p w14:paraId="4687DD91">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4分</w:t>
            </w:r>
          </w:p>
        </w:tc>
        <w:tc>
          <w:tcPr>
            <w:tcW w:w="3212" w:type="pct"/>
            <w:noWrap w:val="0"/>
            <w:vAlign w:val="center"/>
          </w:tcPr>
          <w:p w14:paraId="6CAD5F3F">
            <w:pPr>
              <w:keepNext w:val="0"/>
              <w:keepLines w:val="0"/>
              <w:widowControl/>
              <w:numPr>
                <w:ilvl w:val="0"/>
                <w:numId w:val="7"/>
              </w:numPr>
              <w:suppressLineNumbers w:val="0"/>
              <w:jc w:val="both"/>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化解方式：根据供应商进行纠纷化解的方式及手段的科学性、可行性等进行评分。（</w:t>
            </w:r>
            <w:r>
              <w:rPr>
                <w:rFonts w:hint="eastAsia" w:ascii="宋体" w:hAnsi="宋体" w:eastAsia="宋体" w:cs="宋体"/>
                <w:bCs/>
                <w:iCs/>
                <w:color w:val="auto"/>
                <w:sz w:val="22"/>
                <w:szCs w:val="22"/>
                <w:highlight w:val="none"/>
                <w:lang w:eastAsia="zh-CN"/>
              </w:rPr>
              <w:t>0分，0.5分，1分，1.4分，1.8分，2分</w:t>
            </w:r>
            <w:r>
              <w:rPr>
                <w:rFonts w:hint="eastAsia" w:ascii="宋体" w:hAnsi="宋体" w:eastAsia="宋体" w:cs="宋体"/>
                <w:color w:val="auto"/>
                <w:sz w:val="22"/>
                <w:szCs w:val="22"/>
                <w:highlight w:val="none"/>
                <w:lang w:val="en-US" w:eastAsia="zh-CN"/>
              </w:rPr>
              <w:t>）</w:t>
            </w:r>
          </w:p>
          <w:p w14:paraId="6DBBB93D">
            <w:pPr>
              <w:keepNext w:val="0"/>
              <w:keepLines w:val="0"/>
              <w:pageBreakBefore w:val="0"/>
              <w:widowControl w:val="0"/>
              <w:kinsoku/>
              <w:wordWrap/>
              <w:overflowPunct/>
              <w:topLinePunct w:val="0"/>
              <w:autoSpaceDE/>
              <w:autoSpaceDN/>
              <w:bidi w:val="0"/>
              <w:snapToGrid/>
              <w:spacing w:line="240"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2、分阶段实施方案：根据供应商对纠纷化解各阶段的实施方案的科学性、可行性等进行评分。（</w:t>
            </w:r>
            <w:r>
              <w:rPr>
                <w:rFonts w:hint="eastAsia" w:ascii="宋体" w:hAnsi="宋体" w:eastAsia="宋体" w:cs="宋体"/>
                <w:bCs/>
                <w:iCs/>
                <w:color w:val="auto"/>
                <w:sz w:val="22"/>
                <w:szCs w:val="22"/>
                <w:highlight w:val="none"/>
                <w:lang w:eastAsia="zh-CN"/>
              </w:rPr>
              <w:t>0分，0.5分，1分，1.4分，1.8分，2分</w:t>
            </w:r>
            <w:r>
              <w:rPr>
                <w:rFonts w:hint="eastAsia" w:ascii="宋体" w:hAnsi="宋体" w:eastAsia="宋体" w:cs="宋体"/>
                <w:color w:val="auto"/>
                <w:sz w:val="22"/>
                <w:szCs w:val="22"/>
                <w:highlight w:val="none"/>
                <w:lang w:val="en-US" w:eastAsia="zh-CN"/>
              </w:rPr>
              <w:t>）</w:t>
            </w:r>
          </w:p>
        </w:tc>
      </w:tr>
      <w:tr w14:paraId="2AE67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440" w:type="pct"/>
            <w:noWrap w:val="0"/>
            <w:vAlign w:val="center"/>
          </w:tcPr>
          <w:p w14:paraId="7A7CD61E">
            <w:pPr>
              <w:pStyle w:val="28"/>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7</w:t>
            </w:r>
          </w:p>
        </w:tc>
        <w:tc>
          <w:tcPr>
            <w:tcW w:w="822" w:type="pct"/>
            <w:noWrap w:val="0"/>
            <w:vAlign w:val="center"/>
          </w:tcPr>
          <w:p w14:paraId="2BDF2172">
            <w:pPr>
              <w:pStyle w:val="28"/>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回访服务方案（主观分）</w:t>
            </w:r>
          </w:p>
        </w:tc>
        <w:tc>
          <w:tcPr>
            <w:tcW w:w="524" w:type="pct"/>
            <w:noWrap w:val="0"/>
            <w:vAlign w:val="center"/>
          </w:tcPr>
          <w:p w14:paraId="5AB22BD3">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2分</w:t>
            </w:r>
          </w:p>
        </w:tc>
        <w:tc>
          <w:tcPr>
            <w:tcW w:w="3212" w:type="pct"/>
            <w:noWrap w:val="0"/>
            <w:vAlign w:val="center"/>
          </w:tcPr>
          <w:p w14:paraId="443070F5">
            <w:pPr>
              <w:keepNext w:val="0"/>
              <w:keepLines w:val="0"/>
              <w:pageBreakBefore w:val="0"/>
              <w:widowControl w:val="0"/>
              <w:kinsoku/>
              <w:wordWrap/>
              <w:overflowPunct/>
              <w:topLinePunct w:val="0"/>
              <w:autoSpaceDE/>
              <w:autoSpaceDN/>
              <w:bidi w:val="0"/>
              <w:snapToGrid/>
              <w:spacing w:line="240"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根据供应商对调解后回访工作安排的合理性、可行性等进行评分。（</w:t>
            </w:r>
            <w:r>
              <w:rPr>
                <w:rFonts w:hint="eastAsia" w:ascii="宋体" w:hAnsi="宋体" w:eastAsia="宋体" w:cs="宋体"/>
                <w:bCs/>
                <w:iCs/>
                <w:color w:val="auto"/>
                <w:sz w:val="22"/>
                <w:szCs w:val="22"/>
                <w:highlight w:val="none"/>
                <w:lang w:eastAsia="zh-CN"/>
              </w:rPr>
              <w:t>0分，0.5分，1分，1.4分，1.8分，2分</w:t>
            </w:r>
            <w:r>
              <w:rPr>
                <w:rFonts w:hint="eastAsia" w:ascii="宋体" w:hAnsi="宋体" w:eastAsia="宋体" w:cs="宋体"/>
                <w:color w:val="auto"/>
                <w:sz w:val="22"/>
                <w:szCs w:val="22"/>
                <w:highlight w:val="none"/>
                <w:lang w:val="en-US" w:eastAsia="zh-CN"/>
              </w:rPr>
              <w:t>）</w:t>
            </w:r>
          </w:p>
        </w:tc>
      </w:tr>
      <w:tr w14:paraId="71604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440" w:type="pct"/>
            <w:noWrap w:val="0"/>
            <w:vAlign w:val="center"/>
          </w:tcPr>
          <w:p w14:paraId="2CC8A3D4">
            <w:pPr>
              <w:pStyle w:val="28"/>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8</w:t>
            </w:r>
          </w:p>
        </w:tc>
        <w:tc>
          <w:tcPr>
            <w:tcW w:w="822" w:type="pct"/>
            <w:noWrap w:val="0"/>
            <w:vAlign w:val="center"/>
          </w:tcPr>
          <w:p w14:paraId="1D5BE141">
            <w:pPr>
              <w:pStyle w:val="28"/>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法律咨询服务专项服务方案</w:t>
            </w:r>
          </w:p>
          <w:p w14:paraId="4143FEA9">
            <w:pPr>
              <w:pStyle w:val="28"/>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（主观分）</w:t>
            </w:r>
          </w:p>
        </w:tc>
        <w:tc>
          <w:tcPr>
            <w:tcW w:w="524" w:type="pct"/>
            <w:noWrap w:val="0"/>
            <w:vAlign w:val="center"/>
          </w:tcPr>
          <w:p w14:paraId="553718FA">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2分</w:t>
            </w:r>
          </w:p>
        </w:tc>
        <w:tc>
          <w:tcPr>
            <w:tcW w:w="3212" w:type="pct"/>
            <w:noWrap w:val="0"/>
            <w:vAlign w:val="center"/>
          </w:tcPr>
          <w:p w14:paraId="746BBDE6">
            <w:pPr>
              <w:keepNext w:val="0"/>
              <w:keepLines w:val="0"/>
              <w:pageBreakBefore w:val="0"/>
              <w:widowControl w:val="0"/>
              <w:kinsoku/>
              <w:wordWrap/>
              <w:overflowPunct/>
              <w:topLinePunct w:val="0"/>
              <w:autoSpaceDE/>
              <w:autoSpaceDN/>
              <w:bidi w:val="0"/>
              <w:snapToGrid/>
              <w:spacing w:line="240" w:lineRule="auto"/>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供应商根据采购人需求，提供法律咨询服务方案，根据方案的适用性、便利性、科学性进行评分。</w:t>
            </w:r>
            <w:r>
              <w:rPr>
                <w:rFonts w:hint="eastAsia" w:ascii="宋体" w:hAnsi="宋体" w:eastAsia="宋体" w:cs="宋体"/>
                <w:color w:val="auto"/>
                <w:sz w:val="22"/>
                <w:szCs w:val="22"/>
                <w:highlight w:val="none"/>
                <w:lang w:eastAsia="zh-CN"/>
              </w:rPr>
              <w:t>（</w:t>
            </w:r>
            <w:r>
              <w:rPr>
                <w:rFonts w:hint="eastAsia" w:ascii="宋体" w:hAnsi="宋体" w:eastAsia="宋体" w:cs="宋体"/>
                <w:bCs/>
                <w:iCs/>
                <w:color w:val="auto"/>
                <w:sz w:val="22"/>
                <w:szCs w:val="22"/>
                <w:highlight w:val="none"/>
                <w:lang w:eastAsia="zh-CN"/>
              </w:rPr>
              <w:t>0分，0.5分，1分，1.4分，1.8分，2分</w:t>
            </w:r>
            <w:r>
              <w:rPr>
                <w:rFonts w:hint="eastAsia" w:ascii="宋体" w:hAnsi="宋体" w:eastAsia="宋体" w:cs="宋体"/>
                <w:color w:val="auto"/>
                <w:sz w:val="22"/>
                <w:szCs w:val="22"/>
                <w:highlight w:val="none"/>
                <w:lang w:eastAsia="zh-CN"/>
              </w:rPr>
              <w:t>）</w:t>
            </w:r>
          </w:p>
        </w:tc>
      </w:tr>
      <w:tr w14:paraId="66E00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440" w:type="pct"/>
            <w:noWrap w:val="0"/>
            <w:vAlign w:val="center"/>
          </w:tcPr>
          <w:p w14:paraId="67FC0F07">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9</w:t>
            </w:r>
          </w:p>
        </w:tc>
        <w:tc>
          <w:tcPr>
            <w:tcW w:w="822" w:type="pct"/>
            <w:noWrap w:val="0"/>
            <w:vAlign w:val="center"/>
          </w:tcPr>
          <w:p w14:paraId="45C9C6B6">
            <w:pPr>
              <w:pStyle w:val="28"/>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人员保障</w:t>
            </w:r>
            <w:r>
              <w:rPr>
                <w:rFonts w:hint="eastAsia" w:ascii="宋体" w:hAnsi="宋体" w:eastAsia="宋体" w:cs="宋体"/>
                <w:color w:val="auto"/>
                <w:sz w:val="22"/>
                <w:szCs w:val="22"/>
                <w:highlight w:val="none"/>
                <w:lang w:val="en-US" w:eastAsia="zh-CN"/>
              </w:rPr>
              <w:t>方案</w:t>
            </w:r>
            <w:r>
              <w:rPr>
                <w:rFonts w:hint="eastAsia" w:ascii="宋体" w:hAnsi="宋体" w:eastAsia="宋体" w:cs="宋体"/>
                <w:i w:val="0"/>
                <w:iCs w:val="0"/>
                <w:color w:val="auto"/>
                <w:kern w:val="0"/>
                <w:sz w:val="22"/>
                <w:szCs w:val="22"/>
                <w:highlight w:val="none"/>
                <w:u w:val="none"/>
                <w:lang w:val="en-US" w:eastAsia="zh-CN" w:bidi="ar"/>
              </w:rPr>
              <w:t>（主观分）</w:t>
            </w:r>
          </w:p>
        </w:tc>
        <w:tc>
          <w:tcPr>
            <w:tcW w:w="524" w:type="pct"/>
            <w:noWrap w:val="0"/>
            <w:vAlign w:val="center"/>
          </w:tcPr>
          <w:p w14:paraId="56F874CD">
            <w:pPr>
              <w:pStyle w:val="28"/>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2分</w:t>
            </w:r>
          </w:p>
        </w:tc>
        <w:tc>
          <w:tcPr>
            <w:tcW w:w="3212" w:type="pct"/>
            <w:noWrap w:val="0"/>
            <w:vAlign w:val="center"/>
          </w:tcPr>
          <w:p w14:paraId="28F69A77">
            <w:pPr>
              <w:keepNext w:val="0"/>
              <w:keepLines w:val="0"/>
              <w:pageBreakBefore w:val="0"/>
              <w:widowControl w:val="0"/>
              <w:kinsoku/>
              <w:wordWrap/>
              <w:overflowPunct/>
              <w:topLinePunct w:val="0"/>
              <w:autoSpaceDE/>
              <w:autoSpaceDN/>
              <w:bidi w:val="0"/>
              <w:snapToGrid/>
              <w:spacing w:line="240" w:lineRule="auto"/>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0"/>
                <w:sz w:val="22"/>
                <w:szCs w:val="22"/>
                <w:highlight w:val="none"/>
                <w:lang w:eastAsia="zh-CN"/>
              </w:rPr>
              <w:t>根据供应商</w:t>
            </w:r>
            <w:r>
              <w:rPr>
                <w:rFonts w:hint="eastAsia" w:ascii="宋体" w:hAnsi="宋体" w:eastAsia="宋体" w:cs="宋体"/>
                <w:color w:val="auto"/>
                <w:kern w:val="0"/>
                <w:sz w:val="22"/>
                <w:szCs w:val="22"/>
                <w:highlight w:val="none"/>
              </w:rPr>
              <w:t>的人员保障方案</w:t>
            </w:r>
            <w:r>
              <w:rPr>
                <w:rFonts w:hint="eastAsia" w:ascii="宋体" w:hAnsi="宋体" w:eastAsia="宋体" w:cs="宋体"/>
                <w:i w:val="0"/>
                <w:iCs w:val="0"/>
                <w:color w:val="auto"/>
                <w:kern w:val="0"/>
                <w:sz w:val="22"/>
                <w:szCs w:val="22"/>
                <w:highlight w:val="none"/>
                <w:u w:val="none"/>
                <w:lang w:val="en-US" w:eastAsia="zh-CN" w:bidi="ar"/>
              </w:rPr>
              <w:t>的完整性、科学性</w:t>
            </w:r>
            <w:r>
              <w:rPr>
                <w:rFonts w:hint="eastAsia" w:ascii="宋体" w:hAnsi="宋体" w:eastAsia="宋体" w:cs="宋体"/>
                <w:color w:val="auto"/>
                <w:kern w:val="0"/>
                <w:sz w:val="22"/>
                <w:szCs w:val="22"/>
                <w:highlight w:val="none"/>
              </w:rPr>
              <w:t>进行评分</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sz w:val="22"/>
                <w:szCs w:val="22"/>
                <w:highlight w:val="none"/>
                <w:lang w:bidi="ar"/>
              </w:rPr>
              <w:t>（</w:t>
            </w:r>
            <w:r>
              <w:rPr>
                <w:rFonts w:hint="eastAsia" w:ascii="宋体" w:hAnsi="宋体" w:eastAsia="宋体" w:cs="宋体"/>
                <w:color w:val="auto"/>
                <w:sz w:val="22"/>
                <w:szCs w:val="22"/>
                <w:highlight w:val="none"/>
                <w:lang w:eastAsia="zh-CN" w:bidi="ar"/>
              </w:rPr>
              <w:t>0分，0.5分，1分，1.4分，1.8分，2分</w:t>
            </w:r>
            <w:r>
              <w:rPr>
                <w:rFonts w:hint="eastAsia" w:ascii="宋体" w:hAnsi="宋体" w:eastAsia="宋体" w:cs="宋体"/>
                <w:color w:val="auto"/>
                <w:sz w:val="22"/>
                <w:szCs w:val="22"/>
                <w:highlight w:val="none"/>
                <w:lang w:bidi="ar"/>
              </w:rPr>
              <w:t>）</w:t>
            </w:r>
          </w:p>
        </w:tc>
      </w:tr>
      <w:tr w14:paraId="248FA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440" w:type="pct"/>
            <w:noWrap w:val="0"/>
            <w:vAlign w:val="center"/>
          </w:tcPr>
          <w:p w14:paraId="0B7B5CD9">
            <w:pPr>
              <w:pStyle w:val="28"/>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sz w:val="22"/>
                <w:szCs w:val="22"/>
                <w:highlight w:val="none"/>
                <w:lang w:val="en-US" w:eastAsia="zh-CN"/>
              </w:rPr>
              <w:t>10</w:t>
            </w:r>
          </w:p>
        </w:tc>
        <w:tc>
          <w:tcPr>
            <w:tcW w:w="822" w:type="pct"/>
            <w:noWrap w:val="0"/>
            <w:vAlign w:val="center"/>
          </w:tcPr>
          <w:p w14:paraId="6D39DBD4">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突发事件应急措施</w:t>
            </w:r>
          </w:p>
          <w:p w14:paraId="5EF61E65">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（主观分）</w:t>
            </w:r>
          </w:p>
        </w:tc>
        <w:tc>
          <w:tcPr>
            <w:tcW w:w="524" w:type="pct"/>
            <w:noWrap w:val="0"/>
            <w:vAlign w:val="center"/>
          </w:tcPr>
          <w:p w14:paraId="1C2B0C9C">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4分</w:t>
            </w:r>
          </w:p>
        </w:tc>
        <w:tc>
          <w:tcPr>
            <w:tcW w:w="3212" w:type="pct"/>
            <w:noWrap w:val="0"/>
            <w:vAlign w:val="center"/>
          </w:tcPr>
          <w:p w14:paraId="1FF71F25">
            <w:pPr>
              <w:keepNext w:val="0"/>
              <w:keepLines w:val="0"/>
              <w:widowControl/>
              <w:numPr>
                <w:ilvl w:val="0"/>
                <w:numId w:val="8"/>
              </w:numPr>
              <w:suppressLineNumbers w:val="0"/>
              <w:jc w:val="both"/>
              <w:textAlignment w:val="center"/>
              <w:rPr>
                <w:rFonts w:hint="eastAsia" w:ascii="宋体" w:hAnsi="宋体" w:eastAsia="宋体" w:cs="宋体"/>
                <w:bCs/>
                <w:color w:val="auto"/>
                <w:kern w:val="1"/>
                <w:sz w:val="22"/>
                <w:szCs w:val="22"/>
                <w:highlight w:val="none"/>
              </w:rPr>
            </w:pPr>
            <w:r>
              <w:rPr>
                <w:rFonts w:hint="eastAsia" w:ascii="宋体" w:hAnsi="宋体" w:eastAsia="宋体" w:cs="宋体"/>
                <w:color w:val="auto"/>
                <w:sz w:val="22"/>
                <w:szCs w:val="22"/>
                <w:highlight w:val="none"/>
                <w:lang w:bidi="ar"/>
              </w:rPr>
              <w:t>根据</w:t>
            </w:r>
            <w:r>
              <w:rPr>
                <w:rFonts w:hint="eastAsia" w:ascii="宋体" w:hAnsi="宋体" w:eastAsia="宋体" w:cs="宋体"/>
                <w:color w:val="auto"/>
                <w:sz w:val="22"/>
                <w:szCs w:val="22"/>
                <w:highlight w:val="none"/>
                <w:lang w:val="en-US" w:eastAsia="zh-CN" w:bidi="ar"/>
              </w:rPr>
              <w:t>供应商</w:t>
            </w:r>
            <w:r>
              <w:rPr>
                <w:rFonts w:hint="eastAsia" w:ascii="宋体" w:hAnsi="宋体" w:eastAsia="宋体" w:cs="宋体"/>
                <w:color w:val="auto"/>
                <w:sz w:val="22"/>
                <w:szCs w:val="22"/>
                <w:highlight w:val="none"/>
                <w:lang w:bidi="ar"/>
              </w:rPr>
              <w:t>对实施过程中可能遇到的风险情况说明的完整性进行评分。（</w:t>
            </w:r>
            <w:r>
              <w:rPr>
                <w:rFonts w:hint="eastAsia" w:ascii="宋体" w:hAnsi="宋体" w:eastAsia="宋体" w:cs="宋体"/>
                <w:color w:val="auto"/>
                <w:sz w:val="22"/>
                <w:szCs w:val="22"/>
                <w:highlight w:val="none"/>
                <w:lang w:eastAsia="zh-CN" w:bidi="ar"/>
              </w:rPr>
              <w:t>0分，0.5分，1分，1.4分，1.8分，2分</w:t>
            </w:r>
            <w:r>
              <w:rPr>
                <w:rFonts w:hint="eastAsia" w:ascii="宋体" w:hAnsi="宋体" w:eastAsia="宋体" w:cs="宋体"/>
                <w:color w:val="auto"/>
                <w:sz w:val="22"/>
                <w:szCs w:val="22"/>
                <w:highlight w:val="none"/>
                <w:lang w:bidi="ar"/>
              </w:rPr>
              <w:t>）</w:t>
            </w:r>
          </w:p>
          <w:p w14:paraId="1719D8D3">
            <w:pPr>
              <w:keepNext w:val="0"/>
              <w:keepLines w:val="0"/>
              <w:pageBreakBefore w:val="0"/>
              <w:widowControl w:val="0"/>
              <w:kinsoku/>
              <w:wordWrap/>
              <w:overflowPunct/>
              <w:topLinePunct w:val="0"/>
              <w:autoSpaceDE/>
              <w:autoSpaceDN/>
              <w:bidi w:val="0"/>
              <w:snapToGrid/>
              <w:spacing w:line="240" w:lineRule="auto"/>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bidi="ar"/>
              </w:rPr>
              <w:t>2、</w:t>
            </w:r>
            <w:r>
              <w:rPr>
                <w:rFonts w:hint="eastAsia" w:ascii="宋体" w:hAnsi="宋体" w:eastAsia="宋体" w:cs="宋体"/>
                <w:color w:val="auto"/>
                <w:sz w:val="22"/>
                <w:szCs w:val="22"/>
                <w:highlight w:val="none"/>
                <w:lang w:bidi="ar"/>
              </w:rPr>
              <w:t>根据</w:t>
            </w:r>
            <w:r>
              <w:rPr>
                <w:rFonts w:hint="eastAsia" w:ascii="宋体" w:hAnsi="宋体" w:eastAsia="宋体" w:cs="宋体"/>
                <w:color w:val="auto"/>
                <w:sz w:val="22"/>
                <w:szCs w:val="22"/>
                <w:highlight w:val="none"/>
                <w:lang w:val="en-US" w:eastAsia="zh-CN" w:bidi="ar"/>
              </w:rPr>
              <w:t>供应商</w:t>
            </w:r>
            <w:r>
              <w:rPr>
                <w:rFonts w:hint="eastAsia" w:ascii="宋体" w:hAnsi="宋体" w:eastAsia="宋体" w:cs="宋体"/>
                <w:color w:val="auto"/>
                <w:sz w:val="22"/>
                <w:szCs w:val="22"/>
                <w:highlight w:val="none"/>
                <w:lang w:bidi="ar"/>
              </w:rPr>
              <w:t>提出的风险应对预案或措施的可行性进行评分。（</w:t>
            </w:r>
            <w:r>
              <w:rPr>
                <w:rFonts w:hint="eastAsia" w:ascii="宋体" w:hAnsi="宋体" w:eastAsia="宋体" w:cs="宋体"/>
                <w:color w:val="auto"/>
                <w:sz w:val="22"/>
                <w:szCs w:val="22"/>
                <w:highlight w:val="none"/>
                <w:lang w:eastAsia="zh-CN" w:bidi="ar"/>
              </w:rPr>
              <w:t>0分，0.5分，1分，1.4分，1.8分，2分</w:t>
            </w:r>
            <w:r>
              <w:rPr>
                <w:rFonts w:hint="eastAsia" w:ascii="宋体" w:hAnsi="宋体" w:eastAsia="宋体" w:cs="宋体"/>
                <w:color w:val="auto"/>
                <w:sz w:val="22"/>
                <w:szCs w:val="22"/>
                <w:highlight w:val="none"/>
                <w:lang w:bidi="ar"/>
              </w:rPr>
              <w:t>）</w:t>
            </w:r>
          </w:p>
        </w:tc>
      </w:tr>
      <w:tr w14:paraId="569CB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440" w:type="pct"/>
            <w:noWrap w:val="0"/>
            <w:vAlign w:val="center"/>
          </w:tcPr>
          <w:p w14:paraId="20D30304">
            <w:pPr>
              <w:pStyle w:val="28"/>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11</w:t>
            </w:r>
          </w:p>
        </w:tc>
        <w:tc>
          <w:tcPr>
            <w:tcW w:w="822" w:type="pct"/>
            <w:noWrap w:val="0"/>
            <w:vAlign w:val="center"/>
          </w:tcPr>
          <w:p w14:paraId="75125427">
            <w:pPr>
              <w:jc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售后服务</w:t>
            </w:r>
          </w:p>
          <w:p w14:paraId="35158F4F">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（主观分）</w:t>
            </w:r>
          </w:p>
        </w:tc>
        <w:tc>
          <w:tcPr>
            <w:tcW w:w="524" w:type="pct"/>
            <w:noWrap w:val="0"/>
            <w:vAlign w:val="center"/>
          </w:tcPr>
          <w:p w14:paraId="01D39FDB">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4分</w:t>
            </w:r>
          </w:p>
        </w:tc>
        <w:tc>
          <w:tcPr>
            <w:tcW w:w="3212" w:type="pct"/>
            <w:noWrap w:val="0"/>
            <w:vAlign w:val="center"/>
          </w:tcPr>
          <w:p w14:paraId="79750A6A">
            <w:pPr>
              <w:keepNext w:val="0"/>
              <w:keepLines w:val="0"/>
              <w:pageBreakBefore w:val="0"/>
              <w:widowControl/>
              <w:numPr>
                <w:ilvl w:val="0"/>
                <w:numId w:val="9"/>
              </w:numPr>
              <w:kinsoku/>
              <w:overflowPunct/>
              <w:topLinePunct w:val="0"/>
              <w:bidi w:val="0"/>
              <w:adjustRightInd/>
              <w:snapToGrid w:val="0"/>
              <w:textAlignment w:val="center"/>
              <w:rPr>
                <w:rFonts w:hint="eastAsia" w:ascii="宋体" w:hAnsi="宋体" w:eastAsia="宋体" w:cs="宋体"/>
                <w:color w:val="auto"/>
                <w:sz w:val="22"/>
                <w:szCs w:val="22"/>
                <w:highlight w:val="none"/>
                <w:lang w:eastAsia="zh-CN" w:bidi="ar"/>
              </w:rPr>
            </w:pPr>
            <w:r>
              <w:rPr>
                <w:rFonts w:hint="eastAsia" w:ascii="宋体" w:hAnsi="宋体" w:eastAsia="宋体" w:cs="宋体"/>
                <w:color w:val="auto"/>
                <w:sz w:val="22"/>
                <w:szCs w:val="22"/>
                <w:highlight w:val="none"/>
                <w:lang w:bidi="ar"/>
              </w:rPr>
              <w:t>根据</w:t>
            </w:r>
            <w:r>
              <w:rPr>
                <w:rFonts w:hint="eastAsia" w:ascii="宋体" w:hAnsi="宋体" w:eastAsia="宋体" w:cs="宋体"/>
                <w:color w:val="auto"/>
                <w:sz w:val="22"/>
                <w:szCs w:val="22"/>
                <w:highlight w:val="none"/>
                <w:lang w:eastAsia="zh-CN" w:bidi="ar"/>
              </w:rPr>
              <w:t>供应商</w:t>
            </w:r>
            <w:r>
              <w:rPr>
                <w:rFonts w:hint="eastAsia" w:ascii="宋体" w:hAnsi="宋体" w:eastAsia="宋体" w:cs="宋体"/>
                <w:color w:val="auto"/>
                <w:sz w:val="22"/>
                <w:szCs w:val="22"/>
                <w:highlight w:val="none"/>
                <w:lang w:bidi="ar"/>
              </w:rPr>
              <w:t>售后服务体系</w:t>
            </w:r>
            <w:r>
              <w:rPr>
                <w:rFonts w:hint="eastAsia" w:ascii="宋体" w:hAnsi="宋体" w:eastAsia="宋体" w:cs="宋体"/>
                <w:color w:val="auto"/>
                <w:sz w:val="22"/>
                <w:szCs w:val="22"/>
                <w:highlight w:val="none"/>
                <w:lang w:val="en-US" w:eastAsia="zh-CN" w:bidi="ar"/>
              </w:rPr>
              <w:t>的合理性进行评分。</w:t>
            </w:r>
            <w:r>
              <w:rPr>
                <w:rFonts w:hint="eastAsia" w:ascii="宋体" w:hAnsi="宋体" w:eastAsia="宋体" w:cs="宋体"/>
                <w:color w:val="auto"/>
                <w:sz w:val="22"/>
                <w:szCs w:val="22"/>
                <w:highlight w:val="none"/>
                <w:lang w:bidi="ar"/>
              </w:rPr>
              <w:t>（</w:t>
            </w:r>
            <w:r>
              <w:rPr>
                <w:rFonts w:hint="eastAsia" w:ascii="宋体" w:hAnsi="宋体" w:eastAsia="宋体" w:cs="宋体"/>
                <w:color w:val="auto"/>
                <w:sz w:val="22"/>
                <w:szCs w:val="22"/>
                <w:highlight w:val="none"/>
                <w:lang w:eastAsia="zh-CN" w:bidi="ar"/>
              </w:rPr>
              <w:t>0分，0.5分，1分，1.4分，1.8分，2分</w:t>
            </w:r>
            <w:r>
              <w:rPr>
                <w:rFonts w:hint="eastAsia" w:ascii="宋体" w:hAnsi="宋体" w:eastAsia="宋体" w:cs="宋体"/>
                <w:color w:val="auto"/>
                <w:sz w:val="22"/>
                <w:szCs w:val="22"/>
                <w:highlight w:val="none"/>
                <w:lang w:bidi="ar"/>
              </w:rPr>
              <w:t>）</w:t>
            </w:r>
          </w:p>
          <w:p w14:paraId="2DC72EF0">
            <w:pPr>
              <w:keepNext w:val="0"/>
              <w:keepLines w:val="0"/>
              <w:pageBreakBefore w:val="0"/>
              <w:widowControl w:val="0"/>
              <w:kinsoku/>
              <w:wordWrap/>
              <w:overflowPunct/>
              <w:topLinePunct w:val="0"/>
              <w:autoSpaceDE/>
              <w:autoSpaceDN/>
              <w:bidi w:val="0"/>
              <w:snapToGrid/>
              <w:spacing w:line="240"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bidi="ar"/>
              </w:rPr>
              <w:t>2、</w:t>
            </w:r>
            <w:r>
              <w:rPr>
                <w:rFonts w:hint="eastAsia" w:ascii="宋体" w:hAnsi="宋体" w:eastAsia="宋体" w:cs="宋体"/>
                <w:color w:val="auto"/>
                <w:sz w:val="22"/>
                <w:szCs w:val="22"/>
                <w:highlight w:val="none"/>
                <w:lang w:bidi="ar"/>
              </w:rPr>
              <w:t>根据</w:t>
            </w:r>
            <w:r>
              <w:rPr>
                <w:rFonts w:hint="eastAsia" w:ascii="宋体" w:hAnsi="宋体" w:eastAsia="宋体" w:cs="宋体"/>
                <w:color w:val="auto"/>
                <w:sz w:val="22"/>
                <w:szCs w:val="22"/>
                <w:highlight w:val="none"/>
                <w:lang w:eastAsia="zh-CN" w:bidi="ar"/>
              </w:rPr>
              <w:t>供应商</w:t>
            </w:r>
            <w:r>
              <w:rPr>
                <w:rFonts w:hint="eastAsia" w:ascii="宋体" w:hAnsi="宋体" w:eastAsia="宋体" w:cs="宋体"/>
                <w:color w:val="auto"/>
                <w:sz w:val="22"/>
                <w:szCs w:val="22"/>
                <w:highlight w:val="none"/>
                <w:lang w:bidi="ar"/>
              </w:rPr>
              <w:t>售后服务内容</w:t>
            </w:r>
            <w:r>
              <w:rPr>
                <w:rFonts w:hint="eastAsia" w:ascii="宋体" w:hAnsi="宋体" w:eastAsia="宋体" w:cs="宋体"/>
                <w:color w:val="auto"/>
                <w:sz w:val="22"/>
                <w:szCs w:val="22"/>
                <w:highlight w:val="none"/>
                <w:lang w:val="en-US" w:eastAsia="zh-CN" w:bidi="ar"/>
              </w:rPr>
              <w:t>与</w:t>
            </w:r>
            <w:r>
              <w:rPr>
                <w:rFonts w:hint="eastAsia" w:ascii="宋体" w:hAnsi="宋体" w:eastAsia="宋体" w:cs="宋体"/>
                <w:color w:val="auto"/>
                <w:sz w:val="22"/>
                <w:szCs w:val="22"/>
                <w:highlight w:val="none"/>
                <w:lang w:bidi="ar"/>
              </w:rPr>
              <w:t>服务质量承诺</w:t>
            </w:r>
            <w:r>
              <w:rPr>
                <w:rFonts w:hint="eastAsia" w:ascii="宋体" w:hAnsi="宋体" w:eastAsia="宋体" w:cs="宋体"/>
                <w:color w:val="auto"/>
                <w:sz w:val="22"/>
                <w:szCs w:val="22"/>
                <w:highlight w:val="none"/>
                <w:lang w:val="en-US" w:eastAsia="zh-CN" w:bidi="ar"/>
              </w:rPr>
              <w:t>的完整性</w:t>
            </w:r>
            <w:r>
              <w:rPr>
                <w:rFonts w:hint="eastAsia" w:ascii="宋体" w:hAnsi="宋体" w:eastAsia="宋体" w:cs="宋体"/>
                <w:color w:val="auto"/>
                <w:sz w:val="22"/>
                <w:szCs w:val="22"/>
                <w:highlight w:val="none"/>
                <w:lang w:bidi="ar"/>
              </w:rPr>
              <w:t>进行评分</w:t>
            </w:r>
            <w:r>
              <w:rPr>
                <w:rFonts w:hint="eastAsia" w:ascii="宋体" w:hAnsi="宋体" w:eastAsia="宋体" w:cs="宋体"/>
                <w:color w:val="auto"/>
                <w:sz w:val="22"/>
                <w:szCs w:val="22"/>
                <w:highlight w:val="none"/>
                <w:lang w:eastAsia="zh-CN" w:bidi="ar"/>
              </w:rPr>
              <w:t>。</w:t>
            </w:r>
            <w:r>
              <w:rPr>
                <w:rFonts w:hint="eastAsia" w:ascii="宋体" w:hAnsi="宋体" w:eastAsia="宋体" w:cs="宋体"/>
                <w:color w:val="auto"/>
                <w:sz w:val="22"/>
                <w:szCs w:val="22"/>
                <w:highlight w:val="none"/>
                <w:lang w:bidi="ar"/>
              </w:rPr>
              <w:t>（</w:t>
            </w:r>
            <w:r>
              <w:rPr>
                <w:rFonts w:hint="eastAsia" w:ascii="宋体" w:hAnsi="宋体" w:eastAsia="宋体" w:cs="宋体"/>
                <w:color w:val="auto"/>
                <w:sz w:val="22"/>
                <w:szCs w:val="22"/>
                <w:highlight w:val="none"/>
                <w:lang w:eastAsia="zh-CN" w:bidi="ar"/>
              </w:rPr>
              <w:t>0分，0.5分，1分，1.4分，1.8分，2分</w:t>
            </w:r>
            <w:r>
              <w:rPr>
                <w:rFonts w:hint="eastAsia" w:ascii="宋体" w:hAnsi="宋体" w:eastAsia="宋体" w:cs="宋体"/>
                <w:color w:val="auto"/>
                <w:sz w:val="22"/>
                <w:szCs w:val="22"/>
                <w:highlight w:val="none"/>
                <w:lang w:bidi="ar"/>
              </w:rPr>
              <w:t>）</w:t>
            </w:r>
          </w:p>
        </w:tc>
      </w:tr>
    </w:tbl>
    <w:p w14:paraId="1D6BEF07">
      <w:pPr>
        <w:pStyle w:val="28"/>
        <w:spacing w:line="340" w:lineRule="exact"/>
        <w:ind w:firstLine="420"/>
        <w:rPr>
          <w:rFonts w:ascii="Times New Roman" w:hAnsi="Times New Roman"/>
          <w:b/>
          <w:color w:val="auto"/>
          <w:sz w:val="22"/>
          <w:szCs w:val="22"/>
          <w:highlight w:val="none"/>
        </w:rPr>
      </w:pPr>
      <w:bookmarkStart w:id="87" w:name="_Toc34597457"/>
      <w:r>
        <w:rPr>
          <w:rFonts w:hint="eastAsia" w:ascii="Times New Roman" w:hAnsi="Times New Roman"/>
          <w:b/>
          <w:color w:val="auto"/>
          <w:sz w:val="22"/>
          <w:szCs w:val="22"/>
          <w:highlight w:val="none"/>
          <w:lang w:eastAsia="zh-CN"/>
        </w:rPr>
        <w:t>2.</w:t>
      </w:r>
      <w:r>
        <w:rPr>
          <w:rFonts w:hint="eastAsia" w:ascii="Times New Roman" w:hAnsi="Times New Roman"/>
          <w:b/>
          <w:color w:val="auto"/>
          <w:sz w:val="22"/>
          <w:szCs w:val="22"/>
          <w:highlight w:val="none"/>
        </w:rPr>
        <w:t>报价响应文件</w:t>
      </w:r>
      <w:r>
        <w:rPr>
          <w:rFonts w:ascii="Times New Roman" w:hAnsi="Times New Roman"/>
          <w:b/>
          <w:color w:val="auto"/>
          <w:sz w:val="22"/>
          <w:szCs w:val="22"/>
          <w:highlight w:val="none"/>
        </w:rPr>
        <w:t>评审</w:t>
      </w:r>
      <w:bookmarkEnd w:id="87"/>
    </w:p>
    <w:p w14:paraId="4D5E7ABD">
      <w:pPr>
        <w:pStyle w:val="28"/>
        <w:spacing w:line="336" w:lineRule="auto"/>
        <w:ind w:firstLine="422"/>
        <w:rPr>
          <w:rFonts w:ascii="Times New Roman" w:hAnsi="Times New Roman"/>
          <w:b/>
          <w:color w:val="auto"/>
          <w:sz w:val="22"/>
          <w:szCs w:val="22"/>
          <w:highlight w:val="none"/>
        </w:rPr>
      </w:pPr>
      <w:r>
        <w:rPr>
          <w:rFonts w:ascii="Times New Roman" w:hAnsi="Times New Roman"/>
          <w:b/>
          <w:color w:val="auto"/>
          <w:sz w:val="22"/>
          <w:szCs w:val="22"/>
          <w:highlight w:val="none"/>
        </w:rPr>
        <w:t>2.1 按以下步骤确定进入</w:t>
      </w:r>
      <w:r>
        <w:rPr>
          <w:rFonts w:hint="eastAsia" w:ascii="Times New Roman" w:hAnsi="Times New Roman"/>
          <w:b/>
          <w:color w:val="auto"/>
          <w:sz w:val="22"/>
          <w:szCs w:val="22"/>
          <w:highlight w:val="none"/>
        </w:rPr>
        <w:t>报价分</w:t>
      </w:r>
      <w:r>
        <w:rPr>
          <w:rFonts w:ascii="Times New Roman" w:hAnsi="Times New Roman"/>
          <w:b/>
          <w:color w:val="auto"/>
          <w:sz w:val="22"/>
          <w:szCs w:val="22"/>
          <w:highlight w:val="none"/>
        </w:rPr>
        <w:t>计算的范围：</w:t>
      </w:r>
    </w:p>
    <w:p w14:paraId="342908A5">
      <w:pPr>
        <w:spacing w:line="336" w:lineRule="auto"/>
        <w:ind w:firstLine="422"/>
        <w:rPr>
          <w:b/>
          <w:color w:val="auto"/>
          <w:kern w:val="1"/>
          <w:sz w:val="22"/>
          <w:szCs w:val="22"/>
          <w:highlight w:val="none"/>
        </w:rPr>
      </w:pPr>
      <w:r>
        <w:rPr>
          <w:b/>
          <w:color w:val="auto"/>
          <w:kern w:val="1"/>
          <w:sz w:val="22"/>
          <w:szCs w:val="22"/>
          <w:highlight w:val="none"/>
        </w:rPr>
        <w:t>（1）甄别异常报价：有下列情况之一的投标报价不进入</w:t>
      </w:r>
      <w:r>
        <w:rPr>
          <w:rFonts w:hint="eastAsia"/>
          <w:b/>
          <w:color w:val="auto"/>
          <w:kern w:val="1"/>
          <w:sz w:val="22"/>
          <w:szCs w:val="22"/>
          <w:highlight w:val="none"/>
        </w:rPr>
        <w:t>报价</w:t>
      </w:r>
      <w:r>
        <w:rPr>
          <w:b/>
          <w:color w:val="auto"/>
          <w:kern w:val="1"/>
          <w:sz w:val="22"/>
          <w:szCs w:val="22"/>
          <w:highlight w:val="none"/>
        </w:rPr>
        <w:t>分计算环节：</w:t>
      </w:r>
    </w:p>
    <w:p w14:paraId="3724CD37">
      <w:pPr>
        <w:spacing w:line="336" w:lineRule="auto"/>
        <w:ind w:firstLine="420"/>
        <w:rPr>
          <w:color w:val="auto"/>
          <w:kern w:val="1"/>
          <w:sz w:val="22"/>
          <w:szCs w:val="22"/>
          <w:highlight w:val="none"/>
        </w:rPr>
      </w:pPr>
      <w:r>
        <w:rPr>
          <w:color w:val="auto"/>
          <w:kern w:val="1"/>
          <w:sz w:val="22"/>
          <w:szCs w:val="22"/>
          <w:highlight w:val="none"/>
        </w:rPr>
        <w:t>①</w:t>
      </w:r>
      <w:r>
        <w:rPr>
          <w:rFonts w:hint="eastAsia"/>
          <w:color w:val="auto"/>
          <w:kern w:val="1"/>
          <w:sz w:val="22"/>
          <w:szCs w:val="22"/>
          <w:highlight w:val="none"/>
        </w:rPr>
        <w:t>资格响应、商务技术响应无效单位的投标报价</w:t>
      </w:r>
      <w:r>
        <w:rPr>
          <w:color w:val="auto"/>
          <w:kern w:val="1"/>
          <w:sz w:val="22"/>
          <w:szCs w:val="22"/>
          <w:highlight w:val="none"/>
        </w:rPr>
        <w:t>；</w:t>
      </w:r>
    </w:p>
    <w:p w14:paraId="522B8DCE">
      <w:pPr>
        <w:spacing w:line="336" w:lineRule="auto"/>
        <w:ind w:firstLine="420"/>
        <w:rPr>
          <w:color w:val="auto"/>
          <w:kern w:val="1"/>
          <w:sz w:val="22"/>
          <w:szCs w:val="22"/>
          <w:highlight w:val="none"/>
        </w:rPr>
      </w:pPr>
      <w:r>
        <w:rPr>
          <w:color w:val="auto"/>
          <w:kern w:val="1"/>
          <w:sz w:val="22"/>
          <w:szCs w:val="22"/>
          <w:highlight w:val="none"/>
        </w:rPr>
        <w:t>②报价高于最高限价；</w:t>
      </w:r>
    </w:p>
    <w:p w14:paraId="713C8E74">
      <w:pPr>
        <w:spacing w:line="336" w:lineRule="auto"/>
        <w:ind w:firstLine="420"/>
        <w:rPr>
          <w:color w:val="auto"/>
          <w:kern w:val="1"/>
          <w:sz w:val="22"/>
          <w:szCs w:val="22"/>
          <w:highlight w:val="none"/>
        </w:rPr>
      </w:pPr>
      <w:r>
        <w:rPr>
          <w:color w:val="auto"/>
          <w:kern w:val="1"/>
          <w:sz w:val="22"/>
          <w:szCs w:val="22"/>
          <w:highlight w:val="none"/>
        </w:rPr>
        <w:t>③分析总报价及各个分项报价是否合理、报价范围是否完整、有否重大错漏项、是否超过最高限价。如评标委员会一致认为最低投标报价或某些分项明显不合理，有降低质量、不能诚信履约的可能时，评标委员会有权通知投标方限期进行解释。如投标方未在规定期限内</w:t>
      </w:r>
      <w:r>
        <w:rPr>
          <w:rFonts w:hint="eastAsia"/>
          <w:color w:val="auto"/>
          <w:kern w:val="1"/>
          <w:sz w:val="22"/>
          <w:szCs w:val="22"/>
          <w:highlight w:val="none"/>
          <w:lang w:eastAsia="zh-CN"/>
        </w:rPr>
        <w:t>作出解释</w:t>
      </w:r>
      <w:r>
        <w:rPr>
          <w:color w:val="auto"/>
          <w:kern w:val="1"/>
          <w:sz w:val="22"/>
          <w:szCs w:val="22"/>
          <w:highlight w:val="none"/>
        </w:rPr>
        <w:t>，或所作解释不合理，经评标委员会取得一致意见后，可列为异常报价，确定该投标为无效标。</w:t>
      </w:r>
    </w:p>
    <w:p w14:paraId="31D20242">
      <w:pPr>
        <w:spacing w:line="336" w:lineRule="auto"/>
        <w:ind w:firstLine="422"/>
        <w:rPr>
          <w:b/>
          <w:color w:val="auto"/>
          <w:kern w:val="1"/>
          <w:sz w:val="22"/>
          <w:szCs w:val="22"/>
          <w:highlight w:val="none"/>
        </w:rPr>
      </w:pPr>
      <w:r>
        <w:rPr>
          <w:b/>
          <w:color w:val="auto"/>
          <w:kern w:val="1"/>
          <w:sz w:val="22"/>
          <w:szCs w:val="22"/>
          <w:highlight w:val="none"/>
        </w:rPr>
        <w:t>2.2</w:t>
      </w:r>
      <w:r>
        <w:rPr>
          <w:rFonts w:hint="eastAsia"/>
          <w:b/>
          <w:color w:val="auto"/>
          <w:kern w:val="1"/>
          <w:sz w:val="22"/>
          <w:szCs w:val="22"/>
          <w:highlight w:val="none"/>
        </w:rPr>
        <w:t>报价响应文件</w:t>
      </w:r>
      <w:r>
        <w:rPr>
          <w:b/>
          <w:color w:val="auto"/>
          <w:kern w:val="1"/>
          <w:sz w:val="22"/>
          <w:szCs w:val="22"/>
          <w:highlight w:val="none"/>
        </w:rPr>
        <w:t>详细评审（</w:t>
      </w:r>
      <w:r>
        <w:rPr>
          <w:rFonts w:hint="eastAsia"/>
          <w:b/>
          <w:color w:val="auto"/>
          <w:kern w:val="1"/>
          <w:sz w:val="22"/>
          <w:szCs w:val="22"/>
          <w:highlight w:val="none"/>
          <w:u w:val="single"/>
          <w:lang w:val="en-US" w:eastAsia="zh-CN"/>
        </w:rPr>
        <w:t>30</w:t>
      </w:r>
      <w:r>
        <w:rPr>
          <w:b/>
          <w:color w:val="auto"/>
          <w:kern w:val="1"/>
          <w:sz w:val="22"/>
          <w:szCs w:val="22"/>
          <w:highlight w:val="none"/>
        </w:rPr>
        <w:t>分）</w:t>
      </w:r>
    </w:p>
    <w:p w14:paraId="27F64554">
      <w:pPr>
        <w:spacing w:line="336" w:lineRule="auto"/>
        <w:ind w:firstLine="420"/>
        <w:rPr>
          <w:color w:val="auto"/>
          <w:kern w:val="1"/>
          <w:sz w:val="22"/>
          <w:szCs w:val="22"/>
          <w:highlight w:val="none"/>
        </w:rPr>
      </w:pPr>
      <w:r>
        <w:rPr>
          <w:color w:val="auto"/>
          <w:kern w:val="1"/>
          <w:sz w:val="22"/>
          <w:szCs w:val="22"/>
          <w:highlight w:val="none"/>
        </w:rPr>
        <w:t>（1）评标基准价以满足招标文件要求且投标价格最低的投标报价为评标基准价，其报价分为</w:t>
      </w:r>
      <w:r>
        <w:rPr>
          <w:rFonts w:hint="eastAsia"/>
          <w:color w:val="auto"/>
          <w:kern w:val="1"/>
          <w:sz w:val="22"/>
          <w:szCs w:val="22"/>
          <w:highlight w:val="none"/>
          <w:lang w:val="en-US" w:eastAsia="zh-CN"/>
        </w:rPr>
        <w:t>30</w:t>
      </w:r>
      <w:r>
        <w:rPr>
          <w:color w:val="auto"/>
          <w:kern w:val="1"/>
          <w:sz w:val="22"/>
          <w:szCs w:val="22"/>
          <w:highlight w:val="none"/>
        </w:rPr>
        <w:t>分。</w:t>
      </w:r>
    </w:p>
    <w:p w14:paraId="2A88A13F">
      <w:pPr>
        <w:spacing w:line="336" w:lineRule="auto"/>
        <w:ind w:firstLine="420"/>
        <w:rPr>
          <w:color w:val="auto"/>
          <w:kern w:val="1"/>
          <w:sz w:val="22"/>
          <w:szCs w:val="22"/>
          <w:highlight w:val="none"/>
        </w:rPr>
      </w:pPr>
      <w:r>
        <w:rPr>
          <w:color w:val="auto"/>
          <w:kern w:val="1"/>
          <w:sz w:val="22"/>
          <w:szCs w:val="22"/>
          <w:highlight w:val="none"/>
        </w:rPr>
        <w:t>（2）</w:t>
      </w:r>
      <w:r>
        <w:rPr>
          <w:rFonts w:hint="eastAsia"/>
          <w:color w:val="auto"/>
          <w:kern w:val="1"/>
          <w:sz w:val="22"/>
          <w:szCs w:val="22"/>
          <w:highlight w:val="none"/>
        </w:rPr>
        <w:t>报价</w:t>
      </w:r>
      <w:r>
        <w:rPr>
          <w:color w:val="auto"/>
          <w:kern w:val="1"/>
          <w:sz w:val="22"/>
          <w:szCs w:val="22"/>
          <w:highlight w:val="none"/>
        </w:rPr>
        <w:t>得分计算。</w:t>
      </w:r>
    </w:p>
    <w:p w14:paraId="0BE7E301">
      <w:pPr>
        <w:spacing w:line="336" w:lineRule="auto"/>
        <w:ind w:firstLine="420"/>
        <w:rPr>
          <w:color w:val="auto"/>
          <w:kern w:val="1"/>
          <w:sz w:val="22"/>
          <w:szCs w:val="22"/>
          <w:highlight w:val="none"/>
        </w:rPr>
      </w:pPr>
      <w:r>
        <w:rPr>
          <w:rFonts w:hint="eastAsia"/>
          <w:color w:val="auto"/>
          <w:kern w:val="1"/>
          <w:sz w:val="22"/>
          <w:szCs w:val="22"/>
          <w:highlight w:val="none"/>
        </w:rPr>
        <w:t>报价</w:t>
      </w:r>
      <w:r>
        <w:rPr>
          <w:color w:val="auto"/>
          <w:kern w:val="1"/>
          <w:sz w:val="22"/>
          <w:szCs w:val="22"/>
          <w:highlight w:val="none"/>
        </w:rPr>
        <w:t>得分=（评标基准价/投标报价）×</w:t>
      </w:r>
      <w:r>
        <w:rPr>
          <w:rFonts w:hint="eastAsia"/>
          <w:color w:val="auto"/>
          <w:kern w:val="1"/>
          <w:sz w:val="22"/>
          <w:szCs w:val="22"/>
          <w:highlight w:val="none"/>
          <w:lang w:val="en-US" w:eastAsia="zh-CN"/>
        </w:rPr>
        <w:t>30</w:t>
      </w:r>
      <w:r>
        <w:rPr>
          <w:color w:val="auto"/>
          <w:kern w:val="1"/>
          <w:sz w:val="22"/>
          <w:szCs w:val="22"/>
          <w:highlight w:val="none"/>
        </w:rPr>
        <w:t>%×100，保留小数2位（四舍五入）。</w:t>
      </w:r>
    </w:p>
    <w:p w14:paraId="0E2220AB">
      <w:pPr>
        <w:spacing w:line="336" w:lineRule="auto"/>
        <w:ind w:firstLine="420"/>
        <w:rPr>
          <w:b/>
          <w:bCs/>
          <w:color w:val="auto"/>
          <w:kern w:val="1"/>
          <w:sz w:val="22"/>
          <w:szCs w:val="22"/>
          <w:highlight w:val="none"/>
        </w:rPr>
      </w:pPr>
      <w:r>
        <w:rPr>
          <w:b/>
          <w:bCs/>
          <w:color w:val="auto"/>
          <w:kern w:val="1"/>
          <w:sz w:val="22"/>
          <w:szCs w:val="22"/>
          <w:highlight w:val="none"/>
        </w:rPr>
        <w:t>①对于小型和微型企业的</w:t>
      </w:r>
      <w:r>
        <w:rPr>
          <w:rFonts w:hint="eastAsia"/>
          <w:b/>
          <w:bCs/>
          <w:color w:val="auto"/>
          <w:kern w:val="1"/>
          <w:sz w:val="22"/>
          <w:szCs w:val="22"/>
          <w:highlight w:val="none"/>
        </w:rPr>
        <w:t>有关政策按投标须知前附表规定执行。</w:t>
      </w:r>
      <w:r>
        <w:rPr>
          <w:b/>
          <w:bCs/>
          <w:color w:val="auto"/>
          <w:kern w:val="1"/>
          <w:sz w:val="22"/>
          <w:szCs w:val="22"/>
          <w:highlight w:val="none"/>
        </w:rPr>
        <w:t>用扣除后的价格参与评审，此项由评标委员会集体核实后统一打分。</w:t>
      </w:r>
    </w:p>
    <w:p w14:paraId="101D9808">
      <w:pPr>
        <w:spacing w:line="336" w:lineRule="auto"/>
        <w:ind w:firstLine="420"/>
        <w:rPr>
          <w:color w:val="auto"/>
          <w:kern w:val="1"/>
          <w:sz w:val="22"/>
          <w:szCs w:val="22"/>
          <w:highlight w:val="none"/>
        </w:rPr>
      </w:pPr>
      <w:r>
        <w:rPr>
          <w:b/>
          <w:bCs/>
          <w:color w:val="auto"/>
          <w:kern w:val="1"/>
          <w:sz w:val="22"/>
          <w:szCs w:val="22"/>
          <w:highlight w:val="none"/>
        </w:rPr>
        <w:t>②投标文件中须提供投标人的小微企业声明函，未按要求出具声明函的，投标报价不予扣减。</w:t>
      </w:r>
    </w:p>
    <w:p w14:paraId="72D417BF">
      <w:pPr>
        <w:pStyle w:val="2"/>
        <w:ind w:left="0" w:leftChars="0" w:firstLine="442" w:firstLineChars="200"/>
        <w:rPr>
          <w:b/>
          <w:color w:val="auto"/>
          <w:sz w:val="22"/>
          <w:szCs w:val="22"/>
          <w:highlight w:val="none"/>
        </w:rPr>
      </w:pPr>
      <w:bookmarkStart w:id="88" w:name="_Toc34597458"/>
      <w:r>
        <w:rPr>
          <w:rFonts w:hint="eastAsia"/>
          <w:b/>
          <w:color w:val="auto"/>
          <w:sz w:val="22"/>
          <w:szCs w:val="22"/>
          <w:highlight w:val="none"/>
          <w:lang w:eastAsia="zh-CN"/>
        </w:rPr>
        <w:t>3.</w:t>
      </w:r>
      <w:r>
        <w:rPr>
          <w:b/>
          <w:color w:val="auto"/>
          <w:sz w:val="22"/>
          <w:szCs w:val="22"/>
          <w:highlight w:val="none"/>
        </w:rPr>
        <w:t>计算总分（满分为100分）</w:t>
      </w:r>
      <w:bookmarkEnd w:id="88"/>
    </w:p>
    <w:p w14:paraId="04B983EF">
      <w:pPr>
        <w:spacing w:line="336" w:lineRule="auto"/>
        <w:ind w:firstLine="420"/>
        <w:rPr>
          <w:color w:val="auto"/>
          <w:sz w:val="22"/>
          <w:szCs w:val="22"/>
          <w:highlight w:val="none"/>
        </w:rPr>
      </w:pPr>
      <w:r>
        <w:rPr>
          <w:color w:val="auto"/>
          <w:sz w:val="22"/>
          <w:szCs w:val="22"/>
          <w:highlight w:val="none"/>
        </w:rPr>
        <w:t xml:space="preserve">计算方法：投标人总得分 = </w:t>
      </w:r>
      <w:r>
        <w:rPr>
          <w:rFonts w:hint="eastAsia"/>
          <w:color w:val="auto"/>
          <w:sz w:val="22"/>
          <w:szCs w:val="22"/>
          <w:highlight w:val="none"/>
        </w:rPr>
        <w:t>商务</w:t>
      </w:r>
      <w:r>
        <w:rPr>
          <w:color w:val="auto"/>
          <w:sz w:val="22"/>
          <w:szCs w:val="22"/>
          <w:highlight w:val="none"/>
        </w:rPr>
        <w:t>技术分+</w:t>
      </w:r>
      <w:r>
        <w:rPr>
          <w:rFonts w:hint="eastAsia"/>
          <w:color w:val="auto"/>
          <w:sz w:val="22"/>
          <w:szCs w:val="22"/>
          <w:highlight w:val="none"/>
        </w:rPr>
        <w:t>报价</w:t>
      </w:r>
      <w:r>
        <w:rPr>
          <w:color w:val="auto"/>
          <w:sz w:val="22"/>
          <w:szCs w:val="22"/>
          <w:highlight w:val="none"/>
        </w:rPr>
        <w:t>分</w:t>
      </w:r>
    </w:p>
    <w:p w14:paraId="1FDE9B0D">
      <w:pPr>
        <w:pStyle w:val="28"/>
        <w:spacing w:line="336" w:lineRule="auto"/>
        <w:ind w:firstLine="420"/>
        <w:rPr>
          <w:rFonts w:ascii="Times New Roman" w:hAnsi="Times New Roman"/>
          <w:b/>
          <w:color w:val="auto"/>
          <w:sz w:val="22"/>
          <w:szCs w:val="22"/>
          <w:highlight w:val="none"/>
        </w:rPr>
      </w:pPr>
      <w:bookmarkStart w:id="89" w:name="_Toc34597459"/>
      <w:r>
        <w:rPr>
          <w:rFonts w:hint="eastAsia" w:ascii="Times New Roman" w:hAnsi="Times New Roman"/>
          <w:b/>
          <w:color w:val="auto"/>
          <w:sz w:val="22"/>
          <w:szCs w:val="22"/>
          <w:highlight w:val="none"/>
          <w:lang w:eastAsia="zh-CN"/>
        </w:rPr>
        <w:t>4.</w:t>
      </w:r>
      <w:r>
        <w:rPr>
          <w:rFonts w:ascii="Times New Roman" w:hAnsi="Times New Roman"/>
          <w:b/>
          <w:color w:val="auto"/>
          <w:sz w:val="22"/>
          <w:szCs w:val="22"/>
          <w:highlight w:val="none"/>
        </w:rPr>
        <w:t>推荐中标候选人，完成评标报告</w:t>
      </w:r>
      <w:bookmarkEnd w:id="89"/>
    </w:p>
    <w:p w14:paraId="54944067">
      <w:pPr>
        <w:spacing w:line="336" w:lineRule="auto"/>
        <w:ind w:firstLine="420"/>
        <w:rPr>
          <w:color w:val="auto"/>
          <w:kern w:val="1"/>
          <w:sz w:val="22"/>
          <w:szCs w:val="22"/>
          <w:highlight w:val="none"/>
        </w:rPr>
      </w:pPr>
      <w:r>
        <w:rPr>
          <w:color w:val="auto"/>
          <w:kern w:val="1"/>
          <w:sz w:val="22"/>
          <w:szCs w:val="22"/>
          <w:highlight w:val="none"/>
        </w:rPr>
        <w:t>（1）推荐中标候选人</w:t>
      </w:r>
    </w:p>
    <w:p w14:paraId="478781F4">
      <w:pPr>
        <w:spacing w:line="336" w:lineRule="auto"/>
        <w:ind w:firstLine="420"/>
        <w:rPr>
          <w:color w:val="auto"/>
          <w:kern w:val="1"/>
          <w:sz w:val="22"/>
          <w:szCs w:val="22"/>
          <w:highlight w:val="none"/>
        </w:rPr>
      </w:pPr>
      <w:r>
        <w:rPr>
          <w:color w:val="auto"/>
          <w:kern w:val="1"/>
          <w:sz w:val="22"/>
          <w:szCs w:val="22"/>
          <w:highlight w:val="none"/>
        </w:rPr>
        <w:t>评标委员会完成评标后，按总得分由高到低排定顺序（得分相同的，按投标报价由低到高顺序排列；得分且投标报价相同的，按技术分由高到低顺序排列，技术分也相同的，由采购人代表随机抽取决定排序），评标委员会根据以上排序直接确定第一名的投标人为中标人。</w:t>
      </w:r>
    </w:p>
    <w:p w14:paraId="29A417DD">
      <w:pPr>
        <w:spacing w:line="336" w:lineRule="auto"/>
        <w:ind w:firstLine="420"/>
        <w:rPr>
          <w:color w:val="auto"/>
          <w:kern w:val="1"/>
          <w:sz w:val="22"/>
          <w:szCs w:val="22"/>
          <w:highlight w:val="none"/>
        </w:rPr>
      </w:pPr>
      <w:r>
        <w:rPr>
          <w:color w:val="auto"/>
          <w:kern w:val="1"/>
          <w:sz w:val="22"/>
          <w:szCs w:val="22"/>
          <w:highlight w:val="none"/>
        </w:rPr>
        <w:t>当确定的中标人放弃中标，因不可抗力提出不能履行合同，重新组织招标。</w:t>
      </w:r>
    </w:p>
    <w:p w14:paraId="3E5E421E">
      <w:pPr>
        <w:spacing w:line="336" w:lineRule="auto"/>
        <w:ind w:firstLine="420"/>
        <w:rPr>
          <w:color w:val="auto"/>
          <w:kern w:val="1"/>
          <w:sz w:val="22"/>
          <w:szCs w:val="22"/>
          <w:highlight w:val="none"/>
        </w:rPr>
      </w:pPr>
      <w:r>
        <w:rPr>
          <w:color w:val="auto"/>
          <w:kern w:val="1"/>
          <w:sz w:val="22"/>
          <w:szCs w:val="22"/>
          <w:highlight w:val="none"/>
        </w:rPr>
        <w:t>（2）完成评标报告</w:t>
      </w:r>
    </w:p>
    <w:p w14:paraId="7FD1D0D6">
      <w:pPr>
        <w:spacing w:line="336" w:lineRule="auto"/>
        <w:ind w:firstLine="420"/>
        <w:rPr>
          <w:color w:val="auto"/>
          <w:kern w:val="1"/>
          <w:sz w:val="22"/>
          <w:szCs w:val="22"/>
          <w:highlight w:val="none"/>
        </w:rPr>
      </w:pPr>
      <w:r>
        <w:rPr>
          <w:color w:val="auto"/>
          <w:kern w:val="1"/>
          <w:sz w:val="22"/>
          <w:szCs w:val="22"/>
          <w:highlight w:val="none"/>
        </w:rPr>
        <w:t>评标委员会向采购人提出评标报告，内容包括评标过程、投标人的优劣对比分析、中标候选人推荐情况、基本结论、存在的问题和评标专家的不同意见。评标报告应经评标委员会所有专家签字，在评标结束时当场提交给采购人。</w:t>
      </w:r>
    </w:p>
    <w:p w14:paraId="760931A2">
      <w:pPr>
        <w:spacing w:line="336" w:lineRule="auto"/>
        <w:ind w:firstLine="420"/>
        <w:rPr>
          <w:color w:val="auto"/>
          <w:kern w:val="1"/>
          <w:highlight w:val="none"/>
        </w:rPr>
      </w:pPr>
      <w:r>
        <w:rPr>
          <w:color w:val="auto"/>
          <w:kern w:val="1"/>
          <w:sz w:val="22"/>
          <w:szCs w:val="22"/>
          <w:highlight w:val="none"/>
        </w:rPr>
        <w:br w:type="page"/>
      </w:r>
    </w:p>
    <w:p w14:paraId="42B23E75">
      <w:pPr>
        <w:pStyle w:val="5"/>
        <w:spacing w:before="0" w:after="0" w:line="240" w:lineRule="auto"/>
        <w:jc w:val="center"/>
        <w:rPr>
          <w:color w:val="auto"/>
          <w:sz w:val="36"/>
          <w:highlight w:val="none"/>
        </w:rPr>
      </w:pPr>
      <w:bookmarkStart w:id="90" w:name="_Toc31872"/>
      <w:r>
        <w:rPr>
          <w:color w:val="auto"/>
          <w:sz w:val="32"/>
          <w:highlight w:val="none"/>
        </w:rPr>
        <w:t>第七章  合同主要条款</w:t>
      </w:r>
      <w:bookmarkEnd w:id="90"/>
    </w:p>
    <w:p w14:paraId="4A4C2A86">
      <w:pPr>
        <w:keepNext/>
        <w:keepLines/>
        <w:spacing w:before="120" w:after="120"/>
        <w:jc w:val="center"/>
        <w:outlineLvl w:val="0"/>
        <w:rPr>
          <w:b/>
          <w:color w:val="auto"/>
          <w:sz w:val="36"/>
          <w:highlight w:val="none"/>
        </w:rPr>
      </w:pPr>
      <w:bookmarkStart w:id="91" w:name="_Toc270168500"/>
      <w:bookmarkEnd w:id="91"/>
      <w:r>
        <w:rPr>
          <w:b/>
          <w:color w:val="auto"/>
          <w:sz w:val="28"/>
          <w:highlight w:val="none"/>
        </w:rPr>
        <w:t>义乌市政府采购合同（样本）</w:t>
      </w:r>
    </w:p>
    <w:p w14:paraId="7196E414">
      <w:pPr>
        <w:spacing w:line="360" w:lineRule="auto"/>
        <w:ind w:firstLine="480"/>
        <w:rPr>
          <w:rFonts w:hint="eastAsia" w:ascii="Verdana" w:hAnsi="Verdana" w:eastAsia="宋体" w:cs="Arial"/>
          <w:color w:val="auto"/>
          <w:sz w:val="22"/>
          <w:szCs w:val="22"/>
          <w:highlight w:val="none"/>
          <w:lang w:eastAsia="zh-CN"/>
        </w:rPr>
      </w:pPr>
      <w:r>
        <w:rPr>
          <w:rFonts w:hint="eastAsia" w:ascii="Verdana" w:hAnsi="Verdana" w:cs="Arial"/>
          <w:color w:val="auto"/>
          <w:sz w:val="22"/>
          <w:szCs w:val="22"/>
          <w:highlight w:val="none"/>
        </w:rPr>
        <w:t>甲方</w:t>
      </w:r>
      <w:r>
        <w:rPr>
          <w:rFonts w:ascii="Verdana" w:hAnsi="Verdana" w:cs="Arial"/>
          <w:color w:val="auto"/>
          <w:sz w:val="22"/>
          <w:szCs w:val="22"/>
          <w:highlight w:val="none"/>
        </w:rPr>
        <w:t>：</w:t>
      </w:r>
      <w:r>
        <w:rPr>
          <w:rFonts w:hint="eastAsia" w:ascii="Verdana" w:hAnsi="Verdana" w:cs="Arial"/>
          <w:color w:val="auto"/>
          <w:sz w:val="22"/>
          <w:szCs w:val="22"/>
          <w:highlight w:val="none"/>
          <w:u w:val="single"/>
          <w:lang w:eastAsia="zh-CN"/>
        </w:rPr>
        <w:t>义乌市社会治理中心</w:t>
      </w:r>
    </w:p>
    <w:p w14:paraId="0B8E9A31">
      <w:pPr>
        <w:spacing w:line="360" w:lineRule="auto"/>
        <w:ind w:firstLine="480"/>
        <w:rPr>
          <w:rFonts w:hint="default" w:ascii="Verdana" w:hAnsi="Verdana" w:eastAsia="宋体"/>
          <w:color w:val="auto"/>
          <w:sz w:val="22"/>
          <w:szCs w:val="22"/>
          <w:highlight w:val="none"/>
          <w:lang w:val="en-US" w:eastAsia="zh-CN"/>
        </w:rPr>
      </w:pPr>
      <w:r>
        <w:rPr>
          <w:rFonts w:hint="eastAsia" w:ascii="Verdana" w:hAnsi="Verdana" w:cs="Arial"/>
          <w:color w:val="auto"/>
          <w:sz w:val="22"/>
          <w:szCs w:val="22"/>
          <w:highlight w:val="none"/>
        </w:rPr>
        <w:t>乙方</w:t>
      </w:r>
      <w:r>
        <w:rPr>
          <w:rFonts w:ascii="Verdana" w:hAnsi="Verdana" w:cs="Arial"/>
          <w:color w:val="auto"/>
          <w:sz w:val="22"/>
          <w:szCs w:val="22"/>
          <w:highlight w:val="none"/>
        </w:rPr>
        <w:t>：</w:t>
      </w:r>
      <w:r>
        <w:rPr>
          <w:rFonts w:hint="eastAsia" w:ascii="Verdana" w:hAnsi="Verdana" w:cs="Arial"/>
          <w:color w:val="auto"/>
          <w:sz w:val="22"/>
          <w:szCs w:val="22"/>
          <w:highlight w:val="none"/>
          <w:u w:val="single"/>
          <w:lang w:val="en-US" w:eastAsia="zh-CN"/>
        </w:rPr>
        <w:t xml:space="preserve">                            </w:t>
      </w:r>
    </w:p>
    <w:p w14:paraId="61C5300D">
      <w:pPr>
        <w:keepNext w:val="0"/>
        <w:keepLines w:val="0"/>
        <w:pageBreakBefore w:val="0"/>
        <w:widowControl/>
        <w:numPr>
          <w:ilvl w:val="0"/>
          <w:numId w:val="10"/>
        </w:numPr>
        <w:kinsoku/>
        <w:wordWrap/>
        <w:overflowPunct/>
        <w:topLinePunct w:val="0"/>
        <w:autoSpaceDE/>
        <w:autoSpaceDN/>
        <w:bidi w:val="0"/>
        <w:adjustRightInd/>
        <w:spacing w:line="360" w:lineRule="auto"/>
        <w:ind w:firstLine="42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乙双方根据</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年____月____日浙江省义乌市政府采购</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项目</w:t>
      </w:r>
      <w:r>
        <w:rPr>
          <w:rFonts w:hint="eastAsia" w:ascii="宋体" w:hAnsi="宋体" w:eastAsia="宋体" w:cs="宋体"/>
          <w:color w:val="auto"/>
          <w:sz w:val="22"/>
          <w:szCs w:val="22"/>
          <w:highlight w:val="none"/>
          <w:lang w:val="en-US" w:eastAsia="zh-CN"/>
        </w:rPr>
        <w:t>中标</w:t>
      </w:r>
      <w:r>
        <w:rPr>
          <w:rFonts w:hint="eastAsia" w:ascii="宋体" w:hAnsi="宋体" w:eastAsia="宋体" w:cs="宋体"/>
          <w:color w:val="auto"/>
          <w:sz w:val="22"/>
          <w:szCs w:val="22"/>
          <w:highlight w:val="none"/>
        </w:rPr>
        <w:t>结果和</w:t>
      </w:r>
      <w:r>
        <w:rPr>
          <w:rFonts w:hint="eastAsia" w:ascii="宋体" w:hAnsi="宋体" w:eastAsia="宋体" w:cs="宋体"/>
          <w:color w:val="auto"/>
          <w:sz w:val="22"/>
          <w:szCs w:val="22"/>
          <w:highlight w:val="none"/>
          <w:lang w:val="en-US" w:eastAsia="zh-CN"/>
        </w:rPr>
        <w:t>投标</w:t>
      </w:r>
      <w:r>
        <w:rPr>
          <w:rFonts w:hint="eastAsia" w:ascii="宋体" w:hAnsi="宋体" w:eastAsia="宋体" w:cs="宋体"/>
          <w:color w:val="auto"/>
          <w:sz w:val="22"/>
          <w:szCs w:val="22"/>
          <w:highlight w:val="none"/>
          <w:lang w:eastAsia="zh-CN"/>
        </w:rPr>
        <w:t>文件</w:t>
      </w:r>
      <w:r>
        <w:rPr>
          <w:rFonts w:hint="eastAsia" w:ascii="宋体" w:hAnsi="宋体" w:eastAsia="宋体" w:cs="宋体"/>
          <w:color w:val="auto"/>
          <w:sz w:val="22"/>
          <w:szCs w:val="22"/>
          <w:highlight w:val="none"/>
        </w:rPr>
        <w:t>的要求，依据《中华人民共和国</w:t>
      </w:r>
      <w:r>
        <w:rPr>
          <w:rFonts w:hint="eastAsia" w:ascii="宋体" w:hAnsi="宋体" w:eastAsia="宋体" w:cs="宋体"/>
          <w:color w:val="auto"/>
          <w:sz w:val="22"/>
          <w:szCs w:val="22"/>
          <w:highlight w:val="none"/>
          <w:lang w:eastAsia="zh-CN"/>
        </w:rPr>
        <w:t>民法典</w:t>
      </w:r>
      <w:r>
        <w:rPr>
          <w:rFonts w:hint="eastAsia" w:ascii="宋体" w:hAnsi="宋体" w:eastAsia="宋体" w:cs="宋体"/>
          <w:color w:val="auto"/>
          <w:sz w:val="22"/>
          <w:szCs w:val="22"/>
          <w:highlight w:val="none"/>
        </w:rPr>
        <w:t>》并经双方协调一致，订立本采购合同。</w:t>
      </w:r>
    </w:p>
    <w:p w14:paraId="3B55CF9E">
      <w:pPr>
        <w:keepNext w:val="0"/>
        <w:keepLines w:val="0"/>
        <w:pageBreakBefore w:val="0"/>
        <w:widowControl/>
        <w:kinsoku/>
        <w:wordWrap/>
        <w:overflowPunct/>
        <w:topLinePunct w:val="0"/>
        <w:autoSpaceDE/>
        <w:autoSpaceDN/>
        <w:bidi w:val="0"/>
        <w:adjustRightInd/>
        <w:spacing w:line="360" w:lineRule="auto"/>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本合同（□是 □否）为可融资合同。</w:t>
      </w:r>
    </w:p>
    <w:p w14:paraId="243EC64A">
      <w:pPr>
        <w:keepNext w:val="0"/>
        <w:keepLines w:val="0"/>
        <w:pageBreakBefore w:val="0"/>
        <w:widowControl/>
        <w:kinsoku/>
        <w:wordWrap/>
        <w:overflowPunct/>
        <w:topLinePunct w:val="0"/>
        <w:autoSpaceDE/>
        <w:autoSpaceDN/>
        <w:bidi w:val="0"/>
        <w:adjustRightInd/>
        <w:spacing w:line="360" w:lineRule="auto"/>
        <w:ind w:firstLine="422"/>
        <w:jc w:val="left"/>
        <w:textAlignment w:val="auto"/>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一、合同文件组成：</w:t>
      </w:r>
      <w:r>
        <w:rPr>
          <w:rFonts w:hint="eastAsia" w:ascii="宋体" w:hAnsi="宋体" w:eastAsia="宋体" w:cs="宋体"/>
          <w:color w:val="auto"/>
          <w:sz w:val="22"/>
          <w:szCs w:val="22"/>
          <w:highlight w:val="none"/>
          <w:lang w:val="en-US" w:eastAsia="zh-CN"/>
        </w:rPr>
        <w:t>招标</w:t>
      </w:r>
      <w:r>
        <w:rPr>
          <w:rFonts w:hint="eastAsia" w:ascii="宋体" w:hAnsi="宋体" w:eastAsia="宋体" w:cs="宋体"/>
          <w:color w:val="auto"/>
          <w:sz w:val="22"/>
          <w:szCs w:val="22"/>
          <w:highlight w:val="none"/>
          <w:lang w:eastAsia="zh-CN"/>
        </w:rPr>
        <w:t>文件</w:t>
      </w:r>
      <w:r>
        <w:rPr>
          <w:rFonts w:hint="eastAsia" w:ascii="宋体" w:hAnsi="宋体" w:eastAsia="宋体" w:cs="宋体"/>
          <w:color w:val="auto"/>
          <w:sz w:val="22"/>
          <w:szCs w:val="22"/>
          <w:highlight w:val="none"/>
        </w:rPr>
        <w:t>及其补充文件、询标承诺、询疑答复、投标文件、双方来函。合同文件组成的所有内容是构成合同不可分割的部分，与合同具有同等法律效力。</w:t>
      </w:r>
    </w:p>
    <w:p w14:paraId="65313BAC">
      <w:pPr>
        <w:keepNext w:val="0"/>
        <w:keepLines w:val="0"/>
        <w:pageBreakBefore w:val="0"/>
        <w:widowControl/>
        <w:kinsoku/>
        <w:wordWrap/>
        <w:overflowPunct/>
        <w:topLinePunct w:val="0"/>
        <w:autoSpaceDE/>
        <w:autoSpaceDN/>
        <w:bidi w:val="0"/>
        <w:adjustRightInd/>
        <w:spacing w:line="360" w:lineRule="auto"/>
        <w:ind w:firstLine="422"/>
        <w:jc w:val="left"/>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二、合同金额</w:t>
      </w:r>
    </w:p>
    <w:p w14:paraId="783C9C1E">
      <w:pPr>
        <w:pStyle w:val="28"/>
        <w:spacing w:line="336" w:lineRule="auto"/>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1.合同</w:t>
      </w:r>
      <w:r>
        <w:rPr>
          <w:rFonts w:hint="eastAsia" w:ascii="宋体" w:hAnsi="宋体" w:eastAsia="宋体" w:cs="宋体"/>
          <w:color w:val="auto"/>
          <w:sz w:val="22"/>
          <w:szCs w:val="22"/>
          <w:highlight w:val="none"/>
          <w:lang w:val="en-US" w:eastAsia="zh-CN"/>
        </w:rPr>
        <w:t>单</w:t>
      </w:r>
      <w:r>
        <w:rPr>
          <w:rFonts w:hint="eastAsia" w:ascii="宋体" w:hAnsi="宋体" w:eastAsia="宋体" w:cs="宋体"/>
          <w:color w:val="auto"/>
          <w:sz w:val="22"/>
          <w:szCs w:val="22"/>
          <w:highlight w:val="none"/>
        </w:rPr>
        <w:t>价以人民币为结算货币，合同</w:t>
      </w:r>
      <w:r>
        <w:rPr>
          <w:rFonts w:hint="eastAsia" w:ascii="宋体" w:hAnsi="宋体" w:eastAsia="宋体" w:cs="宋体"/>
          <w:color w:val="auto"/>
          <w:sz w:val="22"/>
          <w:szCs w:val="22"/>
          <w:highlight w:val="none"/>
          <w:lang w:val="en-US" w:eastAsia="zh-CN"/>
        </w:rPr>
        <w:t>单</w:t>
      </w:r>
      <w:r>
        <w:rPr>
          <w:rFonts w:hint="eastAsia" w:ascii="宋体" w:hAnsi="宋体" w:eastAsia="宋体" w:cs="宋体"/>
          <w:color w:val="auto"/>
          <w:sz w:val="22"/>
          <w:szCs w:val="22"/>
          <w:highlight w:val="none"/>
        </w:rPr>
        <w:t>价包括</w:t>
      </w:r>
      <w:r>
        <w:rPr>
          <w:rFonts w:hint="eastAsia" w:ascii="宋体" w:hAnsi="宋体" w:eastAsia="宋体" w:cs="宋体"/>
          <w:color w:val="auto"/>
          <w:sz w:val="22"/>
          <w:szCs w:val="22"/>
          <w:highlight w:val="none"/>
          <w:u w:val="none"/>
          <w:lang w:eastAsia="zh-CN"/>
        </w:rPr>
        <w:t>项目要求的人工费、餐费、办公费、差旅费、保险费、利润、措施费、风险费、综合管理费、税金</w:t>
      </w:r>
      <w:r>
        <w:rPr>
          <w:rFonts w:hint="eastAsia" w:ascii="宋体" w:hAnsi="宋体" w:eastAsia="宋体" w:cs="宋体"/>
          <w:color w:val="auto"/>
          <w:sz w:val="22"/>
          <w:szCs w:val="22"/>
          <w:highlight w:val="none"/>
        </w:rPr>
        <w:t>、政策性文件规定的其他费用及合同已包含的所有风险、责任等合同中明示或暗示的所有一般风险、责任和义务等一切应由</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支付的费用。如有漏项，视同已包含在其总项目中，合同</w:t>
      </w:r>
      <w:r>
        <w:rPr>
          <w:rFonts w:hint="eastAsia" w:ascii="宋体" w:hAnsi="宋体" w:eastAsia="宋体" w:cs="宋体"/>
          <w:color w:val="auto"/>
          <w:sz w:val="22"/>
          <w:szCs w:val="22"/>
          <w:highlight w:val="none"/>
          <w:lang w:val="en-US" w:eastAsia="zh-CN"/>
        </w:rPr>
        <w:t>单</w:t>
      </w:r>
      <w:r>
        <w:rPr>
          <w:rFonts w:hint="eastAsia" w:ascii="宋体" w:hAnsi="宋体" w:eastAsia="宋体" w:cs="宋体"/>
          <w:color w:val="auto"/>
          <w:sz w:val="22"/>
          <w:szCs w:val="22"/>
          <w:highlight w:val="none"/>
        </w:rPr>
        <w:t>价不予调整。由乙方开具正式增值税发票。</w:t>
      </w:r>
    </w:p>
    <w:tbl>
      <w:tblPr>
        <w:tblStyle w:val="53"/>
        <w:tblW w:w="8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4504"/>
        <w:gridCol w:w="3361"/>
      </w:tblGrid>
      <w:tr w14:paraId="645EF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973" w:type="dxa"/>
            <w:noWrap w:val="0"/>
            <w:vAlign w:val="center"/>
          </w:tcPr>
          <w:p w14:paraId="6DFF9A33">
            <w:pPr>
              <w:spacing w:line="40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序号</w:t>
            </w:r>
          </w:p>
        </w:tc>
        <w:tc>
          <w:tcPr>
            <w:tcW w:w="4504" w:type="dxa"/>
            <w:noWrap w:val="0"/>
            <w:vAlign w:val="center"/>
          </w:tcPr>
          <w:p w14:paraId="5D6AEBE2">
            <w:pPr>
              <w:spacing w:line="40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服务名称</w:t>
            </w:r>
          </w:p>
        </w:tc>
        <w:tc>
          <w:tcPr>
            <w:tcW w:w="3361" w:type="dxa"/>
            <w:noWrap w:val="0"/>
            <w:vAlign w:val="center"/>
          </w:tcPr>
          <w:p w14:paraId="215F9A78">
            <w:pPr>
              <w:spacing w:line="40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单价</w:t>
            </w:r>
          </w:p>
        </w:tc>
      </w:tr>
      <w:tr w14:paraId="4C47D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973" w:type="dxa"/>
            <w:noWrap w:val="0"/>
            <w:vAlign w:val="center"/>
          </w:tcPr>
          <w:p w14:paraId="7919E307">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4504" w:type="dxa"/>
            <w:noWrap w:val="0"/>
            <w:vAlign w:val="center"/>
          </w:tcPr>
          <w:p w14:paraId="524EB0AD">
            <w:pPr>
              <w:widowControl/>
              <w:spacing w:line="400" w:lineRule="exact"/>
              <w:jc w:val="center"/>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诉前调解</w:t>
            </w:r>
          </w:p>
        </w:tc>
        <w:tc>
          <w:tcPr>
            <w:tcW w:w="3361" w:type="dxa"/>
            <w:noWrap w:val="0"/>
            <w:vAlign w:val="center"/>
          </w:tcPr>
          <w:p w14:paraId="32B56D07">
            <w:pPr>
              <w:spacing w:line="0" w:lineRule="atLeast"/>
              <w:jc w:val="center"/>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230元/件</w:t>
            </w:r>
          </w:p>
        </w:tc>
      </w:tr>
      <w:tr w14:paraId="26AC6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973" w:type="dxa"/>
            <w:noWrap w:val="0"/>
            <w:vAlign w:val="center"/>
          </w:tcPr>
          <w:p w14:paraId="07E72B00">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4504" w:type="dxa"/>
            <w:noWrap w:val="0"/>
            <w:vAlign w:val="center"/>
          </w:tcPr>
          <w:p w14:paraId="330862FE">
            <w:pPr>
              <w:widowControl/>
              <w:spacing w:line="400" w:lineRule="exact"/>
              <w:jc w:val="center"/>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其他调解</w:t>
            </w:r>
          </w:p>
        </w:tc>
        <w:tc>
          <w:tcPr>
            <w:tcW w:w="3361" w:type="dxa"/>
            <w:noWrap w:val="0"/>
            <w:vAlign w:val="center"/>
          </w:tcPr>
          <w:p w14:paraId="501CFBEF">
            <w:pPr>
              <w:spacing w:line="0" w:lineRule="atLeast"/>
              <w:jc w:val="center"/>
              <w:rPr>
                <w:rFonts w:hint="eastAsia" w:ascii="宋体" w:hAnsi="宋体" w:eastAsia="宋体" w:cs="宋体"/>
                <w:bCs/>
                <w:color w:val="auto"/>
                <w:sz w:val="22"/>
                <w:szCs w:val="22"/>
                <w:highlight w:val="none"/>
              </w:rPr>
            </w:pPr>
          </w:p>
        </w:tc>
      </w:tr>
    </w:tbl>
    <w:p w14:paraId="655E6347">
      <w:pPr>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以上价款由人民币进行结算。</w:t>
      </w:r>
    </w:p>
    <w:p w14:paraId="7A9BA632">
      <w:pPr>
        <w:keepNext w:val="0"/>
        <w:keepLines w:val="0"/>
        <w:pageBreakBefore w:val="0"/>
        <w:widowControl/>
        <w:numPr>
          <w:ilvl w:val="0"/>
          <w:numId w:val="0"/>
        </w:numPr>
        <w:tabs>
          <w:tab w:val="left" w:pos="460"/>
        </w:tabs>
        <w:kinsoku/>
        <w:wordWrap/>
        <w:overflowPunct/>
        <w:topLinePunct w:val="0"/>
        <w:autoSpaceDE/>
        <w:autoSpaceDN/>
        <w:bidi w:val="0"/>
        <w:adjustRightInd/>
        <w:snapToGrid w:val="0"/>
        <w:spacing w:line="360" w:lineRule="auto"/>
        <w:ind w:firstLine="442" w:firstLineChars="200"/>
        <w:jc w:val="left"/>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kern w:val="2"/>
          <w:sz w:val="22"/>
          <w:szCs w:val="22"/>
          <w:highlight w:val="none"/>
          <w:lang w:val="en-US" w:eastAsia="zh-CN" w:bidi="ar-SA"/>
        </w:rPr>
        <w:t>三、</w:t>
      </w:r>
      <w:r>
        <w:rPr>
          <w:rFonts w:hint="eastAsia" w:ascii="宋体" w:hAnsi="宋体" w:eastAsia="宋体" w:cs="宋体"/>
          <w:b/>
          <w:bCs/>
          <w:color w:val="auto"/>
          <w:sz w:val="22"/>
          <w:szCs w:val="22"/>
          <w:highlight w:val="none"/>
          <w:lang w:val="en-US" w:eastAsia="zh-CN"/>
        </w:rPr>
        <w:t>服务期限：</w:t>
      </w:r>
      <w:r>
        <w:rPr>
          <w:rFonts w:hint="eastAsia" w:ascii="宋体" w:hAnsi="宋体" w:eastAsia="宋体" w:cs="宋体"/>
          <w:color w:val="auto"/>
          <w:sz w:val="22"/>
          <w:szCs w:val="22"/>
          <w:highlight w:val="none"/>
        </w:rPr>
        <w:t>1年，1年服务合同期满后，采购人考核结果的综合评分高于80分的</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不含80分</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，经双方协商一致，续签1年合同，续签合同的</w:t>
      </w:r>
      <w:r>
        <w:rPr>
          <w:rFonts w:hint="eastAsia" w:ascii="宋体" w:hAnsi="宋体" w:eastAsia="宋体" w:cs="宋体"/>
          <w:color w:val="auto"/>
          <w:sz w:val="22"/>
          <w:szCs w:val="22"/>
          <w:highlight w:val="none"/>
          <w:lang w:val="en-US" w:eastAsia="zh-CN"/>
        </w:rPr>
        <w:t>合同</w:t>
      </w:r>
      <w:r>
        <w:rPr>
          <w:rFonts w:hint="eastAsia" w:ascii="宋体" w:hAnsi="宋体" w:eastAsia="宋体" w:cs="宋体"/>
          <w:color w:val="auto"/>
          <w:sz w:val="22"/>
          <w:szCs w:val="22"/>
          <w:highlight w:val="none"/>
        </w:rPr>
        <w:t>内容</w:t>
      </w:r>
      <w:r>
        <w:rPr>
          <w:rFonts w:hint="eastAsia" w:ascii="宋体" w:hAnsi="宋体" w:eastAsia="宋体" w:cs="宋体"/>
          <w:color w:val="auto"/>
          <w:sz w:val="22"/>
          <w:szCs w:val="22"/>
          <w:highlight w:val="none"/>
          <w:lang w:val="en-US" w:eastAsia="zh-CN"/>
        </w:rPr>
        <w:t>及合同单价</w:t>
      </w:r>
      <w:r>
        <w:rPr>
          <w:rFonts w:hint="eastAsia" w:ascii="宋体" w:hAnsi="宋体" w:eastAsia="宋体" w:cs="宋体"/>
          <w:color w:val="auto"/>
          <w:sz w:val="22"/>
          <w:szCs w:val="22"/>
          <w:highlight w:val="none"/>
        </w:rPr>
        <w:t>不变且合同金额不得超过本次</w:t>
      </w:r>
      <w:r>
        <w:rPr>
          <w:rFonts w:hint="eastAsia" w:ascii="宋体" w:hAnsi="宋体" w:eastAsia="宋体" w:cs="宋体"/>
          <w:color w:val="auto"/>
          <w:sz w:val="22"/>
          <w:szCs w:val="22"/>
          <w:highlight w:val="none"/>
          <w:lang w:val="en-US" w:eastAsia="zh-CN"/>
        </w:rPr>
        <w:t>招标</w:t>
      </w:r>
      <w:r>
        <w:rPr>
          <w:rFonts w:hint="eastAsia" w:ascii="宋体" w:hAnsi="宋体" w:eastAsia="宋体" w:cs="宋体"/>
          <w:color w:val="auto"/>
          <w:sz w:val="22"/>
          <w:szCs w:val="22"/>
          <w:highlight w:val="none"/>
        </w:rPr>
        <w:t>的</w:t>
      </w:r>
      <w:r>
        <w:rPr>
          <w:rFonts w:hint="eastAsia" w:ascii="宋体" w:hAnsi="宋体" w:eastAsia="宋体" w:cs="宋体"/>
          <w:color w:val="auto"/>
          <w:sz w:val="22"/>
          <w:szCs w:val="22"/>
          <w:highlight w:val="none"/>
          <w:lang w:val="en-US" w:eastAsia="zh-CN"/>
        </w:rPr>
        <w:t>预算</w:t>
      </w:r>
      <w:r>
        <w:rPr>
          <w:rFonts w:hint="eastAsia" w:ascii="宋体" w:hAnsi="宋体" w:eastAsia="宋体" w:cs="宋体"/>
          <w:color w:val="auto"/>
          <w:sz w:val="22"/>
          <w:szCs w:val="22"/>
          <w:highlight w:val="none"/>
        </w:rPr>
        <w:t>金额，续签次数不得超过两次</w:t>
      </w:r>
      <w:r>
        <w:rPr>
          <w:rFonts w:hint="eastAsia" w:ascii="宋体" w:hAnsi="宋体" w:eastAsia="宋体" w:cs="宋体"/>
          <w:color w:val="auto"/>
          <w:sz w:val="22"/>
          <w:szCs w:val="22"/>
          <w:highlight w:val="none"/>
          <w:lang w:eastAsia="zh-CN"/>
        </w:rPr>
        <w:t>。</w:t>
      </w:r>
    </w:p>
    <w:p w14:paraId="6E8F74C5">
      <w:pPr>
        <w:keepNext w:val="0"/>
        <w:keepLines w:val="0"/>
        <w:pageBreakBefore w:val="0"/>
        <w:widowControl/>
        <w:numPr>
          <w:ilvl w:val="0"/>
          <w:numId w:val="0"/>
        </w:numPr>
        <w:tabs>
          <w:tab w:val="left" w:pos="460"/>
        </w:tabs>
        <w:kinsoku/>
        <w:wordWrap/>
        <w:overflowPunct/>
        <w:topLinePunct w:val="0"/>
        <w:autoSpaceDE/>
        <w:autoSpaceDN/>
        <w:bidi w:val="0"/>
        <w:adjustRightInd/>
        <w:snapToGrid w:val="0"/>
        <w:spacing w:line="360" w:lineRule="auto"/>
        <w:ind w:firstLine="442" w:firstLineChars="200"/>
        <w:jc w:val="left"/>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kern w:val="2"/>
          <w:sz w:val="22"/>
          <w:szCs w:val="22"/>
          <w:highlight w:val="none"/>
          <w:lang w:val="en-US" w:eastAsia="zh-CN" w:bidi="ar-SA"/>
        </w:rPr>
        <w:t>四、</w:t>
      </w:r>
      <w:r>
        <w:rPr>
          <w:rFonts w:hint="eastAsia" w:ascii="宋体" w:hAnsi="宋体" w:eastAsia="宋体" w:cs="宋体"/>
          <w:b/>
          <w:bCs/>
          <w:color w:val="auto"/>
          <w:sz w:val="22"/>
          <w:szCs w:val="22"/>
          <w:highlight w:val="none"/>
        </w:rPr>
        <w:t>调解人员数量及岗位要求</w:t>
      </w:r>
    </w:p>
    <w:p w14:paraId="0D5C9557">
      <w:pPr>
        <w:pStyle w:val="28"/>
        <w:keepNext w:val="0"/>
        <w:keepLines w:val="0"/>
        <w:pageBreakBefore w:val="0"/>
        <w:numPr>
          <w:ilvl w:val="0"/>
          <w:numId w:val="0"/>
        </w:numPr>
        <w:kinsoku/>
        <w:wordWrap/>
        <w:overflowPunct/>
        <w:topLinePunct w:val="0"/>
        <w:autoSpaceDE/>
        <w:autoSpaceDN/>
        <w:bidi w:val="0"/>
        <w:adjustRightInd/>
        <w:snapToGrid/>
        <w:spacing w:line="360" w:lineRule="auto"/>
        <w:ind w:firstLine="442" w:firstLineChars="200"/>
        <w:textAlignment w:val="auto"/>
        <w:rPr>
          <w:rFonts w:hint="eastAsia" w:ascii="宋体" w:hAnsi="宋体" w:eastAsia="宋体" w:cs="宋体"/>
          <w:b/>
          <w:bCs/>
          <w:color w:val="auto"/>
          <w:sz w:val="22"/>
          <w:szCs w:val="22"/>
          <w:highlight w:val="none"/>
          <w:u w:val="single"/>
          <w:lang w:val="en-US" w:eastAsia="zh-CN"/>
        </w:rPr>
      </w:pPr>
      <w:r>
        <w:rPr>
          <w:rFonts w:hint="eastAsia" w:ascii="宋体" w:hAnsi="宋体" w:eastAsia="宋体" w:cs="宋体"/>
          <w:b/>
          <w:bCs/>
          <w:color w:val="auto"/>
          <w:sz w:val="22"/>
          <w:szCs w:val="22"/>
          <w:highlight w:val="none"/>
          <w:u w:val="single"/>
          <w:lang w:val="en-US" w:eastAsia="zh-CN"/>
        </w:rPr>
        <w:t>专职调解员，共</w:t>
      </w:r>
      <w:r>
        <w:rPr>
          <w:rFonts w:hint="eastAsia" w:hAnsi="宋体" w:cs="宋体"/>
          <w:b/>
          <w:bCs/>
          <w:color w:val="auto"/>
          <w:sz w:val="22"/>
          <w:szCs w:val="22"/>
          <w:highlight w:val="none"/>
          <w:u w:val="single"/>
          <w:lang w:val="en-US" w:eastAsia="zh-CN"/>
        </w:rPr>
        <w:t>63</w:t>
      </w:r>
      <w:r>
        <w:rPr>
          <w:rFonts w:hint="eastAsia" w:ascii="宋体" w:hAnsi="宋体" w:eastAsia="宋体" w:cs="宋体"/>
          <w:b/>
          <w:bCs/>
          <w:color w:val="auto"/>
          <w:sz w:val="22"/>
          <w:szCs w:val="22"/>
          <w:highlight w:val="none"/>
          <w:u w:val="single"/>
          <w:lang w:val="en-US" w:eastAsia="zh-CN"/>
        </w:rPr>
        <w:t>人，明细如下：</w:t>
      </w:r>
    </w:p>
    <w:p w14:paraId="1E33FB11">
      <w:pPr>
        <w:pStyle w:val="28"/>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sz w:val="22"/>
          <w:szCs w:val="22"/>
          <w:highlight w:val="none"/>
          <w:u w:val="single"/>
          <w:lang w:val="en-US" w:eastAsia="zh-CN"/>
        </w:rPr>
      </w:pPr>
      <w:r>
        <w:rPr>
          <w:rFonts w:hint="eastAsia" w:ascii="宋体" w:hAnsi="宋体" w:eastAsia="宋体" w:cs="宋体"/>
          <w:color w:val="auto"/>
          <w:kern w:val="2"/>
          <w:sz w:val="22"/>
          <w:szCs w:val="22"/>
          <w:highlight w:val="none"/>
          <w:u w:val="single"/>
          <w:lang w:val="en-US" w:eastAsia="zh-CN" w:bidi="ar-SA"/>
        </w:rPr>
        <w:t>（1）</w:t>
      </w:r>
      <w:r>
        <w:rPr>
          <w:rFonts w:hint="eastAsia" w:ascii="宋体" w:hAnsi="宋体" w:eastAsia="宋体" w:cs="宋体"/>
          <w:color w:val="auto"/>
          <w:sz w:val="22"/>
          <w:szCs w:val="22"/>
          <w:highlight w:val="none"/>
          <w:u w:val="single"/>
          <w:lang w:val="en-US" w:eastAsia="zh-CN"/>
        </w:rPr>
        <w:t>法院：专职调解员</w:t>
      </w:r>
      <w:r>
        <w:rPr>
          <w:rFonts w:hint="eastAsia" w:hAnsi="宋体" w:cs="宋体"/>
          <w:color w:val="auto"/>
          <w:sz w:val="22"/>
          <w:szCs w:val="22"/>
          <w:highlight w:val="none"/>
          <w:u w:val="single"/>
          <w:lang w:val="en-US" w:eastAsia="zh-CN"/>
        </w:rPr>
        <w:t>50</w:t>
      </w:r>
      <w:r>
        <w:rPr>
          <w:rFonts w:hint="eastAsia" w:ascii="宋体" w:hAnsi="宋体" w:eastAsia="宋体" w:cs="宋体"/>
          <w:color w:val="auto"/>
          <w:sz w:val="22"/>
          <w:szCs w:val="22"/>
          <w:highlight w:val="none"/>
          <w:u w:val="single"/>
          <w:lang w:val="en-US" w:eastAsia="zh-CN"/>
        </w:rPr>
        <w:t>人，其中入驻市治理中心</w:t>
      </w:r>
      <w:r>
        <w:rPr>
          <w:rFonts w:hint="eastAsia" w:hAnsi="宋体" w:cs="宋体"/>
          <w:color w:val="auto"/>
          <w:sz w:val="22"/>
          <w:szCs w:val="22"/>
          <w:highlight w:val="none"/>
          <w:u w:val="single"/>
          <w:lang w:val="en-US" w:eastAsia="zh-CN"/>
        </w:rPr>
        <w:t>12</w:t>
      </w:r>
      <w:r>
        <w:rPr>
          <w:rFonts w:hint="eastAsia" w:ascii="宋体" w:hAnsi="宋体" w:eastAsia="宋体" w:cs="宋体"/>
          <w:color w:val="auto"/>
          <w:sz w:val="22"/>
          <w:szCs w:val="22"/>
          <w:highlight w:val="none"/>
          <w:u w:val="single"/>
          <w:lang w:val="en-US" w:eastAsia="zh-CN"/>
        </w:rPr>
        <w:t>人、</w:t>
      </w:r>
      <w:r>
        <w:rPr>
          <w:rFonts w:hint="eastAsia" w:hAnsi="宋体" w:cs="宋体"/>
          <w:color w:val="auto"/>
          <w:sz w:val="22"/>
          <w:szCs w:val="22"/>
          <w:highlight w:val="none"/>
          <w:u w:val="single"/>
          <w:lang w:val="en-US" w:eastAsia="zh-CN"/>
        </w:rPr>
        <w:t>市法院业务庭6</w:t>
      </w:r>
      <w:r>
        <w:rPr>
          <w:rFonts w:hint="eastAsia" w:ascii="宋体" w:hAnsi="宋体" w:eastAsia="宋体" w:cs="宋体"/>
          <w:color w:val="auto"/>
          <w:sz w:val="22"/>
          <w:szCs w:val="22"/>
          <w:highlight w:val="none"/>
          <w:u w:val="single"/>
          <w:lang w:val="en-US" w:eastAsia="zh-CN"/>
        </w:rPr>
        <w:t>人、</w:t>
      </w:r>
      <w:r>
        <w:rPr>
          <w:rFonts w:hint="eastAsia" w:hAnsi="宋体" w:cs="宋体"/>
          <w:color w:val="auto"/>
          <w:sz w:val="22"/>
          <w:szCs w:val="22"/>
          <w:highlight w:val="none"/>
          <w:u w:val="single"/>
          <w:lang w:val="en-US" w:eastAsia="zh-CN"/>
        </w:rPr>
        <w:t>市法院下属</w:t>
      </w:r>
      <w:r>
        <w:rPr>
          <w:rFonts w:hint="eastAsia" w:ascii="宋体" w:hAnsi="宋体" w:eastAsia="宋体" w:cs="宋体"/>
          <w:color w:val="auto"/>
          <w:sz w:val="22"/>
          <w:szCs w:val="22"/>
          <w:highlight w:val="none"/>
          <w:u w:val="single"/>
          <w:lang w:val="en-US" w:eastAsia="zh-CN"/>
        </w:rPr>
        <w:t>国际商贸城法庭</w:t>
      </w:r>
      <w:r>
        <w:rPr>
          <w:rFonts w:hint="eastAsia" w:hAnsi="宋体" w:cs="宋体"/>
          <w:color w:val="auto"/>
          <w:sz w:val="22"/>
          <w:szCs w:val="22"/>
          <w:highlight w:val="none"/>
          <w:u w:val="single"/>
          <w:lang w:val="en-US" w:eastAsia="zh-CN"/>
        </w:rPr>
        <w:t>9</w:t>
      </w:r>
      <w:r>
        <w:rPr>
          <w:rFonts w:hint="eastAsia" w:ascii="宋体" w:hAnsi="宋体" w:eastAsia="宋体" w:cs="宋体"/>
          <w:color w:val="auto"/>
          <w:sz w:val="22"/>
          <w:szCs w:val="22"/>
          <w:highlight w:val="none"/>
          <w:u w:val="single"/>
          <w:lang w:val="en-US" w:eastAsia="zh-CN"/>
        </w:rPr>
        <w:t>人、佛堂法庭</w:t>
      </w:r>
      <w:r>
        <w:rPr>
          <w:rFonts w:hint="eastAsia" w:hAnsi="宋体" w:cs="宋体"/>
          <w:color w:val="auto"/>
          <w:sz w:val="22"/>
          <w:szCs w:val="22"/>
          <w:highlight w:val="none"/>
          <w:u w:val="single"/>
          <w:lang w:val="en-US" w:eastAsia="zh-CN"/>
        </w:rPr>
        <w:t>2</w:t>
      </w:r>
      <w:r>
        <w:rPr>
          <w:rFonts w:hint="eastAsia" w:ascii="宋体" w:hAnsi="宋体" w:eastAsia="宋体" w:cs="宋体"/>
          <w:color w:val="auto"/>
          <w:sz w:val="22"/>
          <w:szCs w:val="22"/>
          <w:highlight w:val="none"/>
          <w:u w:val="single"/>
          <w:lang w:val="en-US" w:eastAsia="zh-CN"/>
        </w:rPr>
        <w:t>人、上溪法庭</w:t>
      </w:r>
      <w:r>
        <w:rPr>
          <w:rFonts w:hint="eastAsia" w:hAnsi="宋体" w:cs="宋体"/>
          <w:color w:val="auto"/>
          <w:sz w:val="22"/>
          <w:szCs w:val="22"/>
          <w:highlight w:val="none"/>
          <w:u w:val="single"/>
          <w:lang w:val="en-US" w:eastAsia="zh-CN"/>
        </w:rPr>
        <w:t>3</w:t>
      </w:r>
      <w:r>
        <w:rPr>
          <w:rFonts w:hint="eastAsia" w:ascii="宋体" w:hAnsi="宋体" w:eastAsia="宋体" w:cs="宋体"/>
          <w:color w:val="auto"/>
          <w:sz w:val="22"/>
          <w:szCs w:val="22"/>
          <w:highlight w:val="none"/>
          <w:u w:val="single"/>
          <w:lang w:val="en-US" w:eastAsia="zh-CN"/>
        </w:rPr>
        <w:t>人、苏溪法庭</w:t>
      </w:r>
      <w:r>
        <w:rPr>
          <w:rFonts w:hint="eastAsia" w:hAnsi="宋体" w:cs="宋体"/>
          <w:color w:val="auto"/>
          <w:sz w:val="22"/>
          <w:szCs w:val="22"/>
          <w:highlight w:val="none"/>
          <w:u w:val="single"/>
          <w:lang w:val="en-US" w:eastAsia="zh-CN"/>
        </w:rPr>
        <w:t>3</w:t>
      </w:r>
      <w:r>
        <w:rPr>
          <w:rFonts w:hint="eastAsia" w:ascii="宋体" w:hAnsi="宋体" w:eastAsia="宋体" w:cs="宋体"/>
          <w:color w:val="auto"/>
          <w:sz w:val="22"/>
          <w:szCs w:val="22"/>
          <w:highlight w:val="none"/>
          <w:u w:val="single"/>
          <w:lang w:val="en-US" w:eastAsia="zh-CN"/>
        </w:rPr>
        <w:t>人、廿三里法庭</w:t>
      </w:r>
      <w:r>
        <w:rPr>
          <w:rFonts w:hint="eastAsia" w:hAnsi="宋体" w:cs="宋体"/>
          <w:color w:val="auto"/>
          <w:sz w:val="22"/>
          <w:szCs w:val="22"/>
          <w:highlight w:val="none"/>
          <w:u w:val="single"/>
          <w:lang w:val="en-US" w:eastAsia="zh-CN"/>
        </w:rPr>
        <w:t>3</w:t>
      </w:r>
      <w:r>
        <w:rPr>
          <w:rFonts w:hint="eastAsia" w:ascii="宋体" w:hAnsi="宋体" w:eastAsia="宋体" w:cs="宋体"/>
          <w:color w:val="auto"/>
          <w:sz w:val="22"/>
          <w:szCs w:val="22"/>
          <w:highlight w:val="none"/>
          <w:u w:val="single"/>
          <w:lang w:val="en-US" w:eastAsia="zh-CN"/>
        </w:rPr>
        <w:t>人</w:t>
      </w:r>
      <w:r>
        <w:rPr>
          <w:rFonts w:hint="eastAsia" w:hAnsi="宋体" w:cs="宋体"/>
          <w:color w:val="auto"/>
          <w:sz w:val="22"/>
          <w:szCs w:val="22"/>
          <w:highlight w:val="none"/>
          <w:u w:val="single"/>
          <w:lang w:val="en-US" w:eastAsia="zh-CN"/>
        </w:rPr>
        <w:t>、知识产权庭12</w:t>
      </w:r>
      <w:r>
        <w:rPr>
          <w:rFonts w:hint="eastAsia" w:ascii="宋体" w:hAnsi="宋体" w:eastAsia="宋体" w:cs="宋体"/>
          <w:color w:val="auto"/>
          <w:sz w:val="22"/>
          <w:szCs w:val="22"/>
          <w:highlight w:val="none"/>
          <w:u w:val="single"/>
          <w:lang w:val="en-US" w:eastAsia="zh-CN"/>
        </w:rPr>
        <w:t>人</w:t>
      </w:r>
      <w:r>
        <w:rPr>
          <w:rFonts w:hint="eastAsia" w:hAnsi="宋体" w:cs="宋体"/>
          <w:color w:val="auto"/>
          <w:sz w:val="22"/>
          <w:szCs w:val="22"/>
          <w:highlight w:val="none"/>
          <w:u w:val="single"/>
          <w:lang w:val="en-US" w:eastAsia="zh-CN"/>
        </w:rPr>
        <w:t>；</w:t>
      </w:r>
    </w:p>
    <w:p w14:paraId="50D4D1CF">
      <w:pPr>
        <w:pStyle w:val="28"/>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sz w:val="22"/>
          <w:szCs w:val="22"/>
          <w:highlight w:val="none"/>
          <w:u w:val="single"/>
          <w:lang w:val="en-US" w:eastAsia="zh-CN"/>
        </w:rPr>
      </w:pPr>
      <w:r>
        <w:rPr>
          <w:rFonts w:hint="eastAsia" w:ascii="宋体" w:hAnsi="宋体" w:eastAsia="宋体" w:cs="宋体"/>
          <w:color w:val="auto"/>
          <w:kern w:val="2"/>
          <w:sz w:val="22"/>
          <w:szCs w:val="22"/>
          <w:highlight w:val="none"/>
          <w:u w:val="single"/>
          <w:lang w:val="en-US" w:eastAsia="zh-CN" w:bidi="ar-SA"/>
        </w:rPr>
        <w:t>（2）</w:t>
      </w:r>
      <w:r>
        <w:rPr>
          <w:rFonts w:hint="eastAsia" w:ascii="宋体" w:hAnsi="宋体" w:eastAsia="宋体" w:cs="宋体"/>
          <w:color w:val="auto"/>
          <w:sz w:val="22"/>
          <w:szCs w:val="22"/>
          <w:highlight w:val="none"/>
          <w:u w:val="single"/>
          <w:lang w:val="en-US" w:eastAsia="zh-CN"/>
        </w:rPr>
        <w:t>婚姻家庭纠纷：专职调解员1人，主要调解婚姻、家庭纠纷；</w:t>
      </w:r>
    </w:p>
    <w:p w14:paraId="3B29D205">
      <w:pPr>
        <w:pStyle w:val="28"/>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hAnsi="宋体" w:cs="宋体"/>
          <w:color w:val="auto"/>
          <w:sz w:val="22"/>
          <w:szCs w:val="22"/>
          <w:highlight w:val="none"/>
          <w:u w:val="single"/>
          <w:lang w:val="en-US" w:eastAsia="zh-CN"/>
        </w:rPr>
      </w:pPr>
      <w:r>
        <w:rPr>
          <w:rFonts w:hint="eastAsia" w:ascii="宋体" w:hAnsi="宋体" w:eastAsia="宋体" w:cs="宋体"/>
          <w:color w:val="auto"/>
          <w:kern w:val="2"/>
          <w:sz w:val="22"/>
          <w:szCs w:val="22"/>
          <w:highlight w:val="none"/>
          <w:u w:val="single"/>
          <w:lang w:val="en-US" w:eastAsia="zh-CN" w:bidi="ar-SA"/>
        </w:rPr>
        <w:t>（3）</w:t>
      </w:r>
      <w:r>
        <w:rPr>
          <w:rFonts w:hint="eastAsia" w:ascii="宋体" w:hAnsi="宋体" w:eastAsia="宋体" w:cs="宋体"/>
          <w:color w:val="auto"/>
          <w:sz w:val="22"/>
          <w:szCs w:val="22"/>
          <w:highlight w:val="none"/>
          <w:u w:val="single"/>
          <w:lang w:val="en-US" w:eastAsia="zh-CN"/>
        </w:rPr>
        <w:t>老娘舅：</w:t>
      </w:r>
      <w:r>
        <w:rPr>
          <w:rFonts w:hint="eastAsia" w:hAnsi="宋体" w:cs="宋体"/>
          <w:color w:val="auto"/>
          <w:sz w:val="22"/>
          <w:szCs w:val="22"/>
          <w:highlight w:val="none"/>
          <w:u w:val="single"/>
          <w:lang w:val="en-US" w:eastAsia="zh-CN"/>
        </w:rPr>
        <w:t>1</w:t>
      </w:r>
      <w:r>
        <w:rPr>
          <w:rFonts w:hint="eastAsia" w:ascii="宋体" w:hAnsi="宋体" w:eastAsia="宋体" w:cs="宋体"/>
          <w:color w:val="auto"/>
          <w:sz w:val="22"/>
          <w:szCs w:val="22"/>
          <w:highlight w:val="none"/>
          <w:u w:val="single"/>
          <w:lang w:val="en-US" w:eastAsia="zh-CN"/>
        </w:rPr>
        <w:t>人</w:t>
      </w:r>
      <w:r>
        <w:rPr>
          <w:rFonts w:hint="eastAsia" w:hAnsi="宋体" w:cs="宋体"/>
          <w:color w:val="auto"/>
          <w:sz w:val="22"/>
          <w:szCs w:val="22"/>
          <w:highlight w:val="none"/>
          <w:u w:val="single"/>
          <w:lang w:val="en-US" w:eastAsia="zh-CN"/>
        </w:rPr>
        <w:t>；</w:t>
      </w:r>
    </w:p>
    <w:p w14:paraId="4EAFDD9D">
      <w:pPr>
        <w:pStyle w:val="28"/>
        <w:keepNext w:val="0"/>
        <w:keepLines w:val="0"/>
        <w:pageBreakBefore w:val="0"/>
        <w:numPr>
          <w:ilvl w:val="0"/>
          <w:numId w:val="0"/>
        </w:numPr>
        <w:kinsoku/>
        <w:wordWrap/>
        <w:overflowPunct/>
        <w:topLinePunct w:val="0"/>
        <w:autoSpaceDE/>
        <w:autoSpaceDN/>
        <w:bidi w:val="0"/>
        <w:adjustRightInd/>
        <w:snapToGrid/>
        <w:spacing w:line="360" w:lineRule="auto"/>
        <w:ind w:firstLine="440" w:firstLineChars="200"/>
        <w:textAlignment w:val="auto"/>
        <w:rPr>
          <w:rFonts w:hint="eastAsia" w:hAnsi="宋体" w:cs="宋体"/>
          <w:color w:val="auto"/>
          <w:sz w:val="22"/>
          <w:szCs w:val="22"/>
          <w:highlight w:val="none"/>
          <w:u w:val="single"/>
          <w:lang w:val="en-US" w:eastAsia="zh-CN"/>
        </w:rPr>
      </w:pPr>
      <w:r>
        <w:rPr>
          <w:rFonts w:hint="eastAsia" w:ascii="宋体" w:hAnsi="宋体" w:eastAsia="宋体" w:cs="宋体"/>
          <w:color w:val="auto"/>
          <w:kern w:val="2"/>
          <w:sz w:val="22"/>
          <w:szCs w:val="22"/>
          <w:highlight w:val="none"/>
          <w:u w:val="single"/>
          <w:lang w:val="en-US" w:eastAsia="zh-CN" w:bidi="ar-SA"/>
        </w:rPr>
        <w:t>（4）</w:t>
      </w:r>
      <w:r>
        <w:rPr>
          <w:rFonts w:hint="eastAsia" w:hAnsi="宋体" w:cs="宋体"/>
          <w:color w:val="auto"/>
          <w:sz w:val="22"/>
          <w:szCs w:val="22"/>
          <w:highlight w:val="none"/>
          <w:u w:val="single"/>
          <w:lang w:val="en-US" w:eastAsia="zh-CN"/>
        </w:rPr>
        <w:t>劳动</w:t>
      </w:r>
      <w:r>
        <w:rPr>
          <w:rFonts w:hint="eastAsia" w:ascii="宋体" w:hAnsi="宋体" w:eastAsia="宋体" w:cs="宋体"/>
          <w:color w:val="auto"/>
          <w:sz w:val="22"/>
          <w:szCs w:val="22"/>
          <w:highlight w:val="none"/>
          <w:u w:val="single"/>
          <w:lang w:val="en-US" w:eastAsia="zh-CN"/>
        </w:rPr>
        <w:t>争议：调解员</w:t>
      </w:r>
      <w:r>
        <w:rPr>
          <w:rFonts w:hint="eastAsia" w:hAnsi="宋体" w:cs="宋体"/>
          <w:color w:val="auto"/>
          <w:sz w:val="22"/>
          <w:szCs w:val="22"/>
          <w:highlight w:val="none"/>
          <w:u w:val="single"/>
          <w:lang w:val="en-US" w:eastAsia="zh-CN"/>
        </w:rPr>
        <w:t>8</w:t>
      </w:r>
      <w:r>
        <w:rPr>
          <w:rFonts w:hint="eastAsia" w:ascii="宋体" w:hAnsi="宋体" w:eastAsia="宋体" w:cs="宋体"/>
          <w:color w:val="auto"/>
          <w:sz w:val="22"/>
          <w:szCs w:val="22"/>
          <w:highlight w:val="none"/>
          <w:u w:val="single"/>
          <w:lang w:val="en-US" w:eastAsia="zh-CN"/>
        </w:rPr>
        <w:t>人</w:t>
      </w:r>
      <w:r>
        <w:rPr>
          <w:rFonts w:hint="eastAsia" w:hAnsi="宋体" w:cs="宋体"/>
          <w:color w:val="auto"/>
          <w:sz w:val="22"/>
          <w:szCs w:val="22"/>
          <w:highlight w:val="none"/>
          <w:u w:val="single"/>
          <w:lang w:val="en-US" w:eastAsia="zh-CN"/>
        </w:rPr>
        <w:t>；</w:t>
      </w:r>
    </w:p>
    <w:p w14:paraId="20D0B3C8">
      <w:pPr>
        <w:pStyle w:val="28"/>
        <w:keepNext w:val="0"/>
        <w:keepLines w:val="0"/>
        <w:pageBreakBefore w:val="0"/>
        <w:numPr>
          <w:ilvl w:val="0"/>
          <w:numId w:val="0"/>
        </w:numPr>
        <w:kinsoku/>
        <w:wordWrap/>
        <w:overflowPunct/>
        <w:topLinePunct w:val="0"/>
        <w:autoSpaceDE/>
        <w:autoSpaceDN/>
        <w:bidi w:val="0"/>
        <w:adjustRightInd/>
        <w:snapToGrid/>
        <w:spacing w:line="360" w:lineRule="auto"/>
        <w:ind w:firstLine="440" w:firstLineChars="200"/>
        <w:textAlignment w:val="auto"/>
        <w:rPr>
          <w:rFonts w:hint="eastAsia" w:hAnsi="宋体" w:cs="宋体"/>
          <w:color w:val="auto"/>
          <w:sz w:val="22"/>
          <w:szCs w:val="22"/>
          <w:highlight w:val="none"/>
          <w:u w:val="single"/>
          <w:lang w:val="en-US" w:eastAsia="zh-CN"/>
        </w:rPr>
      </w:pPr>
      <w:r>
        <w:rPr>
          <w:rFonts w:hint="eastAsia" w:ascii="宋体" w:hAnsi="宋体" w:eastAsia="宋体" w:cs="宋体"/>
          <w:color w:val="auto"/>
          <w:kern w:val="2"/>
          <w:sz w:val="22"/>
          <w:szCs w:val="22"/>
          <w:highlight w:val="none"/>
          <w:u w:val="single"/>
          <w:lang w:val="en-US" w:eastAsia="zh-CN" w:bidi="ar-SA"/>
        </w:rPr>
        <w:t>（</w:t>
      </w:r>
      <w:r>
        <w:rPr>
          <w:rFonts w:hint="eastAsia" w:hAnsi="宋体" w:cs="宋体"/>
          <w:color w:val="auto"/>
          <w:kern w:val="2"/>
          <w:sz w:val="22"/>
          <w:szCs w:val="22"/>
          <w:highlight w:val="none"/>
          <w:u w:val="single"/>
          <w:lang w:val="en-US" w:eastAsia="zh-CN" w:bidi="ar-SA"/>
        </w:rPr>
        <w:t>5</w:t>
      </w:r>
      <w:r>
        <w:rPr>
          <w:rFonts w:hint="eastAsia" w:ascii="宋体" w:hAnsi="宋体" w:eastAsia="宋体" w:cs="宋体"/>
          <w:color w:val="auto"/>
          <w:kern w:val="2"/>
          <w:sz w:val="22"/>
          <w:szCs w:val="22"/>
          <w:highlight w:val="none"/>
          <w:u w:val="single"/>
          <w:lang w:val="en-US" w:eastAsia="zh-CN" w:bidi="ar-SA"/>
        </w:rPr>
        <w:t>）</w:t>
      </w:r>
      <w:r>
        <w:rPr>
          <w:rFonts w:hint="eastAsia" w:hAnsi="宋体" w:cs="宋体"/>
          <w:color w:val="auto"/>
          <w:sz w:val="22"/>
          <w:szCs w:val="22"/>
          <w:highlight w:val="none"/>
          <w:u w:val="single"/>
          <w:lang w:val="en-US" w:eastAsia="zh-CN"/>
        </w:rPr>
        <w:t>人民调解</w:t>
      </w:r>
      <w:r>
        <w:rPr>
          <w:rFonts w:hint="eastAsia" w:ascii="宋体" w:hAnsi="宋体" w:eastAsia="宋体" w:cs="宋体"/>
          <w:color w:val="auto"/>
          <w:sz w:val="22"/>
          <w:szCs w:val="22"/>
          <w:highlight w:val="none"/>
          <w:u w:val="single"/>
          <w:lang w:val="en-US" w:eastAsia="zh-CN"/>
        </w:rPr>
        <w:t>：调解员</w:t>
      </w:r>
      <w:r>
        <w:rPr>
          <w:rFonts w:hint="eastAsia" w:hAnsi="宋体" w:cs="宋体"/>
          <w:color w:val="auto"/>
          <w:sz w:val="22"/>
          <w:szCs w:val="22"/>
          <w:highlight w:val="none"/>
          <w:u w:val="single"/>
          <w:lang w:val="en-US" w:eastAsia="zh-CN"/>
        </w:rPr>
        <w:t>2</w:t>
      </w:r>
      <w:r>
        <w:rPr>
          <w:rFonts w:hint="eastAsia" w:ascii="宋体" w:hAnsi="宋体" w:eastAsia="宋体" w:cs="宋体"/>
          <w:color w:val="auto"/>
          <w:sz w:val="22"/>
          <w:szCs w:val="22"/>
          <w:highlight w:val="none"/>
          <w:u w:val="single"/>
          <w:lang w:val="en-US" w:eastAsia="zh-CN"/>
        </w:rPr>
        <w:t>人</w:t>
      </w:r>
      <w:r>
        <w:rPr>
          <w:rFonts w:hint="eastAsia" w:hAnsi="宋体" w:cs="宋体"/>
          <w:color w:val="auto"/>
          <w:sz w:val="22"/>
          <w:szCs w:val="22"/>
          <w:highlight w:val="none"/>
          <w:u w:val="single"/>
          <w:lang w:val="en-US" w:eastAsia="zh-CN"/>
        </w:rPr>
        <w:t>；</w:t>
      </w:r>
    </w:p>
    <w:p w14:paraId="3045B2D4">
      <w:pPr>
        <w:pStyle w:val="28"/>
        <w:keepNext w:val="0"/>
        <w:keepLines w:val="0"/>
        <w:pageBreakBefore w:val="0"/>
        <w:numPr>
          <w:ilvl w:val="0"/>
          <w:numId w:val="0"/>
        </w:numPr>
        <w:kinsoku/>
        <w:wordWrap/>
        <w:overflowPunct/>
        <w:topLinePunct w:val="0"/>
        <w:autoSpaceDE/>
        <w:autoSpaceDN/>
        <w:bidi w:val="0"/>
        <w:adjustRightInd/>
        <w:snapToGrid/>
        <w:spacing w:line="360" w:lineRule="auto"/>
        <w:ind w:firstLine="440" w:firstLineChars="200"/>
        <w:textAlignment w:val="auto"/>
        <w:rPr>
          <w:rFonts w:hint="eastAsia"/>
          <w:color w:val="auto"/>
          <w:highlight w:val="none"/>
          <w:lang w:val="en-US" w:eastAsia="zh-CN"/>
        </w:rPr>
      </w:pPr>
      <w:r>
        <w:rPr>
          <w:rFonts w:hint="eastAsia" w:ascii="宋体" w:hAnsi="宋体" w:eastAsia="宋体" w:cs="宋体"/>
          <w:color w:val="auto"/>
          <w:kern w:val="2"/>
          <w:sz w:val="22"/>
          <w:szCs w:val="22"/>
          <w:highlight w:val="none"/>
          <w:u w:val="single"/>
          <w:lang w:val="en-US" w:eastAsia="zh-CN" w:bidi="ar-SA"/>
        </w:rPr>
        <w:t>（</w:t>
      </w:r>
      <w:r>
        <w:rPr>
          <w:rFonts w:hint="eastAsia" w:hAnsi="宋体" w:cs="宋体"/>
          <w:color w:val="auto"/>
          <w:kern w:val="2"/>
          <w:sz w:val="22"/>
          <w:szCs w:val="22"/>
          <w:highlight w:val="none"/>
          <w:u w:val="single"/>
          <w:lang w:val="en-US" w:eastAsia="zh-CN" w:bidi="ar-SA"/>
        </w:rPr>
        <w:t>6</w:t>
      </w:r>
      <w:r>
        <w:rPr>
          <w:rFonts w:hint="eastAsia" w:ascii="宋体" w:hAnsi="宋体" w:eastAsia="宋体" w:cs="宋体"/>
          <w:color w:val="auto"/>
          <w:kern w:val="2"/>
          <w:sz w:val="22"/>
          <w:szCs w:val="22"/>
          <w:highlight w:val="none"/>
          <w:u w:val="single"/>
          <w:lang w:val="en-US" w:eastAsia="zh-CN" w:bidi="ar-SA"/>
        </w:rPr>
        <w:t>）</w:t>
      </w:r>
      <w:r>
        <w:rPr>
          <w:rFonts w:hint="eastAsia" w:ascii="宋体" w:hAnsi="宋体" w:eastAsia="宋体" w:cs="宋体"/>
          <w:color w:val="auto"/>
          <w:sz w:val="22"/>
          <w:szCs w:val="22"/>
          <w:highlight w:val="none"/>
          <w:u w:val="single"/>
          <w:lang w:val="en-US" w:eastAsia="zh-CN"/>
        </w:rPr>
        <w:t>行政争议：调解员</w:t>
      </w:r>
      <w:r>
        <w:rPr>
          <w:rFonts w:hint="eastAsia" w:hAnsi="宋体" w:cs="宋体"/>
          <w:color w:val="auto"/>
          <w:sz w:val="22"/>
          <w:szCs w:val="22"/>
          <w:highlight w:val="none"/>
          <w:u w:val="single"/>
          <w:lang w:val="en-US" w:eastAsia="zh-CN"/>
        </w:rPr>
        <w:t>1</w:t>
      </w:r>
      <w:r>
        <w:rPr>
          <w:rFonts w:hint="eastAsia" w:ascii="宋体" w:hAnsi="宋体" w:eastAsia="宋体" w:cs="宋体"/>
          <w:color w:val="auto"/>
          <w:sz w:val="22"/>
          <w:szCs w:val="22"/>
          <w:highlight w:val="none"/>
          <w:u w:val="single"/>
          <w:lang w:val="en-US" w:eastAsia="zh-CN"/>
        </w:rPr>
        <w:t>人</w:t>
      </w:r>
      <w:r>
        <w:rPr>
          <w:rFonts w:hint="eastAsia" w:hAnsi="宋体" w:cs="宋体"/>
          <w:color w:val="auto"/>
          <w:sz w:val="22"/>
          <w:szCs w:val="22"/>
          <w:highlight w:val="none"/>
          <w:u w:val="single"/>
          <w:lang w:val="en-US" w:eastAsia="zh-CN"/>
        </w:rPr>
        <w:t>；</w:t>
      </w:r>
    </w:p>
    <w:p w14:paraId="274D6803">
      <w:pPr>
        <w:pStyle w:val="28"/>
        <w:keepNext w:val="0"/>
        <w:keepLines w:val="0"/>
        <w:pageBreakBefore w:val="0"/>
        <w:numPr>
          <w:ilvl w:val="0"/>
          <w:numId w:val="0"/>
        </w:numPr>
        <w:kinsoku/>
        <w:wordWrap/>
        <w:overflowPunct/>
        <w:topLinePunct w:val="0"/>
        <w:autoSpaceDE/>
        <w:autoSpaceDN/>
        <w:bidi w:val="0"/>
        <w:adjustRightInd/>
        <w:snapToGrid/>
        <w:spacing w:line="360" w:lineRule="auto"/>
        <w:ind w:firstLine="442" w:firstLineChars="200"/>
        <w:textAlignment w:val="auto"/>
        <w:rPr>
          <w:rFonts w:hint="eastAsia" w:ascii="宋体" w:hAnsi="宋体" w:eastAsia="宋体" w:cs="宋体"/>
          <w:b/>
          <w:bCs/>
          <w:color w:val="auto"/>
          <w:sz w:val="22"/>
          <w:szCs w:val="22"/>
          <w:highlight w:val="none"/>
          <w:u w:val="single"/>
          <w:lang w:val="en-US" w:eastAsia="zh-CN"/>
        </w:rPr>
      </w:pPr>
      <w:r>
        <w:rPr>
          <w:rFonts w:hint="eastAsia" w:ascii="宋体" w:hAnsi="宋体" w:eastAsia="宋体" w:cs="宋体"/>
          <w:b/>
          <w:bCs/>
          <w:color w:val="auto"/>
          <w:sz w:val="22"/>
          <w:szCs w:val="22"/>
          <w:highlight w:val="none"/>
          <w:u w:val="single"/>
          <w:lang w:val="en-US" w:eastAsia="zh-CN"/>
        </w:rPr>
        <w:t>特邀调解员，共</w:t>
      </w:r>
      <w:r>
        <w:rPr>
          <w:rFonts w:hint="eastAsia" w:hAnsi="宋体" w:cs="宋体"/>
          <w:b/>
          <w:bCs/>
          <w:color w:val="auto"/>
          <w:sz w:val="22"/>
          <w:szCs w:val="22"/>
          <w:highlight w:val="none"/>
          <w:u w:val="single"/>
          <w:lang w:val="en-US" w:eastAsia="zh-CN"/>
        </w:rPr>
        <w:t>4</w:t>
      </w:r>
      <w:r>
        <w:rPr>
          <w:rFonts w:hint="eastAsia" w:ascii="宋体" w:hAnsi="宋体" w:eastAsia="宋体" w:cs="宋体"/>
          <w:b/>
          <w:bCs/>
          <w:color w:val="auto"/>
          <w:sz w:val="22"/>
          <w:szCs w:val="22"/>
          <w:highlight w:val="none"/>
          <w:u w:val="single"/>
          <w:lang w:val="en-US" w:eastAsia="zh-CN"/>
        </w:rPr>
        <w:t>人，明细如下：</w:t>
      </w:r>
    </w:p>
    <w:p w14:paraId="7F319F64">
      <w:pPr>
        <w:pStyle w:val="28"/>
        <w:keepNext w:val="0"/>
        <w:keepLines w:val="0"/>
        <w:pageBreakBefore w:val="0"/>
        <w:numPr>
          <w:ilvl w:val="0"/>
          <w:numId w:val="0"/>
        </w:numPr>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u w:val="single"/>
          <w:lang w:val="en-US" w:eastAsia="zh-CN"/>
        </w:rPr>
      </w:pPr>
      <w:r>
        <w:rPr>
          <w:rFonts w:hint="eastAsia" w:ascii="宋体" w:hAnsi="宋体" w:eastAsia="宋体" w:cs="宋体"/>
          <w:color w:val="auto"/>
          <w:kern w:val="2"/>
          <w:sz w:val="22"/>
          <w:szCs w:val="22"/>
          <w:highlight w:val="none"/>
          <w:u w:val="single"/>
          <w:lang w:val="en-US" w:eastAsia="zh-CN" w:bidi="ar-SA"/>
        </w:rPr>
        <w:t>（1）</w:t>
      </w:r>
      <w:r>
        <w:rPr>
          <w:rFonts w:hint="eastAsia" w:ascii="宋体" w:hAnsi="宋体" w:eastAsia="宋体" w:cs="宋体"/>
          <w:color w:val="auto"/>
          <w:sz w:val="22"/>
          <w:szCs w:val="22"/>
          <w:highlight w:val="none"/>
          <w:u w:val="single"/>
          <w:lang w:val="en-US" w:eastAsia="zh-CN"/>
        </w:rPr>
        <w:t>金融纠纷：特邀调解员2人，主要调解金融借款合同纠纷和10万元及以上的信用卡纠纷；</w:t>
      </w:r>
    </w:p>
    <w:p w14:paraId="408A71F8">
      <w:pPr>
        <w:pStyle w:val="28"/>
        <w:keepNext w:val="0"/>
        <w:keepLines w:val="0"/>
        <w:pageBreakBefore w:val="0"/>
        <w:numPr>
          <w:ilvl w:val="0"/>
          <w:numId w:val="0"/>
        </w:numPr>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u w:val="single"/>
          <w:lang w:val="en-US" w:eastAsia="zh-CN"/>
        </w:rPr>
      </w:pPr>
      <w:r>
        <w:rPr>
          <w:rFonts w:hint="eastAsia" w:ascii="宋体" w:hAnsi="宋体" w:eastAsia="宋体" w:cs="宋体"/>
          <w:color w:val="auto"/>
          <w:kern w:val="2"/>
          <w:sz w:val="22"/>
          <w:szCs w:val="22"/>
          <w:highlight w:val="none"/>
          <w:u w:val="single"/>
          <w:lang w:val="en-US" w:eastAsia="zh-CN" w:bidi="ar-SA"/>
        </w:rPr>
        <w:t>（2）</w:t>
      </w:r>
      <w:r>
        <w:rPr>
          <w:rFonts w:hint="eastAsia" w:ascii="宋体" w:hAnsi="宋体" w:eastAsia="宋体" w:cs="宋体"/>
          <w:color w:val="auto"/>
          <w:sz w:val="22"/>
          <w:szCs w:val="22"/>
          <w:highlight w:val="none"/>
          <w:u w:val="single"/>
          <w:lang w:val="en-US" w:eastAsia="zh-CN"/>
        </w:rPr>
        <w:t>物业纠纷：调解员</w:t>
      </w:r>
      <w:r>
        <w:rPr>
          <w:rFonts w:hint="eastAsia" w:hAnsi="宋体" w:cs="宋体"/>
          <w:color w:val="auto"/>
          <w:sz w:val="22"/>
          <w:szCs w:val="22"/>
          <w:highlight w:val="none"/>
          <w:u w:val="single"/>
          <w:lang w:val="en-US" w:eastAsia="zh-CN"/>
        </w:rPr>
        <w:t>1</w:t>
      </w:r>
      <w:r>
        <w:rPr>
          <w:rFonts w:hint="eastAsia" w:ascii="宋体" w:hAnsi="宋体" w:eastAsia="宋体" w:cs="宋体"/>
          <w:color w:val="auto"/>
          <w:sz w:val="22"/>
          <w:szCs w:val="22"/>
          <w:highlight w:val="none"/>
          <w:u w:val="single"/>
          <w:lang w:val="en-US" w:eastAsia="zh-CN"/>
        </w:rPr>
        <w:t>人，主要调解物业纠纷；</w:t>
      </w:r>
    </w:p>
    <w:p w14:paraId="42B74913">
      <w:pPr>
        <w:pStyle w:val="28"/>
        <w:keepNext w:val="0"/>
        <w:keepLines w:val="0"/>
        <w:pageBreakBefore w:val="0"/>
        <w:numPr>
          <w:ilvl w:val="0"/>
          <w:numId w:val="0"/>
        </w:numPr>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u w:val="single"/>
          <w:lang w:val="en-US" w:eastAsia="zh-CN"/>
        </w:rPr>
      </w:pPr>
      <w:r>
        <w:rPr>
          <w:rFonts w:hint="eastAsia" w:ascii="宋体" w:hAnsi="宋体" w:eastAsia="宋体" w:cs="宋体"/>
          <w:color w:val="auto"/>
          <w:kern w:val="2"/>
          <w:sz w:val="22"/>
          <w:szCs w:val="22"/>
          <w:highlight w:val="none"/>
          <w:u w:val="single"/>
          <w:lang w:val="en-US" w:eastAsia="zh-CN" w:bidi="ar-SA"/>
        </w:rPr>
        <w:t>（3）</w:t>
      </w:r>
      <w:r>
        <w:rPr>
          <w:rFonts w:hint="eastAsia" w:hAnsi="宋体" w:cs="宋体"/>
          <w:color w:val="auto"/>
          <w:kern w:val="2"/>
          <w:sz w:val="22"/>
          <w:szCs w:val="22"/>
          <w:highlight w:val="none"/>
          <w:u w:val="single"/>
          <w:lang w:val="en-US" w:eastAsia="zh-CN" w:bidi="ar-SA"/>
        </w:rPr>
        <w:t>法院：</w:t>
      </w:r>
      <w:r>
        <w:rPr>
          <w:rFonts w:hint="eastAsia" w:ascii="宋体" w:hAnsi="宋体" w:eastAsia="宋体" w:cs="宋体"/>
          <w:color w:val="auto"/>
          <w:sz w:val="22"/>
          <w:szCs w:val="22"/>
          <w:highlight w:val="none"/>
          <w:u w:val="single"/>
          <w:lang w:val="en-US" w:eastAsia="zh-CN"/>
        </w:rPr>
        <w:t>特邀调解员1人；</w:t>
      </w:r>
    </w:p>
    <w:p w14:paraId="154001FE">
      <w:pPr>
        <w:pStyle w:val="28"/>
        <w:keepNext w:val="0"/>
        <w:keepLines w:val="0"/>
        <w:pageBreakBefore w:val="0"/>
        <w:numPr>
          <w:ilvl w:val="0"/>
          <w:numId w:val="0"/>
        </w:numPr>
        <w:kinsoku/>
        <w:wordWrap/>
        <w:overflowPunct/>
        <w:topLinePunct w:val="0"/>
        <w:autoSpaceDE/>
        <w:autoSpaceDN/>
        <w:bidi w:val="0"/>
        <w:adjustRightInd/>
        <w:snapToGrid/>
        <w:spacing w:line="360" w:lineRule="auto"/>
        <w:ind w:firstLine="442"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b/>
          <w:bCs/>
          <w:strike w:val="0"/>
          <w:dstrike w:val="0"/>
          <w:color w:val="auto"/>
          <w:sz w:val="22"/>
          <w:szCs w:val="22"/>
          <w:highlight w:val="none"/>
          <w:lang w:val="en-US" w:eastAsia="zh-CN"/>
        </w:rPr>
        <w:t>上述专职、特邀调解员数量根据法院、人社、治理中心需要随时调整。</w:t>
      </w:r>
    </w:p>
    <w:p w14:paraId="15D0A654">
      <w:pPr>
        <w:keepNext w:val="0"/>
        <w:keepLines w:val="0"/>
        <w:pageBreakBefore w:val="0"/>
        <w:widowControl/>
        <w:numPr>
          <w:ilvl w:val="0"/>
          <w:numId w:val="0"/>
        </w:numPr>
        <w:tabs>
          <w:tab w:val="left" w:pos="460"/>
        </w:tabs>
        <w:kinsoku/>
        <w:wordWrap/>
        <w:overflowPunct/>
        <w:topLinePunct w:val="0"/>
        <w:autoSpaceDE/>
        <w:autoSpaceDN/>
        <w:bidi w:val="0"/>
        <w:adjustRightInd/>
        <w:snapToGrid w:val="0"/>
        <w:spacing w:line="360" w:lineRule="auto"/>
        <w:ind w:firstLine="442" w:firstLineChars="200"/>
        <w:jc w:val="left"/>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kern w:val="2"/>
          <w:sz w:val="22"/>
          <w:szCs w:val="22"/>
          <w:highlight w:val="none"/>
          <w:lang w:val="en-US" w:eastAsia="zh-CN" w:bidi="ar-SA"/>
        </w:rPr>
        <w:t>五、</w:t>
      </w:r>
      <w:r>
        <w:rPr>
          <w:rFonts w:hint="eastAsia" w:ascii="宋体" w:hAnsi="宋体" w:eastAsia="宋体" w:cs="宋体"/>
          <w:b/>
          <w:bCs/>
          <w:color w:val="auto"/>
          <w:sz w:val="22"/>
          <w:szCs w:val="22"/>
          <w:highlight w:val="none"/>
        </w:rPr>
        <w:t>项目服务内容</w:t>
      </w:r>
    </w:p>
    <w:p w14:paraId="25F6E3EB">
      <w:pPr>
        <w:keepNext w:val="0"/>
        <w:keepLines w:val="0"/>
        <w:pageBreakBefore w:val="0"/>
        <w:numPr>
          <w:ilvl w:val="0"/>
          <w:numId w:val="0"/>
        </w:numPr>
        <w:kinsoku/>
        <w:wordWrap/>
        <w:overflowPunct/>
        <w:topLinePunct w:val="0"/>
        <w:autoSpaceDE/>
        <w:autoSpaceDN/>
        <w:bidi w:val="0"/>
        <w:adjustRightIn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2"/>
          <w:sz w:val="22"/>
          <w:szCs w:val="22"/>
          <w:highlight w:val="none"/>
          <w:lang w:val="en-US" w:eastAsia="zh-CN" w:bidi="ar-SA"/>
        </w:rPr>
        <w:t>（1）</w:t>
      </w:r>
      <w:r>
        <w:rPr>
          <w:rFonts w:hint="eastAsia" w:ascii="宋体" w:hAnsi="宋体" w:eastAsia="宋体" w:cs="宋体"/>
          <w:color w:val="auto"/>
          <w:sz w:val="22"/>
          <w:szCs w:val="22"/>
          <w:highlight w:val="none"/>
        </w:rPr>
        <w:t>派驻人员的工作主要包括</w:t>
      </w:r>
      <w:r>
        <w:rPr>
          <w:rFonts w:hint="eastAsia" w:ascii="宋体" w:hAnsi="宋体" w:eastAsia="宋体" w:cs="宋体"/>
          <w:color w:val="auto"/>
          <w:sz w:val="22"/>
          <w:szCs w:val="22"/>
          <w:highlight w:val="none"/>
          <w:lang w:val="en-US" w:eastAsia="zh-CN"/>
        </w:rPr>
        <w:t>法律、金融、</w:t>
      </w:r>
      <w:r>
        <w:rPr>
          <w:rFonts w:hint="eastAsia" w:ascii="宋体" w:hAnsi="宋体" w:eastAsia="宋体" w:cs="宋体"/>
          <w:color w:val="auto"/>
          <w:sz w:val="22"/>
          <w:szCs w:val="22"/>
          <w:highlight w:val="none"/>
        </w:rPr>
        <w:t>劳动、民事、商事、家事等方面的矛盾纠纷调解服务</w:t>
      </w:r>
      <w:r>
        <w:rPr>
          <w:rFonts w:hint="eastAsia" w:ascii="宋体" w:hAnsi="宋体" w:eastAsia="宋体" w:cs="宋体"/>
          <w:color w:val="auto"/>
          <w:sz w:val="22"/>
          <w:szCs w:val="22"/>
          <w:highlight w:val="none"/>
          <w:lang w:eastAsia="zh-CN"/>
        </w:rPr>
        <w:t>。</w:t>
      </w:r>
    </w:p>
    <w:p w14:paraId="6752D339">
      <w:pPr>
        <w:keepNext w:val="0"/>
        <w:keepLines w:val="0"/>
        <w:pageBreakBefore w:val="0"/>
        <w:numPr>
          <w:ilvl w:val="0"/>
          <w:numId w:val="0"/>
        </w:numPr>
        <w:kinsoku/>
        <w:wordWrap/>
        <w:overflowPunct/>
        <w:topLinePunct w:val="0"/>
        <w:autoSpaceDE/>
        <w:autoSpaceDN/>
        <w:bidi w:val="0"/>
        <w:adjustRightIn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kern w:val="2"/>
          <w:sz w:val="22"/>
          <w:szCs w:val="22"/>
          <w:highlight w:val="none"/>
          <w:lang w:val="en-US" w:eastAsia="zh-CN" w:bidi="ar-SA"/>
        </w:rPr>
        <w:t>（2）</w:t>
      </w:r>
      <w:r>
        <w:rPr>
          <w:rFonts w:hint="eastAsia" w:ascii="宋体" w:hAnsi="宋体" w:eastAsia="宋体" w:cs="宋体"/>
          <w:color w:val="auto"/>
          <w:sz w:val="22"/>
          <w:szCs w:val="22"/>
          <w:highlight w:val="none"/>
        </w:rPr>
        <w:t>工作地点为</w:t>
      </w:r>
      <w:r>
        <w:rPr>
          <w:rFonts w:hint="eastAsia" w:ascii="宋体" w:hAnsi="宋体" w:eastAsia="宋体" w:cs="宋体"/>
          <w:color w:val="auto"/>
          <w:sz w:val="22"/>
          <w:szCs w:val="22"/>
          <w:highlight w:val="none"/>
          <w:lang w:val="en-US" w:eastAsia="zh-CN"/>
        </w:rPr>
        <w:t>义乌市社会治理中心（法院诉前调解员由法院指定工作地点）</w:t>
      </w:r>
      <w:r>
        <w:rPr>
          <w:rFonts w:hint="eastAsia" w:ascii="宋体" w:hAnsi="宋体" w:eastAsia="宋体" w:cs="宋体"/>
          <w:color w:val="auto"/>
          <w:sz w:val="22"/>
          <w:szCs w:val="22"/>
          <w:highlight w:val="none"/>
        </w:rPr>
        <w:t>，执行中心规定上下班时间</w:t>
      </w:r>
      <w:r>
        <w:rPr>
          <w:rFonts w:hint="eastAsia" w:ascii="宋体" w:hAnsi="宋体" w:eastAsia="宋体" w:cs="宋体"/>
          <w:color w:val="auto"/>
          <w:sz w:val="22"/>
          <w:szCs w:val="22"/>
          <w:highlight w:val="none"/>
          <w:lang w:eastAsia="zh-CN"/>
        </w:rPr>
        <w:t>。</w:t>
      </w:r>
    </w:p>
    <w:p w14:paraId="7E066AF3">
      <w:pPr>
        <w:keepNext w:val="0"/>
        <w:keepLines w:val="0"/>
        <w:pageBreakBefore w:val="0"/>
        <w:numPr>
          <w:ilvl w:val="0"/>
          <w:numId w:val="0"/>
        </w:numPr>
        <w:kinsoku/>
        <w:wordWrap/>
        <w:overflowPunct/>
        <w:topLinePunct w:val="0"/>
        <w:autoSpaceDE/>
        <w:autoSpaceDN/>
        <w:bidi w:val="0"/>
        <w:adjustRightIn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2"/>
          <w:sz w:val="22"/>
          <w:szCs w:val="22"/>
          <w:highlight w:val="none"/>
          <w:lang w:val="en-US" w:eastAsia="zh-CN" w:bidi="ar-SA"/>
        </w:rPr>
        <w:t>（3）</w:t>
      </w:r>
      <w:r>
        <w:rPr>
          <w:rFonts w:hint="eastAsia" w:ascii="宋体" w:hAnsi="宋体" w:eastAsia="宋体" w:cs="宋体"/>
          <w:color w:val="auto"/>
          <w:sz w:val="22"/>
          <w:szCs w:val="22"/>
          <w:highlight w:val="none"/>
          <w:lang w:val="en-US" w:eastAsia="zh-CN"/>
        </w:rPr>
        <w:t>提供咨询服务。提供纠纷咨询服务，积极指导当事人使用网上平台，引导当事人通过合理合法途径化解纠纷。</w:t>
      </w:r>
    </w:p>
    <w:p w14:paraId="6B9B96B6">
      <w:pPr>
        <w:keepNext w:val="0"/>
        <w:keepLines w:val="0"/>
        <w:pageBreakBefore w:val="0"/>
        <w:numPr>
          <w:ilvl w:val="0"/>
          <w:numId w:val="0"/>
        </w:numPr>
        <w:kinsoku/>
        <w:wordWrap/>
        <w:overflowPunct/>
        <w:topLinePunct w:val="0"/>
        <w:autoSpaceDE/>
        <w:autoSpaceDN/>
        <w:bidi w:val="0"/>
        <w:adjustRightIn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2"/>
          <w:sz w:val="22"/>
          <w:szCs w:val="22"/>
          <w:highlight w:val="none"/>
          <w:lang w:val="en-US" w:eastAsia="zh-CN" w:bidi="ar-SA"/>
        </w:rPr>
        <w:t>（4）</w:t>
      </w:r>
      <w:r>
        <w:rPr>
          <w:rFonts w:hint="eastAsia" w:ascii="宋体" w:hAnsi="宋体" w:eastAsia="宋体" w:cs="宋体"/>
          <w:color w:val="auto"/>
          <w:sz w:val="22"/>
          <w:szCs w:val="22"/>
          <w:highlight w:val="none"/>
          <w:lang w:val="en-US" w:eastAsia="zh-CN"/>
        </w:rPr>
        <w:t>受理调解申请。受理当事人的调解申请和其他单位委托调解，并进行登记。对不符合人民调解的，及时告知并引导进入其他合法途径处理。</w:t>
      </w:r>
    </w:p>
    <w:p w14:paraId="5D297044">
      <w:pPr>
        <w:keepNext w:val="0"/>
        <w:keepLines w:val="0"/>
        <w:pageBreakBefore w:val="0"/>
        <w:numPr>
          <w:ilvl w:val="0"/>
          <w:numId w:val="0"/>
        </w:numPr>
        <w:kinsoku/>
        <w:wordWrap/>
        <w:overflowPunct/>
        <w:topLinePunct w:val="0"/>
        <w:autoSpaceDE/>
        <w:autoSpaceDN/>
        <w:bidi w:val="0"/>
        <w:adjustRightIn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2"/>
          <w:sz w:val="22"/>
          <w:szCs w:val="22"/>
          <w:highlight w:val="none"/>
          <w:lang w:val="en-US" w:eastAsia="zh-CN" w:bidi="ar-SA"/>
        </w:rPr>
        <w:t>（5）</w:t>
      </w:r>
      <w:r>
        <w:rPr>
          <w:rFonts w:hint="eastAsia" w:ascii="宋体" w:hAnsi="宋体" w:eastAsia="宋体" w:cs="宋体"/>
          <w:color w:val="auto"/>
          <w:sz w:val="22"/>
          <w:szCs w:val="22"/>
          <w:highlight w:val="none"/>
          <w:lang w:val="en-US" w:eastAsia="zh-CN"/>
        </w:rPr>
        <w:t>开展纠纷化解。负责调解已受理的各类纠纷，通过通讯、面谈、法律知识宣传、上门走访等形式开展调解工作。</w:t>
      </w:r>
    </w:p>
    <w:p w14:paraId="6A69FA32">
      <w:pPr>
        <w:keepNext w:val="0"/>
        <w:keepLines w:val="0"/>
        <w:pageBreakBefore w:val="0"/>
        <w:numPr>
          <w:ilvl w:val="0"/>
          <w:numId w:val="0"/>
        </w:numPr>
        <w:kinsoku/>
        <w:wordWrap/>
        <w:overflowPunct/>
        <w:topLinePunct w:val="0"/>
        <w:autoSpaceDE/>
        <w:autoSpaceDN/>
        <w:bidi w:val="0"/>
        <w:adjustRightIn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2"/>
          <w:sz w:val="22"/>
          <w:szCs w:val="22"/>
          <w:highlight w:val="none"/>
          <w:lang w:val="en-US" w:eastAsia="zh-CN" w:bidi="ar-SA"/>
        </w:rPr>
        <w:t>（6）</w:t>
      </w:r>
      <w:r>
        <w:rPr>
          <w:rFonts w:hint="eastAsia" w:ascii="宋体" w:hAnsi="宋体" w:eastAsia="宋体" w:cs="宋体"/>
          <w:color w:val="auto"/>
          <w:sz w:val="22"/>
          <w:szCs w:val="22"/>
          <w:highlight w:val="none"/>
          <w:lang w:val="en-US" w:eastAsia="zh-CN"/>
        </w:rPr>
        <w:t>及时进行回访。适时开展回访，了解调解协议履行情况，当事人对调解的满意程度以及对调解工作的意见、要求等，同时了解调解过程中是否存在纰漏，通过回访彻底消除隐患。</w:t>
      </w:r>
    </w:p>
    <w:p w14:paraId="13098528">
      <w:pPr>
        <w:keepNext w:val="0"/>
        <w:keepLines w:val="0"/>
        <w:pageBreakBefore w:val="0"/>
        <w:numPr>
          <w:ilvl w:val="0"/>
          <w:numId w:val="0"/>
        </w:numPr>
        <w:kinsoku/>
        <w:wordWrap/>
        <w:overflowPunct/>
        <w:topLinePunct w:val="0"/>
        <w:autoSpaceDE/>
        <w:autoSpaceDN/>
        <w:bidi w:val="0"/>
        <w:adjustRightIn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2"/>
          <w:sz w:val="22"/>
          <w:szCs w:val="22"/>
          <w:highlight w:val="none"/>
          <w:lang w:val="en-US" w:eastAsia="zh-CN" w:bidi="ar-SA"/>
        </w:rPr>
        <w:t>（7）</w:t>
      </w:r>
      <w:r>
        <w:rPr>
          <w:rFonts w:hint="eastAsia" w:ascii="宋体" w:hAnsi="宋体" w:eastAsia="宋体" w:cs="宋体"/>
          <w:color w:val="auto"/>
          <w:sz w:val="22"/>
          <w:szCs w:val="22"/>
          <w:highlight w:val="none"/>
          <w:lang w:val="en-US" w:eastAsia="zh-CN"/>
        </w:rPr>
        <w:t>建立工作台账。规范使用全省人民调解工作大数据管理平台，及时登记；规范使用人民调解文书，形成人民调解卷宗等工作台账；按照要求及时报送相关报表。</w:t>
      </w:r>
    </w:p>
    <w:p w14:paraId="3D607E98">
      <w:pPr>
        <w:keepNext w:val="0"/>
        <w:keepLines w:val="0"/>
        <w:pageBreakBefore w:val="0"/>
        <w:numPr>
          <w:ilvl w:val="0"/>
          <w:numId w:val="0"/>
        </w:numPr>
        <w:kinsoku/>
        <w:wordWrap/>
        <w:overflowPunct/>
        <w:topLinePunct w:val="0"/>
        <w:autoSpaceDE/>
        <w:autoSpaceDN/>
        <w:bidi w:val="0"/>
        <w:adjustRightInd/>
        <w:spacing w:line="360" w:lineRule="auto"/>
        <w:ind w:firstLine="440" w:firstLineChars="200"/>
        <w:textAlignment w:val="auto"/>
        <w:rPr>
          <w:rFonts w:hint="eastAsia" w:ascii="宋体" w:hAnsi="宋体" w:eastAsia="宋体" w:cs="宋体"/>
          <w:color w:val="auto"/>
          <w:sz w:val="22"/>
          <w:szCs w:val="22"/>
          <w:highlight w:val="none"/>
          <w:lang w:val="en-US"/>
        </w:rPr>
      </w:pPr>
      <w:r>
        <w:rPr>
          <w:rFonts w:hint="eastAsia" w:ascii="宋体" w:hAnsi="宋体" w:eastAsia="宋体" w:cs="宋体"/>
          <w:color w:val="auto"/>
          <w:kern w:val="2"/>
          <w:sz w:val="22"/>
          <w:szCs w:val="22"/>
          <w:highlight w:val="none"/>
          <w:lang w:val="en-US" w:eastAsia="zh-CN" w:bidi="ar-SA"/>
        </w:rPr>
        <w:t>（8）</w:t>
      </w:r>
      <w:r>
        <w:rPr>
          <w:rFonts w:hint="eastAsia" w:ascii="宋体" w:hAnsi="宋体" w:eastAsia="宋体" w:cs="宋体"/>
          <w:color w:val="auto"/>
          <w:sz w:val="22"/>
          <w:szCs w:val="22"/>
          <w:highlight w:val="none"/>
          <w:lang w:val="en-US" w:eastAsia="zh-CN"/>
        </w:rPr>
        <w:t>定期召开例会。定期召开例会，交流工作开展情况，分析各类纠纷的动态与特点，研究疑难纠纷，商讨化解办法。积极参加各部门组织的相关业务培训活动，提升调解技能。</w:t>
      </w:r>
    </w:p>
    <w:p w14:paraId="342351CE">
      <w:pPr>
        <w:keepNext w:val="0"/>
        <w:keepLines w:val="0"/>
        <w:pageBreakBefore w:val="0"/>
        <w:numPr>
          <w:ilvl w:val="0"/>
          <w:numId w:val="0"/>
        </w:numPr>
        <w:kinsoku/>
        <w:wordWrap/>
        <w:overflowPunct/>
        <w:topLinePunct w:val="0"/>
        <w:autoSpaceDE/>
        <w:autoSpaceDN/>
        <w:bidi w:val="0"/>
        <w:adjustRightIn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2"/>
          <w:sz w:val="22"/>
          <w:szCs w:val="22"/>
          <w:highlight w:val="none"/>
          <w:lang w:val="en-US" w:eastAsia="zh-CN" w:bidi="ar-SA"/>
        </w:rPr>
        <w:t>（9）</w:t>
      </w:r>
      <w:r>
        <w:rPr>
          <w:rFonts w:hint="eastAsia" w:ascii="宋体" w:hAnsi="宋体" w:eastAsia="宋体" w:cs="宋体"/>
          <w:color w:val="auto"/>
          <w:sz w:val="22"/>
          <w:szCs w:val="22"/>
          <w:highlight w:val="none"/>
        </w:rPr>
        <w:t>提供免费法律咨询服务</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引导符合条件的群众申请法律援助或受理、转交法律援助申请</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协助公共法律服务中心进园区、进社区、进小微企业等场所开展宣传、服务活动</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在工作开展过程中根据实际需要增加的其他法律服务。</w:t>
      </w:r>
    </w:p>
    <w:p w14:paraId="012F6667">
      <w:pPr>
        <w:keepNext w:val="0"/>
        <w:keepLines w:val="0"/>
        <w:pageBreakBefore w:val="0"/>
        <w:numPr>
          <w:ilvl w:val="0"/>
          <w:numId w:val="0"/>
        </w:numPr>
        <w:kinsoku/>
        <w:wordWrap/>
        <w:overflowPunct/>
        <w:topLinePunct w:val="0"/>
        <w:autoSpaceDE/>
        <w:autoSpaceDN/>
        <w:bidi w:val="0"/>
        <w:adjustRightInd/>
        <w:spacing w:line="360"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10</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若有政策调整的，乙方应无条件配合。</w:t>
      </w:r>
    </w:p>
    <w:p w14:paraId="211BDC79">
      <w:pPr>
        <w:keepNext w:val="0"/>
        <w:keepLines w:val="0"/>
        <w:pageBreakBefore w:val="0"/>
        <w:widowControl/>
        <w:numPr>
          <w:ilvl w:val="0"/>
          <w:numId w:val="0"/>
        </w:numPr>
        <w:tabs>
          <w:tab w:val="left" w:pos="460"/>
        </w:tabs>
        <w:kinsoku/>
        <w:wordWrap/>
        <w:overflowPunct/>
        <w:topLinePunct w:val="0"/>
        <w:autoSpaceDE/>
        <w:autoSpaceDN/>
        <w:bidi w:val="0"/>
        <w:adjustRightInd/>
        <w:snapToGrid w:val="0"/>
        <w:spacing w:line="360" w:lineRule="auto"/>
        <w:ind w:firstLine="442" w:firstLineChars="200"/>
        <w:jc w:val="left"/>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六、诉前调解案件</w:t>
      </w:r>
    </w:p>
    <w:p w14:paraId="4BDD264B">
      <w:pPr>
        <w:pStyle w:val="17"/>
        <w:keepNext w:val="0"/>
        <w:keepLines w:val="0"/>
        <w:pageBreakBefore w:val="0"/>
        <w:numPr>
          <w:ilvl w:val="0"/>
          <w:numId w:val="0"/>
        </w:numPr>
        <w:kinsoku/>
        <w:wordWrap/>
        <w:overflowPunct/>
        <w:topLinePunct w:val="0"/>
        <w:autoSpaceDE/>
        <w:autoSpaceDN/>
        <w:bidi w:val="0"/>
        <w:adjustRightInd/>
        <w:spacing w:line="360"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诉前调解案件合同单价固定为230元/件，</w:t>
      </w:r>
      <w:r>
        <w:rPr>
          <w:rFonts w:hint="eastAsia" w:ascii="宋体" w:hAnsi="宋体" w:cs="宋体"/>
          <w:color w:val="auto"/>
          <w:sz w:val="22"/>
          <w:szCs w:val="22"/>
          <w:highlight w:val="none"/>
          <w:lang w:val="en-US" w:eastAsia="zh-CN"/>
        </w:rPr>
        <w:t>乙方应按230元/件标准扣除税费后</w:t>
      </w:r>
      <w:r>
        <w:rPr>
          <w:rFonts w:hint="eastAsia" w:ascii="宋体" w:hAnsi="宋体" w:eastAsia="宋体" w:cs="宋体"/>
          <w:color w:val="auto"/>
          <w:sz w:val="22"/>
          <w:szCs w:val="22"/>
          <w:highlight w:val="none"/>
          <w:lang w:val="en-US" w:eastAsia="zh-CN"/>
        </w:rPr>
        <w:t>足额将调解费发放给调解员</w:t>
      </w:r>
      <w:r>
        <w:rPr>
          <w:rFonts w:hint="eastAsia" w:ascii="宋体" w:hAnsi="宋体" w:cs="宋体"/>
          <w:color w:val="auto"/>
          <w:sz w:val="22"/>
          <w:szCs w:val="22"/>
          <w:highlight w:val="none"/>
          <w:lang w:val="en-US" w:eastAsia="zh-CN"/>
        </w:rPr>
        <w:t>。</w:t>
      </w:r>
    </w:p>
    <w:p w14:paraId="737D7BA0">
      <w:pPr>
        <w:pStyle w:val="6"/>
        <w:pageBreakBefore w:val="0"/>
        <w:numPr>
          <w:ilvl w:val="0"/>
          <w:numId w:val="0"/>
        </w:numPr>
        <w:kinsoku/>
        <w:wordWrap/>
        <w:overflowPunct/>
        <w:topLinePunct w:val="0"/>
        <w:autoSpaceDE/>
        <w:autoSpaceDN/>
        <w:bidi w:val="0"/>
        <w:adjustRightInd/>
        <w:snapToGrid/>
        <w:spacing w:before="0" w:beforeLines="0" w:after="0" w:afterLines="0" w:line="336" w:lineRule="auto"/>
        <w:ind w:firstLine="442"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七、</w:t>
      </w:r>
      <w:r>
        <w:rPr>
          <w:rFonts w:hint="eastAsia" w:ascii="宋体" w:hAnsi="宋体" w:eastAsia="宋体" w:cs="宋体"/>
          <w:color w:val="auto"/>
          <w:sz w:val="22"/>
          <w:szCs w:val="22"/>
          <w:highlight w:val="none"/>
          <w:lang w:val="en-US" w:eastAsia="zh-CN"/>
        </w:rPr>
        <w:t>奖励补贴</w:t>
      </w:r>
    </w:p>
    <w:p w14:paraId="0DB26183">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1.行政争议案件补贴方案：以行政争议案件是否调解成功为标准进行差额发放。每参与调解一件行政争议案件，补贴150元；每调解成功一件行政争议案件，再补贴300元。</w:t>
      </w:r>
    </w:p>
    <w:p w14:paraId="5D3D1912">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2.疑难复杂矛盾纠纷，按以下标准分类奖励：</w:t>
      </w:r>
    </w:p>
    <w:p w14:paraId="70D537CF">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（1）争议标的在2万元以上20万元以下的一般疑难复杂纠纷，每件补贴300元；</w:t>
      </w:r>
    </w:p>
    <w:p w14:paraId="300EA7AF">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（2）1人非正常死亡或2人以上伤残、连续2年到市级以上党政机关上访的纠纷、法院执行不了重新调解履行的纠纷，或标的在20万元以上100万元以下的重大疑难复杂纠纷，每件补贴1000元。</w:t>
      </w:r>
    </w:p>
    <w:p w14:paraId="3B236D20">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（3）2人以上非正常死亡，或标的在100万元以上的重特大纠纷、在辖区内有重大影响且涉及人数10人以上群体性纠纷、市以上领导交办的疑难复杂纠纷，每件补贴2000元。</w:t>
      </w:r>
    </w:p>
    <w:p w14:paraId="74EF0662">
      <w:pPr>
        <w:keepNext w:val="0"/>
        <w:keepLines w:val="0"/>
        <w:pageBreakBefore w:val="0"/>
        <w:widowControl/>
        <w:kinsoku/>
        <w:wordWrap/>
        <w:overflowPunct/>
        <w:topLinePunct w:val="0"/>
        <w:autoSpaceDE/>
        <w:autoSpaceDN/>
        <w:bidi w:val="0"/>
        <w:adjustRightInd/>
        <w:spacing w:line="360" w:lineRule="auto"/>
        <w:ind w:firstLine="422"/>
        <w:jc w:val="left"/>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val="en-US" w:eastAsia="zh-CN"/>
        </w:rPr>
        <w:t>八</w:t>
      </w:r>
      <w:r>
        <w:rPr>
          <w:rFonts w:hint="eastAsia" w:ascii="宋体" w:hAnsi="宋体" w:eastAsia="宋体" w:cs="宋体"/>
          <w:b/>
          <w:color w:val="auto"/>
          <w:sz w:val="22"/>
          <w:szCs w:val="22"/>
          <w:highlight w:val="none"/>
        </w:rPr>
        <w:t>、技术资料</w:t>
      </w:r>
    </w:p>
    <w:p w14:paraId="78688400">
      <w:pPr>
        <w:keepNext w:val="0"/>
        <w:keepLines w:val="0"/>
        <w:pageBreakBefore w:val="0"/>
        <w:kinsoku/>
        <w:wordWrap/>
        <w:overflowPunct/>
        <w:topLinePunct w:val="0"/>
        <w:autoSpaceDE/>
        <w:autoSpaceDN/>
        <w:bidi w:val="0"/>
        <w:adjustRightInd/>
        <w:spacing w:line="360" w:lineRule="auto"/>
        <w:ind w:firstLine="42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1.乙方应保证提供服务过程中不会侵犯任何第三方的知识产权，否则乙方应承担由此而产生的一切责任，赔偿甲方由此发生的任何及所有成本、费用和损失。</w:t>
      </w:r>
    </w:p>
    <w:p w14:paraId="746A2363">
      <w:pPr>
        <w:keepNext w:val="0"/>
        <w:keepLines w:val="0"/>
        <w:pageBreakBefore w:val="0"/>
        <w:kinsoku/>
        <w:wordWrap/>
        <w:overflowPunct/>
        <w:topLinePunct w:val="0"/>
        <w:autoSpaceDE/>
        <w:autoSpaceDN/>
        <w:bidi w:val="0"/>
        <w:adjustRightInd/>
        <w:spacing w:line="360" w:lineRule="auto"/>
        <w:ind w:firstLine="42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2.乙方应按</w:t>
      </w:r>
      <w:r>
        <w:rPr>
          <w:rFonts w:hint="eastAsia" w:ascii="宋体" w:hAnsi="宋体" w:eastAsia="宋体" w:cs="宋体"/>
          <w:color w:val="auto"/>
          <w:sz w:val="22"/>
          <w:szCs w:val="22"/>
          <w:highlight w:val="none"/>
          <w:lang w:eastAsia="zh-CN"/>
        </w:rPr>
        <w:t>招标文件</w:t>
      </w:r>
      <w:r>
        <w:rPr>
          <w:rFonts w:hint="eastAsia" w:ascii="宋体" w:hAnsi="宋体" w:eastAsia="宋体" w:cs="宋体"/>
          <w:color w:val="auto"/>
          <w:sz w:val="22"/>
          <w:szCs w:val="22"/>
          <w:highlight w:val="none"/>
        </w:rPr>
        <w:t>规定的时间向甲方提供有关技术资料。</w:t>
      </w:r>
    </w:p>
    <w:p w14:paraId="6C7B2E03">
      <w:pPr>
        <w:keepNext w:val="0"/>
        <w:keepLines w:val="0"/>
        <w:pageBreakBefore w:val="0"/>
        <w:kinsoku/>
        <w:wordWrap/>
        <w:overflowPunct/>
        <w:topLinePunct w:val="0"/>
        <w:autoSpaceDE/>
        <w:autoSpaceDN/>
        <w:bidi w:val="0"/>
        <w:adjustRightInd/>
        <w:spacing w:line="360" w:lineRule="auto"/>
        <w:ind w:firstLine="42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3.没有甲方事先书面同意，乙方不得将由甲方提供的有关合同或任何合同条文、规格、计划、图纸、样品</w:t>
      </w:r>
      <w:r>
        <w:rPr>
          <w:rFonts w:hint="eastAsia" w:ascii="宋体" w:hAnsi="宋体" w:eastAsia="宋体" w:cs="宋体"/>
          <w:color w:val="auto"/>
          <w:sz w:val="22"/>
          <w:szCs w:val="22"/>
          <w:highlight w:val="none"/>
          <w:lang w:eastAsia="zh-CN"/>
        </w:rPr>
        <w:t>或其他</w:t>
      </w:r>
      <w:r>
        <w:rPr>
          <w:rFonts w:hint="eastAsia" w:ascii="宋体" w:hAnsi="宋体" w:eastAsia="宋体" w:cs="宋体"/>
          <w:color w:val="auto"/>
          <w:sz w:val="22"/>
          <w:szCs w:val="22"/>
          <w:highlight w:val="none"/>
        </w:rPr>
        <w:t>资料提供给与履行本合同无关的任何其他人。即使向履行本合同有关的人员提供，也应注意保密并限于履行合同的必需范围。</w:t>
      </w:r>
    </w:p>
    <w:p w14:paraId="26839E05">
      <w:pPr>
        <w:keepNext w:val="0"/>
        <w:keepLines w:val="0"/>
        <w:pageBreakBefore w:val="0"/>
        <w:widowControl/>
        <w:kinsoku/>
        <w:wordWrap/>
        <w:overflowPunct/>
        <w:topLinePunct w:val="0"/>
        <w:autoSpaceDE/>
        <w:autoSpaceDN/>
        <w:bidi w:val="0"/>
        <w:adjustRightInd/>
        <w:spacing w:line="360" w:lineRule="auto"/>
        <w:ind w:firstLine="422"/>
        <w:jc w:val="left"/>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val="en-US" w:eastAsia="zh-CN"/>
        </w:rPr>
        <w:t>九</w:t>
      </w:r>
      <w:r>
        <w:rPr>
          <w:rFonts w:hint="eastAsia" w:ascii="宋体" w:hAnsi="宋体" w:eastAsia="宋体" w:cs="宋体"/>
          <w:b/>
          <w:color w:val="auto"/>
          <w:sz w:val="22"/>
          <w:szCs w:val="22"/>
          <w:highlight w:val="none"/>
        </w:rPr>
        <w:t>、转包或分包</w:t>
      </w:r>
    </w:p>
    <w:p w14:paraId="69BD46EE">
      <w:pPr>
        <w:keepNext w:val="0"/>
        <w:keepLines w:val="0"/>
        <w:pageBreakBefore w:val="0"/>
        <w:kinsoku/>
        <w:wordWrap/>
        <w:overflowPunct/>
        <w:topLinePunct w:val="0"/>
        <w:autoSpaceDE/>
        <w:autoSpaceDN/>
        <w:bidi w:val="0"/>
        <w:adjustRightInd/>
        <w:spacing w:line="360" w:lineRule="auto"/>
        <w:ind w:firstLine="42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1.本合同范围的服务，应由乙方直接供应，不得转让他人供应；</w:t>
      </w:r>
    </w:p>
    <w:p w14:paraId="1377061A">
      <w:pPr>
        <w:keepNext w:val="0"/>
        <w:keepLines w:val="0"/>
        <w:pageBreakBefore w:val="0"/>
        <w:kinsoku/>
        <w:wordWrap/>
        <w:overflowPunct/>
        <w:topLinePunct w:val="0"/>
        <w:autoSpaceDE/>
        <w:autoSpaceDN/>
        <w:bidi w:val="0"/>
        <w:adjustRightInd/>
        <w:spacing w:line="360" w:lineRule="auto"/>
        <w:ind w:firstLine="42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2.乙方不得将本合同范围的服务全部或部分分包给他人供应；</w:t>
      </w:r>
    </w:p>
    <w:p w14:paraId="09C6AA18">
      <w:pPr>
        <w:keepNext w:val="0"/>
        <w:keepLines w:val="0"/>
        <w:pageBreakBefore w:val="0"/>
        <w:kinsoku/>
        <w:wordWrap/>
        <w:overflowPunct/>
        <w:topLinePunct w:val="0"/>
        <w:autoSpaceDE/>
        <w:autoSpaceDN/>
        <w:bidi w:val="0"/>
        <w:adjustRightInd/>
        <w:spacing w:line="360" w:lineRule="auto"/>
        <w:ind w:firstLine="42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3.如乙方有转让或分包行为，甲方将解除合同。</w:t>
      </w:r>
    </w:p>
    <w:p w14:paraId="3E1DAA86">
      <w:pPr>
        <w:keepNext w:val="0"/>
        <w:keepLines w:val="0"/>
        <w:pageBreakBefore w:val="0"/>
        <w:kinsoku/>
        <w:wordWrap/>
        <w:overflowPunct/>
        <w:topLinePunct w:val="0"/>
        <w:autoSpaceDE/>
        <w:autoSpaceDN/>
        <w:bidi w:val="0"/>
        <w:adjustRightInd/>
        <w:spacing w:line="360" w:lineRule="auto"/>
        <w:ind w:firstLine="42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十</w:t>
      </w:r>
      <w:r>
        <w:rPr>
          <w:rFonts w:hint="eastAsia" w:ascii="宋体" w:hAnsi="宋体" w:eastAsia="宋体" w:cs="宋体"/>
          <w:b/>
          <w:color w:val="auto"/>
          <w:sz w:val="22"/>
          <w:szCs w:val="22"/>
          <w:highlight w:val="none"/>
        </w:rPr>
        <w:t>、付款方式：</w:t>
      </w:r>
      <w:r>
        <w:rPr>
          <w:rFonts w:hint="eastAsia" w:ascii="宋体" w:hAnsi="宋体" w:eastAsia="宋体" w:cs="宋体"/>
          <w:b w:val="0"/>
          <w:bCs/>
          <w:color w:val="auto"/>
          <w:sz w:val="22"/>
          <w:szCs w:val="22"/>
          <w:highlight w:val="none"/>
          <w:u w:val="single"/>
          <w:lang w:val="en-US" w:eastAsia="zh-CN"/>
        </w:rPr>
        <w:t xml:space="preserve">     （与招标文件一致）    </w:t>
      </w:r>
      <w:r>
        <w:rPr>
          <w:rFonts w:hint="eastAsia" w:ascii="宋体" w:hAnsi="宋体" w:eastAsia="宋体" w:cs="宋体"/>
          <w:b/>
          <w:color w:val="auto"/>
          <w:sz w:val="22"/>
          <w:szCs w:val="22"/>
          <w:highlight w:val="none"/>
          <w:lang w:val="en-US" w:eastAsia="zh-CN"/>
        </w:rPr>
        <w:t xml:space="preserve"> </w:t>
      </w:r>
      <w:r>
        <w:rPr>
          <w:rFonts w:hint="eastAsia" w:ascii="宋体" w:hAnsi="宋体" w:eastAsia="宋体" w:cs="宋体"/>
          <w:color w:val="auto"/>
          <w:sz w:val="22"/>
          <w:szCs w:val="22"/>
          <w:highlight w:val="none"/>
          <w:lang w:val="en-US" w:eastAsia="zh-CN"/>
        </w:rPr>
        <w:t>。</w:t>
      </w:r>
    </w:p>
    <w:p w14:paraId="421AF757">
      <w:pPr>
        <w:keepNext w:val="0"/>
        <w:keepLines w:val="0"/>
        <w:pageBreakBefore w:val="0"/>
        <w:widowControl/>
        <w:kinsoku/>
        <w:wordWrap/>
        <w:overflowPunct/>
        <w:topLinePunct w:val="0"/>
        <w:autoSpaceDE/>
        <w:autoSpaceDN/>
        <w:bidi w:val="0"/>
        <w:adjustRightInd/>
        <w:spacing w:line="360" w:lineRule="auto"/>
        <w:ind w:firstLine="422"/>
        <w:jc w:val="left"/>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val="en-US" w:eastAsia="zh-CN"/>
        </w:rPr>
        <w:t>十一</w:t>
      </w:r>
      <w:r>
        <w:rPr>
          <w:rFonts w:hint="eastAsia" w:ascii="宋体" w:hAnsi="宋体" w:eastAsia="宋体" w:cs="宋体"/>
          <w:b/>
          <w:color w:val="auto"/>
          <w:sz w:val="22"/>
          <w:szCs w:val="22"/>
          <w:highlight w:val="none"/>
        </w:rPr>
        <w:t>、税费</w:t>
      </w:r>
    </w:p>
    <w:p w14:paraId="4BF8748B">
      <w:pPr>
        <w:keepNext w:val="0"/>
        <w:keepLines w:val="0"/>
        <w:pageBreakBefore w:val="0"/>
        <w:widowControl/>
        <w:kinsoku/>
        <w:wordWrap/>
        <w:overflowPunct/>
        <w:topLinePunct w:val="0"/>
        <w:autoSpaceDE/>
        <w:autoSpaceDN/>
        <w:bidi w:val="0"/>
        <w:adjustRightInd/>
        <w:spacing w:line="360" w:lineRule="auto"/>
        <w:ind w:firstLine="42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本合同执行中相关的一切税费均由乙方负担。</w:t>
      </w:r>
    </w:p>
    <w:p w14:paraId="2681FCCB">
      <w:pPr>
        <w:keepNext w:val="0"/>
        <w:keepLines w:val="0"/>
        <w:pageBreakBefore w:val="0"/>
        <w:widowControl/>
        <w:kinsoku/>
        <w:wordWrap/>
        <w:overflowPunct/>
        <w:topLinePunct w:val="0"/>
        <w:autoSpaceDE/>
        <w:autoSpaceDN/>
        <w:bidi w:val="0"/>
        <w:adjustRightInd/>
        <w:spacing w:line="360" w:lineRule="auto"/>
        <w:ind w:firstLine="422"/>
        <w:jc w:val="left"/>
        <w:textAlignment w:val="auto"/>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lang w:val="en-US" w:eastAsia="zh-CN"/>
        </w:rPr>
        <w:t>十二</w:t>
      </w:r>
      <w:r>
        <w:rPr>
          <w:rFonts w:hint="eastAsia" w:ascii="宋体" w:hAnsi="宋体" w:eastAsia="宋体" w:cs="宋体"/>
          <w:b/>
          <w:color w:val="auto"/>
          <w:sz w:val="22"/>
          <w:szCs w:val="22"/>
          <w:highlight w:val="none"/>
        </w:rPr>
        <w:t>、甲乙双方的责任</w:t>
      </w:r>
    </w:p>
    <w:p w14:paraId="628926BB">
      <w:pPr>
        <w:keepNext w:val="0"/>
        <w:keepLines w:val="0"/>
        <w:pageBreakBefore w:val="0"/>
        <w:widowControl/>
        <w:kinsoku/>
        <w:wordWrap/>
        <w:overflowPunct/>
        <w:topLinePunct w:val="0"/>
        <w:autoSpaceDE/>
        <w:autoSpaceDN/>
        <w:bidi w:val="0"/>
        <w:adjustRightInd/>
        <w:spacing w:line="360" w:lineRule="auto"/>
        <w:ind w:firstLine="422"/>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（一）甲方职责</w:t>
      </w:r>
    </w:p>
    <w:p w14:paraId="4C43A197">
      <w:pPr>
        <w:keepNext w:val="0"/>
        <w:keepLines w:val="0"/>
        <w:pageBreakBefore w:val="0"/>
        <w:widowControl/>
        <w:kinsoku/>
        <w:wordWrap/>
        <w:overflowPunct/>
        <w:topLinePunct w:val="0"/>
        <w:autoSpaceDE/>
        <w:autoSpaceDN/>
        <w:bidi w:val="0"/>
        <w:adjustRightInd/>
        <w:spacing w:line="360" w:lineRule="auto"/>
        <w:ind w:firstLine="422"/>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按规定核拨给乙方服务费。</w:t>
      </w:r>
    </w:p>
    <w:p w14:paraId="1A1766A3">
      <w:pPr>
        <w:keepNext w:val="0"/>
        <w:keepLines w:val="0"/>
        <w:pageBreakBefore w:val="0"/>
        <w:widowControl/>
        <w:kinsoku/>
        <w:wordWrap/>
        <w:overflowPunct/>
        <w:topLinePunct w:val="0"/>
        <w:autoSpaceDE/>
        <w:autoSpaceDN/>
        <w:bidi w:val="0"/>
        <w:adjustRightInd/>
        <w:spacing w:line="360" w:lineRule="auto"/>
        <w:ind w:firstLine="422"/>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（二）乙方职责</w:t>
      </w:r>
    </w:p>
    <w:p w14:paraId="7CEF8046">
      <w:pPr>
        <w:keepNext w:val="0"/>
        <w:keepLines w:val="0"/>
        <w:pageBreakBefore w:val="0"/>
        <w:widowControl/>
        <w:kinsoku/>
        <w:wordWrap/>
        <w:overflowPunct/>
        <w:topLinePunct w:val="0"/>
        <w:autoSpaceDE/>
        <w:autoSpaceDN/>
        <w:bidi w:val="0"/>
        <w:adjustRightInd/>
        <w:spacing w:line="360" w:lineRule="auto"/>
        <w:ind w:firstLine="422"/>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1.按本项目</w:t>
      </w:r>
      <w:r>
        <w:rPr>
          <w:rFonts w:hint="eastAsia" w:ascii="宋体" w:hAnsi="宋体" w:eastAsia="宋体" w:cs="宋体"/>
          <w:color w:val="auto"/>
          <w:sz w:val="22"/>
          <w:szCs w:val="22"/>
          <w:highlight w:val="none"/>
          <w:lang w:eastAsia="zh-CN"/>
        </w:rPr>
        <w:t>招标文件</w:t>
      </w:r>
      <w:r>
        <w:rPr>
          <w:rFonts w:hint="eastAsia" w:ascii="宋体" w:hAnsi="宋体" w:eastAsia="宋体" w:cs="宋体"/>
          <w:color w:val="auto"/>
          <w:sz w:val="22"/>
          <w:szCs w:val="22"/>
          <w:highlight w:val="none"/>
        </w:rPr>
        <w:t>第三章招标项目要求及</w:t>
      </w:r>
      <w:r>
        <w:rPr>
          <w:rFonts w:hint="eastAsia" w:ascii="宋体" w:hAnsi="宋体" w:eastAsia="宋体" w:cs="宋体"/>
          <w:color w:val="auto"/>
          <w:sz w:val="22"/>
          <w:szCs w:val="22"/>
          <w:highlight w:val="none"/>
          <w:lang w:val="en-US" w:eastAsia="zh-CN"/>
        </w:rPr>
        <w:t>投标文件</w:t>
      </w:r>
      <w:r>
        <w:rPr>
          <w:rFonts w:hint="eastAsia" w:ascii="宋体" w:hAnsi="宋体" w:eastAsia="宋体" w:cs="宋体"/>
          <w:color w:val="auto"/>
          <w:sz w:val="22"/>
          <w:szCs w:val="22"/>
          <w:highlight w:val="none"/>
        </w:rPr>
        <w:t>执行。</w:t>
      </w:r>
    </w:p>
    <w:p w14:paraId="416F3936">
      <w:pPr>
        <w:keepNext w:val="0"/>
        <w:keepLines w:val="0"/>
        <w:pageBreakBefore w:val="0"/>
        <w:widowControl/>
        <w:kinsoku/>
        <w:wordWrap/>
        <w:overflowPunct/>
        <w:topLinePunct w:val="0"/>
        <w:autoSpaceDE/>
        <w:autoSpaceDN/>
        <w:bidi w:val="0"/>
        <w:adjustRightInd/>
        <w:spacing w:line="360" w:lineRule="auto"/>
        <w:ind w:firstLine="422"/>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2.须遵照义乌市有关的规章制度和考核办法执行，并接受甲方和相关部门的监管和考核。</w:t>
      </w:r>
    </w:p>
    <w:p w14:paraId="79D2A096">
      <w:pPr>
        <w:keepNext w:val="0"/>
        <w:keepLines w:val="0"/>
        <w:pageBreakBefore w:val="0"/>
        <w:widowControl/>
        <w:kinsoku/>
        <w:wordWrap/>
        <w:overflowPunct/>
        <w:topLinePunct w:val="0"/>
        <w:autoSpaceDE/>
        <w:autoSpaceDN/>
        <w:bidi w:val="0"/>
        <w:adjustRightInd/>
        <w:spacing w:line="360" w:lineRule="auto"/>
        <w:ind w:firstLine="422"/>
        <w:jc w:val="left"/>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val="en-US" w:eastAsia="zh-CN"/>
        </w:rPr>
        <w:t>十三</w:t>
      </w:r>
      <w:r>
        <w:rPr>
          <w:rFonts w:hint="eastAsia" w:ascii="宋体" w:hAnsi="宋体" w:eastAsia="宋体" w:cs="宋体"/>
          <w:b/>
          <w:color w:val="auto"/>
          <w:sz w:val="22"/>
          <w:szCs w:val="22"/>
          <w:highlight w:val="none"/>
        </w:rPr>
        <w:t>、违约责任：</w:t>
      </w:r>
    </w:p>
    <w:p w14:paraId="3E6A9D54">
      <w:pPr>
        <w:keepNext w:val="0"/>
        <w:keepLines w:val="0"/>
        <w:pageBreakBefore w:val="0"/>
        <w:widowControl/>
        <w:kinsoku/>
        <w:wordWrap/>
        <w:overflowPunct/>
        <w:topLinePunct w:val="0"/>
        <w:autoSpaceDE/>
        <w:autoSpaceDN/>
        <w:bidi w:val="0"/>
        <w:adjustRightInd/>
        <w:spacing w:line="360" w:lineRule="auto"/>
        <w:ind w:firstLine="42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1.甲方无正当理由拒绝合同执行的，甲方向乙方偿付合同价款总值的百分之三十违约金。</w:t>
      </w:r>
    </w:p>
    <w:p w14:paraId="1089213F">
      <w:pPr>
        <w:keepNext w:val="0"/>
        <w:keepLines w:val="0"/>
        <w:pageBreakBefore w:val="0"/>
        <w:widowControl/>
        <w:kinsoku/>
        <w:wordWrap/>
        <w:overflowPunct/>
        <w:topLinePunct w:val="0"/>
        <w:autoSpaceDE/>
        <w:autoSpaceDN/>
        <w:bidi w:val="0"/>
        <w:adjustRightInd/>
        <w:spacing w:line="360" w:lineRule="auto"/>
        <w:ind w:firstLine="42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2.甲方逾期支付承包款的，甲方向乙方偿付欠款总额千分之五的违约金。</w:t>
      </w:r>
    </w:p>
    <w:p w14:paraId="50C85578">
      <w:pPr>
        <w:keepNext w:val="0"/>
        <w:keepLines w:val="0"/>
        <w:pageBreakBefore w:val="0"/>
        <w:widowControl/>
        <w:kinsoku/>
        <w:wordWrap/>
        <w:overflowPunct/>
        <w:topLinePunct w:val="0"/>
        <w:autoSpaceDE/>
        <w:autoSpaceDN/>
        <w:bidi w:val="0"/>
        <w:adjustRightInd/>
        <w:spacing w:line="360" w:lineRule="auto"/>
        <w:ind w:firstLine="42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3.乙方不能执行合同的，乙方向甲方支付合同款总额百分之三十的违约金。</w:t>
      </w:r>
    </w:p>
    <w:p w14:paraId="526C30CF">
      <w:pPr>
        <w:keepNext w:val="0"/>
        <w:keepLines w:val="0"/>
        <w:pageBreakBefore w:val="0"/>
        <w:widowControl/>
        <w:kinsoku/>
        <w:wordWrap/>
        <w:overflowPunct/>
        <w:topLinePunct w:val="0"/>
        <w:autoSpaceDE/>
        <w:autoSpaceDN/>
        <w:bidi w:val="0"/>
        <w:adjustRightInd/>
        <w:spacing w:line="360" w:lineRule="auto"/>
        <w:ind w:firstLine="42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4.乙方逾期进场正常工作的，乙方向甲方每日偿付合同款总额千分之五的违约金。</w:t>
      </w:r>
    </w:p>
    <w:p w14:paraId="52925653">
      <w:pPr>
        <w:keepNext w:val="0"/>
        <w:keepLines w:val="0"/>
        <w:pageBreakBefore w:val="0"/>
        <w:widowControl/>
        <w:kinsoku/>
        <w:wordWrap/>
        <w:overflowPunct/>
        <w:topLinePunct w:val="0"/>
        <w:autoSpaceDE/>
        <w:autoSpaceDN/>
        <w:bidi w:val="0"/>
        <w:adjustRightInd/>
        <w:spacing w:line="360" w:lineRule="auto"/>
        <w:ind w:firstLine="422"/>
        <w:jc w:val="left"/>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十</w:t>
      </w:r>
      <w:r>
        <w:rPr>
          <w:rFonts w:hint="eastAsia" w:ascii="宋体" w:hAnsi="宋体" w:eastAsia="宋体" w:cs="宋体"/>
          <w:b/>
          <w:color w:val="auto"/>
          <w:sz w:val="22"/>
          <w:szCs w:val="22"/>
          <w:highlight w:val="none"/>
          <w:lang w:val="en-US" w:eastAsia="zh-CN"/>
        </w:rPr>
        <w:t>四</w:t>
      </w:r>
      <w:r>
        <w:rPr>
          <w:rFonts w:hint="eastAsia" w:ascii="宋体" w:hAnsi="宋体" w:eastAsia="宋体" w:cs="宋体"/>
          <w:b/>
          <w:color w:val="auto"/>
          <w:sz w:val="22"/>
          <w:szCs w:val="22"/>
          <w:highlight w:val="none"/>
        </w:rPr>
        <w:t>、不可抗力事件处理</w:t>
      </w:r>
    </w:p>
    <w:p w14:paraId="01597898">
      <w:pPr>
        <w:keepNext w:val="0"/>
        <w:keepLines w:val="0"/>
        <w:pageBreakBefore w:val="0"/>
        <w:widowControl/>
        <w:kinsoku/>
        <w:wordWrap/>
        <w:overflowPunct/>
        <w:topLinePunct w:val="0"/>
        <w:autoSpaceDE/>
        <w:autoSpaceDN/>
        <w:bidi w:val="0"/>
        <w:adjustRightInd/>
        <w:spacing w:line="360" w:lineRule="auto"/>
        <w:ind w:firstLine="42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1.在合同有效期内，任何一方因不可抗力事件导致不能履行合同，则合同履行期可延长，其延长期与不可抗力影响期相同。</w:t>
      </w:r>
    </w:p>
    <w:p w14:paraId="2B39D74E">
      <w:pPr>
        <w:keepNext w:val="0"/>
        <w:keepLines w:val="0"/>
        <w:pageBreakBefore w:val="0"/>
        <w:widowControl/>
        <w:kinsoku/>
        <w:wordWrap/>
        <w:overflowPunct/>
        <w:topLinePunct w:val="0"/>
        <w:autoSpaceDE/>
        <w:autoSpaceDN/>
        <w:bidi w:val="0"/>
        <w:adjustRightInd/>
        <w:spacing w:line="360" w:lineRule="auto"/>
        <w:ind w:firstLine="42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2.不可抗力事件发生后，应立即通知对方，并寄送有关权威机构出具的文件。</w:t>
      </w:r>
    </w:p>
    <w:p w14:paraId="0BA555F2">
      <w:pPr>
        <w:keepNext w:val="0"/>
        <w:keepLines w:val="0"/>
        <w:pageBreakBefore w:val="0"/>
        <w:widowControl/>
        <w:kinsoku/>
        <w:wordWrap/>
        <w:overflowPunct/>
        <w:topLinePunct w:val="0"/>
        <w:autoSpaceDE/>
        <w:autoSpaceDN/>
        <w:bidi w:val="0"/>
        <w:adjustRightInd/>
        <w:spacing w:line="360" w:lineRule="auto"/>
        <w:ind w:firstLine="42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3.不可抗力事件延续</w:t>
      </w:r>
      <w:r>
        <w:rPr>
          <w:rFonts w:hint="eastAsia" w:ascii="宋体" w:hAnsi="宋体" w:eastAsia="宋体" w:cs="宋体"/>
          <w:color w:val="auto"/>
          <w:kern w:val="1"/>
          <w:sz w:val="22"/>
          <w:szCs w:val="22"/>
          <w:highlight w:val="none"/>
          <w:u w:val="single"/>
          <w:lang w:val="en-US" w:eastAsia="zh-CN"/>
        </w:rPr>
        <w:t>10</w:t>
      </w:r>
      <w:r>
        <w:rPr>
          <w:rFonts w:hint="eastAsia" w:ascii="宋体" w:hAnsi="宋体" w:eastAsia="宋体" w:cs="宋体"/>
          <w:color w:val="auto"/>
          <w:sz w:val="22"/>
          <w:szCs w:val="22"/>
          <w:highlight w:val="none"/>
        </w:rPr>
        <w:t>天以上，双方应通过友好协商，确定是否继续履行合同。</w:t>
      </w:r>
    </w:p>
    <w:p w14:paraId="4B906985">
      <w:pPr>
        <w:keepNext w:val="0"/>
        <w:keepLines w:val="0"/>
        <w:pageBreakBefore w:val="0"/>
        <w:widowControl/>
        <w:kinsoku/>
        <w:wordWrap/>
        <w:overflowPunct/>
        <w:topLinePunct w:val="0"/>
        <w:autoSpaceDE/>
        <w:autoSpaceDN/>
        <w:bidi w:val="0"/>
        <w:adjustRightInd/>
        <w:spacing w:line="360" w:lineRule="auto"/>
        <w:ind w:firstLine="422"/>
        <w:jc w:val="left"/>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十</w:t>
      </w:r>
      <w:r>
        <w:rPr>
          <w:rFonts w:hint="eastAsia" w:ascii="宋体" w:hAnsi="宋体" w:eastAsia="宋体" w:cs="宋体"/>
          <w:b/>
          <w:color w:val="auto"/>
          <w:sz w:val="22"/>
          <w:szCs w:val="22"/>
          <w:highlight w:val="none"/>
          <w:lang w:val="en-US" w:eastAsia="zh-CN"/>
        </w:rPr>
        <w:t>五</w:t>
      </w:r>
      <w:r>
        <w:rPr>
          <w:rFonts w:hint="eastAsia" w:ascii="宋体" w:hAnsi="宋体" w:eastAsia="宋体" w:cs="宋体"/>
          <w:b/>
          <w:color w:val="auto"/>
          <w:sz w:val="22"/>
          <w:szCs w:val="22"/>
          <w:highlight w:val="none"/>
        </w:rPr>
        <w:t>、诉讼</w:t>
      </w:r>
    </w:p>
    <w:p w14:paraId="32604185">
      <w:pPr>
        <w:keepNext w:val="0"/>
        <w:keepLines w:val="0"/>
        <w:pageBreakBefore w:val="0"/>
        <w:widowControl/>
        <w:kinsoku/>
        <w:wordWrap/>
        <w:overflowPunct/>
        <w:topLinePunct w:val="0"/>
        <w:autoSpaceDE/>
        <w:autoSpaceDN/>
        <w:bidi w:val="0"/>
        <w:adjustRightInd/>
        <w:spacing w:line="360" w:lineRule="auto"/>
        <w:ind w:firstLine="42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本合同项目所在地为义乌市，本合同发生争议产生的诉讼，可向项目所在地有管辖权的法院提起诉讼。</w:t>
      </w:r>
    </w:p>
    <w:p w14:paraId="22929FA7">
      <w:pPr>
        <w:keepNext w:val="0"/>
        <w:keepLines w:val="0"/>
        <w:pageBreakBefore w:val="0"/>
        <w:widowControl/>
        <w:kinsoku/>
        <w:wordWrap/>
        <w:overflowPunct/>
        <w:topLinePunct w:val="0"/>
        <w:autoSpaceDE/>
        <w:autoSpaceDN/>
        <w:bidi w:val="0"/>
        <w:adjustRightInd/>
        <w:spacing w:line="360" w:lineRule="auto"/>
        <w:ind w:firstLine="420"/>
        <w:jc w:val="left"/>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十</w:t>
      </w:r>
      <w:r>
        <w:rPr>
          <w:rFonts w:hint="eastAsia" w:ascii="宋体" w:hAnsi="宋体" w:eastAsia="宋体" w:cs="宋体"/>
          <w:b/>
          <w:color w:val="auto"/>
          <w:sz w:val="22"/>
          <w:szCs w:val="22"/>
          <w:highlight w:val="none"/>
          <w:lang w:val="en-US" w:eastAsia="zh-CN"/>
        </w:rPr>
        <w:t>六</w:t>
      </w:r>
      <w:r>
        <w:rPr>
          <w:rFonts w:hint="eastAsia" w:ascii="宋体" w:hAnsi="宋体" w:eastAsia="宋体" w:cs="宋体"/>
          <w:b/>
          <w:color w:val="auto"/>
          <w:sz w:val="22"/>
          <w:szCs w:val="22"/>
          <w:highlight w:val="none"/>
        </w:rPr>
        <w:t>、合同双方确认，本合同及合同约定</w:t>
      </w:r>
      <w:r>
        <w:rPr>
          <w:rFonts w:hint="eastAsia" w:ascii="宋体" w:hAnsi="宋体" w:eastAsia="宋体" w:cs="宋体"/>
          <w:b/>
          <w:color w:val="auto"/>
          <w:sz w:val="22"/>
          <w:szCs w:val="22"/>
          <w:highlight w:val="none"/>
          <w:lang w:eastAsia="zh-CN"/>
        </w:rPr>
        <w:t>的其他文件</w:t>
      </w:r>
      <w:r>
        <w:rPr>
          <w:rFonts w:hint="eastAsia" w:ascii="宋体" w:hAnsi="宋体" w:eastAsia="宋体" w:cs="宋体"/>
          <w:b/>
          <w:color w:val="auto"/>
          <w:sz w:val="22"/>
          <w:szCs w:val="22"/>
          <w:highlight w:val="none"/>
        </w:rPr>
        <w:t>组成部分中的各项约定都是通过法定招标采购过程形成的合法成果，如果乙方的</w:t>
      </w:r>
      <w:r>
        <w:rPr>
          <w:rFonts w:hint="eastAsia" w:ascii="宋体" w:hAnsi="宋体" w:eastAsia="宋体" w:cs="宋体"/>
          <w:b/>
          <w:color w:val="auto"/>
          <w:sz w:val="22"/>
          <w:szCs w:val="22"/>
          <w:highlight w:val="none"/>
          <w:lang w:eastAsia="zh-CN"/>
        </w:rPr>
        <w:t>投标文件</w:t>
      </w:r>
      <w:r>
        <w:rPr>
          <w:rFonts w:hint="eastAsia" w:ascii="宋体" w:hAnsi="宋体" w:eastAsia="宋体" w:cs="宋体"/>
          <w:b/>
          <w:color w:val="auto"/>
          <w:sz w:val="22"/>
          <w:szCs w:val="22"/>
          <w:highlight w:val="none"/>
        </w:rPr>
        <w:t>与</w:t>
      </w:r>
      <w:r>
        <w:rPr>
          <w:rFonts w:hint="eastAsia" w:ascii="宋体" w:hAnsi="宋体" w:eastAsia="宋体" w:cs="宋体"/>
          <w:b/>
          <w:color w:val="auto"/>
          <w:sz w:val="22"/>
          <w:szCs w:val="22"/>
          <w:highlight w:val="none"/>
          <w:lang w:eastAsia="zh-CN"/>
        </w:rPr>
        <w:t>招标文件</w:t>
      </w:r>
      <w:r>
        <w:rPr>
          <w:rFonts w:hint="eastAsia" w:ascii="宋体" w:hAnsi="宋体" w:eastAsia="宋体" w:cs="宋体"/>
          <w:b/>
          <w:color w:val="auto"/>
          <w:sz w:val="22"/>
          <w:szCs w:val="22"/>
          <w:highlight w:val="none"/>
        </w:rPr>
        <w:t>要求不一致的，履约时应以有利于甲方的条款执行。如果不一致条款不是合同双方真实意思的表示，对合同双方不形成任何合同或法律约束力。合同双方也不存在且也不会签订任何背离合同实质性内容的其他协议或合同。如果存在或签订背离本合同实质性内容的其他协议或合同，也不是合同双方真实意思的表示，对合同双方不构成任何合同或法律约束力。</w:t>
      </w:r>
    </w:p>
    <w:p w14:paraId="6B18EDA0">
      <w:pPr>
        <w:keepNext w:val="0"/>
        <w:keepLines w:val="0"/>
        <w:pageBreakBefore w:val="0"/>
        <w:widowControl/>
        <w:kinsoku/>
        <w:wordWrap/>
        <w:overflowPunct/>
        <w:topLinePunct w:val="0"/>
        <w:autoSpaceDE/>
        <w:autoSpaceDN/>
        <w:bidi w:val="0"/>
        <w:adjustRightInd/>
        <w:spacing w:line="360" w:lineRule="auto"/>
        <w:ind w:firstLine="422"/>
        <w:jc w:val="left"/>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十</w:t>
      </w:r>
      <w:r>
        <w:rPr>
          <w:rFonts w:hint="eastAsia" w:ascii="宋体" w:hAnsi="宋体" w:eastAsia="宋体" w:cs="宋体"/>
          <w:b/>
          <w:color w:val="auto"/>
          <w:sz w:val="22"/>
          <w:szCs w:val="22"/>
          <w:highlight w:val="none"/>
          <w:lang w:val="en-US" w:eastAsia="zh-CN"/>
        </w:rPr>
        <w:t>七</w:t>
      </w:r>
      <w:r>
        <w:rPr>
          <w:rFonts w:hint="eastAsia" w:ascii="宋体" w:hAnsi="宋体" w:eastAsia="宋体" w:cs="宋体"/>
          <w:b/>
          <w:color w:val="auto"/>
          <w:sz w:val="22"/>
          <w:szCs w:val="22"/>
          <w:highlight w:val="none"/>
        </w:rPr>
        <w:t>、合同生效及</w:t>
      </w:r>
      <w:r>
        <w:rPr>
          <w:rFonts w:hint="eastAsia" w:ascii="宋体" w:hAnsi="宋体" w:eastAsia="宋体" w:cs="宋体"/>
          <w:b/>
          <w:color w:val="auto"/>
          <w:sz w:val="22"/>
          <w:szCs w:val="22"/>
          <w:highlight w:val="none"/>
          <w:lang w:eastAsia="zh-CN"/>
        </w:rPr>
        <w:t>其他</w:t>
      </w:r>
    </w:p>
    <w:p w14:paraId="5F1AF249">
      <w:pPr>
        <w:keepNext w:val="0"/>
        <w:keepLines w:val="0"/>
        <w:pageBreakBefore w:val="0"/>
        <w:widowControl/>
        <w:kinsoku/>
        <w:wordWrap/>
        <w:overflowPunct/>
        <w:topLinePunct w:val="0"/>
        <w:autoSpaceDE/>
        <w:autoSpaceDN/>
        <w:bidi w:val="0"/>
        <w:adjustRightInd/>
        <w:spacing w:line="360" w:lineRule="auto"/>
        <w:ind w:firstLine="42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1、合同经双方法定代表人或授权代表签字并加盖单位公章后生效。</w:t>
      </w:r>
    </w:p>
    <w:p w14:paraId="617DA64B">
      <w:pPr>
        <w:keepNext w:val="0"/>
        <w:keepLines w:val="0"/>
        <w:pageBreakBefore w:val="0"/>
        <w:widowControl/>
        <w:kinsoku/>
        <w:wordWrap/>
        <w:overflowPunct/>
        <w:topLinePunct w:val="0"/>
        <w:autoSpaceDE/>
        <w:autoSpaceDN/>
        <w:bidi w:val="0"/>
        <w:adjustRightInd/>
        <w:spacing w:line="360" w:lineRule="auto"/>
        <w:ind w:firstLine="42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2、本合同未尽事宜，遵照《中华人民共和国</w:t>
      </w:r>
      <w:r>
        <w:rPr>
          <w:rFonts w:hint="eastAsia" w:ascii="宋体" w:hAnsi="宋体" w:eastAsia="宋体" w:cs="宋体"/>
          <w:color w:val="auto"/>
          <w:sz w:val="22"/>
          <w:szCs w:val="22"/>
          <w:highlight w:val="none"/>
          <w:lang w:eastAsia="zh-CN"/>
        </w:rPr>
        <w:t>民法典</w:t>
      </w:r>
      <w:r>
        <w:rPr>
          <w:rFonts w:hint="eastAsia" w:ascii="宋体" w:hAnsi="宋体" w:eastAsia="宋体" w:cs="宋体"/>
          <w:color w:val="auto"/>
          <w:sz w:val="22"/>
          <w:szCs w:val="22"/>
          <w:highlight w:val="none"/>
        </w:rPr>
        <w:t>》有关条文执行。</w:t>
      </w:r>
    </w:p>
    <w:p w14:paraId="2184C035">
      <w:pPr>
        <w:keepNext w:val="0"/>
        <w:keepLines w:val="0"/>
        <w:pageBreakBefore w:val="0"/>
        <w:widowControl/>
        <w:kinsoku/>
        <w:wordWrap/>
        <w:overflowPunct/>
        <w:topLinePunct w:val="0"/>
        <w:autoSpaceDE/>
        <w:autoSpaceDN/>
        <w:bidi w:val="0"/>
        <w:adjustRightInd/>
        <w:spacing w:line="360" w:lineRule="auto"/>
        <w:ind w:firstLine="422"/>
        <w:jc w:val="left"/>
        <w:textAlignment w:val="auto"/>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十</w:t>
      </w:r>
      <w:r>
        <w:rPr>
          <w:rFonts w:hint="eastAsia" w:ascii="宋体" w:hAnsi="宋体" w:eastAsia="宋体" w:cs="宋体"/>
          <w:bCs/>
          <w:color w:val="auto"/>
          <w:sz w:val="22"/>
          <w:szCs w:val="22"/>
          <w:highlight w:val="none"/>
          <w:lang w:val="en-US" w:eastAsia="zh-CN"/>
        </w:rPr>
        <w:t>八</w:t>
      </w:r>
      <w:r>
        <w:rPr>
          <w:rFonts w:hint="eastAsia" w:ascii="宋体" w:hAnsi="宋体" w:eastAsia="宋体" w:cs="宋体"/>
          <w:bCs/>
          <w:color w:val="auto"/>
          <w:sz w:val="22"/>
          <w:szCs w:val="22"/>
          <w:highlight w:val="none"/>
        </w:rPr>
        <w:t>、本合同一式____份，甲乙双方各执____份，</w:t>
      </w:r>
      <w:r>
        <w:rPr>
          <w:rFonts w:hint="eastAsia" w:ascii="宋体" w:hAnsi="宋体" w:eastAsia="宋体" w:cs="宋体"/>
          <w:color w:val="auto"/>
          <w:sz w:val="22"/>
          <w:szCs w:val="22"/>
          <w:highlight w:val="none"/>
          <w:lang w:eastAsia="zh-CN"/>
        </w:rPr>
        <w:t>科信联合工程咨询有限公司</w:t>
      </w:r>
      <w:r>
        <w:rPr>
          <w:rFonts w:hint="eastAsia" w:ascii="宋体" w:hAnsi="宋体" w:eastAsia="宋体" w:cs="宋体"/>
          <w:bCs/>
          <w:color w:val="auto"/>
          <w:sz w:val="22"/>
          <w:szCs w:val="22"/>
          <w:highlight w:val="none"/>
        </w:rPr>
        <w:t>执一份，义乌市财政局执一份，均</w:t>
      </w:r>
      <w:r>
        <w:rPr>
          <w:rFonts w:hint="eastAsia" w:ascii="宋体" w:hAnsi="宋体" w:eastAsia="宋体" w:cs="宋体"/>
          <w:bCs/>
          <w:color w:val="auto"/>
          <w:sz w:val="22"/>
          <w:szCs w:val="22"/>
          <w:highlight w:val="none"/>
          <w:lang w:eastAsia="zh-CN"/>
        </w:rPr>
        <w:t>具有</w:t>
      </w:r>
      <w:r>
        <w:rPr>
          <w:rFonts w:hint="eastAsia" w:ascii="宋体" w:hAnsi="宋体" w:eastAsia="宋体" w:cs="宋体"/>
          <w:bCs/>
          <w:color w:val="auto"/>
          <w:sz w:val="22"/>
          <w:szCs w:val="22"/>
          <w:highlight w:val="none"/>
        </w:rPr>
        <w:t>同等效力。</w:t>
      </w:r>
    </w:p>
    <w:p w14:paraId="33211A56">
      <w:pPr>
        <w:widowControl/>
        <w:spacing w:line="480" w:lineRule="exact"/>
        <w:ind w:firstLine="42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甲    方：</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乙    方：</w:t>
      </w:r>
      <w:r>
        <w:rPr>
          <w:rFonts w:hint="eastAsia" w:ascii="宋体" w:hAnsi="宋体" w:cs="宋体"/>
          <w:color w:val="auto"/>
          <w:sz w:val="22"/>
          <w:szCs w:val="22"/>
          <w:highlight w:val="none"/>
          <w:u w:val="single"/>
        </w:rPr>
        <w:t xml:space="preserve">                        </w:t>
      </w:r>
    </w:p>
    <w:p w14:paraId="694A3434">
      <w:pPr>
        <w:widowControl/>
        <w:spacing w:line="480" w:lineRule="exact"/>
        <w:ind w:firstLine="42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地    址：</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地    址：</w:t>
      </w:r>
      <w:r>
        <w:rPr>
          <w:rFonts w:hint="eastAsia" w:ascii="宋体" w:hAnsi="宋体" w:cs="宋体"/>
          <w:color w:val="auto"/>
          <w:sz w:val="22"/>
          <w:szCs w:val="22"/>
          <w:highlight w:val="none"/>
          <w:u w:val="single"/>
        </w:rPr>
        <w:t xml:space="preserve">                        </w:t>
      </w:r>
    </w:p>
    <w:p w14:paraId="21ED281A">
      <w:pPr>
        <w:widowControl/>
        <w:spacing w:line="480" w:lineRule="exact"/>
        <w:ind w:firstLine="42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法定代表人：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法定代表人：</w:t>
      </w:r>
      <w:r>
        <w:rPr>
          <w:rFonts w:hint="eastAsia" w:ascii="宋体" w:hAnsi="宋体" w:cs="宋体"/>
          <w:color w:val="auto"/>
          <w:sz w:val="22"/>
          <w:szCs w:val="22"/>
          <w:highlight w:val="none"/>
          <w:u w:val="single"/>
        </w:rPr>
        <w:t xml:space="preserve">                      </w:t>
      </w:r>
    </w:p>
    <w:p w14:paraId="430614EF">
      <w:pPr>
        <w:widowControl/>
        <w:spacing w:line="480" w:lineRule="exact"/>
        <w:ind w:firstLine="42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授权代表：</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授权代表：</w:t>
      </w:r>
      <w:r>
        <w:rPr>
          <w:rFonts w:hint="eastAsia" w:ascii="宋体" w:hAnsi="宋体" w:cs="宋体"/>
          <w:color w:val="auto"/>
          <w:sz w:val="22"/>
          <w:szCs w:val="22"/>
          <w:highlight w:val="none"/>
          <w:u w:val="single"/>
        </w:rPr>
        <w:t xml:space="preserve">                        </w:t>
      </w:r>
    </w:p>
    <w:p w14:paraId="0309B44D">
      <w:pPr>
        <w:widowControl/>
        <w:spacing w:line="480" w:lineRule="exact"/>
        <w:ind w:firstLine="42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电    话：</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电    话：</w:t>
      </w:r>
      <w:r>
        <w:rPr>
          <w:rFonts w:hint="eastAsia" w:ascii="宋体" w:hAnsi="宋体" w:cs="宋体"/>
          <w:color w:val="auto"/>
          <w:sz w:val="22"/>
          <w:szCs w:val="22"/>
          <w:highlight w:val="none"/>
          <w:u w:val="single"/>
        </w:rPr>
        <w:t xml:space="preserve">                        </w:t>
      </w:r>
    </w:p>
    <w:p w14:paraId="7C2876D4">
      <w:pPr>
        <w:widowControl/>
        <w:spacing w:line="480" w:lineRule="exact"/>
        <w:ind w:firstLine="42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账户名称：</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账户名称：</w:t>
      </w:r>
      <w:r>
        <w:rPr>
          <w:rFonts w:hint="eastAsia" w:ascii="宋体" w:hAnsi="宋体" w:cs="宋体"/>
          <w:color w:val="auto"/>
          <w:sz w:val="22"/>
          <w:szCs w:val="22"/>
          <w:highlight w:val="none"/>
          <w:u w:val="single"/>
        </w:rPr>
        <w:t xml:space="preserve">                        </w:t>
      </w:r>
    </w:p>
    <w:p w14:paraId="3B2E3C36">
      <w:pPr>
        <w:widowControl/>
        <w:spacing w:line="480" w:lineRule="exact"/>
        <w:ind w:firstLine="42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开户银行：</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开户银行：</w:t>
      </w:r>
      <w:r>
        <w:rPr>
          <w:rFonts w:hint="eastAsia" w:ascii="宋体" w:hAnsi="宋体" w:cs="宋体"/>
          <w:color w:val="auto"/>
          <w:sz w:val="22"/>
          <w:szCs w:val="22"/>
          <w:highlight w:val="none"/>
          <w:u w:val="single"/>
        </w:rPr>
        <w:t xml:space="preserve">                        </w:t>
      </w:r>
    </w:p>
    <w:p w14:paraId="0871C084">
      <w:pPr>
        <w:widowControl/>
        <w:spacing w:line="480" w:lineRule="exact"/>
        <w:ind w:firstLine="420"/>
        <w:jc w:val="left"/>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账</w:t>
      </w:r>
      <w:r>
        <w:rPr>
          <w:rFonts w:hint="eastAsia" w:ascii="宋体" w:hAnsi="宋体" w:cs="宋体"/>
          <w:color w:val="auto"/>
          <w:sz w:val="22"/>
          <w:szCs w:val="22"/>
          <w:highlight w:val="none"/>
        </w:rPr>
        <w:t xml:space="preserve">    号：</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w:t>
      </w:r>
      <w:r>
        <w:rPr>
          <w:rFonts w:hint="eastAsia" w:ascii="宋体" w:hAnsi="宋体" w:cs="宋体"/>
          <w:color w:val="auto"/>
          <w:sz w:val="22"/>
          <w:szCs w:val="22"/>
          <w:highlight w:val="none"/>
          <w:lang w:val="en-US" w:eastAsia="zh-CN"/>
        </w:rPr>
        <w:t>账</w:t>
      </w:r>
      <w:r>
        <w:rPr>
          <w:rFonts w:hint="eastAsia" w:ascii="宋体" w:hAnsi="宋体" w:cs="宋体"/>
          <w:color w:val="auto"/>
          <w:sz w:val="22"/>
          <w:szCs w:val="22"/>
          <w:highlight w:val="none"/>
        </w:rPr>
        <w:t xml:space="preserve">    号：</w:t>
      </w:r>
      <w:r>
        <w:rPr>
          <w:rFonts w:hint="eastAsia" w:ascii="宋体" w:hAnsi="宋体" w:cs="宋体"/>
          <w:color w:val="auto"/>
          <w:sz w:val="22"/>
          <w:szCs w:val="22"/>
          <w:highlight w:val="none"/>
          <w:u w:val="single"/>
        </w:rPr>
        <w:t xml:space="preserve">                        </w:t>
      </w:r>
    </w:p>
    <w:p w14:paraId="579F24D9">
      <w:pPr>
        <w:pStyle w:val="142"/>
        <w:spacing w:line="480" w:lineRule="exact"/>
        <w:rPr>
          <w:rFonts w:hint="eastAsia" w:ascii="宋体" w:hAnsi="宋体" w:cs="宋体"/>
          <w:color w:val="auto"/>
          <w:sz w:val="22"/>
          <w:szCs w:val="22"/>
          <w:highlight w:val="none"/>
        </w:rPr>
      </w:pPr>
      <w:r>
        <w:rPr>
          <w:rFonts w:hint="eastAsia" w:ascii="宋体" w:hAnsi="宋体" w:cs="宋体"/>
          <w:color w:val="auto"/>
          <w:kern w:val="0"/>
          <w:sz w:val="22"/>
          <w:szCs w:val="22"/>
          <w:highlight w:val="none"/>
        </w:rPr>
        <w:t>签约时间：</w:t>
      </w:r>
      <w:r>
        <w:rPr>
          <w:rFonts w:hint="eastAsia" w:ascii="宋体" w:hAnsi="宋体" w:cs="宋体"/>
          <w:color w:val="auto"/>
          <w:sz w:val="22"/>
          <w:szCs w:val="22"/>
          <w:highlight w:val="none"/>
          <w:u w:val="single"/>
        </w:rPr>
        <w:t xml:space="preserve">                        </w:t>
      </w:r>
      <w:r>
        <w:rPr>
          <w:rFonts w:hint="eastAsia" w:ascii="宋体" w:hAnsi="宋体" w:cs="宋体"/>
          <w:color w:val="auto"/>
          <w:kern w:val="0"/>
          <w:sz w:val="22"/>
          <w:szCs w:val="22"/>
          <w:highlight w:val="none"/>
        </w:rPr>
        <w:t xml:space="preserve">  签约地点：</w:t>
      </w:r>
      <w:r>
        <w:rPr>
          <w:rFonts w:hint="eastAsia" w:ascii="宋体" w:hAnsi="宋体" w:cs="宋体"/>
          <w:color w:val="auto"/>
          <w:sz w:val="22"/>
          <w:szCs w:val="22"/>
          <w:highlight w:val="none"/>
          <w:u w:val="single"/>
        </w:rPr>
        <w:t xml:space="preserve">                        </w:t>
      </w:r>
    </w:p>
    <w:p w14:paraId="2DDC1C8B">
      <w:pPr>
        <w:pStyle w:val="24"/>
        <w:spacing w:line="360" w:lineRule="auto"/>
        <w:jc w:val="both"/>
        <w:rPr>
          <w:rFonts w:ascii="Times New Roman" w:hAnsi="Times New Roman"/>
          <w:color w:val="auto"/>
          <w:sz w:val="36"/>
          <w:highlight w:val="none"/>
        </w:rPr>
      </w:pPr>
    </w:p>
    <w:p w14:paraId="1E5A8B20">
      <w:pPr>
        <w:pStyle w:val="5"/>
        <w:jc w:val="center"/>
        <w:rPr>
          <w:color w:val="auto"/>
          <w:sz w:val="36"/>
          <w:highlight w:val="none"/>
        </w:rPr>
      </w:pPr>
      <w:r>
        <w:rPr>
          <w:color w:val="auto"/>
          <w:sz w:val="36"/>
          <w:highlight w:val="none"/>
        </w:rPr>
        <w:br w:type="page"/>
      </w:r>
      <w:bookmarkStart w:id="92" w:name="_Toc5918"/>
      <w:r>
        <w:rPr>
          <w:color w:val="auto"/>
          <w:sz w:val="36"/>
          <w:highlight w:val="none"/>
        </w:rPr>
        <w:t>第八章  投标文件部分格式</w:t>
      </w:r>
      <w:bookmarkEnd w:id="92"/>
    </w:p>
    <w:p w14:paraId="424C594F">
      <w:pPr>
        <w:rPr>
          <w:color w:val="auto"/>
          <w:kern w:val="1"/>
          <w:highlight w:val="none"/>
        </w:rPr>
      </w:pPr>
    </w:p>
    <w:p w14:paraId="34AA0B89">
      <w:pPr>
        <w:rPr>
          <w:color w:val="auto"/>
          <w:kern w:val="1"/>
          <w:sz w:val="52"/>
          <w:highlight w:val="none"/>
          <w:u w:val="single"/>
        </w:rPr>
      </w:pPr>
      <w:r>
        <w:rPr>
          <w:b/>
          <w:color w:val="auto"/>
          <w:kern w:val="1"/>
          <w:sz w:val="28"/>
          <w:highlight w:val="none"/>
        </w:rPr>
        <w:t>封面格式</w:t>
      </w:r>
    </w:p>
    <w:p w14:paraId="65881DBB">
      <w:pPr>
        <w:jc w:val="right"/>
        <w:rPr>
          <w:b/>
          <w:color w:val="auto"/>
          <w:kern w:val="1"/>
          <w:sz w:val="30"/>
          <w:highlight w:val="none"/>
        </w:rPr>
      </w:pPr>
    </w:p>
    <w:p w14:paraId="7C193D1F">
      <w:pPr>
        <w:jc w:val="right"/>
        <w:rPr>
          <w:b/>
          <w:color w:val="auto"/>
          <w:kern w:val="1"/>
          <w:sz w:val="30"/>
          <w:highlight w:val="none"/>
        </w:rPr>
      </w:pPr>
      <w:r>
        <w:rPr>
          <w:b/>
          <w:color w:val="auto"/>
          <w:kern w:val="1"/>
          <w:sz w:val="30"/>
          <w:highlight w:val="none"/>
        </w:rPr>
        <w:t>正本（副本）</w:t>
      </w:r>
    </w:p>
    <w:p w14:paraId="4B3BD3AC">
      <w:pPr>
        <w:rPr>
          <w:color w:val="auto"/>
          <w:kern w:val="1"/>
          <w:highlight w:val="none"/>
        </w:rPr>
      </w:pPr>
    </w:p>
    <w:p w14:paraId="32B9ECA2">
      <w:pPr>
        <w:rPr>
          <w:color w:val="auto"/>
          <w:kern w:val="1"/>
          <w:highlight w:val="none"/>
        </w:rPr>
      </w:pPr>
    </w:p>
    <w:p w14:paraId="027423C6">
      <w:pPr>
        <w:rPr>
          <w:color w:val="auto"/>
          <w:kern w:val="1"/>
          <w:highlight w:val="none"/>
        </w:rPr>
      </w:pPr>
    </w:p>
    <w:p w14:paraId="3644EB5C">
      <w:pPr>
        <w:jc w:val="center"/>
        <w:rPr>
          <w:color w:val="auto"/>
          <w:kern w:val="1"/>
          <w:sz w:val="52"/>
          <w:highlight w:val="none"/>
        </w:rPr>
      </w:pPr>
      <w:r>
        <w:rPr>
          <w:color w:val="auto"/>
          <w:kern w:val="1"/>
          <w:sz w:val="52"/>
          <w:highlight w:val="none"/>
          <w:u w:val="single"/>
        </w:rPr>
        <w:t xml:space="preserve">                      </w:t>
      </w:r>
      <w:r>
        <w:rPr>
          <w:color w:val="auto"/>
          <w:kern w:val="1"/>
          <w:sz w:val="52"/>
          <w:highlight w:val="none"/>
        </w:rPr>
        <w:t>项目</w:t>
      </w:r>
    </w:p>
    <w:p w14:paraId="5B7AEE0B">
      <w:pPr>
        <w:rPr>
          <w:color w:val="auto"/>
          <w:kern w:val="1"/>
          <w:highlight w:val="none"/>
        </w:rPr>
      </w:pPr>
    </w:p>
    <w:p w14:paraId="01884ACB">
      <w:pPr>
        <w:rPr>
          <w:color w:val="auto"/>
          <w:kern w:val="1"/>
          <w:highlight w:val="none"/>
        </w:rPr>
      </w:pPr>
    </w:p>
    <w:p w14:paraId="6454ED8D">
      <w:pPr>
        <w:rPr>
          <w:color w:val="auto"/>
          <w:kern w:val="1"/>
          <w:highlight w:val="none"/>
        </w:rPr>
      </w:pPr>
    </w:p>
    <w:p w14:paraId="78A66AC8">
      <w:pPr>
        <w:rPr>
          <w:color w:val="auto"/>
          <w:kern w:val="1"/>
          <w:highlight w:val="none"/>
        </w:rPr>
      </w:pPr>
    </w:p>
    <w:p w14:paraId="544EC3E2">
      <w:pPr>
        <w:rPr>
          <w:color w:val="auto"/>
          <w:kern w:val="1"/>
          <w:highlight w:val="none"/>
        </w:rPr>
      </w:pPr>
    </w:p>
    <w:p w14:paraId="6512AF5B">
      <w:pPr>
        <w:jc w:val="center"/>
        <w:rPr>
          <w:b/>
          <w:color w:val="auto"/>
          <w:kern w:val="1"/>
          <w:sz w:val="72"/>
          <w:highlight w:val="none"/>
        </w:rPr>
      </w:pPr>
      <w:r>
        <w:rPr>
          <w:b/>
          <w:color w:val="auto"/>
          <w:kern w:val="1"/>
          <w:sz w:val="72"/>
          <w:highlight w:val="none"/>
        </w:rPr>
        <w:t>投 标 文 件</w:t>
      </w:r>
    </w:p>
    <w:p w14:paraId="65E7332D">
      <w:pPr>
        <w:rPr>
          <w:color w:val="auto"/>
          <w:kern w:val="1"/>
          <w:highlight w:val="none"/>
        </w:rPr>
      </w:pPr>
    </w:p>
    <w:p w14:paraId="6F3B6768">
      <w:pPr>
        <w:jc w:val="center"/>
        <w:rPr>
          <w:b/>
          <w:color w:val="auto"/>
          <w:kern w:val="1"/>
          <w:sz w:val="28"/>
          <w:highlight w:val="none"/>
        </w:rPr>
      </w:pPr>
      <w:r>
        <w:rPr>
          <w:b/>
          <w:color w:val="auto"/>
          <w:kern w:val="1"/>
          <w:sz w:val="28"/>
          <w:highlight w:val="none"/>
        </w:rPr>
        <w:t>（招标编号）</w:t>
      </w:r>
    </w:p>
    <w:p w14:paraId="1C9A67B1">
      <w:pPr>
        <w:rPr>
          <w:color w:val="auto"/>
          <w:kern w:val="1"/>
          <w:highlight w:val="none"/>
        </w:rPr>
      </w:pPr>
    </w:p>
    <w:p w14:paraId="3AF56D1E">
      <w:pPr>
        <w:rPr>
          <w:color w:val="auto"/>
          <w:kern w:val="1"/>
          <w:highlight w:val="none"/>
        </w:rPr>
      </w:pPr>
    </w:p>
    <w:p w14:paraId="05C294E8">
      <w:pPr>
        <w:rPr>
          <w:color w:val="auto"/>
          <w:kern w:val="1"/>
          <w:highlight w:val="none"/>
        </w:rPr>
      </w:pPr>
    </w:p>
    <w:p w14:paraId="21A449DF">
      <w:pPr>
        <w:rPr>
          <w:color w:val="auto"/>
          <w:kern w:val="1"/>
          <w:highlight w:val="none"/>
        </w:rPr>
      </w:pPr>
    </w:p>
    <w:p w14:paraId="38D08461">
      <w:pPr>
        <w:rPr>
          <w:color w:val="auto"/>
          <w:kern w:val="1"/>
          <w:highlight w:val="none"/>
        </w:rPr>
      </w:pPr>
    </w:p>
    <w:p w14:paraId="79146FCF">
      <w:pPr>
        <w:pStyle w:val="119"/>
        <w:rPr>
          <w:color w:val="auto"/>
          <w:highlight w:val="none"/>
        </w:rPr>
      </w:pPr>
    </w:p>
    <w:p w14:paraId="2B532CBB">
      <w:pPr>
        <w:rPr>
          <w:color w:val="auto"/>
          <w:kern w:val="1"/>
          <w:highlight w:val="none"/>
        </w:rPr>
      </w:pPr>
    </w:p>
    <w:p w14:paraId="0A314E18">
      <w:pPr>
        <w:rPr>
          <w:color w:val="auto"/>
          <w:kern w:val="1"/>
          <w:highlight w:val="none"/>
        </w:rPr>
      </w:pPr>
    </w:p>
    <w:p w14:paraId="4EEB5422">
      <w:pPr>
        <w:rPr>
          <w:color w:val="auto"/>
          <w:kern w:val="1"/>
          <w:highlight w:val="none"/>
        </w:rPr>
      </w:pPr>
    </w:p>
    <w:p w14:paraId="41F3E060">
      <w:pPr>
        <w:rPr>
          <w:color w:val="auto"/>
          <w:kern w:val="1"/>
          <w:highlight w:val="none"/>
        </w:rPr>
      </w:pPr>
    </w:p>
    <w:p w14:paraId="18580583">
      <w:pPr>
        <w:spacing w:line="900" w:lineRule="exact"/>
        <w:ind w:firstLine="313"/>
        <w:rPr>
          <w:color w:val="auto"/>
          <w:kern w:val="1"/>
          <w:sz w:val="32"/>
          <w:szCs w:val="22"/>
          <w:highlight w:val="none"/>
        </w:rPr>
      </w:pPr>
      <w:r>
        <w:rPr>
          <w:color w:val="auto"/>
          <w:kern w:val="1"/>
          <w:sz w:val="32"/>
          <w:szCs w:val="22"/>
          <w:highlight w:val="none"/>
        </w:rPr>
        <w:t>投标文件内容：</w:t>
      </w:r>
      <w:r>
        <w:rPr>
          <w:color w:val="auto"/>
          <w:kern w:val="1"/>
          <w:sz w:val="32"/>
          <w:szCs w:val="22"/>
          <w:highlight w:val="none"/>
          <w:u w:val="single"/>
        </w:rPr>
        <w:t xml:space="preserve">    （</w:t>
      </w:r>
      <w:r>
        <w:rPr>
          <w:rFonts w:hint="eastAsia"/>
          <w:color w:val="auto"/>
          <w:kern w:val="1"/>
          <w:sz w:val="32"/>
          <w:szCs w:val="22"/>
          <w:highlight w:val="none"/>
          <w:u w:val="single"/>
        </w:rPr>
        <w:t>资格、商务技术或报价响应文件</w:t>
      </w:r>
      <w:r>
        <w:rPr>
          <w:color w:val="auto"/>
          <w:kern w:val="1"/>
          <w:sz w:val="32"/>
          <w:szCs w:val="22"/>
          <w:highlight w:val="none"/>
          <w:u w:val="single"/>
        </w:rPr>
        <w:t xml:space="preserve">）   </w:t>
      </w:r>
      <w:r>
        <w:rPr>
          <w:color w:val="auto"/>
          <w:kern w:val="1"/>
          <w:sz w:val="32"/>
          <w:szCs w:val="22"/>
          <w:highlight w:val="none"/>
        </w:rPr>
        <w:t xml:space="preserve"> </w:t>
      </w:r>
    </w:p>
    <w:p w14:paraId="0423AA80">
      <w:pPr>
        <w:spacing w:line="900" w:lineRule="exact"/>
        <w:ind w:firstLine="313"/>
        <w:rPr>
          <w:color w:val="auto"/>
          <w:kern w:val="1"/>
          <w:sz w:val="32"/>
          <w:highlight w:val="none"/>
          <w:u w:val="single"/>
        </w:rPr>
      </w:pPr>
      <w:r>
        <w:rPr>
          <w:color w:val="auto"/>
          <w:kern w:val="1"/>
          <w:sz w:val="32"/>
          <w:highlight w:val="none"/>
        </w:rPr>
        <w:t>投   标   人：</w:t>
      </w:r>
      <w:r>
        <w:rPr>
          <w:color w:val="auto"/>
          <w:kern w:val="1"/>
          <w:sz w:val="32"/>
          <w:highlight w:val="none"/>
          <w:u w:val="single"/>
        </w:rPr>
        <w:t xml:space="preserve">                             （</w:t>
      </w:r>
      <w:r>
        <w:rPr>
          <w:rFonts w:hint="eastAsia"/>
          <w:color w:val="auto"/>
          <w:kern w:val="1"/>
          <w:sz w:val="32"/>
          <w:highlight w:val="none"/>
          <w:u w:val="single"/>
        </w:rPr>
        <w:t>签章</w:t>
      </w:r>
      <w:r>
        <w:rPr>
          <w:color w:val="auto"/>
          <w:kern w:val="1"/>
          <w:sz w:val="32"/>
          <w:highlight w:val="none"/>
          <w:u w:val="single"/>
        </w:rPr>
        <w:t xml:space="preserve">）   </w:t>
      </w:r>
    </w:p>
    <w:p w14:paraId="144BA650">
      <w:pPr>
        <w:spacing w:line="900" w:lineRule="exact"/>
        <w:ind w:firstLine="320" w:firstLineChars="100"/>
        <w:rPr>
          <w:color w:val="auto"/>
          <w:kern w:val="1"/>
          <w:sz w:val="32"/>
          <w:highlight w:val="none"/>
        </w:rPr>
      </w:pPr>
      <w:r>
        <w:rPr>
          <w:color w:val="auto"/>
          <w:kern w:val="1"/>
          <w:sz w:val="32"/>
          <w:highlight w:val="none"/>
        </w:rPr>
        <w:t>日    期：</w:t>
      </w:r>
      <w:r>
        <w:rPr>
          <w:color w:val="auto"/>
          <w:kern w:val="1"/>
          <w:sz w:val="32"/>
          <w:highlight w:val="none"/>
          <w:u w:val="single"/>
        </w:rPr>
        <w:t xml:space="preserve">            </w:t>
      </w:r>
      <w:r>
        <w:rPr>
          <w:color w:val="auto"/>
          <w:kern w:val="1"/>
          <w:sz w:val="32"/>
          <w:highlight w:val="none"/>
        </w:rPr>
        <w:t>年</w:t>
      </w:r>
      <w:r>
        <w:rPr>
          <w:color w:val="auto"/>
          <w:kern w:val="1"/>
          <w:sz w:val="32"/>
          <w:highlight w:val="none"/>
          <w:u w:val="single"/>
        </w:rPr>
        <w:t xml:space="preserve">            </w:t>
      </w:r>
      <w:r>
        <w:rPr>
          <w:color w:val="auto"/>
          <w:kern w:val="1"/>
          <w:sz w:val="32"/>
          <w:highlight w:val="none"/>
        </w:rPr>
        <w:t>月</w:t>
      </w:r>
      <w:r>
        <w:rPr>
          <w:color w:val="auto"/>
          <w:kern w:val="1"/>
          <w:sz w:val="32"/>
          <w:highlight w:val="none"/>
          <w:u w:val="single"/>
        </w:rPr>
        <w:t xml:space="preserve">               </w:t>
      </w:r>
      <w:r>
        <w:rPr>
          <w:color w:val="auto"/>
          <w:kern w:val="1"/>
          <w:sz w:val="32"/>
          <w:highlight w:val="none"/>
        </w:rPr>
        <w:t>日</w:t>
      </w:r>
    </w:p>
    <w:p w14:paraId="40A9CAF9">
      <w:pPr>
        <w:rPr>
          <w:color w:val="auto"/>
          <w:kern w:val="1"/>
          <w:highlight w:val="none"/>
        </w:rPr>
      </w:pPr>
    </w:p>
    <w:p w14:paraId="7C6BAE49">
      <w:pPr>
        <w:pStyle w:val="64"/>
        <w:rPr>
          <w:color w:val="auto"/>
          <w:highlight w:val="none"/>
        </w:rPr>
      </w:pPr>
    </w:p>
    <w:p w14:paraId="128B2B6C">
      <w:pPr>
        <w:rPr>
          <w:color w:val="auto"/>
          <w:kern w:val="1"/>
          <w:highlight w:val="none"/>
        </w:rPr>
      </w:pPr>
    </w:p>
    <w:p w14:paraId="18BD9481">
      <w:pPr>
        <w:rPr>
          <w:color w:val="auto"/>
          <w:kern w:val="1"/>
          <w:highlight w:val="none"/>
        </w:rPr>
      </w:pPr>
    </w:p>
    <w:p w14:paraId="031137D6">
      <w:pPr>
        <w:jc w:val="center"/>
        <w:rPr>
          <w:color w:val="auto"/>
          <w:kern w:val="1"/>
          <w:sz w:val="36"/>
          <w:highlight w:val="none"/>
        </w:rPr>
      </w:pPr>
      <w:r>
        <w:rPr>
          <w:b/>
          <w:color w:val="auto"/>
          <w:kern w:val="1"/>
          <w:sz w:val="36"/>
          <w:highlight w:val="none"/>
        </w:rPr>
        <w:t>投标人情况介绍</w:t>
      </w:r>
    </w:p>
    <w:p w14:paraId="54B7B672">
      <w:pPr>
        <w:rPr>
          <w:color w:val="auto"/>
          <w:kern w:val="1"/>
          <w:highlight w:val="none"/>
        </w:rPr>
      </w:pPr>
      <w:r>
        <w:rPr>
          <w:color w:val="auto"/>
          <w:kern w:val="1"/>
          <w:highlight w:val="none"/>
        </w:rPr>
        <w:t xml:space="preserve"> </w:t>
      </w:r>
    </w:p>
    <w:p w14:paraId="47A41C68">
      <w:pPr>
        <w:rPr>
          <w:color w:val="auto"/>
          <w:kern w:val="1"/>
          <w:highlight w:val="none"/>
        </w:rPr>
      </w:pPr>
      <w:r>
        <w:rPr>
          <w:color w:val="auto"/>
          <w:kern w:val="1"/>
          <w:highlight w:val="none"/>
        </w:rPr>
        <w:t xml:space="preserve"> </w:t>
      </w:r>
    </w:p>
    <w:p w14:paraId="0A8FE679">
      <w:pPr>
        <w:spacing w:line="360" w:lineRule="auto"/>
        <w:ind w:firstLine="480"/>
        <w:rPr>
          <w:color w:val="auto"/>
          <w:kern w:val="1"/>
          <w:sz w:val="24"/>
          <w:highlight w:val="none"/>
        </w:rPr>
      </w:pPr>
      <w:r>
        <w:rPr>
          <w:color w:val="auto"/>
          <w:kern w:val="1"/>
          <w:sz w:val="24"/>
          <w:highlight w:val="none"/>
        </w:rPr>
        <w:t>总体介绍、技术经济实力、服务能力、资格、资质、质量认证与本套货物服务相类似的实际项目的介绍、业绩等相关情况。</w:t>
      </w:r>
    </w:p>
    <w:p w14:paraId="5BB5E161">
      <w:pPr>
        <w:spacing w:line="360" w:lineRule="auto"/>
        <w:ind w:firstLine="480"/>
        <w:rPr>
          <w:color w:val="auto"/>
          <w:kern w:val="1"/>
          <w:sz w:val="24"/>
          <w:highlight w:val="none"/>
        </w:rPr>
      </w:pPr>
      <w:r>
        <w:rPr>
          <w:color w:val="auto"/>
          <w:kern w:val="1"/>
          <w:sz w:val="24"/>
          <w:highlight w:val="none"/>
        </w:rPr>
        <w:t>相关证书、证件资料扫描件加盖公章后附后。</w:t>
      </w:r>
    </w:p>
    <w:p w14:paraId="5BECC6E5">
      <w:pPr>
        <w:spacing w:line="360" w:lineRule="auto"/>
        <w:ind w:firstLine="480"/>
        <w:rPr>
          <w:color w:val="auto"/>
          <w:kern w:val="1"/>
          <w:sz w:val="24"/>
          <w:highlight w:val="none"/>
        </w:rPr>
      </w:pPr>
      <w:r>
        <w:rPr>
          <w:color w:val="auto"/>
          <w:kern w:val="1"/>
          <w:sz w:val="24"/>
          <w:highlight w:val="none"/>
        </w:rPr>
        <w:t>投标人认为有必要的声明和文件（鉴定材料、荣誉证书等），扫描件加盖公章后附后。</w:t>
      </w:r>
    </w:p>
    <w:p w14:paraId="7B8FCFAF">
      <w:pPr>
        <w:rPr>
          <w:color w:val="auto"/>
          <w:kern w:val="1"/>
          <w:highlight w:val="none"/>
        </w:rPr>
      </w:pPr>
      <w:r>
        <w:rPr>
          <w:color w:val="auto"/>
          <w:kern w:val="1"/>
          <w:highlight w:val="none"/>
        </w:rPr>
        <w:t xml:space="preserve"> </w:t>
      </w:r>
    </w:p>
    <w:p w14:paraId="1E35153B">
      <w:pPr>
        <w:rPr>
          <w:color w:val="auto"/>
          <w:kern w:val="1"/>
          <w:highlight w:val="none"/>
        </w:rPr>
      </w:pPr>
      <w:r>
        <w:rPr>
          <w:color w:val="auto"/>
          <w:kern w:val="1"/>
          <w:highlight w:val="none"/>
        </w:rPr>
        <w:t xml:space="preserve"> </w:t>
      </w:r>
    </w:p>
    <w:p w14:paraId="5FFA961F">
      <w:pPr>
        <w:rPr>
          <w:color w:val="auto"/>
          <w:kern w:val="1"/>
          <w:highlight w:val="none"/>
        </w:rPr>
      </w:pPr>
      <w:r>
        <w:rPr>
          <w:color w:val="auto"/>
          <w:kern w:val="1"/>
          <w:highlight w:val="none"/>
        </w:rPr>
        <w:t xml:space="preserve"> </w:t>
      </w:r>
    </w:p>
    <w:p w14:paraId="2C74FCB1">
      <w:pPr>
        <w:rPr>
          <w:color w:val="auto"/>
          <w:kern w:val="1"/>
          <w:highlight w:val="none"/>
        </w:rPr>
      </w:pPr>
      <w:r>
        <w:rPr>
          <w:color w:val="auto"/>
          <w:kern w:val="1"/>
          <w:highlight w:val="none"/>
        </w:rPr>
        <w:t xml:space="preserve"> </w:t>
      </w:r>
    </w:p>
    <w:p w14:paraId="265C4DB8">
      <w:pPr>
        <w:rPr>
          <w:color w:val="auto"/>
          <w:kern w:val="1"/>
          <w:highlight w:val="none"/>
        </w:rPr>
      </w:pPr>
      <w:r>
        <w:rPr>
          <w:color w:val="auto"/>
          <w:kern w:val="1"/>
          <w:highlight w:val="none"/>
        </w:rPr>
        <w:t xml:space="preserve"> </w:t>
      </w:r>
    </w:p>
    <w:p w14:paraId="1F030FB3">
      <w:pPr>
        <w:rPr>
          <w:color w:val="auto"/>
          <w:kern w:val="1"/>
          <w:highlight w:val="none"/>
        </w:rPr>
      </w:pPr>
      <w:r>
        <w:rPr>
          <w:color w:val="auto"/>
          <w:kern w:val="1"/>
          <w:highlight w:val="none"/>
        </w:rPr>
        <w:t xml:space="preserve"> </w:t>
      </w:r>
    </w:p>
    <w:p w14:paraId="596CE955">
      <w:pPr>
        <w:rPr>
          <w:color w:val="auto"/>
          <w:kern w:val="1"/>
          <w:highlight w:val="none"/>
        </w:rPr>
      </w:pPr>
      <w:r>
        <w:rPr>
          <w:color w:val="auto"/>
          <w:kern w:val="1"/>
          <w:highlight w:val="none"/>
        </w:rPr>
        <w:t xml:space="preserve"> </w:t>
      </w:r>
    </w:p>
    <w:p w14:paraId="3EC06880">
      <w:pPr>
        <w:rPr>
          <w:color w:val="auto"/>
          <w:kern w:val="1"/>
          <w:highlight w:val="none"/>
        </w:rPr>
      </w:pPr>
      <w:r>
        <w:rPr>
          <w:color w:val="auto"/>
          <w:kern w:val="1"/>
          <w:highlight w:val="none"/>
        </w:rPr>
        <w:t xml:space="preserve"> </w:t>
      </w:r>
    </w:p>
    <w:p w14:paraId="4A341E56">
      <w:pPr>
        <w:rPr>
          <w:color w:val="auto"/>
          <w:kern w:val="1"/>
          <w:highlight w:val="none"/>
        </w:rPr>
      </w:pPr>
      <w:r>
        <w:rPr>
          <w:color w:val="auto"/>
          <w:kern w:val="1"/>
          <w:highlight w:val="none"/>
        </w:rPr>
        <w:t xml:space="preserve"> </w:t>
      </w:r>
    </w:p>
    <w:p w14:paraId="2BC879C1">
      <w:pPr>
        <w:rPr>
          <w:color w:val="auto"/>
          <w:kern w:val="1"/>
          <w:highlight w:val="none"/>
        </w:rPr>
      </w:pPr>
      <w:r>
        <w:rPr>
          <w:color w:val="auto"/>
          <w:kern w:val="1"/>
          <w:highlight w:val="none"/>
        </w:rPr>
        <w:t xml:space="preserve"> </w:t>
      </w:r>
    </w:p>
    <w:p w14:paraId="0EAB8A63">
      <w:pPr>
        <w:spacing w:line="360" w:lineRule="auto"/>
        <w:ind w:firstLine="4800"/>
        <w:rPr>
          <w:color w:val="auto"/>
          <w:kern w:val="1"/>
          <w:sz w:val="24"/>
          <w:highlight w:val="none"/>
          <w:u w:val="single"/>
        </w:rPr>
      </w:pPr>
      <w:r>
        <w:rPr>
          <w:color w:val="auto"/>
          <w:kern w:val="1"/>
          <w:sz w:val="24"/>
          <w:highlight w:val="none"/>
        </w:rPr>
        <w:t>供应商名称（</w:t>
      </w:r>
      <w:r>
        <w:rPr>
          <w:rFonts w:hint="eastAsia"/>
          <w:color w:val="auto"/>
          <w:kern w:val="1"/>
          <w:sz w:val="24"/>
          <w:highlight w:val="none"/>
        </w:rPr>
        <w:t>签章</w:t>
      </w:r>
      <w:r>
        <w:rPr>
          <w:color w:val="auto"/>
          <w:kern w:val="1"/>
          <w:sz w:val="24"/>
          <w:highlight w:val="none"/>
        </w:rPr>
        <w:t>）</w:t>
      </w:r>
      <w:r>
        <w:rPr>
          <w:color w:val="auto"/>
          <w:kern w:val="1"/>
          <w:sz w:val="24"/>
          <w:highlight w:val="none"/>
          <w:u w:val="single"/>
        </w:rPr>
        <w:t xml:space="preserve">                   </w:t>
      </w:r>
    </w:p>
    <w:p w14:paraId="65217C3C">
      <w:pPr>
        <w:pStyle w:val="119"/>
        <w:rPr>
          <w:color w:val="auto"/>
          <w:highlight w:val="none"/>
        </w:rPr>
      </w:pPr>
    </w:p>
    <w:p w14:paraId="4296FF0B">
      <w:pPr>
        <w:spacing w:line="360" w:lineRule="auto"/>
        <w:jc w:val="center"/>
        <w:rPr>
          <w:color w:val="auto"/>
          <w:kern w:val="1"/>
          <w:sz w:val="24"/>
          <w:highlight w:val="none"/>
        </w:rPr>
      </w:pPr>
      <w:r>
        <w:rPr>
          <w:color w:val="auto"/>
          <w:kern w:val="1"/>
          <w:sz w:val="24"/>
          <w:highlight w:val="none"/>
        </w:rPr>
        <w:t xml:space="preserve">                                                     年     月      日</w:t>
      </w:r>
    </w:p>
    <w:p w14:paraId="5CF68BAB">
      <w:pPr>
        <w:pStyle w:val="119"/>
        <w:rPr>
          <w:color w:val="auto"/>
          <w:highlight w:val="none"/>
        </w:rPr>
      </w:pPr>
    </w:p>
    <w:p w14:paraId="2DCA0497">
      <w:pPr>
        <w:spacing w:line="400" w:lineRule="exact"/>
        <w:rPr>
          <w:color w:val="auto"/>
          <w:kern w:val="1"/>
          <w:sz w:val="24"/>
          <w:highlight w:val="none"/>
        </w:rPr>
      </w:pPr>
      <w:r>
        <w:rPr>
          <w:color w:val="auto"/>
          <w:kern w:val="1"/>
          <w:sz w:val="24"/>
          <w:highlight w:val="none"/>
        </w:rPr>
        <w:t>本附件可根据实际情况自行制作</w:t>
      </w:r>
    </w:p>
    <w:p w14:paraId="62F0FDC2">
      <w:pPr>
        <w:rPr>
          <w:color w:val="auto"/>
          <w:kern w:val="1"/>
          <w:highlight w:val="none"/>
        </w:rPr>
      </w:pPr>
      <w:r>
        <w:rPr>
          <w:color w:val="auto"/>
          <w:kern w:val="1"/>
          <w:highlight w:val="none"/>
        </w:rPr>
        <w:t xml:space="preserve"> </w:t>
      </w:r>
    </w:p>
    <w:p w14:paraId="36465692">
      <w:pPr>
        <w:rPr>
          <w:color w:val="auto"/>
          <w:kern w:val="1"/>
          <w:highlight w:val="none"/>
        </w:rPr>
      </w:pPr>
      <w:r>
        <w:rPr>
          <w:color w:val="auto"/>
          <w:kern w:val="1"/>
          <w:highlight w:val="none"/>
        </w:rPr>
        <w:t xml:space="preserve"> </w:t>
      </w:r>
    </w:p>
    <w:p w14:paraId="568EB7BF">
      <w:pPr>
        <w:rPr>
          <w:color w:val="auto"/>
          <w:kern w:val="1"/>
          <w:highlight w:val="none"/>
        </w:rPr>
      </w:pPr>
      <w:r>
        <w:rPr>
          <w:color w:val="auto"/>
          <w:kern w:val="1"/>
          <w:highlight w:val="none"/>
        </w:rPr>
        <w:t xml:space="preserve"> </w:t>
      </w:r>
    </w:p>
    <w:p w14:paraId="57BCD0D8">
      <w:pPr>
        <w:rPr>
          <w:color w:val="auto"/>
          <w:kern w:val="1"/>
          <w:highlight w:val="none"/>
        </w:rPr>
      </w:pPr>
      <w:r>
        <w:rPr>
          <w:color w:val="auto"/>
          <w:kern w:val="1"/>
          <w:highlight w:val="none"/>
        </w:rPr>
        <w:t xml:space="preserve"> </w:t>
      </w:r>
    </w:p>
    <w:p w14:paraId="7C09DD21">
      <w:pPr>
        <w:rPr>
          <w:color w:val="auto"/>
          <w:kern w:val="1"/>
          <w:highlight w:val="none"/>
        </w:rPr>
      </w:pPr>
    </w:p>
    <w:p w14:paraId="496B71CC">
      <w:pPr>
        <w:rPr>
          <w:color w:val="auto"/>
          <w:kern w:val="1"/>
          <w:highlight w:val="none"/>
        </w:rPr>
      </w:pPr>
    </w:p>
    <w:p w14:paraId="01B0DC99">
      <w:pPr>
        <w:rPr>
          <w:color w:val="auto"/>
          <w:kern w:val="1"/>
          <w:highlight w:val="none"/>
        </w:rPr>
      </w:pPr>
    </w:p>
    <w:p w14:paraId="48DE35F4">
      <w:pPr>
        <w:rPr>
          <w:color w:val="auto"/>
          <w:kern w:val="1"/>
          <w:highlight w:val="none"/>
        </w:rPr>
      </w:pPr>
    </w:p>
    <w:p w14:paraId="6B1F2196">
      <w:pPr>
        <w:rPr>
          <w:color w:val="auto"/>
          <w:kern w:val="1"/>
          <w:highlight w:val="none"/>
        </w:rPr>
      </w:pPr>
    </w:p>
    <w:p w14:paraId="62917F33">
      <w:pPr>
        <w:rPr>
          <w:color w:val="auto"/>
          <w:kern w:val="1"/>
          <w:highlight w:val="none"/>
        </w:rPr>
      </w:pPr>
    </w:p>
    <w:p w14:paraId="335C3D14">
      <w:pPr>
        <w:rPr>
          <w:color w:val="auto"/>
          <w:kern w:val="1"/>
          <w:highlight w:val="none"/>
        </w:rPr>
      </w:pPr>
    </w:p>
    <w:p w14:paraId="368EBBA2">
      <w:pPr>
        <w:rPr>
          <w:color w:val="auto"/>
          <w:kern w:val="1"/>
          <w:highlight w:val="none"/>
        </w:rPr>
      </w:pPr>
    </w:p>
    <w:p w14:paraId="37A999E4">
      <w:pPr>
        <w:rPr>
          <w:color w:val="auto"/>
          <w:kern w:val="1"/>
          <w:highlight w:val="none"/>
        </w:rPr>
      </w:pPr>
    </w:p>
    <w:p w14:paraId="7FA0D20B">
      <w:pPr>
        <w:rPr>
          <w:color w:val="auto"/>
          <w:kern w:val="1"/>
          <w:highlight w:val="none"/>
        </w:rPr>
      </w:pPr>
    </w:p>
    <w:p w14:paraId="1C4E3FA9">
      <w:pPr>
        <w:rPr>
          <w:color w:val="auto"/>
          <w:kern w:val="1"/>
          <w:highlight w:val="none"/>
        </w:rPr>
      </w:pPr>
    </w:p>
    <w:p w14:paraId="45476BC6">
      <w:pPr>
        <w:rPr>
          <w:color w:val="auto"/>
          <w:kern w:val="1"/>
          <w:highlight w:val="none"/>
        </w:rPr>
      </w:pPr>
    </w:p>
    <w:p w14:paraId="4732EB12">
      <w:pPr>
        <w:rPr>
          <w:color w:val="auto"/>
          <w:kern w:val="1"/>
          <w:highlight w:val="none"/>
        </w:rPr>
      </w:pPr>
    </w:p>
    <w:p w14:paraId="338E3817">
      <w:pPr>
        <w:rPr>
          <w:color w:val="auto"/>
          <w:kern w:val="1"/>
          <w:highlight w:val="none"/>
        </w:rPr>
      </w:pPr>
    </w:p>
    <w:p w14:paraId="44E39357">
      <w:pPr>
        <w:rPr>
          <w:color w:val="auto"/>
          <w:kern w:val="1"/>
          <w:highlight w:val="none"/>
        </w:rPr>
      </w:pPr>
    </w:p>
    <w:p w14:paraId="6F887524">
      <w:pPr>
        <w:rPr>
          <w:color w:val="auto"/>
          <w:kern w:val="1"/>
          <w:highlight w:val="none"/>
        </w:rPr>
      </w:pPr>
    </w:p>
    <w:p w14:paraId="44F10408">
      <w:pPr>
        <w:rPr>
          <w:color w:val="auto"/>
          <w:kern w:val="1"/>
          <w:highlight w:val="none"/>
        </w:rPr>
      </w:pPr>
    </w:p>
    <w:p w14:paraId="27DDC9DC">
      <w:pPr>
        <w:rPr>
          <w:color w:val="auto"/>
          <w:kern w:val="1"/>
          <w:highlight w:val="none"/>
        </w:rPr>
      </w:pPr>
    </w:p>
    <w:p w14:paraId="73CDA2F7">
      <w:pPr>
        <w:jc w:val="center"/>
        <w:rPr>
          <w:b/>
          <w:bCs/>
          <w:color w:val="auto"/>
          <w:sz w:val="32"/>
          <w:highlight w:val="none"/>
        </w:rPr>
      </w:pPr>
    </w:p>
    <w:p w14:paraId="414E178E">
      <w:pPr>
        <w:jc w:val="center"/>
        <w:rPr>
          <w:b/>
          <w:bCs/>
          <w:color w:val="auto"/>
          <w:sz w:val="32"/>
          <w:highlight w:val="none"/>
        </w:rPr>
      </w:pPr>
    </w:p>
    <w:p w14:paraId="2E9F1F91">
      <w:pPr>
        <w:jc w:val="center"/>
        <w:rPr>
          <w:b/>
          <w:bCs/>
          <w:color w:val="auto"/>
          <w:sz w:val="32"/>
          <w:highlight w:val="none"/>
        </w:rPr>
      </w:pPr>
    </w:p>
    <w:p w14:paraId="2054D938">
      <w:pPr>
        <w:jc w:val="center"/>
        <w:rPr>
          <w:b/>
          <w:bCs/>
          <w:color w:val="auto"/>
          <w:sz w:val="32"/>
          <w:highlight w:val="none"/>
        </w:rPr>
      </w:pPr>
      <w:r>
        <w:rPr>
          <w:b/>
          <w:bCs/>
          <w:color w:val="auto"/>
          <w:sz w:val="32"/>
          <w:highlight w:val="none"/>
        </w:rPr>
        <w:t>拟在本项目任职的负责人简历表</w:t>
      </w:r>
    </w:p>
    <w:p w14:paraId="70E59EA4">
      <w:pPr>
        <w:pStyle w:val="119"/>
        <w:rPr>
          <w:color w:val="auto"/>
          <w:highlight w:val="none"/>
        </w:rPr>
      </w:pPr>
    </w:p>
    <w:tbl>
      <w:tblPr>
        <w:tblStyle w:val="53"/>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217"/>
        <w:gridCol w:w="1178"/>
        <w:gridCol w:w="1048"/>
        <w:gridCol w:w="1746"/>
        <w:gridCol w:w="671"/>
        <w:gridCol w:w="7"/>
        <w:gridCol w:w="1070"/>
        <w:gridCol w:w="475"/>
        <w:gridCol w:w="1545"/>
      </w:tblGrid>
      <w:tr w14:paraId="18614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1330" w:type="dxa"/>
            <w:noWrap w:val="0"/>
            <w:vAlign w:val="center"/>
          </w:tcPr>
          <w:p w14:paraId="4D009F67">
            <w:pPr>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姓  名</w:t>
            </w:r>
          </w:p>
        </w:tc>
        <w:tc>
          <w:tcPr>
            <w:tcW w:w="1395" w:type="dxa"/>
            <w:gridSpan w:val="2"/>
            <w:noWrap w:val="0"/>
            <w:vAlign w:val="center"/>
          </w:tcPr>
          <w:p w14:paraId="5AD9DC51">
            <w:pPr>
              <w:jc w:val="center"/>
              <w:rPr>
                <w:rFonts w:ascii="Times New Roman" w:hAnsi="Times New Roman" w:eastAsia="宋体" w:cs="Times New Roman"/>
                <w:color w:val="auto"/>
                <w:sz w:val="24"/>
                <w:highlight w:val="none"/>
              </w:rPr>
            </w:pPr>
          </w:p>
        </w:tc>
        <w:tc>
          <w:tcPr>
            <w:tcW w:w="1048" w:type="dxa"/>
            <w:noWrap w:val="0"/>
            <w:vAlign w:val="center"/>
          </w:tcPr>
          <w:p w14:paraId="168A7F1B">
            <w:pPr>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年  龄</w:t>
            </w:r>
          </w:p>
        </w:tc>
        <w:tc>
          <w:tcPr>
            <w:tcW w:w="1746" w:type="dxa"/>
            <w:noWrap w:val="0"/>
            <w:vAlign w:val="center"/>
          </w:tcPr>
          <w:p w14:paraId="558AC5C6">
            <w:pPr>
              <w:jc w:val="center"/>
              <w:rPr>
                <w:rFonts w:ascii="Times New Roman" w:hAnsi="Times New Roman" w:eastAsia="宋体" w:cs="Times New Roman"/>
                <w:color w:val="auto"/>
                <w:sz w:val="24"/>
                <w:highlight w:val="none"/>
              </w:rPr>
            </w:pPr>
          </w:p>
        </w:tc>
        <w:tc>
          <w:tcPr>
            <w:tcW w:w="1748" w:type="dxa"/>
            <w:gridSpan w:val="3"/>
            <w:noWrap w:val="0"/>
            <w:vAlign w:val="center"/>
          </w:tcPr>
          <w:p w14:paraId="42FA47C3">
            <w:pPr>
              <w:jc w:val="center"/>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所学</w:t>
            </w:r>
            <w:r>
              <w:rPr>
                <w:rFonts w:ascii="Times New Roman" w:hAnsi="Times New Roman" w:eastAsia="宋体" w:cs="Times New Roman"/>
                <w:color w:val="auto"/>
                <w:sz w:val="24"/>
                <w:highlight w:val="none"/>
              </w:rPr>
              <w:t>专业</w:t>
            </w:r>
          </w:p>
        </w:tc>
        <w:tc>
          <w:tcPr>
            <w:tcW w:w="2020" w:type="dxa"/>
            <w:gridSpan w:val="2"/>
            <w:noWrap w:val="0"/>
            <w:vAlign w:val="center"/>
          </w:tcPr>
          <w:p w14:paraId="64F3B959">
            <w:pPr>
              <w:jc w:val="center"/>
              <w:rPr>
                <w:rFonts w:ascii="Times New Roman" w:hAnsi="Times New Roman" w:eastAsia="宋体" w:cs="Times New Roman"/>
                <w:color w:val="auto"/>
                <w:sz w:val="24"/>
                <w:highlight w:val="none"/>
              </w:rPr>
            </w:pPr>
          </w:p>
        </w:tc>
      </w:tr>
      <w:tr w14:paraId="4C7EB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1330" w:type="dxa"/>
            <w:noWrap w:val="0"/>
            <w:vAlign w:val="center"/>
          </w:tcPr>
          <w:p w14:paraId="6167350C">
            <w:pPr>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职  称</w:t>
            </w:r>
          </w:p>
        </w:tc>
        <w:tc>
          <w:tcPr>
            <w:tcW w:w="1395" w:type="dxa"/>
            <w:gridSpan w:val="2"/>
            <w:noWrap w:val="0"/>
            <w:vAlign w:val="center"/>
          </w:tcPr>
          <w:p w14:paraId="743424F0">
            <w:pPr>
              <w:jc w:val="center"/>
              <w:rPr>
                <w:rFonts w:ascii="Times New Roman" w:hAnsi="Times New Roman" w:eastAsia="宋体" w:cs="Times New Roman"/>
                <w:color w:val="auto"/>
                <w:sz w:val="24"/>
                <w:highlight w:val="none"/>
              </w:rPr>
            </w:pPr>
          </w:p>
        </w:tc>
        <w:tc>
          <w:tcPr>
            <w:tcW w:w="1048" w:type="dxa"/>
            <w:noWrap w:val="0"/>
            <w:vAlign w:val="center"/>
          </w:tcPr>
          <w:p w14:paraId="6329464B">
            <w:pPr>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职  务</w:t>
            </w:r>
          </w:p>
        </w:tc>
        <w:tc>
          <w:tcPr>
            <w:tcW w:w="1746" w:type="dxa"/>
            <w:noWrap w:val="0"/>
            <w:vAlign w:val="center"/>
          </w:tcPr>
          <w:p w14:paraId="0139DCC4">
            <w:pPr>
              <w:jc w:val="center"/>
              <w:rPr>
                <w:rFonts w:ascii="Times New Roman" w:hAnsi="Times New Roman" w:eastAsia="宋体" w:cs="Times New Roman"/>
                <w:color w:val="auto"/>
                <w:sz w:val="24"/>
                <w:highlight w:val="none"/>
              </w:rPr>
            </w:pPr>
          </w:p>
        </w:tc>
        <w:tc>
          <w:tcPr>
            <w:tcW w:w="1748" w:type="dxa"/>
            <w:gridSpan w:val="3"/>
            <w:noWrap w:val="0"/>
            <w:vAlign w:val="center"/>
          </w:tcPr>
          <w:p w14:paraId="3C4172ED">
            <w:pPr>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拟在本合同工程担任职务</w:t>
            </w:r>
          </w:p>
        </w:tc>
        <w:tc>
          <w:tcPr>
            <w:tcW w:w="2020" w:type="dxa"/>
            <w:gridSpan w:val="2"/>
            <w:noWrap w:val="0"/>
            <w:vAlign w:val="center"/>
          </w:tcPr>
          <w:p w14:paraId="1F78AF0A">
            <w:pPr>
              <w:jc w:val="center"/>
              <w:rPr>
                <w:rFonts w:ascii="Times New Roman" w:hAnsi="Times New Roman" w:eastAsia="宋体" w:cs="Times New Roman"/>
                <w:color w:val="auto"/>
                <w:sz w:val="24"/>
                <w:highlight w:val="none"/>
              </w:rPr>
            </w:pPr>
          </w:p>
        </w:tc>
      </w:tr>
      <w:tr w14:paraId="6A2F7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1" w:hRule="atLeast"/>
          <w:jc w:val="center"/>
        </w:trPr>
        <w:tc>
          <w:tcPr>
            <w:tcW w:w="1330" w:type="dxa"/>
            <w:noWrap w:val="0"/>
            <w:vAlign w:val="center"/>
          </w:tcPr>
          <w:p w14:paraId="48A9A2B9">
            <w:pPr>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毕业学校</w:t>
            </w:r>
          </w:p>
        </w:tc>
        <w:tc>
          <w:tcPr>
            <w:tcW w:w="7957" w:type="dxa"/>
            <w:gridSpan w:val="9"/>
            <w:noWrap w:val="0"/>
            <w:vAlign w:val="center"/>
          </w:tcPr>
          <w:p w14:paraId="4DD261F8">
            <w:pPr>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年   月毕业于          学校    系（科），学制    年</w:t>
            </w:r>
          </w:p>
        </w:tc>
      </w:tr>
      <w:tr w14:paraId="1621D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1" w:hRule="atLeast"/>
          <w:jc w:val="center"/>
        </w:trPr>
        <w:tc>
          <w:tcPr>
            <w:tcW w:w="1330" w:type="dxa"/>
            <w:noWrap w:val="0"/>
            <w:vAlign w:val="center"/>
          </w:tcPr>
          <w:p w14:paraId="2D2D2C21">
            <w:pPr>
              <w:jc w:val="center"/>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联系方式</w:t>
            </w:r>
          </w:p>
        </w:tc>
        <w:tc>
          <w:tcPr>
            <w:tcW w:w="4189" w:type="dxa"/>
            <w:gridSpan w:val="4"/>
            <w:noWrap w:val="0"/>
            <w:vAlign w:val="center"/>
          </w:tcPr>
          <w:p w14:paraId="48A4FD64">
            <w:pPr>
              <w:jc w:val="center"/>
              <w:rPr>
                <w:rFonts w:ascii="Times New Roman" w:hAnsi="Times New Roman" w:eastAsia="宋体" w:cs="Times New Roman"/>
                <w:color w:val="auto"/>
                <w:sz w:val="24"/>
                <w:highlight w:val="none"/>
              </w:rPr>
            </w:pPr>
          </w:p>
        </w:tc>
        <w:tc>
          <w:tcPr>
            <w:tcW w:w="1748" w:type="dxa"/>
            <w:gridSpan w:val="3"/>
            <w:noWrap w:val="0"/>
            <w:vAlign w:val="center"/>
          </w:tcPr>
          <w:p w14:paraId="21AF0F9B">
            <w:pPr>
              <w:jc w:val="center"/>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本岗工龄</w:t>
            </w:r>
          </w:p>
        </w:tc>
        <w:tc>
          <w:tcPr>
            <w:tcW w:w="2020" w:type="dxa"/>
            <w:gridSpan w:val="2"/>
            <w:noWrap w:val="0"/>
            <w:vAlign w:val="center"/>
          </w:tcPr>
          <w:p w14:paraId="6016EE38">
            <w:pPr>
              <w:jc w:val="center"/>
              <w:rPr>
                <w:rFonts w:ascii="Times New Roman" w:hAnsi="Times New Roman" w:eastAsia="宋体" w:cs="Times New Roman"/>
                <w:color w:val="auto"/>
                <w:sz w:val="24"/>
                <w:highlight w:val="none"/>
              </w:rPr>
            </w:pPr>
          </w:p>
        </w:tc>
      </w:tr>
      <w:tr w14:paraId="026F4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1" w:hRule="atLeast"/>
          <w:jc w:val="center"/>
        </w:trPr>
        <w:tc>
          <w:tcPr>
            <w:tcW w:w="9287" w:type="dxa"/>
            <w:gridSpan w:val="10"/>
            <w:noWrap w:val="0"/>
            <w:vAlign w:val="center"/>
          </w:tcPr>
          <w:p w14:paraId="70FAC0A4">
            <w:pPr>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经    历</w:t>
            </w:r>
          </w:p>
        </w:tc>
      </w:tr>
      <w:tr w14:paraId="31AB5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1" w:hRule="atLeast"/>
          <w:jc w:val="center"/>
        </w:trPr>
        <w:tc>
          <w:tcPr>
            <w:tcW w:w="1547" w:type="dxa"/>
            <w:gridSpan w:val="2"/>
            <w:noWrap w:val="0"/>
            <w:vAlign w:val="center"/>
          </w:tcPr>
          <w:p w14:paraId="72DF2E9C">
            <w:pPr>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年～年</w:t>
            </w:r>
          </w:p>
        </w:tc>
        <w:tc>
          <w:tcPr>
            <w:tcW w:w="4643" w:type="dxa"/>
            <w:gridSpan w:val="4"/>
            <w:noWrap w:val="0"/>
            <w:vAlign w:val="center"/>
          </w:tcPr>
          <w:p w14:paraId="3E883099">
            <w:pPr>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参加过同类项目和名称</w:t>
            </w:r>
          </w:p>
        </w:tc>
        <w:tc>
          <w:tcPr>
            <w:tcW w:w="1552" w:type="dxa"/>
            <w:gridSpan w:val="3"/>
            <w:noWrap w:val="0"/>
            <w:vAlign w:val="center"/>
          </w:tcPr>
          <w:p w14:paraId="21745F15">
            <w:pPr>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担任何职</w:t>
            </w:r>
          </w:p>
        </w:tc>
        <w:tc>
          <w:tcPr>
            <w:tcW w:w="1545" w:type="dxa"/>
            <w:noWrap w:val="0"/>
            <w:vAlign w:val="center"/>
          </w:tcPr>
          <w:p w14:paraId="6BC367BB">
            <w:pPr>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备注</w:t>
            </w:r>
          </w:p>
        </w:tc>
      </w:tr>
      <w:tr w14:paraId="46C3C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1547" w:type="dxa"/>
            <w:gridSpan w:val="2"/>
            <w:noWrap w:val="0"/>
            <w:vAlign w:val="center"/>
          </w:tcPr>
          <w:p w14:paraId="7E718430">
            <w:pPr>
              <w:jc w:val="center"/>
              <w:rPr>
                <w:rFonts w:ascii="Times New Roman" w:hAnsi="Times New Roman" w:eastAsia="宋体" w:cs="Times New Roman"/>
                <w:color w:val="auto"/>
                <w:sz w:val="24"/>
                <w:highlight w:val="none"/>
              </w:rPr>
            </w:pPr>
          </w:p>
        </w:tc>
        <w:tc>
          <w:tcPr>
            <w:tcW w:w="4650" w:type="dxa"/>
            <w:gridSpan w:val="5"/>
            <w:noWrap w:val="0"/>
            <w:vAlign w:val="center"/>
          </w:tcPr>
          <w:p w14:paraId="1E132069">
            <w:pPr>
              <w:jc w:val="center"/>
              <w:rPr>
                <w:rFonts w:ascii="Times New Roman" w:hAnsi="Times New Roman" w:eastAsia="宋体" w:cs="Times New Roman"/>
                <w:color w:val="auto"/>
                <w:sz w:val="24"/>
                <w:highlight w:val="none"/>
              </w:rPr>
            </w:pPr>
          </w:p>
        </w:tc>
        <w:tc>
          <w:tcPr>
            <w:tcW w:w="1545" w:type="dxa"/>
            <w:gridSpan w:val="2"/>
            <w:noWrap w:val="0"/>
            <w:vAlign w:val="center"/>
          </w:tcPr>
          <w:p w14:paraId="25EF35D9">
            <w:pPr>
              <w:jc w:val="center"/>
              <w:rPr>
                <w:rFonts w:ascii="Times New Roman" w:hAnsi="Times New Roman" w:eastAsia="宋体" w:cs="Times New Roman"/>
                <w:color w:val="auto"/>
                <w:sz w:val="24"/>
                <w:highlight w:val="none"/>
              </w:rPr>
            </w:pPr>
          </w:p>
        </w:tc>
        <w:tc>
          <w:tcPr>
            <w:tcW w:w="1545" w:type="dxa"/>
            <w:noWrap w:val="0"/>
            <w:vAlign w:val="center"/>
          </w:tcPr>
          <w:p w14:paraId="32B2BD87">
            <w:pPr>
              <w:jc w:val="center"/>
              <w:rPr>
                <w:rFonts w:ascii="Times New Roman" w:hAnsi="Times New Roman" w:eastAsia="宋体" w:cs="Times New Roman"/>
                <w:color w:val="auto"/>
                <w:sz w:val="24"/>
                <w:highlight w:val="none"/>
              </w:rPr>
            </w:pPr>
          </w:p>
        </w:tc>
      </w:tr>
      <w:tr w14:paraId="4C752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547" w:type="dxa"/>
            <w:gridSpan w:val="2"/>
            <w:noWrap w:val="0"/>
            <w:vAlign w:val="center"/>
          </w:tcPr>
          <w:p w14:paraId="1456B4D5">
            <w:pPr>
              <w:jc w:val="center"/>
              <w:rPr>
                <w:rFonts w:ascii="Times New Roman" w:hAnsi="Times New Roman" w:eastAsia="宋体" w:cs="Times New Roman"/>
                <w:color w:val="auto"/>
                <w:sz w:val="24"/>
                <w:highlight w:val="none"/>
              </w:rPr>
            </w:pPr>
          </w:p>
        </w:tc>
        <w:tc>
          <w:tcPr>
            <w:tcW w:w="4650" w:type="dxa"/>
            <w:gridSpan w:val="5"/>
            <w:noWrap w:val="0"/>
            <w:vAlign w:val="center"/>
          </w:tcPr>
          <w:p w14:paraId="0757EDC8">
            <w:pPr>
              <w:jc w:val="center"/>
              <w:rPr>
                <w:rFonts w:ascii="Times New Roman" w:hAnsi="Times New Roman" w:eastAsia="宋体" w:cs="Times New Roman"/>
                <w:color w:val="auto"/>
                <w:sz w:val="24"/>
                <w:highlight w:val="none"/>
              </w:rPr>
            </w:pPr>
          </w:p>
        </w:tc>
        <w:tc>
          <w:tcPr>
            <w:tcW w:w="1545" w:type="dxa"/>
            <w:gridSpan w:val="2"/>
            <w:noWrap w:val="0"/>
            <w:vAlign w:val="center"/>
          </w:tcPr>
          <w:p w14:paraId="7B218658">
            <w:pPr>
              <w:jc w:val="center"/>
              <w:rPr>
                <w:rFonts w:ascii="Times New Roman" w:hAnsi="Times New Roman" w:eastAsia="宋体" w:cs="Times New Roman"/>
                <w:color w:val="auto"/>
                <w:sz w:val="24"/>
                <w:highlight w:val="none"/>
              </w:rPr>
            </w:pPr>
          </w:p>
        </w:tc>
        <w:tc>
          <w:tcPr>
            <w:tcW w:w="1545" w:type="dxa"/>
            <w:noWrap w:val="0"/>
            <w:vAlign w:val="center"/>
          </w:tcPr>
          <w:p w14:paraId="6A993AA5">
            <w:pPr>
              <w:jc w:val="center"/>
              <w:rPr>
                <w:rFonts w:ascii="Times New Roman" w:hAnsi="Times New Roman" w:eastAsia="宋体" w:cs="Times New Roman"/>
                <w:color w:val="auto"/>
                <w:sz w:val="24"/>
                <w:highlight w:val="none"/>
              </w:rPr>
            </w:pPr>
          </w:p>
        </w:tc>
      </w:tr>
      <w:tr w14:paraId="09BBE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0" w:hRule="atLeast"/>
          <w:jc w:val="center"/>
        </w:trPr>
        <w:tc>
          <w:tcPr>
            <w:tcW w:w="1547" w:type="dxa"/>
            <w:gridSpan w:val="2"/>
            <w:noWrap w:val="0"/>
            <w:vAlign w:val="center"/>
          </w:tcPr>
          <w:p w14:paraId="69A8B015">
            <w:pPr>
              <w:jc w:val="center"/>
              <w:rPr>
                <w:rFonts w:ascii="Times New Roman" w:hAnsi="Times New Roman" w:eastAsia="宋体" w:cs="Times New Roman"/>
                <w:color w:val="auto"/>
                <w:sz w:val="24"/>
                <w:highlight w:val="none"/>
              </w:rPr>
            </w:pPr>
          </w:p>
        </w:tc>
        <w:tc>
          <w:tcPr>
            <w:tcW w:w="4650" w:type="dxa"/>
            <w:gridSpan w:val="5"/>
            <w:noWrap w:val="0"/>
            <w:vAlign w:val="center"/>
          </w:tcPr>
          <w:p w14:paraId="21ECF5EF">
            <w:pPr>
              <w:jc w:val="center"/>
              <w:rPr>
                <w:rFonts w:ascii="Times New Roman" w:hAnsi="Times New Roman" w:eastAsia="宋体" w:cs="Times New Roman"/>
                <w:color w:val="auto"/>
                <w:sz w:val="24"/>
                <w:highlight w:val="none"/>
              </w:rPr>
            </w:pPr>
          </w:p>
        </w:tc>
        <w:tc>
          <w:tcPr>
            <w:tcW w:w="1545" w:type="dxa"/>
            <w:gridSpan w:val="2"/>
            <w:noWrap w:val="0"/>
            <w:vAlign w:val="center"/>
          </w:tcPr>
          <w:p w14:paraId="0D923AB4">
            <w:pPr>
              <w:jc w:val="center"/>
              <w:rPr>
                <w:rFonts w:ascii="Times New Roman" w:hAnsi="Times New Roman" w:eastAsia="宋体" w:cs="Times New Roman"/>
                <w:color w:val="auto"/>
                <w:sz w:val="24"/>
                <w:highlight w:val="none"/>
              </w:rPr>
            </w:pPr>
          </w:p>
        </w:tc>
        <w:tc>
          <w:tcPr>
            <w:tcW w:w="1545" w:type="dxa"/>
            <w:noWrap w:val="0"/>
            <w:vAlign w:val="center"/>
          </w:tcPr>
          <w:p w14:paraId="62D546A4">
            <w:pPr>
              <w:jc w:val="center"/>
              <w:rPr>
                <w:rFonts w:ascii="Times New Roman" w:hAnsi="Times New Roman" w:eastAsia="宋体" w:cs="Times New Roman"/>
                <w:color w:val="auto"/>
                <w:sz w:val="24"/>
                <w:highlight w:val="none"/>
              </w:rPr>
            </w:pPr>
          </w:p>
        </w:tc>
      </w:tr>
      <w:tr w14:paraId="3F8B5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547" w:type="dxa"/>
            <w:gridSpan w:val="2"/>
            <w:noWrap w:val="0"/>
            <w:vAlign w:val="center"/>
          </w:tcPr>
          <w:p w14:paraId="28DA387E">
            <w:pPr>
              <w:jc w:val="center"/>
              <w:rPr>
                <w:rFonts w:ascii="Times New Roman" w:hAnsi="Times New Roman" w:eastAsia="宋体" w:cs="Times New Roman"/>
                <w:color w:val="auto"/>
                <w:sz w:val="24"/>
                <w:highlight w:val="none"/>
              </w:rPr>
            </w:pPr>
          </w:p>
        </w:tc>
        <w:tc>
          <w:tcPr>
            <w:tcW w:w="4650" w:type="dxa"/>
            <w:gridSpan w:val="5"/>
            <w:noWrap w:val="0"/>
            <w:vAlign w:val="center"/>
          </w:tcPr>
          <w:p w14:paraId="44D6C75E">
            <w:pPr>
              <w:jc w:val="center"/>
              <w:rPr>
                <w:rFonts w:ascii="Times New Roman" w:hAnsi="Times New Roman" w:eastAsia="宋体" w:cs="Times New Roman"/>
                <w:color w:val="auto"/>
                <w:sz w:val="24"/>
                <w:highlight w:val="none"/>
              </w:rPr>
            </w:pPr>
          </w:p>
        </w:tc>
        <w:tc>
          <w:tcPr>
            <w:tcW w:w="1545" w:type="dxa"/>
            <w:gridSpan w:val="2"/>
            <w:noWrap w:val="0"/>
            <w:vAlign w:val="center"/>
          </w:tcPr>
          <w:p w14:paraId="71A81BAC">
            <w:pPr>
              <w:jc w:val="center"/>
              <w:rPr>
                <w:rFonts w:ascii="Times New Roman" w:hAnsi="Times New Roman" w:eastAsia="宋体" w:cs="Times New Roman"/>
                <w:color w:val="auto"/>
                <w:sz w:val="24"/>
                <w:highlight w:val="none"/>
              </w:rPr>
            </w:pPr>
          </w:p>
        </w:tc>
        <w:tc>
          <w:tcPr>
            <w:tcW w:w="1545" w:type="dxa"/>
            <w:noWrap w:val="0"/>
            <w:vAlign w:val="center"/>
          </w:tcPr>
          <w:p w14:paraId="377CDFC8">
            <w:pPr>
              <w:jc w:val="center"/>
              <w:rPr>
                <w:rFonts w:ascii="Times New Roman" w:hAnsi="Times New Roman" w:eastAsia="宋体" w:cs="Times New Roman"/>
                <w:color w:val="auto"/>
                <w:sz w:val="24"/>
                <w:highlight w:val="none"/>
              </w:rPr>
            </w:pPr>
          </w:p>
        </w:tc>
      </w:tr>
      <w:tr w14:paraId="6E4EA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547" w:type="dxa"/>
            <w:gridSpan w:val="2"/>
            <w:noWrap w:val="0"/>
            <w:vAlign w:val="center"/>
          </w:tcPr>
          <w:p w14:paraId="3FCB384E">
            <w:pPr>
              <w:jc w:val="center"/>
              <w:rPr>
                <w:rFonts w:ascii="Times New Roman" w:hAnsi="Times New Roman" w:eastAsia="宋体" w:cs="Times New Roman"/>
                <w:color w:val="auto"/>
                <w:sz w:val="24"/>
                <w:highlight w:val="none"/>
              </w:rPr>
            </w:pPr>
          </w:p>
        </w:tc>
        <w:tc>
          <w:tcPr>
            <w:tcW w:w="4650" w:type="dxa"/>
            <w:gridSpan w:val="5"/>
            <w:noWrap w:val="0"/>
            <w:vAlign w:val="center"/>
          </w:tcPr>
          <w:p w14:paraId="20EC4827">
            <w:pPr>
              <w:jc w:val="center"/>
              <w:rPr>
                <w:rFonts w:ascii="Times New Roman" w:hAnsi="Times New Roman" w:eastAsia="宋体" w:cs="Times New Roman"/>
                <w:color w:val="auto"/>
                <w:sz w:val="24"/>
                <w:highlight w:val="none"/>
              </w:rPr>
            </w:pPr>
          </w:p>
        </w:tc>
        <w:tc>
          <w:tcPr>
            <w:tcW w:w="1545" w:type="dxa"/>
            <w:gridSpan w:val="2"/>
            <w:noWrap w:val="0"/>
            <w:vAlign w:val="center"/>
          </w:tcPr>
          <w:p w14:paraId="4E50269C">
            <w:pPr>
              <w:jc w:val="center"/>
              <w:rPr>
                <w:rFonts w:ascii="Times New Roman" w:hAnsi="Times New Roman" w:eastAsia="宋体" w:cs="Times New Roman"/>
                <w:color w:val="auto"/>
                <w:sz w:val="24"/>
                <w:highlight w:val="none"/>
              </w:rPr>
            </w:pPr>
          </w:p>
        </w:tc>
        <w:tc>
          <w:tcPr>
            <w:tcW w:w="1545" w:type="dxa"/>
            <w:noWrap w:val="0"/>
            <w:vAlign w:val="center"/>
          </w:tcPr>
          <w:p w14:paraId="2E5C3C40">
            <w:pPr>
              <w:jc w:val="center"/>
              <w:rPr>
                <w:rFonts w:ascii="Times New Roman" w:hAnsi="Times New Roman" w:eastAsia="宋体" w:cs="Times New Roman"/>
                <w:color w:val="auto"/>
                <w:sz w:val="24"/>
                <w:highlight w:val="none"/>
              </w:rPr>
            </w:pPr>
          </w:p>
        </w:tc>
      </w:tr>
      <w:tr w14:paraId="37701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1547" w:type="dxa"/>
            <w:gridSpan w:val="2"/>
            <w:noWrap w:val="0"/>
            <w:vAlign w:val="center"/>
          </w:tcPr>
          <w:p w14:paraId="451108BE">
            <w:pPr>
              <w:jc w:val="center"/>
              <w:rPr>
                <w:rFonts w:ascii="Times New Roman" w:hAnsi="Times New Roman" w:eastAsia="宋体" w:cs="Times New Roman"/>
                <w:color w:val="auto"/>
                <w:sz w:val="24"/>
                <w:highlight w:val="none"/>
              </w:rPr>
            </w:pPr>
          </w:p>
        </w:tc>
        <w:tc>
          <w:tcPr>
            <w:tcW w:w="4650" w:type="dxa"/>
            <w:gridSpan w:val="5"/>
            <w:noWrap w:val="0"/>
            <w:vAlign w:val="center"/>
          </w:tcPr>
          <w:p w14:paraId="6F94F42F">
            <w:pPr>
              <w:jc w:val="center"/>
              <w:rPr>
                <w:rFonts w:ascii="Times New Roman" w:hAnsi="Times New Roman" w:eastAsia="宋体" w:cs="Times New Roman"/>
                <w:color w:val="auto"/>
                <w:sz w:val="24"/>
                <w:highlight w:val="none"/>
              </w:rPr>
            </w:pPr>
          </w:p>
        </w:tc>
        <w:tc>
          <w:tcPr>
            <w:tcW w:w="1545" w:type="dxa"/>
            <w:gridSpan w:val="2"/>
            <w:noWrap w:val="0"/>
            <w:vAlign w:val="center"/>
          </w:tcPr>
          <w:p w14:paraId="6DBD0A75">
            <w:pPr>
              <w:jc w:val="center"/>
              <w:rPr>
                <w:rFonts w:ascii="Times New Roman" w:hAnsi="Times New Roman" w:eastAsia="宋体" w:cs="Times New Roman"/>
                <w:color w:val="auto"/>
                <w:sz w:val="24"/>
                <w:highlight w:val="none"/>
              </w:rPr>
            </w:pPr>
          </w:p>
        </w:tc>
        <w:tc>
          <w:tcPr>
            <w:tcW w:w="1545" w:type="dxa"/>
            <w:noWrap w:val="0"/>
            <w:vAlign w:val="center"/>
          </w:tcPr>
          <w:p w14:paraId="2DD95568">
            <w:pPr>
              <w:jc w:val="center"/>
              <w:rPr>
                <w:rFonts w:ascii="Times New Roman" w:hAnsi="Times New Roman" w:eastAsia="宋体" w:cs="Times New Roman"/>
                <w:color w:val="auto"/>
                <w:sz w:val="24"/>
                <w:highlight w:val="none"/>
              </w:rPr>
            </w:pPr>
          </w:p>
        </w:tc>
      </w:tr>
    </w:tbl>
    <w:p w14:paraId="23A901FA">
      <w:pPr>
        <w:spacing w:line="480" w:lineRule="auto"/>
        <w:rPr>
          <w:rFonts w:hint="eastAsia" w:ascii="宋体" w:hAnsi="宋体"/>
          <w:b/>
          <w:color w:val="auto"/>
          <w:sz w:val="24"/>
          <w:highlight w:val="none"/>
        </w:rPr>
      </w:pPr>
    </w:p>
    <w:p w14:paraId="34807FEA">
      <w:pPr>
        <w:spacing w:line="480" w:lineRule="auto"/>
        <w:rPr>
          <w:color w:val="auto"/>
          <w:sz w:val="30"/>
          <w:highlight w:val="none"/>
        </w:rPr>
      </w:pPr>
      <w:r>
        <w:rPr>
          <w:rFonts w:hint="eastAsia" w:ascii="宋体" w:hAnsi="宋体"/>
          <w:b/>
          <w:color w:val="auto"/>
          <w:sz w:val="24"/>
          <w:highlight w:val="none"/>
        </w:rPr>
        <w:t>注：资格证书、职称证书、业绩等说明文件附后。</w:t>
      </w:r>
    </w:p>
    <w:p w14:paraId="3926E13D">
      <w:pPr>
        <w:spacing w:line="480" w:lineRule="auto"/>
        <w:jc w:val="center"/>
        <w:rPr>
          <w:b/>
          <w:bCs/>
          <w:color w:val="auto"/>
          <w:sz w:val="32"/>
          <w:highlight w:val="none"/>
        </w:rPr>
      </w:pPr>
    </w:p>
    <w:p w14:paraId="564A3D0B">
      <w:pPr>
        <w:pStyle w:val="137"/>
        <w:rPr>
          <w:rFonts w:ascii="Times New Roman"/>
          <w:color w:val="auto"/>
          <w:highlight w:val="none"/>
        </w:rPr>
      </w:pPr>
    </w:p>
    <w:p w14:paraId="1FE498B9">
      <w:pPr>
        <w:spacing w:line="480" w:lineRule="auto"/>
        <w:jc w:val="center"/>
        <w:rPr>
          <w:b/>
          <w:bCs/>
          <w:color w:val="auto"/>
          <w:sz w:val="32"/>
          <w:highlight w:val="none"/>
        </w:rPr>
      </w:pPr>
    </w:p>
    <w:p w14:paraId="5D9CFCFA">
      <w:pPr>
        <w:spacing w:line="360" w:lineRule="auto"/>
        <w:ind w:firstLine="4800"/>
        <w:rPr>
          <w:color w:val="auto"/>
          <w:kern w:val="1"/>
          <w:sz w:val="24"/>
          <w:highlight w:val="none"/>
          <w:u w:val="single"/>
        </w:rPr>
      </w:pPr>
      <w:r>
        <w:rPr>
          <w:color w:val="auto"/>
          <w:kern w:val="1"/>
          <w:sz w:val="24"/>
          <w:highlight w:val="none"/>
        </w:rPr>
        <w:t>供应商名称（签章）</w:t>
      </w:r>
      <w:r>
        <w:rPr>
          <w:color w:val="auto"/>
          <w:kern w:val="1"/>
          <w:sz w:val="24"/>
          <w:highlight w:val="none"/>
          <w:u w:val="single"/>
        </w:rPr>
        <w:t xml:space="preserve">                   </w:t>
      </w:r>
    </w:p>
    <w:p w14:paraId="40426DF6">
      <w:pPr>
        <w:pStyle w:val="119"/>
        <w:rPr>
          <w:color w:val="auto"/>
          <w:highlight w:val="none"/>
        </w:rPr>
      </w:pPr>
    </w:p>
    <w:p w14:paraId="3BED5AB0">
      <w:pPr>
        <w:spacing w:line="360" w:lineRule="auto"/>
        <w:jc w:val="center"/>
        <w:rPr>
          <w:color w:val="auto"/>
          <w:kern w:val="1"/>
          <w:sz w:val="24"/>
          <w:highlight w:val="none"/>
        </w:rPr>
      </w:pPr>
      <w:r>
        <w:rPr>
          <w:color w:val="auto"/>
          <w:kern w:val="1"/>
          <w:sz w:val="24"/>
          <w:highlight w:val="none"/>
        </w:rPr>
        <w:t xml:space="preserve">                                                     年     月      日</w:t>
      </w:r>
    </w:p>
    <w:p w14:paraId="72138408">
      <w:pPr>
        <w:spacing w:line="480" w:lineRule="auto"/>
        <w:jc w:val="center"/>
        <w:rPr>
          <w:b/>
          <w:bCs/>
          <w:color w:val="auto"/>
          <w:sz w:val="32"/>
          <w:highlight w:val="none"/>
        </w:rPr>
      </w:pPr>
    </w:p>
    <w:p w14:paraId="06DF2681">
      <w:pPr>
        <w:pStyle w:val="17"/>
        <w:rPr>
          <w:color w:val="auto"/>
          <w:highlight w:val="none"/>
        </w:rPr>
      </w:pPr>
    </w:p>
    <w:p w14:paraId="186BFF09">
      <w:pPr>
        <w:jc w:val="center"/>
        <w:rPr>
          <w:b/>
          <w:bCs/>
          <w:color w:val="auto"/>
          <w:sz w:val="36"/>
          <w:highlight w:val="none"/>
        </w:rPr>
      </w:pPr>
      <w:r>
        <w:rPr>
          <w:rFonts w:hint="eastAsia"/>
          <w:b/>
          <w:bCs/>
          <w:color w:val="auto"/>
          <w:sz w:val="36"/>
          <w:highlight w:val="none"/>
        </w:rPr>
        <w:t>拟投入本项目的人员表（格式）</w:t>
      </w:r>
    </w:p>
    <w:p w14:paraId="2545DC56">
      <w:pPr>
        <w:tabs>
          <w:tab w:val="left" w:pos="360"/>
        </w:tabs>
        <w:spacing w:line="360" w:lineRule="auto"/>
        <w:rPr>
          <w:rFonts w:hint="eastAsia"/>
          <w:b/>
          <w:bCs/>
          <w:color w:val="auto"/>
          <w:highlight w:val="none"/>
        </w:rPr>
      </w:pPr>
      <w:r>
        <w:rPr>
          <w:rFonts w:hint="eastAsia" w:hAnsi="宋体"/>
          <w:bCs/>
          <w:color w:val="auto"/>
          <w:sz w:val="24"/>
          <w:szCs w:val="28"/>
          <w:highlight w:val="none"/>
        </w:rPr>
        <w:t>投标人（</w:t>
      </w:r>
      <w:r>
        <w:rPr>
          <w:rFonts w:hint="eastAsia"/>
          <w:color w:val="auto"/>
          <w:kern w:val="1"/>
          <w:sz w:val="24"/>
          <w:highlight w:val="none"/>
        </w:rPr>
        <w:t>签章</w:t>
      </w:r>
      <w:r>
        <w:rPr>
          <w:rFonts w:hint="eastAsia" w:hAnsi="宋体"/>
          <w:bCs/>
          <w:color w:val="auto"/>
          <w:sz w:val="24"/>
          <w:szCs w:val="28"/>
          <w:highlight w:val="none"/>
        </w:rPr>
        <w:t>）：</w:t>
      </w:r>
      <w:r>
        <w:rPr>
          <w:rFonts w:hint="eastAsia" w:hAnsi="宋体"/>
          <w:bCs/>
          <w:color w:val="auto"/>
          <w:sz w:val="24"/>
          <w:szCs w:val="28"/>
          <w:highlight w:val="none"/>
          <w:u w:val="single"/>
        </w:rPr>
        <w:t xml:space="preserve">                                      </w:t>
      </w:r>
      <w:r>
        <w:rPr>
          <w:rFonts w:hint="eastAsia" w:hAnsi="宋体"/>
          <w:bCs/>
          <w:color w:val="auto"/>
          <w:sz w:val="24"/>
          <w:szCs w:val="28"/>
          <w:highlight w:val="none"/>
        </w:rPr>
        <w:t xml:space="preserve">   </w:t>
      </w:r>
    </w:p>
    <w:tbl>
      <w:tblPr>
        <w:tblStyle w:val="53"/>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900"/>
        <w:gridCol w:w="1440"/>
        <w:gridCol w:w="1460"/>
        <w:gridCol w:w="2680"/>
        <w:gridCol w:w="1542"/>
      </w:tblGrid>
      <w:tr w14:paraId="6F0DE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noWrap w:val="0"/>
            <w:vAlign w:val="center"/>
          </w:tcPr>
          <w:p w14:paraId="3BA5F77D">
            <w:pPr>
              <w:tabs>
                <w:tab w:val="left" w:pos="360"/>
              </w:tabs>
              <w:spacing w:line="460" w:lineRule="exact"/>
              <w:jc w:val="center"/>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姓名</w:t>
            </w:r>
          </w:p>
        </w:tc>
        <w:tc>
          <w:tcPr>
            <w:tcW w:w="900" w:type="dxa"/>
            <w:noWrap w:val="0"/>
            <w:vAlign w:val="center"/>
          </w:tcPr>
          <w:p w14:paraId="494DCA76">
            <w:pPr>
              <w:tabs>
                <w:tab w:val="left" w:pos="360"/>
              </w:tabs>
              <w:spacing w:line="460" w:lineRule="exact"/>
              <w:jc w:val="center"/>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性别</w:t>
            </w:r>
          </w:p>
        </w:tc>
        <w:tc>
          <w:tcPr>
            <w:tcW w:w="1440" w:type="dxa"/>
            <w:noWrap w:val="0"/>
            <w:vAlign w:val="center"/>
          </w:tcPr>
          <w:p w14:paraId="16B257E3">
            <w:pPr>
              <w:tabs>
                <w:tab w:val="left" w:pos="360"/>
              </w:tabs>
              <w:spacing w:line="460" w:lineRule="exact"/>
              <w:jc w:val="center"/>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职称</w:t>
            </w:r>
          </w:p>
        </w:tc>
        <w:tc>
          <w:tcPr>
            <w:tcW w:w="1460" w:type="dxa"/>
            <w:noWrap w:val="0"/>
            <w:vAlign w:val="center"/>
          </w:tcPr>
          <w:p w14:paraId="629F8F8D">
            <w:pPr>
              <w:tabs>
                <w:tab w:val="left" w:pos="360"/>
              </w:tabs>
              <w:spacing w:line="460" w:lineRule="exact"/>
              <w:jc w:val="center"/>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从事岗位</w:t>
            </w:r>
          </w:p>
        </w:tc>
        <w:tc>
          <w:tcPr>
            <w:tcW w:w="2680" w:type="dxa"/>
            <w:noWrap w:val="0"/>
            <w:vAlign w:val="center"/>
          </w:tcPr>
          <w:p w14:paraId="289FED2E">
            <w:pPr>
              <w:tabs>
                <w:tab w:val="left" w:pos="360"/>
              </w:tabs>
              <w:spacing w:line="460" w:lineRule="exact"/>
              <w:jc w:val="center"/>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联系电话</w:t>
            </w:r>
          </w:p>
        </w:tc>
        <w:tc>
          <w:tcPr>
            <w:tcW w:w="1542" w:type="dxa"/>
            <w:noWrap w:val="0"/>
            <w:vAlign w:val="center"/>
          </w:tcPr>
          <w:p w14:paraId="3F23DDC4">
            <w:pPr>
              <w:tabs>
                <w:tab w:val="left" w:pos="360"/>
              </w:tabs>
              <w:jc w:val="center"/>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从事</w:t>
            </w:r>
          </w:p>
          <w:p w14:paraId="2325931C">
            <w:pPr>
              <w:tabs>
                <w:tab w:val="left" w:pos="360"/>
              </w:tabs>
              <w:jc w:val="center"/>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工作时间</w:t>
            </w:r>
          </w:p>
        </w:tc>
      </w:tr>
      <w:tr w14:paraId="4CE1A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noWrap w:val="0"/>
            <w:vAlign w:val="center"/>
          </w:tcPr>
          <w:p w14:paraId="0721BC31">
            <w:pPr>
              <w:tabs>
                <w:tab w:val="left" w:pos="360"/>
              </w:tabs>
              <w:spacing w:line="460" w:lineRule="exact"/>
              <w:jc w:val="center"/>
              <w:rPr>
                <w:rFonts w:ascii="Times New Roman" w:hAnsi="Times New Roman" w:eastAsia="宋体" w:cs="Times New Roman"/>
                <w:color w:val="auto"/>
                <w:sz w:val="24"/>
                <w:highlight w:val="none"/>
              </w:rPr>
            </w:pPr>
          </w:p>
        </w:tc>
        <w:tc>
          <w:tcPr>
            <w:tcW w:w="900" w:type="dxa"/>
            <w:noWrap w:val="0"/>
            <w:vAlign w:val="center"/>
          </w:tcPr>
          <w:p w14:paraId="3A3DD7CD">
            <w:pPr>
              <w:tabs>
                <w:tab w:val="left" w:pos="360"/>
              </w:tabs>
              <w:spacing w:line="460" w:lineRule="exact"/>
              <w:jc w:val="center"/>
              <w:rPr>
                <w:rFonts w:ascii="Times New Roman" w:hAnsi="Times New Roman" w:eastAsia="宋体" w:cs="Times New Roman"/>
                <w:color w:val="auto"/>
                <w:sz w:val="24"/>
                <w:highlight w:val="none"/>
              </w:rPr>
            </w:pPr>
          </w:p>
        </w:tc>
        <w:tc>
          <w:tcPr>
            <w:tcW w:w="1440" w:type="dxa"/>
            <w:noWrap w:val="0"/>
            <w:vAlign w:val="center"/>
          </w:tcPr>
          <w:p w14:paraId="5AC58B8A">
            <w:pPr>
              <w:tabs>
                <w:tab w:val="left" w:pos="360"/>
              </w:tabs>
              <w:spacing w:line="460" w:lineRule="exact"/>
              <w:jc w:val="center"/>
              <w:rPr>
                <w:rFonts w:ascii="Times New Roman" w:hAnsi="Times New Roman" w:eastAsia="宋体" w:cs="Times New Roman"/>
                <w:color w:val="auto"/>
                <w:sz w:val="24"/>
                <w:highlight w:val="none"/>
              </w:rPr>
            </w:pPr>
          </w:p>
        </w:tc>
        <w:tc>
          <w:tcPr>
            <w:tcW w:w="1460" w:type="dxa"/>
            <w:noWrap w:val="0"/>
            <w:vAlign w:val="center"/>
          </w:tcPr>
          <w:p w14:paraId="274768DD">
            <w:pPr>
              <w:tabs>
                <w:tab w:val="left" w:pos="360"/>
              </w:tabs>
              <w:spacing w:line="460" w:lineRule="exact"/>
              <w:jc w:val="center"/>
              <w:rPr>
                <w:rFonts w:ascii="Times New Roman" w:hAnsi="Times New Roman" w:eastAsia="宋体" w:cs="Times New Roman"/>
                <w:color w:val="auto"/>
                <w:sz w:val="24"/>
                <w:highlight w:val="none"/>
              </w:rPr>
            </w:pPr>
          </w:p>
        </w:tc>
        <w:tc>
          <w:tcPr>
            <w:tcW w:w="2680" w:type="dxa"/>
            <w:noWrap w:val="0"/>
            <w:vAlign w:val="center"/>
          </w:tcPr>
          <w:p w14:paraId="0BD1C800">
            <w:pPr>
              <w:tabs>
                <w:tab w:val="left" w:pos="360"/>
              </w:tabs>
              <w:spacing w:line="460" w:lineRule="exact"/>
              <w:jc w:val="center"/>
              <w:rPr>
                <w:rFonts w:ascii="Times New Roman" w:hAnsi="Times New Roman" w:eastAsia="宋体" w:cs="Times New Roman"/>
                <w:color w:val="auto"/>
                <w:sz w:val="24"/>
                <w:highlight w:val="none"/>
              </w:rPr>
            </w:pPr>
          </w:p>
        </w:tc>
        <w:tc>
          <w:tcPr>
            <w:tcW w:w="1542" w:type="dxa"/>
            <w:noWrap w:val="0"/>
            <w:vAlign w:val="center"/>
          </w:tcPr>
          <w:p w14:paraId="7FB44DB3">
            <w:pPr>
              <w:tabs>
                <w:tab w:val="left" w:pos="360"/>
              </w:tabs>
              <w:spacing w:line="460" w:lineRule="exact"/>
              <w:jc w:val="center"/>
              <w:rPr>
                <w:rFonts w:ascii="Times New Roman" w:hAnsi="Times New Roman" w:eastAsia="宋体" w:cs="Times New Roman"/>
                <w:color w:val="auto"/>
                <w:sz w:val="24"/>
                <w:highlight w:val="none"/>
              </w:rPr>
            </w:pPr>
          </w:p>
        </w:tc>
      </w:tr>
      <w:tr w14:paraId="3E7C6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noWrap w:val="0"/>
            <w:vAlign w:val="center"/>
          </w:tcPr>
          <w:p w14:paraId="64C96076">
            <w:pPr>
              <w:tabs>
                <w:tab w:val="left" w:pos="360"/>
              </w:tabs>
              <w:spacing w:line="460" w:lineRule="exact"/>
              <w:jc w:val="center"/>
              <w:rPr>
                <w:rFonts w:ascii="Times New Roman" w:hAnsi="Times New Roman" w:eastAsia="宋体" w:cs="Times New Roman"/>
                <w:color w:val="auto"/>
                <w:sz w:val="24"/>
                <w:highlight w:val="none"/>
              </w:rPr>
            </w:pPr>
          </w:p>
        </w:tc>
        <w:tc>
          <w:tcPr>
            <w:tcW w:w="900" w:type="dxa"/>
            <w:noWrap w:val="0"/>
            <w:vAlign w:val="center"/>
          </w:tcPr>
          <w:p w14:paraId="6F58640B">
            <w:pPr>
              <w:tabs>
                <w:tab w:val="left" w:pos="360"/>
              </w:tabs>
              <w:spacing w:line="460" w:lineRule="exact"/>
              <w:jc w:val="center"/>
              <w:rPr>
                <w:rFonts w:ascii="Times New Roman" w:hAnsi="Times New Roman" w:eastAsia="宋体" w:cs="Times New Roman"/>
                <w:color w:val="auto"/>
                <w:sz w:val="24"/>
                <w:highlight w:val="none"/>
              </w:rPr>
            </w:pPr>
          </w:p>
        </w:tc>
        <w:tc>
          <w:tcPr>
            <w:tcW w:w="1440" w:type="dxa"/>
            <w:noWrap w:val="0"/>
            <w:vAlign w:val="center"/>
          </w:tcPr>
          <w:p w14:paraId="09175ACA">
            <w:pPr>
              <w:tabs>
                <w:tab w:val="left" w:pos="360"/>
              </w:tabs>
              <w:spacing w:line="460" w:lineRule="exact"/>
              <w:jc w:val="center"/>
              <w:rPr>
                <w:rFonts w:ascii="Times New Roman" w:hAnsi="Times New Roman" w:eastAsia="宋体" w:cs="Times New Roman"/>
                <w:color w:val="auto"/>
                <w:sz w:val="24"/>
                <w:highlight w:val="none"/>
              </w:rPr>
            </w:pPr>
          </w:p>
        </w:tc>
        <w:tc>
          <w:tcPr>
            <w:tcW w:w="1460" w:type="dxa"/>
            <w:noWrap w:val="0"/>
            <w:vAlign w:val="center"/>
          </w:tcPr>
          <w:p w14:paraId="297C571F">
            <w:pPr>
              <w:tabs>
                <w:tab w:val="left" w:pos="360"/>
              </w:tabs>
              <w:spacing w:line="460" w:lineRule="exact"/>
              <w:jc w:val="center"/>
              <w:rPr>
                <w:rFonts w:ascii="Times New Roman" w:hAnsi="Times New Roman" w:eastAsia="宋体" w:cs="Times New Roman"/>
                <w:color w:val="auto"/>
                <w:sz w:val="24"/>
                <w:highlight w:val="none"/>
              </w:rPr>
            </w:pPr>
          </w:p>
        </w:tc>
        <w:tc>
          <w:tcPr>
            <w:tcW w:w="2680" w:type="dxa"/>
            <w:noWrap w:val="0"/>
            <w:vAlign w:val="center"/>
          </w:tcPr>
          <w:p w14:paraId="07BEF637">
            <w:pPr>
              <w:tabs>
                <w:tab w:val="left" w:pos="360"/>
              </w:tabs>
              <w:spacing w:line="460" w:lineRule="exact"/>
              <w:jc w:val="center"/>
              <w:rPr>
                <w:rFonts w:ascii="Times New Roman" w:hAnsi="Times New Roman" w:eastAsia="宋体" w:cs="Times New Roman"/>
                <w:color w:val="auto"/>
                <w:sz w:val="24"/>
                <w:highlight w:val="none"/>
              </w:rPr>
            </w:pPr>
          </w:p>
        </w:tc>
        <w:tc>
          <w:tcPr>
            <w:tcW w:w="1542" w:type="dxa"/>
            <w:noWrap w:val="0"/>
            <w:vAlign w:val="center"/>
          </w:tcPr>
          <w:p w14:paraId="7B930ACF">
            <w:pPr>
              <w:tabs>
                <w:tab w:val="left" w:pos="360"/>
              </w:tabs>
              <w:spacing w:line="460" w:lineRule="exact"/>
              <w:jc w:val="center"/>
              <w:rPr>
                <w:rFonts w:ascii="Times New Roman" w:hAnsi="Times New Roman" w:eastAsia="宋体" w:cs="Times New Roman"/>
                <w:color w:val="auto"/>
                <w:sz w:val="24"/>
                <w:highlight w:val="none"/>
              </w:rPr>
            </w:pPr>
          </w:p>
        </w:tc>
      </w:tr>
      <w:tr w14:paraId="1FC8E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noWrap w:val="0"/>
            <w:vAlign w:val="center"/>
          </w:tcPr>
          <w:p w14:paraId="7C24D500">
            <w:pPr>
              <w:tabs>
                <w:tab w:val="left" w:pos="360"/>
              </w:tabs>
              <w:spacing w:line="460" w:lineRule="exact"/>
              <w:jc w:val="center"/>
              <w:rPr>
                <w:rFonts w:ascii="Times New Roman" w:hAnsi="Times New Roman" w:eastAsia="宋体" w:cs="Times New Roman"/>
                <w:color w:val="auto"/>
                <w:sz w:val="24"/>
                <w:highlight w:val="none"/>
              </w:rPr>
            </w:pPr>
          </w:p>
        </w:tc>
        <w:tc>
          <w:tcPr>
            <w:tcW w:w="900" w:type="dxa"/>
            <w:noWrap w:val="0"/>
            <w:vAlign w:val="center"/>
          </w:tcPr>
          <w:p w14:paraId="43BEFCFB">
            <w:pPr>
              <w:tabs>
                <w:tab w:val="left" w:pos="360"/>
              </w:tabs>
              <w:spacing w:line="460" w:lineRule="exact"/>
              <w:jc w:val="center"/>
              <w:rPr>
                <w:rFonts w:ascii="Times New Roman" w:hAnsi="Times New Roman" w:eastAsia="宋体" w:cs="Times New Roman"/>
                <w:color w:val="auto"/>
                <w:sz w:val="24"/>
                <w:highlight w:val="none"/>
              </w:rPr>
            </w:pPr>
          </w:p>
        </w:tc>
        <w:tc>
          <w:tcPr>
            <w:tcW w:w="1440" w:type="dxa"/>
            <w:noWrap w:val="0"/>
            <w:vAlign w:val="center"/>
          </w:tcPr>
          <w:p w14:paraId="0A59F2B7">
            <w:pPr>
              <w:tabs>
                <w:tab w:val="left" w:pos="360"/>
              </w:tabs>
              <w:spacing w:line="460" w:lineRule="exact"/>
              <w:jc w:val="center"/>
              <w:rPr>
                <w:rFonts w:ascii="Times New Roman" w:hAnsi="Times New Roman" w:eastAsia="宋体" w:cs="Times New Roman"/>
                <w:color w:val="auto"/>
                <w:sz w:val="24"/>
                <w:highlight w:val="none"/>
              </w:rPr>
            </w:pPr>
          </w:p>
        </w:tc>
        <w:tc>
          <w:tcPr>
            <w:tcW w:w="1460" w:type="dxa"/>
            <w:noWrap w:val="0"/>
            <w:vAlign w:val="center"/>
          </w:tcPr>
          <w:p w14:paraId="37630942">
            <w:pPr>
              <w:tabs>
                <w:tab w:val="left" w:pos="360"/>
              </w:tabs>
              <w:spacing w:line="460" w:lineRule="exact"/>
              <w:jc w:val="center"/>
              <w:rPr>
                <w:rFonts w:ascii="Times New Roman" w:hAnsi="Times New Roman" w:eastAsia="宋体" w:cs="Times New Roman"/>
                <w:color w:val="auto"/>
                <w:sz w:val="24"/>
                <w:highlight w:val="none"/>
              </w:rPr>
            </w:pPr>
          </w:p>
        </w:tc>
        <w:tc>
          <w:tcPr>
            <w:tcW w:w="2680" w:type="dxa"/>
            <w:noWrap w:val="0"/>
            <w:vAlign w:val="center"/>
          </w:tcPr>
          <w:p w14:paraId="4DFF03F1">
            <w:pPr>
              <w:tabs>
                <w:tab w:val="left" w:pos="360"/>
              </w:tabs>
              <w:spacing w:line="460" w:lineRule="exact"/>
              <w:jc w:val="center"/>
              <w:rPr>
                <w:rFonts w:ascii="Times New Roman" w:hAnsi="Times New Roman" w:eastAsia="宋体" w:cs="Times New Roman"/>
                <w:color w:val="auto"/>
                <w:sz w:val="24"/>
                <w:highlight w:val="none"/>
              </w:rPr>
            </w:pPr>
          </w:p>
        </w:tc>
        <w:tc>
          <w:tcPr>
            <w:tcW w:w="1542" w:type="dxa"/>
            <w:noWrap w:val="0"/>
            <w:vAlign w:val="center"/>
          </w:tcPr>
          <w:p w14:paraId="3FED93AE">
            <w:pPr>
              <w:tabs>
                <w:tab w:val="left" w:pos="360"/>
              </w:tabs>
              <w:spacing w:line="460" w:lineRule="exact"/>
              <w:jc w:val="center"/>
              <w:rPr>
                <w:rFonts w:ascii="Times New Roman" w:hAnsi="Times New Roman" w:eastAsia="宋体" w:cs="Times New Roman"/>
                <w:color w:val="auto"/>
                <w:sz w:val="24"/>
                <w:highlight w:val="none"/>
              </w:rPr>
            </w:pPr>
          </w:p>
        </w:tc>
      </w:tr>
      <w:tr w14:paraId="43D10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noWrap w:val="0"/>
            <w:vAlign w:val="center"/>
          </w:tcPr>
          <w:p w14:paraId="27D4CFC0">
            <w:pPr>
              <w:tabs>
                <w:tab w:val="left" w:pos="360"/>
              </w:tabs>
              <w:spacing w:line="460" w:lineRule="exact"/>
              <w:jc w:val="center"/>
              <w:rPr>
                <w:rFonts w:ascii="Times New Roman" w:hAnsi="Times New Roman" w:eastAsia="宋体" w:cs="Times New Roman"/>
                <w:color w:val="auto"/>
                <w:sz w:val="24"/>
                <w:highlight w:val="none"/>
              </w:rPr>
            </w:pPr>
          </w:p>
        </w:tc>
        <w:tc>
          <w:tcPr>
            <w:tcW w:w="900" w:type="dxa"/>
            <w:noWrap w:val="0"/>
            <w:vAlign w:val="center"/>
          </w:tcPr>
          <w:p w14:paraId="52B22479">
            <w:pPr>
              <w:tabs>
                <w:tab w:val="left" w:pos="360"/>
              </w:tabs>
              <w:spacing w:line="460" w:lineRule="exact"/>
              <w:jc w:val="center"/>
              <w:rPr>
                <w:rFonts w:ascii="Times New Roman" w:hAnsi="Times New Roman" w:eastAsia="宋体" w:cs="Times New Roman"/>
                <w:color w:val="auto"/>
                <w:sz w:val="24"/>
                <w:highlight w:val="none"/>
              </w:rPr>
            </w:pPr>
          </w:p>
        </w:tc>
        <w:tc>
          <w:tcPr>
            <w:tcW w:w="1440" w:type="dxa"/>
            <w:noWrap w:val="0"/>
            <w:vAlign w:val="center"/>
          </w:tcPr>
          <w:p w14:paraId="702D795F">
            <w:pPr>
              <w:tabs>
                <w:tab w:val="left" w:pos="360"/>
              </w:tabs>
              <w:spacing w:line="460" w:lineRule="exact"/>
              <w:jc w:val="center"/>
              <w:rPr>
                <w:rFonts w:ascii="Times New Roman" w:hAnsi="Times New Roman" w:eastAsia="宋体" w:cs="Times New Roman"/>
                <w:color w:val="auto"/>
                <w:sz w:val="24"/>
                <w:highlight w:val="none"/>
              </w:rPr>
            </w:pPr>
          </w:p>
        </w:tc>
        <w:tc>
          <w:tcPr>
            <w:tcW w:w="1460" w:type="dxa"/>
            <w:noWrap w:val="0"/>
            <w:vAlign w:val="center"/>
          </w:tcPr>
          <w:p w14:paraId="5242252C">
            <w:pPr>
              <w:tabs>
                <w:tab w:val="left" w:pos="360"/>
              </w:tabs>
              <w:spacing w:line="460" w:lineRule="exact"/>
              <w:jc w:val="center"/>
              <w:rPr>
                <w:rFonts w:ascii="Times New Roman" w:hAnsi="Times New Roman" w:eastAsia="宋体" w:cs="Times New Roman"/>
                <w:color w:val="auto"/>
                <w:sz w:val="24"/>
                <w:highlight w:val="none"/>
              </w:rPr>
            </w:pPr>
          </w:p>
        </w:tc>
        <w:tc>
          <w:tcPr>
            <w:tcW w:w="2680" w:type="dxa"/>
            <w:noWrap w:val="0"/>
            <w:vAlign w:val="center"/>
          </w:tcPr>
          <w:p w14:paraId="058ECD4C">
            <w:pPr>
              <w:tabs>
                <w:tab w:val="left" w:pos="360"/>
              </w:tabs>
              <w:spacing w:line="460" w:lineRule="exact"/>
              <w:jc w:val="center"/>
              <w:rPr>
                <w:rFonts w:ascii="Times New Roman" w:hAnsi="Times New Roman" w:eastAsia="宋体" w:cs="Times New Roman"/>
                <w:color w:val="auto"/>
                <w:sz w:val="24"/>
                <w:highlight w:val="none"/>
              </w:rPr>
            </w:pPr>
          </w:p>
        </w:tc>
        <w:tc>
          <w:tcPr>
            <w:tcW w:w="1542" w:type="dxa"/>
            <w:noWrap w:val="0"/>
            <w:vAlign w:val="center"/>
          </w:tcPr>
          <w:p w14:paraId="16BF2FAC">
            <w:pPr>
              <w:tabs>
                <w:tab w:val="left" w:pos="360"/>
              </w:tabs>
              <w:spacing w:line="460" w:lineRule="exact"/>
              <w:jc w:val="center"/>
              <w:rPr>
                <w:rFonts w:ascii="Times New Roman" w:hAnsi="Times New Roman" w:eastAsia="宋体" w:cs="Times New Roman"/>
                <w:color w:val="auto"/>
                <w:sz w:val="24"/>
                <w:highlight w:val="none"/>
              </w:rPr>
            </w:pPr>
          </w:p>
        </w:tc>
      </w:tr>
      <w:tr w14:paraId="53DB2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noWrap w:val="0"/>
            <w:vAlign w:val="center"/>
          </w:tcPr>
          <w:p w14:paraId="784AC5CB">
            <w:pPr>
              <w:tabs>
                <w:tab w:val="left" w:pos="360"/>
              </w:tabs>
              <w:spacing w:line="460" w:lineRule="exact"/>
              <w:jc w:val="center"/>
              <w:rPr>
                <w:rFonts w:ascii="Times New Roman" w:hAnsi="Times New Roman" w:eastAsia="宋体" w:cs="Times New Roman"/>
                <w:color w:val="auto"/>
                <w:sz w:val="24"/>
                <w:highlight w:val="none"/>
              </w:rPr>
            </w:pPr>
          </w:p>
        </w:tc>
        <w:tc>
          <w:tcPr>
            <w:tcW w:w="900" w:type="dxa"/>
            <w:noWrap w:val="0"/>
            <w:vAlign w:val="center"/>
          </w:tcPr>
          <w:p w14:paraId="16E9464E">
            <w:pPr>
              <w:tabs>
                <w:tab w:val="left" w:pos="360"/>
              </w:tabs>
              <w:spacing w:line="460" w:lineRule="exact"/>
              <w:jc w:val="center"/>
              <w:rPr>
                <w:rFonts w:ascii="Times New Roman" w:hAnsi="Times New Roman" w:eastAsia="宋体" w:cs="Times New Roman"/>
                <w:color w:val="auto"/>
                <w:sz w:val="24"/>
                <w:highlight w:val="none"/>
              </w:rPr>
            </w:pPr>
          </w:p>
        </w:tc>
        <w:tc>
          <w:tcPr>
            <w:tcW w:w="1440" w:type="dxa"/>
            <w:noWrap w:val="0"/>
            <w:vAlign w:val="center"/>
          </w:tcPr>
          <w:p w14:paraId="59538D9B">
            <w:pPr>
              <w:tabs>
                <w:tab w:val="left" w:pos="360"/>
              </w:tabs>
              <w:spacing w:line="460" w:lineRule="exact"/>
              <w:jc w:val="center"/>
              <w:rPr>
                <w:rFonts w:ascii="Times New Roman" w:hAnsi="Times New Roman" w:eastAsia="宋体" w:cs="Times New Roman"/>
                <w:color w:val="auto"/>
                <w:sz w:val="24"/>
                <w:highlight w:val="none"/>
              </w:rPr>
            </w:pPr>
          </w:p>
        </w:tc>
        <w:tc>
          <w:tcPr>
            <w:tcW w:w="1460" w:type="dxa"/>
            <w:noWrap w:val="0"/>
            <w:vAlign w:val="center"/>
          </w:tcPr>
          <w:p w14:paraId="100B4B91">
            <w:pPr>
              <w:tabs>
                <w:tab w:val="left" w:pos="360"/>
              </w:tabs>
              <w:spacing w:line="460" w:lineRule="exact"/>
              <w:jc w:val="center"/>
              <w:rPr>
                <w:rFonts w:ascii="Times New Roman" w:hAnsi="Times New Roman" w:eastAsia="宋体" w:cs="Times New Roman"/>
                <w:color w:val="auto"/>
                <w:sz w:val="24"/>
                <w:highlight w:val="none"/>
              </w:rPr>
            </w:pPr>
          </w:p>
        </w:tc>
        <w:tc>
          <w:tcPr>
            <w:tcW w:w="2680" w:type="dxa"/>
            <w:noWrap w:val="0"/>
            <w:vAlign w:val="center"/>
          </w:tcPr>
          <w:p w14:paraId="48ACE3FF">
            <w:pPr>
              <w:tabs>
                <w:tab w:val="left" w:pos="360"/>
              </w:tabs>
              <w:spacing w:line="460" w:lineRule="exact"/>
              <w:jc w:val="center"/>
              <w:rPr>
                <w:rFonts w:ascii="Times New Roman" w:hAnsi="Times New Roman" w:eastAsia="宋体" w:cs="Times New Roman"/>
                <w:color w:val="auto"/>
                <w:sz w:val="24"/>
                <w:highlight w:val="none"/>
              </w:rPr>
            </w:pPr>
          </w:p>
        </w:tc>
        <w:tc>
          <w:tcPr>
            <w:tcW w:w="1542" w:type="dxa"/>
            <w:noWrap w:val="0"/>
            <w:vAlign w:val="center"/>
          </w:tcPr>
          <w:p w14:paraId="149CF178">
            <w:pPr>
              <w:tabs>
                <w:tab w:val="left" w:pos="360"/>
              </w:tabs>
              <w:spacing w:line="460" w:lineRule="exact"/>
              <w:jc w:val="center"/>
              <w:rPr>
                <w:rFonts w:ascii="Times New Roman" w:hAnsi="Times New Roman" w:eastAsia="宋体" w:cs="Times New Roman"/>
                <w:color w:val="auto"/>
                <w:sz w:val="24"/>
                <w:highlight w:val="none"/>
              </w:rPr>
            </w:pPr>
          </w:p>
        </w:tc>
      </w:tr>
      <w:tr w14:paraId="65477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noWrap w:val="0"/>
            <w:vAlign w:val="center"/>
          </w:tcPr>
          <w:p w14:paraId="3658CC70">
            <w:pPr>
              <w:tabs>
                <w:tab w:val="left" w:pos="360"/>
              </w:tabs>
              <w:spacing w:line="460" w:lineRule="exact"/>
              <w:jc w:val="center"/>
              <w:rPr>
                <w:rFonts w:ascii="Times New Roman" w:hAnsi="Times New Roman" w:eastAsia="宋体" w:cs="Times New Roman"/>
                <w:color w:val="auto"/>
                <w:sz w:val="24"/>
                <w:highlight w:val="none"/>
              </w:rPr>
            </w:pPr>
          </w:p>
        </w:tc>
        <w:tc>
          <w:tcPr>
            <w:tcW w:w="900" w:type="dxa"/>
            <w:noWrap w:val="0"/>
            <w:vAlign w:val="center"/>
          </w:tcPr>
          <w:p w14:paraId="455BBFC4">
            <w:pPr>
              <w:tabs>
                <w:tab w:val="left" w:pos="360"/>
              </w:tabs>
              <w:spacing w:line="460" w:lineRule="exact"/>
              <w:jc w:val="center"/>
              <w:rPr>
                <w:rFonts w:ascii="Times New Roman" w:hAnsi="Times New Roman" w:eastAsia="宋体" w:cs="Times New Roman"/>
                <w:color w:val="auto"/>
                <w:sz w:val="24"/>
                <w:highlight w:val="none"/>
              </w:rPr>
            </w:pPr>
          </w:p>
        </w:tc>
        <w:tc>
          <w:tcPr>
            <w:tcW w:w="1440" w:type="dxa"/>
            <w:noWrap w:val="0"/>
            <w:vAlign w:val="center"/>
          </w:tcPr>
          <w:p w14:paraId="250C0217">
            <w:pPr>
              <w:tabs>
                <w:tab w:val="left" w:pos="360"/>
              </w:tabs>
              <w:spacing w:line="460" w:lineRule="exact"/>
              <w:jc w:val="center"/>
              <w:rPr>
                <w:rFonts w:ascii="Times New Roman" w:hAnsi="Times New Roman" w:eastAsia="宋体" w:cs="Times New Roman"/>
                <w:color w:val="auto"/>
                <w:sz w:val="24"/>
                <w:highlight w:val="none"/>
              </w:rPr>
            </w:pPr>
          </w:p>
        </w:tc>
        <w:tc>
          <w:tcPr>
            <w:tcW w:w="1460" w:type="dxa"/>
            <w:noWrap w:val="0"/>
            <w:vAlign w:val="center"/>
          </w:tcPr>
          <w:p w14:paraId="55DD6041">
            <w:pPr>
              <w:tabs>
                <w:tab w:val="left" w:pos="360"/>
              </w:tabs>
              <w:spacing w:line="460" w:lineRule="exact"/>
              <w:jc w:val="center"/>
              <w:rPr>
                <w:rFonts w:ascii="Times New Roman" w:hAnsi="Times New Roman" w:eastAsia="宋体" w:cs="Times New Roman"/>
                <w:color w:val="auto"/>
                <w:sz w:val="24"/>
                <w:highlight w:val="none"/>
              </w:rPr>
            </w:pPr>
          </w:p>
        </w:tc>
        <w:tc>
          <w:tcPr>
            <w:tcW w:w="2680" w:type="dxa"/>
            <w:noWrap w:val="0"/>
            <w:vAlign w:val="center"/>
          </w:tcPr>
          <w:p w14:paraId="72ACA448">
            <w:pPr>
              <w:tabs>
                <w:tab w:val="left" w:pos="360"/>
              </w:tabs>
              <w:spacing w:line="460" w:lineRule="exact"/>
              <w:jc w:val="center"/>
              <w:rPr>
                <w:rFonts w:ascii="Times New Roman" w:hAnsi="Times New Roman" w:eastAsia="宋体" w:cs="Times New Roman"/>
                <w:color w:val="auto"/>
                <w:sz w:val="24"/>
                <w:highlight w:val="none"/>
              </w:rPr>
            </w:pPr>
          </w:p>
        </w:tc>
        <w:tc>
          <w:tcPr>
            <w:tcW w:w="1542" w:type="dxa"/>
            <w:noWrap w:val="0"/>
            <w:vAlign w:val="center"/>
          </w:tcPr>
          <w:p w14:paraId="32553B66">
            <w:pPr>
              <w:tabs>
                <w:tab w:val="left" w:pos="360"/>
              </w:tabs>
              <w:spacing w:line="460" w:lineRule="exact"/>
              <w:jc w:val="center"/>
              <w:rPr>
                <w:rFonts w:ascii="Times New Roman" w:hAnsi="Times New Roman" w:eastAsia="宋体" w:cs="Times New Roman"/>
                <w:color w:val="auto"/>
                <w:sz w:val="24"/>
                <w:highlight w:val="none"/>
              </w:rPr>
            </w:pPr>
          </w:p>
        </w:tc>
      </w:tr>
      <w:tr w14:paraId="0F2AA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noWrap w:val="0"/>
            <w:vAlign w:val="center"/>
          </w:tcPr>
          <w:p w14:paraId="59E920EF">
            <w:pPr>
              <w:tabs>
                <w:tab w:val="left" w:pos="360"/>
              </w:tabs>
              <w:spacing w:line="460" w:lineRule="exact"/>
              <w:jc w:val="center"/>
              <w:rPr>
                <w:rFonts w:ascii="Times New Roman" w:hAnsi="Times New Roman" w:eastAsia="宋体" w:cs="Times New Roman"/>
                <w:color w:val="auto"/>
                <w:sz w:val="24"/>
                <w:highlight w:val="none"/>
              </w:rPr>
            </w:pPr>
          </w:p>
        </w:tc>
        <w:tc>
          <w:tcPr>
            <w:tcW w:w="900" w:type="dxa"/>
            <w:noWrap w:val="0"/>
            <w:vAlign w:val="center"/>
          </w:tcPr>
          <w:p w14:paraId="2459232C">
            <w:pPr>
              <w:tabs>
                <w:tab w:val="left" w:pos="360"/>
              </w:tabs>
              <w:spacing w:line="460" w:lineRule="exact"/>
              <w:jc w:val="center"/>
              <w:rPr>
                <w:rFonts w:ascii="Times New Roman" w:hAnsi="Times New Roman" w:eastAsia="宋体" w:cs="Times New Roman"/>
                <w:color w:val="auto"/>
                <w:sz w:val="24"/>
                <w:highlight w:val="none"/>
              </w:rPr>
            </w:pPr>
          </w:p>
        </w:tc>
        <w:tc>
          <w:tcPr>
            <w:tcW w:w="1440" w:type="dxa"/>
            <w:noWrap w:val="0"/>
            <w:vAlign w:val="center"/>
          </w:tcPr>
          <w:p w14:paraId="53CD11E7">
            <w:pPr>
              <w:tabs>
                <w:tab w:val="left" w:pos="360"/>
              </w:tabs>
              <w:spacing w:line="460" w:lineRule="exact"/>
              <w:jc w:val="center"/>
              <w:rPr>
                <w:rFonts w:ascii="Times New Roman" w:hAnsi="Times New Roman" w:eastAsia="宋体" w:cs="Times New Roman"/>
                <w:color w:val="auto"/>
                <w:sz w:val="24"/>
                <w:highlight w:val="none"/>
              </w:rPr>
            </w:pPr>
          </w:p>
        </w:tc>
        <w:tc>
          <w:tcPr>
            <w:tcW w:w="1460" w:type="dxa"/>
            <w:noWrap w:val="0"/>
            <w:vAlign w:val="center"/>
          </w:tcPr>
          <w:p w14:paraId="668007C1">
            <w:pPr>
              <w:tabs>
                <w:tab w:val="left" w:pos="360"/>
              </w:tabs>
              <w:spacing w:line="460" w:lineRule="exact"/>
              <w:jc w:val="center"/>
              <w:rPr>
                <w:rFonts w:ascii="Times New Roman" w:hAnsi="Times New Roman" w:eastAsia="宋体" w:cs="Times New Roman"/>
                <w:color w:val="auto"/>
                <w:sz w:val="24"/>
                <w:highlight w:val="none"/>
              </w:rPr>
            </w:pPr>
          </w:p>
        </w:tc>
        <w:tc>
          <w:tcPr>
            <w:tcW w:w="2680" w:type="dxa"/>
            <w:noWrap w:val="0"/>
            <w:vAlign w:val="center"/>
          </w:tcPr>
          <w:p w14:paraId="1D7791C8">
            <w:pPr>
              <w:tabs>
                <w:tab w:val="left" w:pos="360"/>
              </w:tabs>
              <w:spacing w:line="460" w:lineRule="exact"/>
              <w:jc w:val="center"/>
              <w:rPr>
                <w:rFonts w:ascii="Times New Roman" w:hAnsi="Times New Roman" w:eastAsia="宋体" w:cs="Times New Roman"/>
                <w:color w:val="auto"/>
                <w:sz w:val="24"/>
                <w:highlight w:val="none"/>
              </w:rPr>
            </w:pPr>
          </w:p>
        </w:tc>
        <w:tc>
          <w:tcPr>
            <w:tcW w:w="1542" w:type="dxa"/>
            <w:noWrap w:val="0"/>
            <w:vAlign w:val="center"/>
          </w:tcPr>
          <w:p w14:paraId="703F95F0">
            <w:pPr>
              <w:tabs>
                <w:tab w:val="left" w:pos="360"/>
              </w:tabs>
              <w:spacing w:line="460" w:lineRule="exact"/>
              <w:jc w:val="center"/>
              <w:rPr>
                <w:rFonts w:ascii="Times New Roman" w:hAnsi="Times New Roman" w:eastAsia="宋体" w:cs="Times New Roman"/>
                <w:color w:val="auto"/>
                <w:sz w:val="24"/>
                <w:highlight w:val="none"/>
              </w:rPr>
            </w:pPr>
          </w:p>
        </w:tc>
      </w:tr>
      <w:tr w14:paraId="2D5F4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noWrap w:val="0"/>
            <w:vAlign w:val="center"/>
          </w:tcPr>
          <w:p w14:paraId="7F66D01F">
            <w:pPr>
              <w:tabs>
                <w:tab w:val="left" w:pos="360"/>
              </w:tabs>
              <w:spacing w:line="460" w:lineRule="exact"/>
              <w:jc w:val="center"/>
              <w:rPr>
                <w:rFonts w:ascii="Times New Roman" w:hAnsi="Times New Roman" w:eastAsia="宋体" w:cs="Times New Roman"/>
                <w:color w:val="auto"/>
                <w:sz w:val="24"/>
                <w:highlight w:val="none"/>
              </w:rPr>
            </w:pPr>
          </w:p>
        </w:tc>
        <w:tc>
          <w:tcPr>
            <w:tcW w:w="900" w:type="dxa"/>
            <w:noWrap w:val="0"/>
            <w:vAlign w:val="center"/>
          </w:tcPr>
          <w:p w14:paraId="1CF17C8B">
            <w:pPr>
              <w:tabs>
                <w:tab w:val="left" w:pos="360"/>
              </w:tabs>
              <w:spacing w:line="460" w:lineRule="exact"/>
              <w:jc w:val="center"/>
              <w:rPr>
                <w:rFonts w:ascii="Times New Roman" w:hAnsi="Times New Roman" w:eastAsia="宋体" w:cs="Times New Roman"/>
                <w:color w:val="auto"/>
                <w:sz w:val="24"/>
                <w:highlight w:val="none"/>
              </w:rPr>
            </w:pPr>
          </w:p>
        </w:tc>
        <w:tc>
          <w:tcPr>
            <w:tcW w:w="1440" w:type="dxa"/>
            <w:noWrap w:val="0"/>
            <w:vAlign w:val="center"/>
          </w:tcPr>
          <w:p w14:paraId="43AB91D7">
            <w:pPr>
              <w:tabs>
                <w:tab w:val="left" w:pos="360"/>
              </w:tabs>
              <w:spacing w:line="460" w:lineRule="exact"/>
              <w:jc w:val="center"/>
              <w:rPr>
                <w:rFonts w:ascii="Times New Roman" w:hAnsi="Times New Roman" w:eastAsia="宋体" w:cs="Times New Roman"/>
                <w:color w:val="auto"/>
                <w:sz w:val="24"/>
                <w:highlight w:val="none"/>
              </w:rPr>
            </w:pPr>
          </w:p>
        </w:tc>
        <w:tc>
          <w:tcPr>
            <w:tcW w:w="1460" w:type="dxa"/>
            <w:noWrap w:val="0"/>
            <w:vAlign w:val="center"/>
          </w:tcPr>
          <w:p w14:paraId="38A93614">
            <w:pPr>
              <w:tabs>
                <w:tab w:val="left" w:pos="360"/>
              </w:tabs>
              <w:spacing w:line="460" w:lineRule="exact"/>
              <w:jc w:val="center"/>
              <w:rPr>
                <w:rFonts w:ascii="Times New Roman" w:hAnsi="Times New Roman" w:eastAsia="宋体" w:cs="Times New Roman"/>
                <w:color w:val="auto"/>
                <w:sz w:val="24"/>
                <w:highlight w:val="none"/>
              </w:rPr>
            </w:pPr>
          </w:p>
        </w:tc>
        <w:tc>
          <w:tcPr>
            <w:tcW w:w="2680" w:type="dxa"/>
            <w:noWrap w:val="0"/>
            <w:vAlign w:val="center"/>
          </w:tcPr>
          <w:p w14:paraId="7B32F63A">
            <w:pPr>
              <w:tabs>
                <w:tab w:val="left" w:pos="360"/>
              </w:tabs>
              <w:spacing w:line="460" w:lineRule="exact"/>
              <w:jc w:val="center"/>
              <w:rPr>
                <w:rFonts w:ascii="Times New Roman" w:hAnsi="Times New Roman" w:eastAsia="宋体" w:cs="Times New Roman"/>
                <w:color w:val="auto"/>
                <w:sz w:val="24"/>
                <w:highlight w:val="none"/>
              </w:rPr>
            </w:pPr>
          </w:p>
        </w:tc>
        <w:tc>
          <w:tcPr>
            <w:tcW w:w="1542" w:type="dxa"/>
            <w:noWrap w:val="0"/>
            <w:vAlign w:val="center"/>
          </w:tcPr>
          <w:p w14:paraId="13B7C775">
            <w:pPr>
              <w:tabs>
                <w:tab w:val="left" w:pos="360"/>
              </w:tabs>
              <w:spacing w:line="460" w:lineRule="exact"/>
              <w:jc w:val="center"/>
              <w:rPr>
                <w:rFonts w:ascii="Times New Roman" w:hAnsi="Times New Roman" w:eastAsia="宋体" w:cs="Times New Roman"/>
                <w:color w:val="auto"/>
                <w:sz w:val="24"/>
                <w:highlight w:val="none"/>
              </w:rPr>
            </w:pPr>
          </w:p>
        </w:tc>
      </w:tr>
      <w:tr w14:paraId="19C66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noWrap w:val="0"/>
            <w:vAlign w:val="center"/>
          </w:tcPr>
          <w:p w14:paraId="3E8E732B">
            <w:pPr>
              <w:tabs>
                <w:tab w:val="left" w:pos="360"/>
              </w:tabs>
              <w:spacing w:line="460" w:lineRule="exact"/>
              <w:jc w:val="center"/>
              <w:rPr>
                <w:rFonts w:ascii="Times New Roman" w:hAnsi="Times New Roman" w:eastAsia="宋体" w:cs="Times New Roman"/>
                <w:color w:val="auto"/>
                <w:sz w:val="24"/>
                <w:highlight w:val="none"/>
              </w:rPr>
            </w:pPr>
          </w:p>
        </w:tc>
        <w:tc>
          <w:tcPr>
            <w:tcW w:w="900" w:type="dxa"/>
            <w:noWrap w:val="0"/>
            <w:vAlign w:val="center"/>
          </w:tcPr>
          <w:p w14:paraId="532403A5">
            <w:pPr>
              <w:tabs>
                <w:tab w:val="left" w:pos="360"/>
              </w:tabs>
              <w:spacing w:line="460" w:lineRule="exact"/>
              <w:jc w:val="center"/>
              <w:rPr>
                <w:rFonts w:ascii="Times New Roman" w:hAnsi="Times New Roman" w:eastAsia="宋体" w:cs="Times New Roman"/>
                <w:color w:val="auto"/>
                <w:sz w:val="24"/>
                <w:highlight w:val="none"/>
              </w:rPr>
            </w:pPr>
          </w:p>
        </w:tc>
        <w:tc>
          <w:tcPr>
            <w:tcW w:w="1440" w:type="dxa"/>
            <w:noWrap w:val="0"/>
            <w:vAlign w:val="center"/>
          </w:tcPr>
          <w:p w14:paraId="448F457F">
            <w:pPr>
              <w:tabs>
                <w:tab w:val="left" w:pos="360"/>
              </w:tabs>
              <w:spacing w:line="460" w:lineRule="exact"/>
              <w:jc w:val="center"/>
              <w:rPr>
                <w:rFonts w:ascii="Times New Roman" w:hAnsi="Times New Roman" w:eastAsia="宋体" w:cs="Times New Roman"/>
                <w:color w:val="auto"/>
                <w:sz w:val="24"/>
                <w:highlight w:val="none"/>
              </w:rPr>
            </w:pPr>
          </w:p>
        </w:tc>
        <w:tc>
          <w:tcPr>
            <w:tcW w:w="1460" w:type="dxa"/>
            <w:noWrap w:val="0"/>
            <w:vAlign w:val="center"/>
          </w:tcPr>
          <w:p w14:paraId="5F0300FD">
            <w:pPr>
              <w:tabs>
                <w:tab w:val="left" w:pos="360"/>
              </w:tabs>
              <w:spacing w:line="460" w:lineRule="exact"/>
              <w:jc w:val="center"/>
              <w:rPr>
                <w:rFonts w:ascii="Times New Roman" w:hAnsi="Times New Roman" w:eastAsia="宋体" w:cs="Times New Roman"/>
                <w:color w:val="auto"/>
                <w:sz w:val="24"/>
                <w:highlight w:val="none"/>
              </w:rPr>
            </w:pPr>
          </w:p>
        </w:tc>
        <w:tc>
          <w:tcPr>
            <w:tcW w:w="2680" w:type="dxa"/>
            <w:noWrap w:val="0"/>
            <w:vAlign w:val="center"/>
          </w:tcPr>
          <w:p w14:paraId="4534D23D">
            <w:pPr>
              <w:tabs>
                <w:tab w:val="left" w:pos="360"/>
              </w:tabs>
              <w:spacing w:line="460" w:lineRule="exact"/>
              <w:jc w:val="center"/>
              <w:rPr>
                <w:rFonts w:ascii="Times New Roman" w:hAnsi="Times New Roman" w:eastAsia="宋体" w:cs="Times New Roman"/>
                <w:color w:val="auto"/>
                <w:sz w:val="24"/>
                <w:highlight w:val="none"/>
              </w:rPr>
            </w:pPr>
          </w:p>
        </w:tc>
        <w:tc>
          <w:tcPr>
            <w:tcW w:w="1542" w:type="dxa"/>
            <w:noWrap w:val="0"/>
            <w:vAlign w:val="center"/>
          </w:tcPr>
          <w:p w14:paraId="5594241B">
            <w:pPr>
              <w:tabs>
                <w:tab w:val="left" w:pos="360"/>
              </w:tabs>
              <w:spacing w:line="460" w:lineRule="exact"/>
              <w:jc w:val="center"/>
              <w:rPr>
                <w:rFonts w:ascii="Times New Roman" w:hAnsi="Times New Roman" w:eastAsia="宋体" w:cs="Times New Roman"/>
                <w:color w:val="auto"/>
                <w:sz w:val="24"/>
                <w:highlight w:val="none"/>
              </w:rPr>
            </w:pPr>
          </w:p>
        </w:tc>
      </w:tr>
      <w:tr w14:paraId="1827C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noWrap w:val="0"/>
            <w:vAlign w:val="center"/>
          </w:tcPr>
          <w:p w14:paraId="3C7C7263">
            <w:pPr>
              <w:tabs>
                <w:tab w:val="left" w:pos="360"/>
              </w:tabs>
              <w:spacing w:line="460" w:lineRule="exact"/>
              <w:jc w:val="center"/>
              <w:rPr>
                <w:rFonts w:ascii="Times New Roman" w:hAnsi="Times New Roman" w:eastAsia="宋体" w:cs="Times New Roman"/>
                <w:color w:val="auto"/>
                <w:sz w:val="24"/>
                <w:highlight w:val="none"/>
              </w:rPr>
            </w:pPr>
          </w:p>
        </w:tc>
        <w:tc>
          <w:tcPr>
            <w:tcW w:w="900" w:type="dxa"/>
            <w:noWrap w:val="0"/>
            <w:vAlign w:val="center"/>
          </w:tcPr>
          <w:p w14:paraId="4F22F759">
            <w:pPr>
              <w:tabs>
                <w:tab w:val="left" w:pos="360"/>
              </w:tabs>
              <w:spacing w:line="460" w:lineRule="exact"/>
              <w:jc w:val="center"/>
              <w:rPr>
                <w:rFonts w:ascii="Times New Roman" w:hAnsi="Times New Roman" w:eastAsia="宋体" w:cs="Times New Roman"/>
                <w:color w:val="auto"/>
                <w:sz w:val="24"/>
                <w:highlight w:val="none"/>
              </w:rPr>
            </w:pPr>
          </w:p>
        </w:tc>
        <w:tc>
          <w:tcPr>
            <w:tcW w:w="1440" w:type="dxa"/>
            <w:noWrap w:val="0"/>
            <w:vAlign w:val="center"/>
          </w:tcPr>
          <w:p w14:paraId="5CD494A4">
            <w:pPr>
              <w:tabs>
                <w:tab w:val="left" w:pos="360"/>
              </w:tabs>
              <w:spacing w:line="460" w:lineRule="exact"/>
              <w:jc w:val="center"/>
              <w:rPr>
                <w:rFonts w:ascii="Times New Roman" w:hAnsi="Times New Roman" w:eastAsia="宋体" w:cs="Times New Roman"/>
                <w:color w:val="auto"/>
                <w:sz w:val="24"/>
                <w:highlight w:val="none"/>
              </w:rPr>
            </w:pPr>
          </w:p>
        </w:tc>
        <w:tc>
          <w:tcPr>
            <w:tcW w:w="1460" w:type="dxa"/>
            <w:noWrap w:val="0"/>
            <w:vAlign w:val="center"/>
          </w:tcPr>
          <w:p w14:paraId="7BCC3A93">
            <w:pPr>
              <w:tabs>
                <w:tab w:val="left" w:pos="360"/>
              </w:tabs>
              <w:spacing w:line="460" w:lineRule="exact"/>
              <w:jc w:val="center"/>
              <w:rPr>
                <w:rFonts w:ascii="Times New Roman" w:hAnsi="Times New Roman" w:eastAsia="宋体" w:cs="Times New Roman"/>
                <w:color w:val="auto"/>
                <w:sz w:val="24"/>
                <w:highlight w:val="none"/>
              </w:rPr>
            </w:pPr>
          </w:p>
        </w:tc>
        <w:tc>
          <w:tcPr>
            <w:tcW w:w="2680" w:type="dxa"/>
            <w:noWrap w:val="0"/>
            <w:vAlign w:val="center"/>
          </w:tcPr>
          <w:p w14:paraId="486BFA57">
            <w:pPr>
              <w:tabs>
                <w:tab w:val="left" w:pos="360"/>
              </w:tabs>
              <w:spacing w:line="460" w:lineRule="exact"/>
              <w:jc w:val="center"/>
              <w:rPr>
                <w:rFonts w:ascii="Times New Roman" w:hAnsi="Times New Roman" w:eastAsia="宋体" w:cs="Times New Roman"/>
                <w:color w:val="auto"/>
                <w:sz w:val="24"/>
                <w:highlight w:val="none"/>
              </w:rPr>
            </w:pPr>
          </w:p>
        </w:tc>
        <w:tc>
          <w:tcPr>
            <w:tcW w:w="1542" w:type="dxa"/>
            <w:noWrap w:val="0"/>
            <w:vAlign w:val="center"/>
          </w:tcPr>
          <w:p w14:paraId="31187165">
            <w:pPr>
              <w:tabs>
                <w:tab w:val="left" w:pos="360"/>
              </w:tabs>
              <w:spacing w:line="460" w:lineRule="exact"/>
              <w:jc w:val="center"/>
              <w:rPr>
                <w:rFonts w:ascii="Times New Roman" w:hAnsi="Times New Roman" w:eastAsia="宋体" w:cs="Times New Roman"/>
                <w:color w:val="auto"/>
                <w:sz w:val="24"/>
                <w:highlight w:val="none"/>
              </w:rPr>
            </w:pPr>
          </w:p>
        </w:tc>
      </w:tr>
      <w:tr w14:paraId="5D18D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noWrap w:val="0"/>
            <w:vAlign w:val="center"/>
          </w:tcPr>
          <w:p w14:paraId="258BDE53">
            <w:pPr>
              <w:tabs>
                <w:tab w:val="left" w:pos="360"/>
              </w:tabs>
              <w:spacing w:line="460" w:lineRule="exact"/>
              <w:jc w:val="center"/>
              <w:rPr>
                <w:rFonts w:ascii="Times New Roman" w:hAnsi="Times New Roman" w:eastAsia="宋体" w:cs="Times New Roman"/>
                <w:color w:val="auto"/>
                <w:sz w:val="24"/>
                <w:highlight w:val="none"/>
              </w:rPr>
            </w:pPr>
          </w:p>
        </w:tc>
        <w:tc>
          <w:tcPr>
            <w:tcW w:w="900" w:type="dxa"/>
            <w:noWrap w:val="0"/>
            <w:vAlign w:val="center"/>
          </w:tcPr>
          <w:p w14:paraId="7DA39108">
            <w:pPr>
              <w:tabs>
                <w:tab w:val="left" w:pos="360"/>
              </w:tabs>
              <w:spacing w:line="460" w:lineRule="exact"/>
              <w:jc w:val="center"/>
              <w:rPr>
                <w:rFonts w:ascii="Times New Roman" w:hAnsi="Times New Roman" w:eastAsia="宋体" w:cs="Times New Roman"/>
                <w:color w:val="auto"/>
                <w:sz w:val="24"/>
                <w:highlight w:val="none"/>
              </w:rPr>
            </w:pPr>
          </w:p>
        </w:tc>
        <w:tc>
          <w:tcPr>
            <w:tcW w:w="1440" w:type="dxa"/>
            <w:noWrap w:val="0"/>
            <w:vAlign w:val="center"/>
          </w:tcPr>
          <w:p w14:paraId="6AFFAD47">
            <w:pPr>
              <w:tabs>
                <w:tab w:val="left" w:pos="360"/>
              </w:tabs>
              <w:spacing w:line="460" w:lineRule="exact"/>
              <w:jc w:val="center"/>
              <w:rPr>
                <w:rFonts w:ascii="Times New Roman" w:hAnsi="Times New Roman" w:eastAsia="宋体" w:cs="Times New Roman"/>
                <w:color w:val="auto"/>
                <w:sz w:val="24"/>
                <w:highlight w:val="none"/>
              </w:rPr>
            </w:pPr>
          </w:p>
        </w:tc>
        <w:tc>
          <w:tcPr>
            <w:tcW w:w="1460" w:type="dxa"/>
            <w:noWrap w:val="0"/>
            <w:vAlign w:val="center"/>
          </w:tcPr>
          <w:p w14:paraId="01580328">
            <w:pPr>
              <w:tabs>
                <w:tab w:val="left" w:pos="360"/>
              </w:tabs>
              <w:spacing w:line="460" w:lineRule="exact"/>
              <w:jc w:val="center"/>
              <w:rPr>
                <w:rFonts w:ascii="Times New Roman" w:hAnsi="Times New Roman" w:eastAsia="宋体" w:cs="Times New Roman"/>
                <w:color w:val="auto"/>
                <w:sz w:val="24"/>
                <w:highlight w:val="none"/>
              </w:rPr>
            </w:pPr>
          </w:p>
        </w:tc>
        <w:tc>
          <w:tcPr>
            <w:tcW w:w="2680" w:type="dxa"/>
            <w:noWrap w:val="0"/>
            <w:vAlign w:val="center"/>
          </w:tcPr>
          <w:p w14:paraId="287A7DCB">
            <w:pPr>
              <w:tabs>
                <w:tab w:val="left" w:pos="360"/>
              </w:tabs>
              <w:spacing w:line="460" w:lineRule="exact"/>
              <w:jc w:val="center"/>
              <w:rPr>
                <w:rFonts w:ascii="Times New Roman" w:hAnsi="Times New Roman" w:eastAsia="宋体" w:cs="Times New Roman"/>
                <w:color w:val="auto"/>
                <w:sz w:val="24"/>
                <w:highlight w:val="none"/>
              </w:rPr>
            </w:pPr>
          </w:p>
        </w:tc>
        <w:tc>
          <w:tcPr>
            <w:tcW w:w="1542" w:type="dxa"/>
            <w:noWrap w:val="0"/>
            <w:vAlign w:val="center"/>
          </w:tcPr>
          <w:p w14:paraId="1E942686">
            <w:pPr>
              <w:tabs>
                <w:tab w:val="left" w:pos="360"/>
              </w:tabs>
              <w:spacing w:line="460" w:lineRule="exact"/>
              <w:jc w:val="center"/>
              <w:rPr>
                <w:rFonts w:ascii="Times New Roman" w:hAnsi="Times New Roman" w:eastAsia="宋体" w:cs="Times New Roman"/>
                <w:color w:val="auto"/>
                <w:sz w:val="24"/>
                <w:highlight w:val="none"/>
              </w:rPr>
            </w:pPr>
          </w:p>
        </w:tc>
      </w:tr>
      <w:tr w14:paraId="268DE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noWrap w:val="0"/>
            <w:vAlign w:val="center"/>
          </w:tcPr>
          <w:p w14:paraId="3217EFE7">
            <w:pPr>
              <w:tabs>
                <w:tab w:val="left" w:pos="360"/>
              </w:tabs>
              <w:spacing w:line="460" w:lineRule="exact"/>
              <w:jc w:val="center"/>
              <w:rPr>
                <w:rFonts w:ascii="Times New Roman" w:hAnsi="Times New Roman" w:eastAsia="宋体" w:cs="Times New Roman"/>
                <w:color w:val="auto"/>
                <w:sz w:val="24"/>
                <w:highlight w:val="none"/>
              </w:rPr>
            </w:pPr>
          </w:p>
        </w:tc>
        <w:tc>
          <w:tcPr>
            <w:tcW w:w="900" w:type="dxa"/>
            <w:noWrap w:val="0"/>
            <w:vAlign w:val="center"/>
          </w:tcPr>
          <w:p w14:paraId="10223255">
            <w:pPr>
              <w:tabs>
                <w:tab w:val="left" w:pos="360"/>
              </w:tabs>
              <w:spacing w:line="460" w:lineRule="exact"/>
              <w:jc w:val="center"/>
              <w:rPr>
                <w:rFonts w:ascii="Times New Roman" w:hAnsi="Times New Roman" w:eastAsia="宋体" w:cs="Times New Roman"/>
                <w:color w:val="auto"/>
                <w:sz w:val="24"/>
                <w:highlight w:val="none"/>
              </w:rPr>
            </w:pPr>
          </w:p>
        </w:tc>
        <w:tc>
          <w:tcPr>
            <w:tcW w:w="1440" w:type="dxa"/>
            <w:noWrap w:val="0"/>
            <w:vAlign w:val="center"/>
          </w:tcPr>
          <w:p w14:paraId="1264A274">
            <w:pPr>
              <w:tabs>
                <w:tab w:val="left" w:pos="360"/>
              </w:tabs>
              <w:spacing w:line="460" w:lineRule="exact"/>
              <w:jc w:val="center"/>
              <w:rPr>
                <w:rFonts w:ascii="Times New Roman" w:hAnsi="Times New Roman" w:eastAsia="宋体" w:cs="Times New Roman"/>
                <w:color w:val="auto"/>
                <w:sz w:val="24"/>
                <w:highlight w:val="none"/>
              </w:rPr>
            </w:pPr>
          </w:p>
        </w:tc>
        <w:tc>
          <w:tcPr>
            <w:tcW w:w="1460" w:type="dxa"/>
            <w:noWrap w:val="0"/>
            <w:vAlign w:val="center"/>
          </w:tcPr>
          <w:p w14:paraId="2E598D3B">
            <w:pPr>
              <w:tabs>
                <w:tab w:val="left" w:pos="360"/>
              </w:tabs>
              <w:spacing w:line="460" w:lineRule="exact"/>
              <w:jc w:val="center"/>
              <w:rPr>
                <w:rFonts w:ascii="Times New Roman" w:hAnsi="Times New Roman" w:eastAsia="宋体" w:cs="Times New Roman"/>
                <w:color w:val="auto"/>
                <w:sz w:val="24"/>
                <w:highlight w:val="none"/>
              </w:rPr>
            </w:pPr>
          </w:p>
        </w:tc>
        <w:tc>
          <w:tcPr>
            <w:tcW w:w="2680" w:type="dxa"/>
            <w:noWrap w:val="0"/>
            <w:vAlign w:val="center"/>
          </w:tcPr>
          <w:p w14:paraId="23D44C40">
            <w:pPr>
              <w:tabs>
                <w:tab w:val="left" w:pos="360"/>
              </w:tabs>
              <w:spacing w:line="460" w:lineRule="exact"/>
              <w:jc w:val="center"/>
              <w:rPr>
                <w:rFonts w:ascii="Times New Roman" w:hAnsi="Times New Roman" w:eastAsia="宋体" w:cs="Times New Roman"/>
                <w:color w:val="auto"/>
                <w:sz w:val="24"/>
                <w:highlight w:val="none"/>
              </w:rPr>
            </w:pPr>
          </w:p>
        </w:tc>
        <w:tc>
          <w:tcPr>
            <w:tcW w:w="1542" w:type="dxa"/>
            <w:noWrap w:val="0"/>
            <w:vAlign w:val="center"/>
          </w:tcPr>
          <w:p w14:paraId="1FDB38AF">
            <w:pPr>
              <w:tabs>
                <w:tab w:val="left" w:pos="360"/>
              </w:tabs>
              <w:spacing w:line="460" w:lineRule="exact"/>
              <w:jc w:val="center"/>
              <w:rPr>
                <w:rFonts w:ascii="Times New Roman" w:hAnsi="Times New Roman" w:eastAsia="宋体" w:cs="Times New Roman"/>
                <w:color w:val="auto"/>
                <w:sz w:val="24"/>
                <w:highlight w:val="none"/>
              </w:rPr>
            </w:pPr>
          </w:p>
        </w:tc>
      </w:tr>
      <w:tr w14:paraId="58E4E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48" w:type="dxa"/>
            <w:noWrap w:val="0"/>
            <w:vAlign w:val="center"/>
          </w:tcPr>
          <w:p w14:paraId="13A54A0A">
            <w:pPr>
              <w:tabs>
                <w:tab w:val="left" w:pos="360"/>
              </w:tabs>
              <w:spacing w:line="460" w:lineRule="exact"/>
              <w:jc w:val="center"/>
              <w:rPr>
                <w:rFonts w:ascii="Times New Roman" w:hAnsi="Times New Roman" w:eastAsia="宋体" w:cs="Times New Roman"/>
                <w:color w:val="auto"/>
                <w:sz w:val="24"/>
                <w:highlight w:val="none"/>
              </w:rPr>
            </w:pPr>
          </w:p>
        </w:tc>
        <w:tc>
          <w:tcPr>
            <w:tcW w:w="900" w:type="dxa"/>
            <w:noWrap w:val="0"/>
            <w:vAlign w:val="center"/>
          </w:tcPr>
          <w:p w14:paraId="13A6B0CB">
            <w:pPr>
              <w:tabs>
                <w:tab w:val="left" w:pos="360"/>
              </w:tabs>
              <w:spacing w:line="460" w:lineRule="exact"/>
              <w:jc w:val="center"/>
              <w:rPr>
                <w:rFonts w:ascii="Times New Roman" w:hAnsi="Times New Roman" w:eastAsia="宋体" w:cs="Times New Roman"/>
                <w:color w:val="auto"/>
                <w:sz w:val="24"/>
                <w:highlight w:val="none"/>
              </w:rPr>
            </w:pPr>
          </w:p>
        </w:tc>
        <w:tc>
          <w:tcPr>
            <w:tcW w:w="1440" w:type="dxa"/>
            <w:noWrap w:val="0"/>
            <w:vAlign w:val="center"/>
          </w:tcPr>
          <w:p w14:paraId="224A9B90">
            <w:pPr>
              <w:tabs>
                <w:tab w:val="left" w:pos="360"/>
              </w:tabs>
              <w:spacing w:line="460" w:lineRule="exact"/>
              <w:jc w:val="center"/>
              <w:rPr>
                <w:rFonts w:ascii="Times New Roman" w:hAnsi="Times New Roman" w:eastAsia="宋体" w:cs="Times New Roman"/>
                <w:color w:val="auto"/>
                <w:sz w:val="24"/>
                <w:highlight w:val="none"/>
              </w:rPr>
            </w:pPr>
          </w:p>
        </w:tc>
        <w:tc>
          <w:tcPr>
            <w:tcW w:w="1460" w:type="dxa"/>
            <w:noWrap w:val="0"/>
            <w:vAlign w:val="center"/>
          </w:tcPr>
          <w:p w14:paraId="4C0B4746">
            <w:pPr>
              <w:tabs>
                <w:tab w:val="left" w:pos="360"/>
              </w:tabs>
              <w:spacing w:line="460" w:lineRule="exact"/>
              <w:jc w:val="center"/>
              <w:rPr>
                <w:rFonts w:ascii="Times New Roman" w:hAnsi="Times New Roman" w:eastAsia="宋体" w:cs="Times New Roman"/>
                <w:color w:val="auto"/>
                <w:sz w:val="24"/>
                <w:highlight w:val="none"/>
              </w:rPr>
            </w:pPr>
          </w:p>
        </w:tc>
        <w:tc>
          <w:tcPr>
            <w:tcW w:w="2680" w:type="dxa"/>
            <w:noWrap w:val="0"/>
            <w:vAlign w:val="center"/>
          </w:tcPr>
          <w:p w14:paraId="32F062FD">
            <w:pPr>
              <w:tabs>
                <w:tab w:val="left" w:pos="360"/>
              </w:tabs>
              <w:spacing w:line="460" w:lineRule="exact"/>
              <w:jc w:val="center"/>
              <w:rPr>
                <w:rFonts w:ascii="Times New Roman" w:hAnsi="Times New Roman" w:eastAsia="宋体" w:cs="Times New Roman"/>
                <w:color w:val="auto"/>
                <w:sz w:val="24"/>
                <w:highlight w:val="none"/>
              </w:rPr>
            </w:pPr>
          </w:p>
        </w:tc>
        <w:tc>
          <w:tcPr>
            <w:tcW w:w="1542" w:type="dxa"/>
            <w:noWrap w:val="0"/>
            <w:vAlign w:val="center"/>
          </w:tcPr>
          <w:p w14:paraId="18789FED">
            <w:pPr>
              <w:tabs>
                <w:tab w:val="left" w:pos="360"/>
              </w:tabs>
              <w:spacing w:line="460" w:lineRule="exact"/>
              <w:jc w:val="center"/>
              <w:rPr>
                <w:rFonts w:ascii="Times New Roman" w:hAnsi="Times New Roman" w:eastAsia="宋体" w:cs="Times New Roman"/>
                <w:color w:val="auto"/>
                <w:sz w:val="24"/>
                <w:highlight w:val="none"/>
              </w:rPr>
            </w:pPr>
          </w:p>
        </w:tc>
      </w:tr>
    </w:tbl>
    <w:p w14:paraId="37739FA9">
      <w:pPr>
        <w:tabs>
          <w:tab w:val="left" w:pos="360"/>
        </w:tabs>
        <w:spacing w:line="500" w:lineRule="exact"/>
        <w:rPr>
          <w:color w:val="auto"/>
          <w:sz w:val="24"/>
          <w:highlight w:val="none"/>
        </w:rPr>
      </w:pPr>
    </w:p>
    <w:p w14:paraId="1415CE51">
      <w:pPr>
        <w:tabs>
          <w:tab w:val="left" w:pos="360"/>
        </w:tabs>
        <w:spacing w:line="500" w:lineRule="exact"/>
        <w:rPr>
          <w:color w:val="auto"/>
          <w:sz w:val="24"/>
          <w:highlight w:val="none"/>
          <w:u w:val="single"/>
        </w:rPr>
      </w:pPr>
      <w:r>
        <w:rPr>
          <w:rFonts w:hint="eastAsia"/>
          <w:color w:val="auto"/>
          <w:sz w:val="24"/>
          <w:highlight w:val="none"/>
        </w:rPr>
        <w:t>全权代表签章：                 职 务：            日 期：</w:t>
      </w:r>
      <w:r>
        <w:rPr>
          <w:rFonts w:hint="eastAsia"/>
          <w:color w:val="auto"/>
          <w:sz w:val="24"/>
          <w:highlight w:val="none"/>
          <w:u w:val="single"/>
        </w:rPr>
        <w:t xml:space="preserve">           </w:t>
      </w:r>
    </w:p>
    <w:p w14:paraId="43CC9F29">
      <w:pPr>
        <w:tabs>
          <w:tab w:val="left" w:pos="360"/>
        </w:tabs>
        <w:spacing w:line="460" w:lineRule="exact"/>
        <w:rPr>
          <w:color w:val="auto"/>
          <w:sz w:val="24"/>
          <w:highlight w:val="none"/>
        </w:rPr>
      </w:pPr>
      <w:r>
        <w:rPr>
          <w:rFonts w:hint="eastAsia"/>
          <w:color w:val="auto"/>
          <w:sz w:val="24"/>
          <w:highlight w:val="none"/>
        </w:rPr>
        <w:t>注：1</w:t>
      </w:r>
      <w:r>
        <w:rPr>
          <w:rFonts w:hint="eastAsia" w:ascii="Verdana" w:hAnsi="Verdana" w:cs="Arial"/>
          <w:color w:val="auto"/>
          <w:sz w:val="24"/>
          <w:highlight w:val="none"/>
        </w:rPr>
        <w:t>.</w:t>
      </w:r>
      <w:r>
        <w:rPr>
          <w:rFonts w:hint="eastAsia"/>
          <w:color w:val="auto"/>
          <w:sz w:val="24"/>
          <w:highlight w:val="none"/>
        </w:rPr>
        <w:t>此表在不改变表式的情况下，可自行制作。</w:t>
      </w:r>
    </w:p>
    <w:p w14:paraId="71163035">
      <w:pPr>
        <w:spacing w:line="400" w:lineRule="exact"/>
        <w:rPr>
          <w:b/>
          <w:bCs/>
          <w:color w:val="auto"/>
          <w:sz w:val="36"/>
          <w:szCs w:val="36"/>
          <w:highlight w:val="none"/>
        </w:rPr>
      </w:pPr>
      <w:r>
        <w:rPr>
          <w:rFonts w:hint="eastAsia"/>
          <w:color w:val="auto"/>
          <w:sz w:val="24"/>
          <w:highlight w:val="none"/>
        </w:rPr>
        <w:t>2</w:t>
      </w:r>
      <w:r>
        <w:rPr>
          <w:rFonts w:hint="eastAsia" w:ascii="Verdana" w:hAnsi="Verdana" w:cs="Arial"/>
          <w:color w:val="auto"/>
          <w:sz w:val="24"/>
          <w:highlight w:val="none"/>
        </w:rPr>
        <w:t>.</w:t>
      </w:r>
      <w:r>
        <w:rPr>
          <w:rFonts w:hint="eastAsia"/>
          <w:color w:val="auto"/>
          <w:sz w:val="24"/>
          <w:highlight w:val="none"/>
        </w:rPr>
        <w:t>有资格、职称人员须附相关职称证书和资格证书</w:t>
      </w:r>
      <w:r>
        <w:rPr>
          <w:rFonts w:hint="eastAsia"/>
          <w:color w:val="auto"/>
          <w:sz w:val="24"/>
          <w:highlight w:val="none"/>
          <w:lang w:eastAsia="zh-CN"/>
        </w:rPr>
        <w:t>扫描件</w:t>
      </w:r>
      <w:r>
        <w:rPr>
          <w:rFonts w:hint="eastAsia"/>
          <w:color w:val="auto"/>
          <w:sz w:val="24"/>
          <w:highlight w:val="none"/>
        </w:rPr>
        <w:t>（盖章）。</w:t>
      </w:r>
    </w:p>
    <w:p w14:paraId="63DC7AD7">
      <w:pPr>
        <w:spacing w:line="400" w:lineRule="exact"/>
        <w:rPr>
          <w:b/>
          <w:bCs/>
          <w:color w:val="auto"/>
          <w:sz w:val="36"/>
          <w:szCs w:val="36"/>
          <w:highlight w:val="none"/>
        </w:rPr>
      </w:pPr>
    </w:p>
    <w:p w14:paraId="7A16135A">
      <w:pPr>
        <w:spacing w:line="400" w:lineRule="exact"/>
        <w:rPr>
          <w:b/>
          <w:bCs/>
          <w:color w:val="auto"/>
          <w:sz w:val="36"/>
          <w:szCs w:val="36"/>
          <w:highlight w:val="none"/>
        </w:rPr>
      </w:pPr>
    </w:p>
    <w:p w14:paraId="53393E36">
      <w:pPr>
        <w:pStyle w:val="2"/>
        <w:rPr>
          <w:b/>
          <w:bCs/>
          <w:color w:val="auto"/>
          <w:sz w:val="36"/>
          <w:szCs w:val="36"/>
          <w:highlight w:val="none"/>
        </w:rPr>
      </w:pPr>
    </w:p>
    <w:p w14:paraId="2DCCD94A">
      <w:pPr>
        <w:jc w:val="center"/>
        <w:rPr>
          <w:b/>
          <w:bCs/>
          <w:color w:val="auto"/>
          <w:sz w:val="36"/>
          <w:highlight w:val="none"/>
        </w:rPr>
      </w:pPr>
      <w:r>
        <w:rPr>
          <w:b/>
          <w:bCs/>
          <w:color w:val="auto"/>
          <w:sz w:val="36"/>
          <w:highlight w:val="none"/>
        </w:rPr>
        <w:t>投标人的各项服务承诺</w:t>
      </w:r>
    </w:p>
    <w:p w14:paraId="2DF96815">
      <w:pPr>
        <w:spacing w:line="480" w:lineRule="auto"/>
        <w:rPr>
          <w:color w:val="auto"/>
          <w:sz w:val="24"/>
          <w:highlight w:val="none"/>
        </w:rPr>
      </w:pPr>
    </w:p>
    <w:p w14:paraId="11658583">
      <w:pPr>
        <w:spacing w:line="480" w:lineRule="auto"/>
        <w:rPr>
          <w:color w:val="auto"/>
          <w:sz w:val="24"/>
          <w:highlight w:val="none"/>
        </w:rPr>
      </w:pPr>
      <w:r>
        <w:rPr>
          <w:color w:val="auto"/>
          <w:sz w:val="24"/>
          <w:highlight w:val="none"/>
        </w:rPr>
        <w:t>采购编号：</w:t>
      </w:r>
    </w:p>
    <w:p w14:paraId="19D3E12A">
      <w:pP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1.服务质量目标：</w:t>
      </w:r>
    </w:p>
    <w:p w14:paraId="2C44A775">
      <w:pPr>
        <w:rPr>
          <w:rFonts w:ascii="Times New Roman" w:hAnsi="Times New Roman" w:eastAsia="宋体" w:cs="Times New Roman"/>
          <w:color w:val="auto"/>
          <w:sz w:val="24"/>
          <w:highlight w:val="none"/>
        </w:rPr>
      </w:pPr>
    </w:p>
    <w:p w14:paraId="668F02D4">
      <w:pP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2.规章制度：</w:t>
      </w:r>
    </w:p>
    <w:p w14:paraId="1B4B7A79">
      <w:pPr>
        <w:rPr>
          <w:rFonts w:ascii="Times New Roman" w:hAnsi="Times New Roman" w:eastAsia="宋体" w:cs="Times New Roman"/>
          <w:color w:val="auto"/>
          <w:sz w:val="24"/>
          <w:highlight w:val="none"/>
        </w:rPr>
      </w:pPr>
    </w:p>
    <w:p w14:paraId="1C5C15B8">
      <w:pP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3.服务规范和守则：</w:t>
      </w:r>
    </w:p>
    <w:p w14:paraId="185FDA1A">
      <w:pPr>
        <w:rPr>
          <w:rFonts w:ascii="Times New Roman" w:hAnsi="Times New Roman" w:eastAsia="宋体" w:cs="Times New Roman"/>
          <w:color w:val="auto"/>
          <w:sz w:val="24"/>
          <w:highlight w:val="none"/>
        </w:rPr>
      </w:pPr>
    </w:p>
    <w:p w14:paraId="40797001">
      <w:pP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4.其他有关优惠承诺：</w:t>
      </w:r>
    </w:p>
    <w:p w14:paraId="03F5B3E4">
      <w:pPr>
        <w:rPr>
          <w:rFonts w:ascii="Times New Roman" w:hAnsi="Times New Roman" w:eastAsia="宋体" w:cs="Times New Roman"/>
          <w:color w:val="auto"/>
          <w:sz w:val="24"/>
          <w:highlight w:val="none"/>
        </w:rPr>
      </w:pPr>
    </w:p>
    <w:p w14:paraId="3E519199">
      <w:pPr>
        <w:rPr>
          <w:rFonts w:hint="eastAsia" w:ascii="Times New Roman" w:hAnsi="Times New Roman" w:eastAsia="宋体" w:cs="Times New Roman"/>
          <w:color w:val="auto"/>
          <w:sz w:val="24"/>
          <w:highlight w:val="none"/>
          <w:lang w:val="en-US" w:eastAsia="zh-CN"/>
        </w:rPr>
      </w:pPr>
      <w:r>
        <w:rPr>
          <w:rFonts w:hint="eastAsia" w:ascii="Times New Roman" w:hAnsi="Times New Roman" w:cs="Times New Roman"/>
          <w:color w:val="auto"/>
          <w:sz w:val="24"/>
          <w:highlight w:val="none"/>
          <w:lang w:val="en-US" w:eastAsia="zh-CN"/>
        </w:rPr>
        <w:t>5.</w:t>
      </w:r>
      <w:r>
        <w:rPr>
          <w:rFonts w:hint="eastAsia" w:ascii="Times New Roman" w:hAnsi="Times New Roman" w:eastAsia="宋体" w:cs="Times New Roman"/>
          <w:color w:val="auto"/>
          <w:sz w:val="24"/>
          <w:highlight w:val="none"/>
          <w:lang w:val="en-US" w:eastAsia="zh-CN"/>
        </w:rPr>
        <w:t>诉前调解费支付承诺：</w:t>
      </w:r>
      <w:r>
        <w:rPr>
          <w:rFonts w:hint="eastAsia" w:ascii="Times New Roman" w:hAnsi="Times New Roman" w:cs="Times New Roman"/>
          <w:color w:val="auto"/>
          <w:sz w:val="24"/>
          <w:highlight w:val="none"/>
          <w:lang w:val="en-US" w:eastAsia="zh-CN"/>
        </w:rPr>
        <w:t>诉前调解案件</w:t>
      </w:r>
      <w:r>
        <w:rPr>
          <w:rFonts w:hint="eastAsia" w:ascii="Times New Roman" w:hAnsi="Times New Roman" w:eastAsia="宋体" w:cs="Times New Roman"/>
          <w:color w:val="auto"/>
          <w:sz w:val="24"/>
          <w:highlight w:val="none"/>
          <w:lang w:val="en-US" w:eastAsia="zh-CN"/>
        </w:rPr>
        <w:t>，我方按230元/件标准扣除税费后足额将调解费发放给调解员。</w:t>
      </w:r>
    </w:p>
    <w:p w14:paraId="39F9C25E">
      <w:pPr>
        <w:rPr>
          <w:rFonts w:hint="default" w:ascii="Times New Roman" w:hAnsi="Times New Roman" w:eastAsia="宋体" w:cs="Times New Roman"/>
          <w:color w:val="auto"/>
          <w:sz w:val="24"/>
          <w:highlight w:val="none"/>
          <w:lang w:val="en-US" w:eastAsia="zh-CN"/>
        </w:rPr>
      </w:pPr>
    </w:p>
    <w:p w14:paraId="7F7678D7">
      <w:pPr>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lang w:val="en-US" w:eastAsia="zh-CN"/>
        </w:rPr>
        <w:t>6</w:t>
      </w:r>
      <w:r>
        <w:rPr>
          <w:rFonts w:ascii="Times New Roman" w:hAnsi="Times New Roman" w:eastAsia="宋体" w:cs="Times New Roman"/>
          <w:color w:val="auto"/>
          <w:sz w:val="24"/>
          <w:highlight w:val="none"/>
        </w:rPr>
        <w:t>.其他相关内容（包括合理化建议等内容）：</w:t>
      </w:r>
    </w:p>
    <w:p w14:paraId="12924209">
      <w:pPr>
        <w:ind w:right="1440"/>
        <w:jc w:val="left"/>
        <w:rPr>
          <w:color w:val="auto"/>
          <w:sz w:val="24"/>
          <w:highlight w:val="none"/>
        </w:rPr>
      </w:pPr>
    </w:p>
    <w:p w14:paraId="51BDD98A">
      <w:pPr>
        <w:ind w:right="1440"/>
        <w:jc w:val="left"/>
        <w:rPr>
          <w:color w:val="auto"/>
          <w:sz w:val="24"/>
          <w:highlight w:val="none"/>
        </w:rPr>
      </w:pPr>
    </w:p>
    <w:p w14:paraId="5121087A">
      <w:pPr>
        <w:ind w:right="1440"/>
        <w:jc w:val="left"/>
        <w:rPr>
          <w:color w:val="auto"/>
          <w:sz w:val="24"/>
          <w:highlight w:val="none"/>
        </w:rPr>
      </w:pPr>
      <w:r>
        <w:rPr>
          <w:color w:val="auto"/>
          <w:sz w:val="24"/>
          <w:highlight w:val="none"/>
        </w:rPr>
        <w:t>投标人名称（</w:t>
      </w:r>
      <w:r>
        <w:rPr>
          <w:rFonts w:hint="eastAsia"/>
          <w:color w:val="auto"/>
          <w:kern w:val="1"/>
          <w:sz w:val="24"/>
          <w:highlight w:val="none"/>
        </w:rPr>
        <w:t>签章</w:t>
      </w:r>
      <w:r>
        <w:rPr>
          <w:color w:val="auto"/>
          <w:sz w:val="24"/>
          <w:highlight w:val="none"/>
        </w:rPr>
        <w:t>）:_____________________</w:t>
      </w:r>
    </w:p>
    <w:p w14:paraId="0CF4A1AB">
      <w:pPr>
        <w:ind w:right="480"/>
        <w:jc w:val="center"/>
        <w:rPr>
          <w:color w:val="auto"/>
          <w:sz w:val="24"/>
          <w:highlight w:val="none"/>
        </w:rPr>
      </w:pPr>
      <w:r>
        <w:rPr>
          <w:color w:val="auto"/>
          <w:sz w:val="24"/>
          <w:highlight w:val="none"/>
        </w:rPr>
        <w:t xml:space="preserve">         </w:t>
      </w:r>
    </w:p>
    <w:p w14:paraId="47252213">
      <w:pPr>
        <w:ind w:firstLine="960" w:firstLineChars="400"/>
        <w:jc w:val="left"/>
        <w:rPr>
          <w:color w:val="auto"/>
          <w:sz w:val="24"/>
          <w:highlight w:val="none"/>
        </w:rPr>
      </w:pPr>
      <w:r>
        <w:rPr>
          <w:color w:val="auto"/>
          <w:sz w:val="24"/>
          <w:highlight w:val="none"/>
        </w:rPr>
        <w:t>年    月     日</w:t>
      </w:r>
    </w:p>
    <w:p w14:paraId="255D1069">
      <w:pPr>
        <w:spacing w:line="400" w:lineRule="exact"/>
        <w:rPr>
          <w:b/>
          <w:color w:val="auto"/>
          <w:sz w:val="36"/>
          <w:highlight w:val="none"/>
        </w:rPr>
      </w:pPr>
    </w:p>
    <w:p w14:paraId="5DB3C0D6">
      <w:pPr>
        <w:spacing w:line="400" w:lineRule="exact"/>
        <w:rPr>
          <w:color w:val="auto"/>
          <w:sz w:val="24"/>
          <w:highlight w:val="none"/>
        </w:rPr>
      </w:pPr>
    </w:p>
    <w:p w14:paraId="24F10DF1">
      <w:pPr>
        <w:spacing w:line="400" w:lineRule="exact"/>
        <w:rPr>
          <w:color w:val="auto"/>
          <w:sz w:val="24"/>
          <w:highlight w:val="none"/>
        </w:rPr>
      </w:pPr>
      <w:r>
        <w:rPr>
          <w:color w:val="auto"/>
          <w:sz w:val="24"/>
          <w:highlight w:val="none"/>
        </w:rPr>
        <w:t>本附件可根据实际情况自行制作。</w:t>
      </w:r>
    </w:p>
    <w:p w14:paraId="4E0CC262">
      <w:pPr>
        <w:pStyle w:val="137"/>
        <w:rPr>
          <w:rFonts w:ascii="Times New Roman"/>
          <w:b/>
          <w:bCs/>
          <w:color w:val="auto"/>
          <w:sz w:val="36"/>
          <w:szCs w:val="36"/>
          <w:highlight w:val="none"/>
        </w:rPr>
      </w:pPr>
    </w:p>
    <w:p w14:paraId="1B956F34">
      <w:pPr>
        <w:rPr>
          <w:rFonts w:ascii="Times New Roman" w:hAnsi="Times New Roman"/>
          <w:color w:val="auto"/>
          <w:kern w:val="1"/>
          <w:sz w:val="32"/>
          <w:highlight w:val="none"/>
        </w:rPr>
      </w:pPr>
      <w:r>
        <w:rPr>
          <w:rFonts w:ascii="Times New Roman" w:hAnsi="Times New Roman"/>
          <w:color w:val="auto"/>
          <w:kern w:val="1"/>
          <w:sz w:val="32"/>
          <w:highlight w:val="none"/>
        </w:rPr>
        <w:br w:type="page"/>
      </w:r>
    </w:p>
    <w:p w14:paraId="24EC6A79">
      <w:pPr>
        <w:jc w:val="center"/>
        <w:rPr>
          <w:rFonts w:hint="eastAsia"/>
          <w:b/>
          <w:bCs/>
          <w:color w:val="auto"/>
          <w:sz w:val="36"/>
          <w:szCs w:val="22"/>
          <w:highlight w:val="none"/>
        </w:rPr>
      </w:pPr>
      <w:r>
        <w:rPr>
          <w:rFonts w:hint="eastAsia"/>
          <w:b/>
          <w:bCs/>
          <w:color w:val="auto"/>
          <w:sz w:val="36"/>
          <w:szCs w:val="22"/>
          <w:highlight w:val="none"/>
        </w:rPr>
        <w:t>联合体协议（参考格式）</w:t>
      </w:r>
    </w:p>
    <w:p w14:paraId="2F27CE5B">
      <w:pPr>
        <w:snapToGrid w:val="0"/>
        <w:spacing w:line="360" w:lineRule="auto"/>
        <w:ind w:firstLine="422" w:firstLineChars="200"/>
        <w:jc w:val="center"/>
        <w:rPr>
          <w:rFonts w:hint="eastAsia" w:ascii="宋体" w:hAnsi="宋体" w:cs="宋体"/>
          <w:b/>
          <w:bCs/>
          <w:color w:val="auto"/>
          <w:highlight w:val="none"/>
        </w:rPr>
      </w:pPr>
    </w:p>
    <w:p w14:paraId="29FD18FE">
      <w:pPr>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牵头人名称：</w:t>
      </w:r>
    </w:p>
    <w:p w14:paraId="74CAA884">
      <w:pPr>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法定代表人：</w:t>
      </w:r>
    </w:p>
    <w:p w14:paraId="368F12D1">
      <w:pPr>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法定住所：</w:t>
      </w:r>
    </w:p>
    <w:p w14:paraId="54C7CBA6">
      <w:pPr>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成员二名称：</w:t>
      </w:r>
    </w:p>
    <w:p w14:paraId="139D9C71">
      <w:pPr>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法定代表人：</w:t>
      </w:r>
    </w:p>
    <w:p w14:paraId="03FBBFE1">
      <w:pPr>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法定住所：</w:t>
      </w:r>
    </w:p>
    <w:p w14:paraId="0EF48B41">
      <w:pPr>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w:t>
      </w:r>
    </w:p>
    <w:p w14:paraId="338D86C1">
      <w:pPr>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鉴于上述各成员单位经过友好协商，自愿组成 （联合体名称）联合体，共同参加</w:t>
      </w:r>
      <w:r>
        <w:rPr>
          <w:rFonts w:hint="eastAsia" w:ascii="宋体" w:hAnsi="宋体" w:cs="宋体"/>
          <w:color w:val="auto"/>
          <w:highlight w:val="none"/>
          <w:u w:val="single"/>
        </w:rPr>
        <w:t xml:space="preserve">               </w:t>
      </w:r>
      <w:r>
        <w:rPr>
          <w:rFonts w:hint="eastAsia" w:ascii="宋体" w:hAnsi="宋体" w:cs="宋体"/>
          <w:color w:val="auto"/>
          <w:highlight w:val="none"/>
        </w:rPr>
        <w:t>（采购人名称）（以下简称采购人）</w:t>
      </w:r>
      <w:r>
        <w:rPr>
          <w:rFonts w:hint="eastAsia" w:ascii="宋体" w:hAnsi="宋体" w:cs="宋体"/>
          <w:color w:val="auto"/>
          <w:highlight w:val="none"/>
          <w:u w:val="single"/>
        </w:rPr>
        <w:t xml:space="preserve">              </w:t>
      </w:r>
      <w:r>
        <w:rPr>
          <w:rFonts w:hint="eastAsia" w:ascii="宋体" w:hAnsi="宋体" w:cs="宋体"/>
          <w:color w:val="auto"/>
          <w:highlight w:val="none"/>
        </w:rPr>
        <w:t>（项目名称）（以下简称本项目）的投标并争取赢得本项目承包合同（以下简称合同）。现就联合体投标事宜订立如下协议：</w:t>
      </w:r>
    </w:p>
    <w:p w14:paraId="27F79BCF">
      <w:pPr>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u w:val="single"/>
        </w:rPr>
        <w:t xml:space="preserve">               </w:t>
      </w:r>
      <w:r>
        <w:rPr>
          <w:rFonts w:hint="eastAsia" w:ascii="宋体" w:hAnsi="宋体" w:cs="宋体"/>
          <w:color w:val="auto"/>
          <w:highlight w:val="none"/>
        </w:rPr>
        <w:t xml:space="preserve">（某成员单位名称）为 </w:t>
      </w:r>
      <w:r>
        <w:rPr>
          <w:rFonts w:hint="eastAsia" w:ascii="宋体" w:hAnsi="宋体" w:cs="宋体"/>
          <w:color w:val="auto"/>
          <w:highlight w:val="none"/>
          <w:u w:val="single"/>
        </w:rPr>
        <w:t xml:space="preserve">               </w:t>
      </w:r>
      <w:r>
        <w:rPr>
          <w:rFonts w:hint="eastAsia" w:ascii="宋体" w:hAnsi="宋体" w:cs="宋体"/>
          <w:color w:val="auto"/>
          <w:highlight w:val="none"/>
        </w:rPr>
        <w:t>（联合体名称）牵头人。</w:t>
      </w:r>
    </w:p>
    <w:p w14:paraId="3595DFB3">
      <w:pPr>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在本项目投标阶段，联合体牵头人合法代表联合体各成员负责本项目投标文件编制活动，代表联合体提交和接收相关的资料、信息及指示，并处理与投标和中标有关的一切事务；联合体中标后，联合体牵头人负责合同订立和合同实施阶段的主办、组织和协调工作。</w:t>
      </w:r>
    </w:p>
    <w:p w14:paraId="12B77912">
      <w:pPr>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联合体将严格按照招标文件的各项要求，递交投标文件，履行投标义务和中标后的合同，共同承担合同规定的一切义务和责任，联合体各成员单位按照内部职责的部分，承担各自所负的责任和风险，并向招标人承担连带责任。</w:t>
      </w:r>
    </w:p>
    <w:p w14:paraId="3E312683">
      <w:pPr>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4．联合体各成员单位内部的职责分工如下：</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70415F03">
      <w:pPr>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按照本条上述分工，联合体成员单位各自所承担的合同工作量比例如下：</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67C1CEC9">
      <w:pPr>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5．投标工作和联合体在中标后工程实施过程中的有关费用按各自承担的工作量分摊。</w:t>
      </w:r>
    </w:p>
    <w:p w14:paraId="6670D3BE">
      <w:pPr>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6．其他：</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7B7DC7C7">
      <w:pPr>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7.联合体中标后，本联合体协议是合同的附件，对联合体各成员单位有合同约束力。</w:t>
      </w:r>
    </w:p>
    <w:p w14:paraId="51494633">
      <w:pPr>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8．本协议书自签署之日起生效，联合体未中标或者中标时合同履行完毕后自动失效。</w:t>
      </w:r>
    </w:p>
    <w:p w14:paraId="1F56F62F">
      <w:pPr>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9．本协议书一式 份，联合体成员和采购人各执一份。</w:t>
      </w:r>
    </w:p>
    <w:p w14:paraId="511A58D3">
      <w:pPr>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牵头人名称：</w:t>
      </w:r>
      <w:r>
        <w:rPr>
          <w:rFonts w:hint="eastAsia" w:ascii="宋体" w:hAnsi="宋体" w:cs="宋体"/>
          <w:color w:val="auto"/>
          <w:highlight w:val="none"/>
          <w:u w:val="single"/>
        </w:rPr>
        <w:t xml:space="preserve">               </w:t>
      </w:r>
      <w:r>
        <w:rPr>
          <w:rFonts w:hint="eastAsia" w:ascii="宋体" w:hAnsi="宋体" w:cs="宋体"/>
          <w:color w:val="auto"/>
          <w:highlight w:val="none"/>
        </w:rPr>
        <w:t>（盖单位章）</w:t>
      </w:r>
    </w:p>
    <w:p w14:paraId="490CFDC9">
      <w:pPr>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 xml:space="preserve">法定代表人或其委托代理人： </w:t>
      </w:r>
      <w:r>
        <w:rPr>
          <w:rFonts w:hint="eastAsia" w:ascii="宋体" w:hAnsi="宋体" w:cs="宋体"/>
          <w:color w:val="auto"/>
          <w:highlight w:val="none"/>
          <w:u w:val="single"/>
        </w:rPr>
        <w:t xml:space="preserve">               </w:t>
      </w:r>
      <w:r>
        <w:rPr>
          <w:rFonts w:hint="eastAsia" w:ascii="宋体" w:hAnsi="宋体" w:cs="宋体"/>
          <w:color w:val="auto"/>
          <w:highlight w:val="none"/>
        </w:rPr>
        <w:t>（签字或盖章）</w:t>
      </w:r>
    </w:p>
    <w:p w14:paraId="4343D979">
      <w:pPr>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 xml:space="preserve">成员二名称： </w:t>
      </w:r>
      <w:r>
        <w:rPr>
          <w:rFonts w:hint="eastAsia" w:ascii="宋体" w:hAnsi="宋体" w:cs="宋体"/>
          <w:color w:val="auto"/>
          <w:highlight w:val="none"/>
          <w:u w:val="single"/>
        </w:rPr>
        <w:t xml:space="preserve">               </w:t>
      </w:r>
      <w:r>
        <w:rPr>
          <w:rFonts w:hint="eastAsia" w:ascii="宋体" w:hAnsi="宋体" w:cs="宋体"/>
          <w:color w:val="auto"/>
          <w:highlight w:val="none"/>
        </w:rPr>
        <w:t>（盖单位章）</w:t>
      </w:r>
    </w:p>
    <w:p w14:paraId="010D0AAE">
      <w:pPr>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法定代表人或其委托代理人：</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（签字或盖章）</w:t>
      </w:r>
    </w:p>
    <w:p w14:paraId="21CD401F">
      <w:pPr>
        <w:snapToGrid w:val="0"/>
        <w:spacing w:line="360" w:lineRule="auto"/>
        <w:ind w:firstLine="420" w:firstLineChars="200"/>
        <w:jc w:val="right"/>
        <w:rPr>
          <w:rFonts w:hint="eastAsia" w:ascii="宋体" w:hAnsi="宋体" w:cs="宋体"/>
          <w:color w:val="auto"/>
          <w:highlight w:val="none"/>
        </w:rPr>
      </w:pPr>
    </w:p>
    <w:p w14:paraId="1369921E">
      <w:pPr>
        <w:spacing w:line="360" w:lineRule="auto"/>
        <w:jc w:val="center"/>
        <w:rPr>
          <w:rFonts w:ascii="Times New Roman" w:hAnsi="Times New Roman"/>
          <w:color w:val="auto"/>
          <w:kern w:val="1"/>
          <w:sz w:val="32"/>
          <w:highlight w:val="none"/>
        </w:rPr>
      </w:pPr>
      <w:r>
        <w:rPr>
          <w:rFonts w:hint="eastAsia" w:ascii="宋体" w:hAnsi="宋体" w:cs="宋体"/>
          <w:color w:val="auto"/>
          <w:highlight w:val="none"/>
        </w:rPr>
        <w:t>年   月   日</w:t>
      </w:r>
      <w:r>
        <w:rPr>
          <w:rFonts w:ascii="Times New Roman" w:hAnsi="Times New Roman"/>
          <w:color w:val="auto"/>
          <w:kern w:val="1"/>
          <w:sz w:val="32"/>
          <w:highlight w:val="none"/>
        </w:rPr>
        <w:br w:type="page"/>
      </w:r>
      <w:r>
        <w:rPr>
          <w:rFonts w:ascii="Times New Roman" w:hAnsi="Times New Roman" w:cs="Times New Roman"/>
          <w:b/>
          <w:bCs/>
          <w:color w:val="auto"/>
          <w:sz w:val="36"/>
          <w:highlight w:val="none"/>
        </w:rPr>
        <w:t>义乌市政府采购项目投标承诺书</w:t>
      </w:r>
    </w:p>
    <w:p w14:paraId="742D6E72">
      <w:pPr>
        <w:pStyle w:val="49"/>
        <w:widowControl w:val="0"/>
        <w:spacing w:before="0" w:beforeAutospacing="0" w:after="0" w:afterAutospacing="0" w:line="400" w:lineRule="exact"/>
        <w:ind w:left="246" w:hanging="28"/>
        <w:jc w:val="center"/>
        <w:rPr>
          <w:rFonts w:ascii="Times New Roman" w:hAnsi="Times New Roman"/>
          <w:color w:val="auto"/>
          <w:kern w:val="1"/>
          <w:sz w:val="32"/>
          <w:highlight w:val="none"/>
        </w:rPr>
      </w:pPr>
    </w:p>
    <w:p w14:paraId="3DFDD03A">
      <w:pPr>
        <w:spacing w:line="320" w:lineRule="exact"/>
        <w:ind w:firstLine="420"/>
        <w:rPr>
          <w:color w:val="auto"/>
          <w:kern w:val="1"/>
          <w:highlight w:val="none"/>
        </w:rPr>
      </w:pPr>
      <w:r>
        <w:rPr>
          <w:rFonts w:hint="eastAsia"/>
          <w:color w:val="auto"/>
          <w:kern w:val="1"/>
          <w:highlight w:val="none"/>
          <w:lang w:eastAsia="zh-CN"/>
        </w:rPr>
        <w:t>1.</w:t>
      </w:r>
      <w:r>
        <w:rPr>
          <w:color w:val="auto"/>
          <w:kern w:val="1"/>
          <w:highlight w:val="none"/>
        </w:rPr>
        <w:t>我单位已认真阅读了本项目的采购公告、招标文件、技术要求、图纸、招标补充（答疑）文件及相关资料，对其全部内容和要求有实质性了解，并对这些内容表示理解且无任何异议，接受其全部内容及要求，承诺本单位的投标文件已经完全响应并符合其全部条件和要求，愿意参加投标并愿意中标；</w:t>
      </w:r>
    </w:p>
    <w:p w14:paraId="1FA68468">
      <w:pPr>
        <w:pStyle w:val="49"/>
        <w:spacing w:before="0" w:beforeAutospacing="0" w:after="0" w:afterAutospacing="0" w:line="320" w:lineRule="exact"/>
        <w:ind w:firstLine="420"/>
        <w:rPr>
          <w:rFonts w:ascii="Times New Roman" w:hAnsi="Times New Roman"/>
          <w:color w:val="auto"/>
          <w:sz w:val="21"/>
          <w:highlight w:val="none"/>
        </w:rPr>
      </w:pPr>
      <w:r>
        <w:rPr>
          <w:rFonts w:hint="eastAsia" w:ascii="Times New Roman" w:hAnsi="Times New Roman"/>
          <w:color w:val="auto"/>
          <w:sz w:val="21"/>
          <w:highlight w:val="none"/>
          <w:lang w:eastAsia="zh-CN"/>
        </w:rPr>
        <w:t>2.</w:t>
      </w:r>
      <w:r>
        <w:rPr>
          <w:rFonts w:ascii="Times New Roman" w:hAnsi="Times New Roman"/>
          <w:color w:val="auto"/>
          <w:sz w:val="21"/>
          <w:highlight w:val="none"/>
        </w:rPr>
        <w:t>自愿接受义乌市财政局（以下简称财政局）的管理，并严格遵守财政局制定的招投标管理制度、规范和纪律。</w:t>
      </w:r>
    </w:p>
    <w:p w14:paraId="2DF0661A">
      <w:pPr>
        <w:spacing w:line="320" w:lineRule="exact"/>
        <w:ind w:left="-34" w:firstLine="420"/>
        <w:rPr>
          <w:b/>
          <w:bCs/>
          <w:color w:val="auto"/>
          <w:kern w:val="1"/>
          <w:highlight w:val="none"/>
        </w:rPr>
      </w:pPr>
      <w:r>
        <w:rPr>
          <w:rFonts w:hint="eastAsia"/>
          <w:b/>
          <w:bCs/>
          <w:color w:val="auto"/>
          <w:kern w:val="1"/>
          <w:highlight w:val="none"/>
          <w:lang w:eastAsia="zh-CN"/>
        </w:rPr>
        <w:t>3.</w:t>
      </w:r>
      <w:r>
        <w:rPr>
          <w:b/>
          <w:bCs/>
          <w:color w:val="auto"/>
          <w:kern w:val="1"/>
          <w:highlight w:val="none"/>
        </w:rPr>
        <w:t>我单位承诺参与本次投标的资格符合《中华人民共和国政府采购法》的规定，并承诺近三年内，在经营活动中没有重大违法记录。我单位承诺财务状况良好，并已依法按时缴纳税收和社会保障资金。我单位承诺具备履行本项目合同所必需的设备和专业技术能力。</w:t>
      </w:r>
    </w:p>
    <w:p w14:paraId="660CE115">
      <w:pPr>
        <w:spacing w:line="320" w:lineRule="exact"/>
        <w:ind w:firstLine="420"/>
        <w:rPr>
          <w:color w:val="auto"/>
          <w:kern w:val="1"/>
          <w:highlight w:val="none"/>
        </w:rPr>
      </w:pPr>
      <w:r>
        <w:rPr>
          <w:rFonts w:hint="eastAsia"/>
          <w:color w:val="auto"/>
          <w:kern w:val="1"/>
          <w:highlight w:val="none"/>
          <w:lang w:eastAsia="zh-CN"/>
        </w:rPr>
        <w:t>4.</w:t>
      </w:r>
      <w:r>
        <w:rPr>
          <w:color w:val="auto"/>
          <w:kern w:val="1"/>
          <w:highlight w:val="none"/>
        </w:rPr>
        <w:t>积极主动配合财政局的调查。及时、如实、全面地回答财政局提出的问题，并在调查笔录中签字确认。如拒绝签字确认的，则视为我单位及有关工作人员认可调查笔录中的全部内容，并对最终的调查结果无任何异议，且自愿放弃一切救济途径。</w:t>
      </w:r>
    </w:p>
    <w:p w14:paraId="78C28228">
      <w:pPr>
        <w:spacing w:line="320" w:lineRule="exact"/>
        <w:ind w:firstLine="420"/>
        <w:rPr>
          <w:color w:val="auto"/>
          <w:kern w:val="1"/>
          <w:highlight w:val="none"/>
        </w:rPr>
      </w:pPr>
      <w:r>
        <w:rPr>
          <w:rFonts w:hint="eastAsia"/>
          <w:color w:val="auto"/>
          <w:kern w:val="1"/>
          <w:highlight w:val="none"/>
          <w:lang w:eastAsia="zh-CN"/>
        </w:rPr>
        <w:t>5.</w:t>
      </w:r>
      <w:r>
        <w:rPr>
          <w:color w:val="auto"/>
          <w:kern w:val="1"/>
          <w:highlight w:val="none"/>
        </w:rPr>
        <w:t>不转让、出借、涂改、伪造资质（资格）证书或者以其他方式允许其他单位（个人）以我单位（本人）名义承接业务。</w:t>
      </w:r>
    </w:p>
    <w:p w14:paraId="09C3C638">
      <w:pPr>
        <w:spacing w:line="320" w:lineRule="exact"/>
        <w:ind w:left="-34" w:firstLine="420"/>
        <w:rPr>
          <w:color w:val="auto"/>
          <w:kern w:val="1"/>
          <w:highlight w:val="none"/>
        </w:rPr>
      </w:pPr>
      <w:r>
        <w:rPr>
          <w:rFonts w:hint="eastAsia"/>
          <w:color w:val="auto"/>
          <w:kern w:val="1"/>
          <w:highlight w:val="none"/>
          <w:lang w:eastAsia="zh-CN"/>
        </w:rPr>
        <w:t>6.</w:t>
      </w:r>
      <w:r>
        <w:rPr>
          <w:color w:val="auto"/>
          <w:kern w:val="1"/>
          <w:highlight w:val="none"/>
        </w:rPr>
        <w:t>不与采购人或者其他供应商相互串通投标，围标，不以行贿等不正当手段谋取中标。</w:t>
      </w:r>
    </w:p>
    <w:p w14:paraId="1EF98D7E">
      <w:pPr>
        <w:spacing w:line="320" w:lineRule="exact"/>
        <w:ind w:left="-34" w:firstLine="420"/>
        <w:rPr>
          <w:color w:val="auto"/>
          <w:kern w:val="1"/>
          <w:highlight w:val="none"/>
        </w:rPr>
      </w:pPr>
      <w:r>
        <w:rPr>
          <w:rFonts w:hint="eastAsia"/>
          <w:color w:val="auto"/>
          <w:kern w:val="1"/>
          <w:highlight w:val="none"/>
          <w:lang w:eastAsia="zh-CN"/>
        </w:rPr>
        <w:t>7.</w:t>
      </w:r>
      <w:r>
        <w:rPr>
          <w:color w:val="auto"/>
          <w:kern w:val="1"/>
          <w:highlight w:val="none"/>
        </w:rPr>
        <w:t>在备案、招标、投标、开标、评标、询标、中标、签订合同、合同备案等招投标预备和进行的全过程中提供的资料均真实、有效，不弄虚作假。</w:t>
      </w:r>
    </w:p>
    <w:p w14:paraId="155A5819">
      <w:pPr>
        <w:spacing w:line="320" w:lineRule="exact"/>
        <w:ind w:firstLine="420"/>
        <w:rPr>
          <w:color w:val="auto"/>
          <w:kern w:val="1"/>
          <w:highlight w:val="none"/>
        </w:rPr>
      </w:pPr>
      <w:r>
        <w:rPr>
          <w:rFonts w:hint="eastAsia"/>
          <w:color w:val="auto"/>
          <w:kern w:val="1"/>
          <w:highlight w:val="none"/>
          <w:lang w:eastAsia="zh-CN"/>
        </w:rPr>
        <w:t>8.</w:t>
      </w:r>
      <w:r>
        <w:rPr>
          <w:color w:val="auto"/>
          <w:kern w:val="1"/>
          <w:highlight w:val="none"/>
        </w:rPr>
        <w:t>我方已详细审核全部招标文件，包括修改文件</w:t>
      </w:r>
      <w:r>
        <w:rPr>
          <w:rFonts w:hint="eastAsia"/>
          <w:color w:val="auto"/>
          <w:kern w:val="1"/>
          <w:highlight w:val="none"/>
          <w:lang w:eastAsia="zh-CN"/>
        </w:rPr>
        <w:t>（</w:t>
      </w:r>
      <w:r>
        <w:rPr>
          <w:color w:val="auto"/>
          <w:kern w:val="1"/>
          <w:highlight w:val="none"/>
        </w:rPr>
        <w:t>如果有的话</w:t>
      </w:r>
      <w:r>
        <w:rPr>
          <w:rFonts w:hint="eastAsia"/>
          <w:color w:val="auto"/>
          <w:kern w:val="1"/>
          <w:highlight w:val="none"/>
          <w:lang w:eastAsia="zh-CN"/>
        </w:rPr>
        <w:t>）</w:t>
      </w:r>
      <w:r>
        <w:rPr>
          <w:color w:val="auto"/>
          <w:kern w:val="1"/>
          <w:highlight w:val="none"/>
        </w:rPr>
        <w:t xml:space="preserve">，及有关附件，我方同意放弃提出含糊不清或误解的权力。 </w:t>
      </w:r>
    </w:p>
    <w:p w14:paraId="635F59E8">
      <w:pPr>
        <w:spacing w:line="320" w:lineRule="exact"/>
        <w:ind w:firstLine="420"/>
        <w:rPr>
          <w:color w:val="auto"/>
          <w:kern w:val="1"/>
          <w:highlight w:val="none"/>
        </w:rPr>
      </w:pPr>
      <w:r>
        <w:rPr>
          <w:rFonts w:hint="eastAsia"/>
          <w:color w:val="auto"/>
          <w:kern w:val="1"/>
          <w:highlight w:val="none"/>
          <w:lang w:eastAsia="zh-CN"/>
        </w:rPr>
        <w:t>9.</w:t>
      </w:r>
      <w:r>
        <w:rPr>
          <w:color w:val="auto"/>
          <w:kern w:val="1"/>
          <w:highlight w:val="none"/>
        </w:rPr>
        <w:t>我方同意所递交的投标文件在招标期内有效，在此期间内我方有可能中标，我方将受此约束。</w:t>
      </w:r>
    </w:p>
    <w:p w14:paraId="3726D8A7">
      <w:pPr>
        <w:spacing w:line="320" w:lineRule="exact"/>
        <w:ind w:firstLine="420"/>
        <w:rPr>
          <w:color w:val="auto"/>
          <w:kern w:val="1"/>
          <w:highlight w:val="none"/>
        </w:rPr>
      </w:pPr>
      <w:r>
        <w:rPr>
          <w:color w:val="auto"/>
          <w:kern w:val="1"/>
          <w:highlight w:val="none"/>
        </w:rPr>
        <w:t>1</w:t>
      </w:r>
      <w:r>
        <w:rPr>
          <w:rFonts w:hint="eastAsia"/>
          <w:color w:val="auto"/>
          <w:kern w:val="1"/>
          <w:highlight w:val="none"/>
          <w:lang w:eastAsia="zh-CN"/>
        </w:rPr>
        <w:t>0.</w:t>
      </w:r>
      <w:r>
        <w:rPr>
          <w:color w:val="auto"/>
          <w:kern w:val="1"/>
          <w:highlight w:val="none"/>
        </w:rPr>
        <w:t xml:space="preserve">我方相信贵方的招标结果是公正、合法的，无论我方中标还是落标，我方将接受这一结果。 </w:t>
      </w:r>
    </w:p>
    <w:p w14:paraId="78C0C028">
      <w:pPr>
        <w:spacing w:line="320" w:lineRule="exact"/>
        <w:ind w:firstLine="420"/>
        <w:rPr>
          <w:color w:val="auto"/>
          <w:kern w:val="1"/>
          <w:highlight w:val="none"/>
        </w:rPr>
      </w:pPr>
      <w:r>
        <w:rPr>
          <w:color w:val="auto"/>
          <w:kern w:val="1"/>
          <w:highlight w:val="none"/>
        </w:rPr>
        <w:t>1</w:t>
      </w:r>
      <w:r>
        <w:rPr>
          <w:rFonts w:hint="eastAsia"/>
          <w:color w:val="auto"/>
          <w:kern w:val="1"/>
          <w:highlight w:val="none"/>
          <w:lang w:eastAsia="zh-CN"/>
        </w:rPr>
        <w:t>1.</w:t>
      </w:r>
      <w:r>
        <w:rPr>
          <w:color w:val="auto"/>
          <w:kern w:val="1"/>
          <w:highlight w:val="none"/>
        </w:rPr>
        <w:t>一旦我方中标，我方将严格依照招标文件中的相关规定与采购人签订合同。</w:t>
      </w:r>
    </w:p>
    <w:p w14:paraId="182B686C">
      <w:pPr>
        <w:spacing w:line="320" w:lineRule="exact"/>
        <w:ind w:left="-34" w:firstLine="420"/>
        <w:rPr>
          <w:color w:val="auto"/>
          <w:kern w:val="1"/>
          <w:highlight w:val="none"/>
        </w:rPr>
      </w:pPr>
      <w:r>
        <w:rPr>
          <w:color w:val="auto"/>
          <w:kern w:val="1"/>
          <w:highlight w:val="none"/>
        </w:rPr>
        <w:t>1</w:t>
      </w:r>
      <w:r>
        <w:rPr>
          <w:rFonts w:hint="eastAsia"/>
          <w:color w:val="auto"/>
          <w:kern w:val="1"/>
          <w:highlight w:val="none"/>
          <w:lang w:eastAsia="zh-CN"/>
        </w:rPr>
        <w:t>2.</w:t>
      </w:r>
      <w:r>
        <w:rPr>
          <w:color w:val="auto"/>
          <w:kern w:val="1"/>
          <w:highlight w:val="none"/>
        </w:rPr>
        <w:t>不低于企业成本价投标，不恶意过高报价，不扰乱招投标的正常秩序。</w:t>
      </w:r>
    </w:p>
    <w:p w14:paraId="623262E4">
      <w:pPr>
        <w:spacing w:line="320" w:lineRule="exact"/>
        <w:ind w:left="-34" w:firstLine="420"/>
        <w:rPr>
          <w:color w:val="auto"/>
          <w:kern w:val="1"/>
          <w:highlight w:val="none"/>
        </w:rPr>
      </w:pPr>
      <w:r>
        <w:rPr>
          <w:color w:val="auto"/>
          <w:kern w:val="1"/>
          <w:highlight w:val="none"/>
        </w:rPr>
        <w:t>1</w:t>
      </w:r>
      <w:r>
        <w:rPr>
          <w:rFonts w:hint="eastAsia"/>
          <w:color w:val="auto"/>
          <w:kern w:val="1"/>
          <w:highlight w:val="none"/>
          <w:lang w:eastAsia="zh-CN"/>
        </w:rPr>
        <w:t>3.</w:t>
      </w:r>
      <w:r>
        <w:rPr>
          <w:color w:val="auto"/>
          <w:kern w:val="1"/>
          <w:highlight w:val="none"/>
        </w:rPr>
        <w:t>严格遵守开标会议纪律，不在开标会场吵闹、滋事，服从工作人员指挥。</w:t>
      </w:r>
    </w:p>
    <w:p w14:paraId="2449D452">
      <w:pPr>
        <w:spacing w:line="320" w:lineRule="exact"/>
        <w:ind w:firstLine="420"/>
        <w:rPr>
          <w:color w:val="auto"/>
          <w:kern w:val="1"/>
          <w:highlight w:val="none"/>
        </w:rPr>
      </w:pPr>
      <w:r>
        <w:rPr>
          <w:color w:val="auto"/>
          <w:kern w:val="1"/>
          <w:highlight w:val="none"/>
        </w:rPr>
        <w:t>1</w:t>
      </w:r>
      <w:r>
        <w:rPr>
          <w:rFonts w:hint="eastAsia"/>
          <w:color w:val="auto"/>
          <w:kern w:val="1"/>
          <w:highlight w:val="none"/>
          <w:lang w:eastAsia="zh-CN"/>
        </w:rPr>
        <w:t>4.</w:t>
      </w:r>
      <w:r>
        <w:rPr>
          <w:color w:val="auto"/>
          <w:kern w:val="1"/>
          <w:highlight w:val="none"/>
        </w:rPr>
        <w:t>按照法律法规和本项目招标文件规定的程序和方式进行异议和投诉，不越级投诉，不无理投诉。如捏造事实、伪造材料或者以非法手段取得材料进行投诉，给他人造成损失的，依法承担赔偿责任。</w:t>
      </w:r>
    </w:p>
    <w:p w14:paraId="52009363">
      <w:pPr>
        <w:spacing w:line="320" w:lineRule="exact"/>
        <w:ind w:firstLine="420"/>
        <w:rPr>
          <w:color w:val="auto"/>
          <w:kern w:val="1"/>
          <w:highlight w:val="none"/>
        </w:rPr>
      </w:pPr>
      <w:r>
        <w:rPr>
          <w:color w:val="auto"/>
          <w:kern w:val="1"/>
          <w:highlight w:val="none"/>
        </w:rPr>
        <w:t>上述承诺事项已认真逐项核对，均表达我单位真实意见，愿承担任何责任。若有任何弄虚作假内容或未遵守上述约定的，经查实后，愿意放弃投标及中标资格，如由于我单位被判失去中标权而给采购人造成报价的差额损失的，同意对差额损失予以赔偿。如我单位违反上述承诺事项，无条件接受政府采购监督部门作出的任何管理和处理决定，并自愿承担一切不利的后果。</w:t>
      </w:r>
    </w:p>
    <w:p w14:paraId="0207DE6E">
      <w:pPr>
        <w:spacing w:line="320" w:lineRule="exact"/>
        <w:rPr>
          <w:color w:val="auto"/>
          <w:kern w:val="1"/>
          <w:highlight w:val="none"/>
        </w:rPr>
      </w:pPr>
      <w:r>
        <w:rPr>
          <w:color w:val="auto"/>
          <w:kern w:val="1"/>
          <w:highlight w:val="none"/>
        </w:rPr>
        <w:t xml:space="preserve"> </w:t>
      </w:r>
    </w:p>
    <w:p w14:paraId="14D2017D">
      <w:pPr>
        <w:adjustRightInd w:val="0"/>
        <w:spacing w:line="360" w:lineRule="auto"/>
        <w:ind w:right="880" w:firstLine="440" w:firstLineChars="200"/>
        <w:jc w:val="left"/>
        <w:rPr>
          <w:color w:val="auto"/>
          <w:sz w:val="22"/>
          <w:szCs w:val="22"/>
          <w:highlight w:val="none"/>
          <w:u w:val="single"/>
        </w:rPr>
      </w:pPr>
      <w:r>
        <w:rPr>
          <w:color w:val="auto"/>
          <w:sz w:val="22"/>
          <w:szCs w:val="22"/>
          <w:highlight w:val="none"/>
        </w:rPr>
        <w:t>投标人名称（</w:t>
      </w:r>
      <w:r>
        <w:rPr>
          <w:rFonts w:hint="eastAsia"/>
          <w:color w:val="auto"/>
          <w:kern w:val="1"/>
          <w:sz w:val="24"/>
          <w:highlight w:val="none"/>
        </w:rPr>
        <w:t>签章</w:t>
      </w:r>
      <w:r>
        <w:rPr>
          <w:color w:val="auto"/>
          <w:sz w:val="22"/>
          <w:szCs w:val="22"/>
          <w:highlight w:val="none"/>
        </w:rPr>
        <w:t>）：</w:t>
      </w:r>
      <w:r>
        <w:rPr>
          <w:color w:val="auto"/>
          <w:sz w:val="22"/>
          <w:szCs w:val="22"/>
          <w:highlight w:val="none"/>
          <w:u w:val="single"/>
        </w:rPr>
        <w:t xml:space="preserve">                  </w:t>
      </w:r>
    </w:p>
    <w:p w14:paraId="53A4175E">
      <w:pPr>
        <w:adjustRightInd w:val="0"/>
        <w:spacing w:line="360" w:lineRule="auto"/>
        <w:jc w:val="left"/>
        <w:rPr>
          <w:color w:val="auto"/>
          <w:sz w:val="22"/>
          <w:szCs w:val="22"/>
          <w:highlight w:val="none"/>
        </w:rPr>
      </w:pPr>
    </w:p>
    <w:p w14:paraId="6E4D8BF2">
      <w:pPr>
        <w:adjustRightInd w:val="0"/>
        <w:spacing w:line="360" w:lineRule="auto"/>
        <w:ind w:right="420" w:firstLine="440" w:firstLineChars="200"/>
        <w:jc w:val="left"/>
        <w:rPr>
          <w:color w:val="auto"/>
          <w:sz w:val="22"/>
          <w:szCs w:val="22"/>
          <w:highlight w:val="none"/>
          <w:u w:val="single"/>
        </w:rPr>
      </w:pPr>
      <w:r>
        <w:rPr>
          <w:color w:val="auto"/>
          <w:sz w:val="22"/>
          <w:szCs w:val="22"/>
          <w:highlight w:val="none"/>
        </w:rPr>
        <w:t>日  期：</w:t>
      </w:r>
      <w:r>
        <w:rPr>
          <w:color w:val="auto"/>
          <w:sz w:val="22"/>
          <w:szCs w:val="22"/>
          <w:highlight w:val="none"/>
          <w:u w:val="single"/>
        </w:rPr>
        <w:t xml:space="preserve">                   </w:t>
      </w:r>
    </w:p>
    <w:p w14:paraId="3158AB7B">
      <w:pPr>
        <w:spacing w:line="320" w:lineRule="exact"/>
        <w:rPr>
          <w:color w:val="auto"/>
          <w:kern w:val="1"/>
          <w:highlight w:val="none"/>
        </w:rPr>
      </w:pPr>
    </w:p>
    <w:p w14:paraId="4863742F">
      <w:pPr>
        <w:pStyle w:val="17"/>
        <w:rPr>
          <w:color w:val="auto"/>
          <w:highlight w:val="none"/>
        </w:rPr>
      </w:pPr>
    </w:p>
    <w:p w14:paraId="1029CBE5">
      <w:pPr>
        <w:rPr>
          <w:color w:val="auto"/>
          <w:kern w:val="1"/>
          <w:highlight w:val="none"/>
        </w:rPr>
      </w:pPr>
    </w:p>
    <w:p w14:paraId="0802C2EF">
      <w:pPr>
        <w:rPr>
          <w:b/>
          <w:color w:val="auto"/>
          <w:kern w:val="1"/>
          <w:sz w:val="36"/>
          <w:highlight w:val="none"/>
        </w:rPr>
      </w:pPr>
      <w:r>
        <w:rPr>
          <w:b/>
          <w:color w:val="auto"/>
          <w:kern w:val="1"/>
          <w:sz w:val="36"/>
          <w:highlight w:val="none"/>
        </w:rPr>
        <w:br w:type="page"/>
      </w:r>
    </w:p>
    <w:p w14:paraId="6724D7D8">
      <w:pPr>
        <w:spacing w:line="360" w:lineRule="auto"/>
        <w:jc w:val="center"/>
        <w:rPr>
          <w:b/>
          <w:color w:val="auto"/>
          <w:kern w:val="1"/>
          <w:sz w:val="36"/>
          <w:highlight w:val="none"/>
        </w:rPr>
      </w:pPr>
      <w:r>
        <w:rPr>
          <w:b/>
          <w:color w:val="auto"/>
          <w:kern w:val="1"/>
          <w:sz w:val="36"/>
          <w:highlight w:val="none"/>
        </w:rPr>
        <w:t>投标函（格式）</w:t>
      </w:r>
    </w:p>
    <w:p w14:paraId="1815EB47">
      <w:pPr>
        <w:pStyle w:val="49"/>
        <w:widowControl w:val="0"/>
        <w:spacing w:before="0" w:beforeAutospacing="0" w:after="0" w:afterAutospacing="0" w:line="360" w:lineRule="auto"/>
        <w:jc w:val="both"/>
        <w:rPr>
          <w:rFonts w:hint="eastAsia" w:cs="宋体"/>
          <w:color w:val="auto"/>
          <w:kern w:val="1"/>
          <w:sz w:val="22"/>
          <w:szCs w:val="22"/>
          <w:highlight w:val="none"/>
        </w:rPr>
      </w:pPr>
      <w:r>
        <w:rPr>
          <w:rFonts w:hint="eastAsia" w:cs="宋体"/>
          <w:color w:val="auto"/>
          <w:kern w:val="1"/>
          <w:sz w:val="22"/>
          <w:szCs w:val="22"/>
          <w:highlight w:val="none"/>
        </w:rPr>
        <w:t>致：</w:t>
      </w:r>
      <w:r>
        <w:rPr>
          <w:rFonts w:hint="eastAsia" w:cs="宋体"/>
          <w:color w:val="auto"/>
          <w:kern w:val="1"/>
          <w:sz w:val="22"/>
          <w:szCs w:val="22"/>
          <w:highlight w:val="none"/>
          <w:u w:val="single"/>
        </w:rPr>
        <w:t xml:space="preserve">                  </w:t>
      </w:r>
    </w:p>
    <w:p w14:paraId="53629BFC">
      <w:pPr>
        <w:pStyle w:val="49"/>
        <w:widowControl w:val="0"/>
        <w:spacing w:before="0" w:beforeAutospacing="0" w:after="0" w:afterAutospacing="0" w:line="360" w:lineRule="auto"/>
        <w:jc w:val="both"/>
        <w:rPr>
          <w:rFonts w:hint="eastAsia" w:cs="宋体"/>
          <w:color w:val="auto"/>
          <w:kern w:val="1"/>
          <w:sz w:val="22"/>
          <w:szCs w:val="22"/>
          <w:highlight w:val="none"/>
        </w:rPr>
      </w:pPr>
      <w:r>
        <w:rPr>
          <w:rFonts w:hint="eastAsia" w:cs="宋体"/>
          <w:color w:val="auto"/>
          <w:kern w:val="1"/>
          <w:sz w:val="22"/>
          <w:szCs w:val="22"/>
          <w:highlight w:val="none"/>
        </w:rPr>
        <w:t xml:space="preserve">     _________________________（供应商全称）授权_________________（全名、职务）为全权代表参加贵方组织的_________________________</w:t>
      </w:r>
      <w:r>
        <w:rPr>
          <w:rFonts w:hint="eastAsia" w:cs="宋体"/>
          <w:color w:val="auto"/>
          <w:kern w:val="1"/>
          <w:sz w:val="22"/>
          <w:szCs w:val="22"/>
          <w:highlight w:val="none"/>
          <w:u w:val="single"/>
        </w:rPr>
        <w:t xml:space="preserve">              </w:t>
      </w:r>
      <w:r>
        <w:rPr>
          <w:rFonts w:hint="eastAsia" w:cs="宋体"/>
          <w:color w:val="auto"/>
          <w:kern w:val="1"/>
          <w:sz w:val="22"/>
          <w:szCs w:val="22"/>
          <w:highlight w:val="none"/>
        </w:rPr>
        <w:t>项目（招标项目名称、招标编号）的招标、响应询标等有关活动，为此提交下述文件：</w:t>
      </w:r>
    </w:p>
    <w:p w14:paraId="4B4A8372">
      <w:pPr>
        <w:spacing w:line="360" w:lineRule="auto"/>
        <w:ind w:firstLine="480"/>
        <w:rPr>
          <w:rFonts w:hint="eastAsia" w:ascii="宋体" w:hAnsi="宋体" w:cs="宋体"/>
          <w:color w:val="auto"/>
          <w:kern w:val="1"/>
          <w:sz w:val="22"/>
          <w:szCs w:val="22"/>
          <w:highlight w:val="none"/>
        </w:rPr>
      </w:pPr>
      <w:r>
        <w:rPr>
          <w:rFonts w:hint="eastAsia" w:ascii="宋体" w:hAnsi="宋体" w:cs="宋体"/>
          <w:color w:val="auto"/>
          <w:kern w:val="1"/>
          <w:sz w:val="22"/>
          <w:szCs w:val="22"/>
          <w:highlight w:val="none"/>
          <w:lang w:eastAsia="zh-CN"/>
        </w:rPr>
        <w:t>1.</w:t>
      </w:r>
      <w:r>
        <w:rPr>
          <w:rFonts w:hint="eastAsia" w:ascii="宋体" w:hAnsi="宋体" w:cs="宋体"/>
          <w:color w:val="auto"/>
          <w:kern w:val="1"/>
          <w:sz w:val="22"/>
          <w:szCs w:val="22"/>
          <w:highlight w:val="none"/>
        </w:rPr>
        <w:t>电子投标文件一份；</w:t>
      </w:r>
    </w:p>
    <w:p w14:paraId="54BDBE80">
      <w:pPr>
        <w:spacing w:line="360" w:lineRule="auto"/>
        <w:ind w:firstLine="480"/>
        <w:rPr>
          <w:rFonts w:hint="eastAsia" w:ascii="宋体" w:hAnsi="宋体" w:cs="宋体"/>
          <w:color w:val="auto"/>
          <w:kern w:val="1"/>
          <w:sz w:val="22"/>
          <w:szCs w:val="22"/>
          <w:highlight w:val="none"/>
        </w:rPr>
      </w:pPr>
      <w:r>
        <w:rPr>
          <w:rFonts w:hint="eastAsia" w:ascii="宋体" w:hAnsi="宋体" w:cs="宋体"/>
          <w:color w:val="auto"/>
          <w:kern w:val="1"/>
          <w:sz w:val="22"/>
          <w:szCs w:val="22"/>
          <w:highlight w:val="none"/>
          <w:lang w:eastAsia="zh-CN"/>
        </w:rPr>
        <w:t>2.</w:t>
      </w:r>
      <w:r>
        <w:rPr>
          <w:rFonts w:hint="eastAsia" w:ascii="宋体" w:hAnsi="宋体" w:cs="宋体"/>
          <w:color w:val="auto"/>
          <w:kern w:val="1"/>
          <w:sz w:val="22"/>
          <w:szCs w:val="22"/>
          <w:highlight w:val="none"/>
        </w:rPr>
        <w:t>其他：</w:t>
      </w:r>
    </w:p>
    <w:p w14:paraId="6BF929A5">
      <w:pPr>
        <w:spacing w:line="360" w:lineRule="auto"/>
        <w:ind w:firstLine="480"/>
        <w:rPr>
          <w:rFonts w:hint="eastAsia" w:ascii="宋体" w:hAnsi="宋体" w:cs="宋体"/>
          <w:color w:val="auto"/>
          <w:kern w:val="1"/>
          <w:sz w:val="22"/>
          <w:szCs w:val="22"/>
          <w:highlight w:val="none"/>
        </w:rPr>
      </w:pPr>
      <w:r>
        <w:rPr>
          <w:rFonts w:hint="eastAsia" w:ascii="宋体" w:hAnsi="宋体" w:cs="宋体"/>
          <w:color w:val="auto"/>
          <w:kern w:val="1"/>
          <w:sz w:val="22"/>
          <w:szCs w:val="22"/>
          <w:highlight w:val="none"/>
          <w:lang w:eastAsia="zh-CN"/>
        </w:rPr>
        <w:t>3.</w:t>
      </w:r>
      <w:r>
        <w:rPr>
          <w:rFonts w:hint="eastAsia" w:ascii="宋体" w:hAnsi="宋体" w:cs="宋体"/>
          <w:color w:val="auto"/>
          <w:kern w:val="1"/>
          <w:sz w:val="22"/>
          <w:szCs w:val="22"/>
          <w:highlight w:val="none"/>
        </w:rPr>
        <w:t>据此函，宣布同意如下：</w:t>
      </w:r>
    </w:p>
    <w:p w14:paraId="3CA47F8C">
      <w:pPr>
        <w:keepNext w:val="0"/>
        <w:keepLines w:val="0"/>
        <w:pageBreakBefore w:val="0"/>
        <w:widowControl w:val="0"/>
        <w:kinsoku w:val="0"/>
        <w:wordWrap/>
        <w:overflowPunct w:val="0"/>
        <w:topLinePunct w:val="0"/>
        <w:autoSpaceDE w:val="0"/>
        <w:autoSpaceDN w:val="0"/>
        <w:bidi w:val="0"/>
        <w:adjustRightInd/>
        <w:snapToGrid/>
        <w:spacing w:line="360" w:lineRule="auto"/>
        <w:ind w:firstLine="440" w:firstLineChars="200"/>
        <w:textAlignment w:val="auto"/>
        <w:rPr>
          <w:rFonts w:hint="eastAsia" w:ascii="宋体" w:hAnsi="宋体" w:cs="宋体"/>
          <w:color w:val="auto"/>
          <w:kern w:val="1"/>
          <w:sz w:val="22"/>
          <w:szCs w:val="22"/>
          <w:highlight w:val="none"/>
        </w:rPr>
      </w:pPr>
      <w:r>
        <w:rPr>
          <w:rFonts w:hint="eastAsia" w:ascii="宋体" w:hAnsi="宋体" w:cs="宋体"/>
          <w:color w:val="auto"/>
          <w:kern w:val="1"/>
          <w:sz w:val="22"/>
          <w:szCs w:val="22"/>
          <w:highlight w:val="none"/>
        </w:rPr>
        <w:t>1）</w:t>
      </w:r>
      <w:r>
        <w:rPr>
          <w:rFonts w:hint="eastAsia" w:ascii="宋体" w:hAnsi="宋体" w:cs="宋体"/>
          <w:color w:val="auto"/>
          <w:spacing w:val="12"/>
          <w:sz w:val="22"/>
          <w:szCs w:val="22"/>
          <w:highlight w:val="none"/>
        </w:rPr>
        <w:t>所附投标报价表中规定的应提供和支付的服务投标</w:t>
      </w:r>
      <w:r>
        <w:rPr>
          <w:rFonts w:hint="eastAsia" w:ascii="宋体" w:hAnsi="宋体" w:cs="宋体"/>
          <w:color w:val="auto"/>
          <w:spacing w:val="12"/>
          <w:sz w:val="22"/>
          <w:szCs w:val="22"/>
          <w:highlight w:val="none"/>
          <w:lang w:val="en-US" w:eastAsia="zh-CN"/>
        </w:rPr>
        <w:t>单</w:t>
      </w:r>
      <w:r>
        <w:rPr>
          <w:rFonts w:hint="eastAsia" w:ascii="宋体" w:hAnsi="宋体" w:cs="宋体"/>
          <w:color w:val="auto"/>
          <w:spacing w:val="12"/>
          <w:sz w:val="22"/>
          <w:szCs w:val="22"/>
          <w:highlight w:val="none"/>
        </w:rPr>
        <w:t>价为（人民币</w:t>
      </w:r>
      <w:r>
        <w:rPr>
          <w:rFonts w:hint="eastAsia" w:ascii="宋体" w:hAnsi="宋体" w:cs="宋体"/>
          <w:color w:val="auto"/>
          <w:spacing w:val="12"/>
          <w:sz w:val="22"/>
          <w:szCs w:val="22"/>
          <w:highlight w:val="none"/>
          <w:u w:val="single"/>
          <w:lang w:val="en-US" w:eastAsia="zh-CN"/>
        </w:rPr>
        <w:t xml:space="preserve">     元/件</w:t>
      </w:r>
      <w:r>
        <w:rPr>
          <w:rFonts w:hint="eastAsia" w:ascii="宋体" w:hAnsi="宋体" w:cs="宋体"/>
          <w:color w:val="auto"/>
          <w:spacing w:val="12"/>
          <w:sz w:val="22"/>
          <w:szCs w:val="22"/>
          <w:highlight w:val="none"/>
          <w:u w:val="single"/>
        </w:rPr>
        <w:t xml:space="preserve"> </w:t>
      </w:r>
      <w:r>
        <w:rPr>
          <w:rFonts w:hint="eastAsia" w:ascii="宋体" w:hAnsi="宋体" w:cs="宋体"/>
          <w:color w:val="auto"/>
          <w:spacing w:val="12"/>
          <w:sz w:val="22"/>
          <w:szCs w:val="22"/>
          <w:highlight w:val="none"/>
        </w:rPr>
        <w:t>）</w:t>
      </w:r>
      <w:r>
        <w:rPr>
          <w:rFonts w:hint="eastAsia" w:ascii="宋体" w:hAnsi="宋体" w:cs="宋体"/>
          <w:color w:val="auto"/>
          <w:sz w:val="22"/>
          <w:szCs w:val="22"/>
          <w:highlight w:val="none"/>
        </w:rPr>
        <w:t>，即</w:t>
      </w:r>
      <w:r>
        <w:rPr>
          <w:rFonts w:hint="eastAsia" w:ascii="宋体" w:hAnsi="宋体" w:cs="宋体"/>
          <w:color w:val="auto"/>
          <w:sz w:val="22"/>
          <w:szCs w:val="22"/>
          <w:highlight w:val="none"/>
          <w:lang w:val="en-US" w:eastAsia="zh-CN"/>
        </w:rPr>
        <w:t>人民币</w:t>
      </w:r>
      <w:r>
        <w:rPr>
          <w:rFonts w:hint="eastAsia" w:ascii="宋体" w:hAnsi="宋体" w:cs="宋体"/>
          <w:color w:val="auto"/>
          <w:sz w:val="22"/>
          <w:szCs w:val="22"/>
          <w:highlight w:val="none"/>
          <w:u w:val="single"/>
          <w:lang w:val="en-US" w:eastAsia="zh-CN"/>
        </w:rPr>
        <w:t xml:space="preserve">          元/件</w:t>
      </w:r>
      <w:r>
        <w:rPr>
          <w:rFonts w:hint="eastAsia" w:ascii="宋体" w:hAnsi="宋体" w:cs="宋体"/>
          <w:color w:val="auto"/>
          <w:sz w:val="22"/>
          <w:szCs w:val="22"/>
          <w:highlight w:val="none"/>
          <w:u w:val="none"/>
        </w:rPr>
        <w:t>（</w:t>
      </w:r>
      <w:r>
        <w:rPr>
          <w:rFonts w:hint="eastAsia" w:ascii="宋体" w:hAnsi="宋体" w:cs="宋体"/>
          <w:color w:val="auto"/>
          <w:sz w:val="22"/>
          <w:szCs w:val="22"/>
          <w:highlight w:val="none"/>
        </w:rPr>
        <w:t>大写）。（企业成本价为</w:t>
      </w:r>
      <w:r>
        <w:rPr>
          <w:rFonts w:hint="eastAsia" w:ascii="宋体" w:hAnsi="宋体" w:cs="宋体"/>
          <w:color w:val="auto"/>
          <w:sz w:val="22"/>
          <w:szCs w:val="22"/>
          <w:highlight w:val="none"/>
          <w:u w:val="single"/>
        </w:rPr>
        <w:t xml:space="preserve">          元</w:t>
      </w:r>
      <w:r>
        <w:rPr>
          <w:rFonts w:hint="eastAsia" w:ascii="宋体" w:hAnsi="宋体" w:cs="宋体"/>
          <w:color w:val="auto"/>
          <w:sz w:val="22"/>
          <w:szCs w:val="22"/>
          <w:highlight w:val="none"/>
          <w:u w:val="single"/>
          <w:lang w:val="en-US" w:eastAsia="zh-CN"/>
        </w:rPr>
        <w:t>/件</w:t>
      </w:r>
      <w:r>
        <w:rPr>
          <w:rFonts w:hint="eastAsia" w:ascii="宋体" w:hAnsi="宋体" w:cs="宋体"/>
          <w:color w:val="auto"/>
          <w:sz w:val="22"/>
          <w:szCs w:val="22"/>
          <w:highlight w:val="none"/>
        </w:rPr>
        <w:t>）</w:t>
      </w:r>
      <w:r>
        <w:rPr>
          <w:rFonts w:hint="eastAsia" w:ascii="宋体" w:hAnsi="宋体" w:cs="宋体"/>
          <w:color w:val="auto"/>
          <w:kern w:val="1"/>
          <w:sz w:val="22"/>
          <w:szCs w:val="22"/>
          <w:highlight w:val="none"/>
        </w:rPr>
        <w:t>。</w:t>
      </w:r>
    </w:p>
    <w:p w14:paraId="740016BF">
      <w:pPr>
        <w:spacing w:line="360" w:lineRule="auto"/>
        <w:ind w:firstLine="480"/>
        <w:rPr>
          <w:rFonts w:hint="eastAsia" w:ascii="宋体" w:hAnsi="宋体" w:cs="宋体"/>
          <w:color w:val="auto"/>
          <w:kern w:val="1"/>
          <w:sz w:val="22"/>
          <w:szCs w:val="22"/>
          <w:highlight w:val="none"/>
        </w:rPr>
      </w:pPr>
      <w:r>
        <w:rPr>
          <w:rFonts w:hint="eastAsia" w:ascii="宋体" w:hAnsi="宋体" w:cs="宋体"/>
          <w:color w:val="auto"/>
          <w:kern w:val="1"/>
          <w:sz w:val="22"/>
          <w:szCs w:val="22"/>
          <w:highlight w:val="none"/>
        </w:rPr>
        <w:t>2）供应商已详细审查全部招标文件，我们完全理解并同意放弃对这方面有不明及误解的权利。</w:t>
      </w:r>
    </w:p>
    <w:p w14:paraId="3928E26D">
      <w:pPr>
        <w:spacing w:line="360" w:lineRule="auto"/>
        <w:ind w:firstLine="480"/>
        <w:rPr>
          <w:rFonts w:hint="eastAsia" w:ascii="宋体" w:hAnsi="宋体" w:cs="宋体"/>
          <w:color w:val="auto"/>
          <w:kern w:val="1"/>
          <w:sz w:val="22"/>
          <w:szCs w:val="22"/>
          <w:highlight w:val="none"/>
        </w:rPr>
      </w:pPr>
      <w:r>
        <w:rPr>
          <w:rFonts w:hint="eastAsia" w:ascii="宋体" w:hAnsi="宋体" w:cs="宋体"/>
          <w:color w:val="auto"/>
          <w:kern w:val="1"/>
          <w:sz w:val="22"/>
          <w:szCs w:val="22"/>
          <w:highlight w:val="none"/>
        </w:rPr>
        <w:t>3）供应商将按招标文件规定履行合同责任和义务。</w:t>
      </w:r>
    </w:p>
    <w:p w14:paraId="4C846B6B">
      <w:pPr>
        <w:spacing w:line="360" w:lineRule="auto"/>
        <w:ind w:firstLine="480"/>
        <w:rPr>
          <w:rFonts w:hint="eastAsia" w:ascii="宋体" w:hAnsi="宋体" w:cs="宋体"/>
          <w:color w:val="auto"/>
          <w:kern w:val="1"/>
          <w:sz w:val="22"/>
          <w:szCs w:val="22"/>
          <w:highlight w:val="none"/>
        </w:rPr>
      </w:pPr>
      <w:r>
        <w:rPr>
          <w:rFonts w:hint="eastAsia" w:ascii="宋体" w:hAnsi="宋体" w:cs="宋体"/>
          <w:color w:val="auto"/>
          <w:kern w:val="1"/>
          <w:sz w:val="22"/>
          <w:szCs w:val="22"/>
          <w:highlight w:val="none"/>
        </w:rPr>
        <w:t>4）其投标自开标之日起有效期</w:t>
      </w:r>
      <w:r>
        <w:rPr>
          <w:rFonts w:hint="eastAsia" w:ascii="宋体" w:hAnsi="宋体" w:cs="宋体"/>
          <w:color w:val="auto"/>
          <w:kern w:val="1"/>
          <w:sz w:val="22"/>
          <w:szCs w:val="22"/>
          <w:highlight w:val="none"/>
          <w:u w:val="single"/>
        </w:rPr>
        <w:t>60</w:t>
      </w:r>
      <w:r>
        <w:rPr>
          <w:rFonts w:hint="eastAsia" w:ascii="宋体" w:hAnsi="宋体" w:cs="宋体"/>
          <w:color w:val="auto"/>
          <w:kern w:val="1"/>
          <w:sz w:val="22"/>
          <w:szCs w:val="22"/>
          <w:highlight w:val="none"/>
        </w:rPr>
        <w:t>个日历天。</w:t>
      </w:r>
    </w:p>
    <w:p w14:paraId="20A78B43">
      <w:pPr>
        <w:spacing w:line="360" w:lineRule="auto"/>
        <w:ind w:firstLine="480"/>
        <w:rPr>
          <w:rFonts w:hint="eastAsia" w:ascii="宋体" w:hAnsi="宋体" w:cs="宋体"/>
          <w:color w:val="auto"/>
          <w:kern w:val="1"/>
          <w:sz w:val="22"/>
          <w:szCs w:val="22"/>
          <w:highlight w:val="none"/>
        </w:rPr>
      </w:pPr>
      <w:r>
        <w:rPr>
          <w:rFonts w:hint="eastAsia" w:ascii="宋体" w:hAnsi="宋体" w:cs="宋体"/>
          <w:color w:val="auto"/>
          <w:kern w:val="1"/>
          <w:sz w:val="22"/>
          <w:szCs w:val="22"/>
          <w:highlight w:val="none"/>
        </w:rPr>
        <w:t>5）供应商同意提供按照贵方可能要求的与其投标有关的一切数据或资料，理解贵方不一定要接受最低价的投标或收到的任何投标。</w:t>
      </w:r>
    </w:p>
    <w:p w14:paraId="0D24D68E">
      <w:pPr>
        <w:spacing w:line="360" w:lineRule="auto"/>
        <w:ind w:firstLine="480"/>
        <w:rPr>
          <w:rFonts w:hint="eastAsia" w:ascii="宋体" w:hAnsi="宋体" w:cs="宋体"/>
          <w:color w:val="auto"/>
          <w:kern w:val="1"/>
          <w:sz w:val="22"/>
          <w:szCs w:val="22"/>
          <w:highlight w:val="none"/>
        </w:rPr>
      </w:pPr>
      <w:r>
        <w:rPr>
          <w:rFonts w:hint="eastAsia" w:ascii="宋体" w:hAnsi="宋体" w:cs="宋体"/>
          <w:color w:val="auto"/>
          <w:kern w:val="1"/>
          <w:sz w:val="22"/>
          <w:szCs w:val="22"/>
          <w:highlight w:val="none"/>
        </w:rPr>
        <w:t>6）投标文件中未明确的事项，一律按招标文件规定执行。</w:t>
      </w:r>
    </w:p>
    <w:p w14:paraId="64EB02DE">
      <w:pPr>
        <w:spacing w:line="360" w:lineRule="auto"/>
        <w:ind w:firstLine="480"/>
        <w:rPr>
          <w:rFonts w:hint="eastAsia" w:ascii="宋体" w:hAnsi="宋体" w:cs="宋体"/>
          <w:color w:val="auto"/>
          <w:kern w:val="1"/>
          <w:sz w:val="22"/>
          <w:szCs w:val="22"/>
          <w:highlight w:val="none"/>
        </w:rPr>
      </w:pPr>
      <w:r>
        <w:rPr>
          <w:rFonts w:hint="eastAsia" w:ascii="宋体" w:hAnsi="宋体" w:cs="宋体"/>
          <w:color w:val="auto"/>
          <w:kern w:val="1"/>
          <w:sz w:val="22"/>
          <w:szCs w:val="22"/>
          <w:highlight w:val="none"/>
        </w:rPr>
        <w:t>7）与本投标有关的一切正式往来通讯请寄：</w:t>
      </w:r>
    </w:p>
    <w:p w14:paraId="1D4519C1">
      <w:pPr>
        <w:spacing w:line="360" w:lineRule="auto"/>
        <w:rPr>
          <w:rFonts w:hint="eastAsia" w:ascii="宋体" w:hAnsi="宋体" w:cs="宋体"/>
          <w:color w:val="auto"/>
          <w:kern w:val="1"/>
          <w:sz w:val="22"/>
          <w:szCs w:val="22"/>
          <w:highlight w:val="none"/>
        </w:rPr>
      </w:pPr>
      <w:r>
        <w:rPr>
          <w:rFonts w:hint="eastAsia" w:ascii="宋体" w:hAnsi="宋体" w:cs="宋体"/>
          <w:color w:val="auto"/>
          <w:kern w:val="1"/>
          <w:sz w:val="22"/>
          <w:szCs w:val="22"/>
          <w:highlight w:val="none"/>
        </w:rPr>
        <w:t>地址：______________________</w:t>
      </w:r>
      <w:r>
        <w:rPr>
          <w:rFonts w:hint="eastAsia" w:ascii="宋体" w:hAnsi="宋体" w:cs="宋体"/>
          <w:color w:val="auto"/>
          <w:kern w:val="1"/>
          <w:sz w:val="22"/>
          <w:szCs w:val="22"/>
          <w:highlight w:val="none"/>
          <w:u w:val="single"/>
        </w:rPr>
        <w:t xml:space="preserve">      </w:t>
      </w:r>
      <w:r>
        <w:rPr>
          <w:rFonts w:hint="eastAsia" w:ascii="宋体" w:hAnsi="宋体" w:cs="宋体"/>
          <w:color w:val="auto"/>
          <w:kern w:val="1"/>
          <w:sz w:val="22"/>
          <w:szCs w:val="22"/>
          <w:highlight w:val="none"/>
        </w:rPr>
        <w:t xml:space="preserve">       邮编：______________________  </w:t>
      </w:r>
    </w:p>
    <w:p w14:paraId="06D1817F">
      <w:pPr>
        <w:spacing w:line="360" w:lineRule="auto"/>
        <w:rPr>
          <w:rFonts w:hint="eastAsia" w:ascii="宋体" w:hAnsi="宋体" w:cs="宋体"/>
          <w:color w:val="auto"/>
          <w:kern w:val="1"/>
          <w:sz w:val="22"/>
          <w:szCs w:val="22"/>
          <w:highlight w:val="none"/>
        </w:rPr>
      </w:pPr>
      <w:r>
        <w:rPr>
          <w:rFonts w:hint="eastAsia" w:ascii="宋体" w:hAnsi="宋体" w:cs="宋体"/>
          <w:color w:val="auto"/>
          <w:kern w:val="1"/>
          <w:sz w:val="22"/>
          <w:szCs w:val="22"/>
          <w:highlight w:val="none"/>
        </w:rPr>
        <w:t>电话：______________________</w:t>
      </w:r>
      <w:r>
        <w:rPr>
          <w:rFonts w:hint="eastAsia" w:ascii="宋体" w:hAnsi="宋体" w:cs="宋体"/>
          <w:color w:val="auto"/>
          <w:kern w:val="1"/>
          <w:sz w:val="22"/>
          <w:szCs w:val="22"/>
          <w:highlight w:val="none"/>
          <w:u w:val="single"/>
        </w:rPr>
        <w:t xml:space="preserve">   </w:t>
      </w:r>
      <w:r>
        <w:rPr>
          <w:rFonts w:hint="eastAsia" w:ascii="宋体" w:hAnsi="宋体" w:cs="宋体"/>
          <w:color w:val="auto"/>
          <w:kern w:val="1"/>
          <w:sz w:val="22"/>
          <w:szCs w:val="22"/>
          <w:highlight w:val="none"/>
        </w:rPr>
        <w:t xml:space="preserve">         传真：______________________ </w:t>
      </w:r>
    </w:p>
    <w:p w14:paraId="3F0E698D">
      <w:pPr>
        <w:spacing w:line="360" w:lineRule="auto"/>
        <w:rPr>
          <w:rFonts w:hint="eastAsia" w:ascii="宋体" w:hAnsi="宋体" w:cs="宋体"/>
          <w:color w:val="auto"/>
          <w:kern w:val="1"/>
          <w:sz w:val="22"/>
          <w:szCs w:val="22"/>
          <w:highlight w:val="none"/>
        </w:rPr>
      </w:pPr>
      <w:r>
        <w:rPr>
          <w:rFonts w:hint="eastAsia" w:ascii="宋体" w:hAnsi="宋体" w:cs="宋体"/>
          <w:color w:val="auto"/>
          <w:kern w:val="1"/>
          <w:sz w:val="22"/>
          <w:szCs w:val="22"/>
          <w:highlight w:val="none"/>
        </w:rPr>
        <w:t>供应商名称：__________________________ （签章）</w:t>
      </w:r>
    </w:p>
    <w:p w14:paraId="469CC835">
      <w:pPr>
        <w:spacing w:line="360" w:lineRule="auto"/>
        <w:rPr>
          <w:rFonts w:hint="eastAsia" w:ascii="宋体" w:hAnsi="宋体" w:cs="宋体"/>
          <w:b/>
          <w:color w:val="auto"/>
          <w:kern w:val="1"/>
          <w:sz w:val="22"/>
          <w:szCs w:val="22"/>
          <w:highlight w:val="none"/>
        </w:rPr>
      </w:pPr>
      <w:r>
        <w:rPr>
          <w:rFonts w:hint="eastAsia" w:ascii="宋体" w:hAnsi="宋体" w:cs="宋体"/>
          <w:color w:val="auto"/>
          <w:kern w:val="1"/>
          <w:sz w:val="22"/>
          <w:szCs w:val="22"/>
          <w:highlight w:val="none"/>
        </w:rPr>
        <w:t>投标日期： _______年____月____日</w:t>
      </w:r>
    </w:p>
    <w:p w14:paraId="037EDF0E">
      <w:pPr>
        <w:jc w:val="center"/>
        <w:rPr>
          <w:b/>
          <w:color w:val="auto"/>
          <w:kern w:val="1"/>
          <w:sz w:val="36"/>
          <w:highlight w:val="none"/>
        </w:rPr>
      </w:pPr>
    </w:p>
    <w:p w14:paraId="15C7DC10">
      <w:pPr>
        <w:jc w:val="center"/>
        <w:rPr>
          <w:b/>
          <w:color w:val="auto"/>
          <w:kern w:val="1"/>
          <w:sz w:val="36"/>
          <w:highlight w:val="none"/>
        </w:rPr>
      </w:pPr>
    </w:p>
    <w:p w14:paraId="3DBADA74">
      <w:pPr>
        <w:jc w:val="center"/>
        <w:rPr>
          <w:b/>
          <w:color w:val="auto"/>
          <w:kern w:val="1"/>
          <w:sz w:val="36"/>
          <w:highlight w:val="none"/>
        </w:rPr>
      </w:pPr>
    </w:p>
    <w:p w14:paraId="4A5C9B51">
      <w:pPr>
        <w:jc w:val="center"/>
        <w:rPr>
          <w:b/>
          <w:color w:val="auto"/>
          <w:kern w:val="1"/>
          <w:sz w:val="36"/>
          <w:highlight w:val="none"/>
        </w:rPr>
      </w:pPr>
    </w:p>
    <w:p w14:paraId="59E80BB9">
      <w:pPr>
        <w:jc w:val="center"/>
        <w:rPr>
          <w:b/>
          <w:color w:val="auto"/>
          <w:kern w:val="1"/>
          <w:sz w:val="36"/>
          <w:highlight w:val="none"/>
        </w:rPr>
      </w:pPr>
    </w:p>
    <w:p w14:paraId="58C91B4C">
      <w:pPr>
        <w:jc w:val="center"/>
        <w:rPr>
          <w:b/>
          <w:color w:val="auto"/>
          <w:kern w:val="1"/>
          <w:sz w:val="36"/>
          <w:highlight w:val="none"/>
        </w:rPr>
      </w:pPr>
    </w:p>
    <w:p w14:paraId="72D821D5">
      <w:pPr>
        <w:pStyle w:val="2"/>
        <w:rPr>
          <w:b/>
          <w:color w:val="auto"/>
          <w:sz w:val="36"/>
          <w:highlight w:val="none"/>
        </w:rPr>
      </w:pPr>
    </w:p>
    <w:p w14:paraId="4E1842A6">
      <w:pPr>
        <w:rPr>
          <w:color w:val="auto"/>
          <w:highlight w:val="none"/>
        </w:rPr>
      </w:pPr>
    </w:p>
    <w:p w14:paraId="6DFEF4C8">
      <w:pPr>
        <w:pStyle w:val="137"/>
        <w:rPr>
          <w:rFonts w:ascii="Times New Roman"/>
          <w:b/>
          <w:color w:val="auto"/>
          <w:kern w:val="1"/>
          <w:sz w:val="36"/>
          <w:highlight w:val="none"/>
        </w:rPr>
      </w:pPr>
    </w:p>
    <w:p w14:paraId="49ADDA25">
      <w:pPr>
        <w:pStyle w:val="137"/>
        <w:rPr>
          <w:rFonts w:ascii="Times New Roman"/>
          <w:b/>
          <w:color w:val="auto"/>
          <w:kern w:val="1"/>
          <w:sz w:val="36"/>
          <w:highlight w:val="none"/>
        </w:rPr>
      </w:pPr>
    </w:p>
    <w:p w14:paraId="704EF065">
      <w:pPr>
        <w:pStyle w:val="28"/>
        <w:spacing w:line="360" w:lineRule="auto"/>
        <w:jc w:val="center"/>
        <w:rPr>
          <w:rFonts w:ascii="Times New Roman" w:hAnsi="Times New Roman"/>
          <w:b/>
          <w:bCs/>
          <w:color w:val="auto"/>
          <w:sz w:val="44"/>
          <w:szCs w:val="44"/>
          <w:highlight w:val="none"/>
        </w:rPr>
      </w:pPr>
      <w:r>
        <w:rPr>
          <w:rFonts w:hint="eastAsia" w:ascii="Times New Roman" w:hAnsi="Times New Roman"/>
          <w:b/>
          <w:bCs/>
          <w:color w:val="auto"/>
          <w:sz w:val="44"/>
          <w:szCs w:val="44"/>
          <w:highlight w:val="none"/>
        </w:rPr>
        <w:t>报价一览表</w:t>
      </w:r>
    </w:p>
    <w:p w14:paraId="5DD61EAA">
      <w:pPr>
        <w:pStyle w:val="28"/>
        <w:spacing w:line="360" w:lineRule="auto"/>
        <w:ind w:firstLine="440" w:firstLineChars="200"/>
        <w:rPr>
          <w:rFonts w:hint="eastAsia" w:cs="宋体"/>
          <w:color w:val="auto"/>
          <w:sz w:val="22"/>
          <w:szCs w:val="22"/>
          <w:highlight w:val="none"/>
        </w:rPr>
      </w:pPr>
      <w:r>
        <w:rPr>
          <w:rFonts w:hint="eastAsia" w:cs="宋体"/>
          <w:color w:val="auto"/>
          <w:sz w:val="22"/>
          <w:szCs w:val="22"/>
          <w:highlight w:val="none"/>
        </w:rPr>
        <w:t>项目名称：</w:t>
      </w:r>
    </w:p>
    <w:p w14:paraId="072821E7">
      <w:pPr>
        <w:pStyle w:val="28"/>
        <w:spacing w:line="360" w:lineRule="auto"/>
        <w:ind w:firstLine="440" w:firstLineChars="200"/>
        <w:rPr>
          <w:rFonts w:hint="eastAsia" w:cs="宋体"/>
          <w:color w:val="auto"/>
          <w:sz w:val="22"/>
          <w:szCs w:val="22"/>
          <w:highlight w:val="none"/>
        </w:rPr>
      </w:pPr>
      <w:r>
        <w:rPr>
          <w:rFonts w:hint="eastAsia" w:cs="宋体"/>
          <w:color w:val="auto"/>
          <w:sz w:val="22"/>
          <w:szCs w:val="22"/>
          <w:highlight w:val="none"/>
        </w:rPr>
        <w:t>项目编号：</w:t>
      </w:r>
    </w:p>
    <w:tbl>
      <w:tblPr>
        <w:tblStyle w:val="53"/>
        <w:tblW w:w="52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
        <w:gridCol w:w="3232"/>
        <w:gridCol w:w="3076"/>
        <w:gridCol w:w="2601"/>
      </w:tblGrid>
      <w:tr w14:paraId="68EC0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jc w:val="center"/>
        </w:trPr>
        <w:tc>
          <w:tcPr>
            <w:tcW w:w="489" w:type="pct"/>
            <w:noWrap w:val="0"/>
            <w:vAlign w:val="center"/>
          </w:tcPr>
          <w:p w14:paraId="16FD1E2A">
            <w:pPr>
              <w:spacing w:line="360" w:lineRule="exact"/>
              <w:jc w:val="center"/>
              <w:rPr>
                <w:rFonts w:hint="eastAsia" w:ascii="宋体" w:hAnsi="宋体" w:eastAsia="宋体" w:cs="宋体"/>
                <w:b/>
                <w:color w:val="auto"/>
                <w:sz w:val="24"/>
                <w:szCs w:val="21"/>
                <w:highlight w:val="none"/>
              </w:rPr>
            </w:pPr>
            <w:r>
              <w:rPr>
                <w:rFonts w:hint="eastAsia" w:ascii="宋体" w:hAnsi="宋体" w:eastAsia="宋体" w:cs="宋体"/>
                <w:b/>
                <w:color w:val="auto"/>
                <w:sz w:val="24"/>
                <w:szCs w:val="21"/>
                <w:highlight w:val="none"/>
              </w:rPr>
              <w:t>序号</w:t>
            </w:r>
          </w:p>
        </w:tc>
        <w:tc>
          <w:tcPr>
            <w:tcW w:w="1636" w:type="pct"/>
            <w:noWrap w:val="0"/>
            <w:vAlign w:val="center"/>
          </w:tcPr>
          <w:p w14:paraId="72136159">
            <w:pPr>
              <w:spacing w:line="360" w:lineRule="exact"/>
              <w:jc w:val="center"/>
              <w:rPr>
                <w:rFonts w:hint="eastAsia" w:ascii="宋体" w:hAnsi="宋体" w:eastAsia="宋体" w:cs="宋体"/>
                <w:b/>
                <w:color w:val="auto"/>
                <w:sz w:val="24"/>
                <w:szCs w:val="21"/>
                <w:highlight w:val="none"/>
                <w:lang w:val="en-US" w:eastAsia="zh-CN"/>
              </w:rPr>
            </w:pPr>
            <w:r>
              <w:rPr>
                <w:rFonts w:hint="eastAsia" w:ascii="宋体" w:hAnsi="宋体" w:eastAsia="宋体" w:cs="宋体"/>
                <w:b/>
                <w:color w:val="auto"/>
                <w:sz w:val="24"/>
                <w:szCs w:val="21"/>
                <w:highlight w:val="none"/>
                <w:lang w:val="en-US" w:eastAsia="zh-CN"/>
              </w:rPr>
              <w:t>项目名称</w:t>
            </w:r>
          </w:p>
        </w:tc>
        <w:tc>
          <w:tcPr>
            <w:tcW w:w="1557" w:type="pct"/>
            <w:noWrap w:val="0"/>
            <w:vAlign w:val="center"/>
          </w:tcPr>
          <w:p w14:paraId="5B0022EA">
            <w:pPr>
              <w:spacing w:line="360" w:lineRule="exact"/>
              <w:jc w:val="center"/>
              <w:rPr>
                <w:rFonts w:hint="eastAsia" w:ascii="宋体" w:hAnsi="宋体" w:eastAsia="宋体" w:cs="宋体"/>
                <w:b/>
                <w:color w:val="auto"/>
                <w:sz w:val="24"/>
                <w:szCs w:val="21"/>
                <w:highlight w:val="none"/>
              </w:rPr>
            </w:pPr>
            <w:r>
              <w:rPr>
                <w:rFonts w:hint="eastAsia" w:ascii="宋体" w:hAnsi="宋体" w:eastAsia="宋体" w:cs="宋体"/>
                <w:color w:val="auto"/>
                <w:sz w:val="24"/>
                <w:highlight w:val="none"/>
                <w:lang w:val="en-US" w:eastAsia="zh-CN"/>
              </w:rPr>
              <w:t>单</w:t>
            </w:r>
            <w:r>
              <w:rPr>
                <w:rFonts w:hint="eastAsia" w:ascii="宋体" w:hAnsi="宋体" w:eastAsia="宋体" w:cs="宋体"/>
                <w:color w:val="auto"/>
                <w:sz w:val="24"/>
                <w:highlight w:val="none"/>
              </w:rPr>
              <w:t>价（元）</w:t>
            </w:r>
          </w:p>
        </w:tc>
        <w:tc>
          <w:tcPr>
            <w:tcW w:w="1316" w:type="pct"/>
            <w:noWrap w:val="0"/>
            <w:vAlign w:val="center"/>
          </w:tcPr>
          <w:p w14:paraId="4593E685">
            <w:pPr>
              <w:spacing w:line="360" w:lineRule="exact"/>
              <w:jc w:val="center"/>
              <w:rPr>
                <w:rFonts w:hint="eastAsia" w:ascii="宋体" w:hAnsi="宋体" w:eastAsia="宋体" w:cs="宋体"/>
                <w:b/>
                <w:color w:val="auto"/>
                <w:sz w:val="24"/>
                <w:szCs w:val="21"/>
                <w:highlight w:val="none"/>
                <w:lang w:val="en-US" w:eastAsia="zh-CN"/>
              </w:rPr>
            </w:pPr>
            <w:r>
              <w:rPr>
                <w:rFonts w:hint="eastAsia" w:ascii="宋体" w:hAnsi="宋体" w:eastAsia="宋体" w:cs="宋体"/>
                <w:b/>
                <w:color w:val="auto"/>
                <w:sz w:val="24"/>
                <w:szCs w:val="21"/>
                <w:highlight w:val="none"/>
                <w:lang w:val="en-US" w:eastAsia="zh-CN"/>
              </w:rPr>
              <w:t>备注</w:t>
            </w:r>
          </w:p>
        </w:tc>
      </w:tr>
      <w:tr w14:paraId="1FF4A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jc w:val="center"/>
        </w:trPr>
        <w:tc>
          <w:tcPr>
            <w:tcW w:w="489" w:type="pct"/>
            <w:noWrap w:val="0"/>
            <w:vAlign w:val="center"/>
          </w:tcPr>
          <w:p w14:paraId="594F1765">
            <w:pPr>
              <w:pStyle w:val="28"/>
              <w:adjustRightInd w:val="0"/>
              <w:snapToGrid w:val="0"/>
              <w:spacing w:line="4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1636" w:type="pct"/>
            <w:noWrap w:val="0"/>
            <w:vAlign w:val="center"/>
          </w:tcPr>
          <w:p w14:paraId="7C958DB1">
            <w:pPr>
              <w:spacing w:line="48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2025年度义乌市社会治理中心调处工作服务项目</w:t>
            </w:r>
          </w:p>
        </w:tc>
        <w:tc>
          <w:tcPr>
            <w:tcW w:w="1557" w:type="pct"/>
            <w:noWrap w:val="0"/>
            <w:vAlign w:val="center"/>
          </w:tcPr>
          <w:p w14:paraId="5FA030E0">
            <w:pPr>
              <w:spacing w:line="400" w:lineRule="exact"/>
              <w:rPr>
                <w:rFonts w:hint="eastAsia" w:ascii="宋体" w:hAnsi="宋体" w:eastAsia="宋体" w:cs="宋体"/>
                <w:color w:val="auto"/>
                <w:sz w:val="24"/>
                <w:szCs w:val="21"/>
                <w:highlight w:val="none"/>
                <w:lang w:val="en-US" w:eastAsia="zh-CN"/>
              </w:rPr>
            </w:pPr>
            <w:r>
              <w:rPr>
                <w:rFonts w:hint="eastAsia" w:ascii="宋体" w:hAnsi="宋体" w:eastAsia="宋体" w:cs="宋体"/>
                <w:color w:val="auto"/>
                <w:sz w:val="24"/>
                <w:szCs w:val="21"/>
                <w:highlight w:val="none"/>
              </w:rPr>
              <w:t>小写：</w:t>
            </w:r>
            <w:r>
              <w:rPr>
                <w:rFonts w:hint="eastAsia" w:ascii="宋体" w:hAnsi="宋体" w:eastAsia="宋体" w:cs="宋体"/>
                <w:color w:val="auto"/>
                <w:sz w:val="24"/>
                <w:szCs w:val="24"/>
                <w:highlight w:val="none"/>
                <w:u w:val="single"/>
                <w:shd w:val="clear" w:color="auto" w:fill="FFFFFF"/>
              </w:rPr>
              <w:t>¥</w:t>
            </w:r>
            <w:r>
              <w:rPr>
                <w:rFonts w:hint="eastAsia" w:ascii="宋体" w:hAnsi="宋体" w:eastAsia="宋体" w:cs="宋体"/>
                <w:color w:val="auto"/>
                <w:sz w:val="24"/>
                <w:szCs w:val="21"/>
                <w:highlight w:val="none"/>
                <w:u w:val="single"/>
                <w:lang w:val="en-US" w:eastAsia="zh-CN"/>
              </w:rPr>
              <w:t xml:space="preserve">       元/件</w:t>
            </w:r>
          </w:p>
          <w:p w14:paraId="023B8E94">
            <w:pPr>
              <w:pStyle w:val="28"/>
              <w:adjustRightInd w:val="0"/>
              <w:snapToGrid w:val="0"/>
              <w:spacing w:line="400" w:lineRule="exact"/>
              <w:jc w:val="both"/>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4"/>
                <w:szCs w:val="21"/>
                <w:highlight w:val="none"/>
              </w:rPr>
              <w:t>大写：</w:t>
            </w:r>
            <w:r>
              <w:rPr>
                <w:rFonts w:hint="eastAsia" w:ascii="宋体" w:hAnsi="宋体" w:eastAsia="宋体" w:cs="宋体"/>
                <w:color w:val="auto"/>
                <w:sz w:val="24"/>
                <w:szCs w:val="21"/>
                <w:highlight w:val="none"/>
                <w:u w:val="single"/>
                <w:lang w:val="en-US" w:eastAsia="zh-CN"/>
              </w:rPr>
              <w:t>人民币    元/件</w:t>
            </w:r>
          </w:p>
        </w:tc>
        <w:tc>
          <w:tcPr>
            <w:tcW w:w="1316" w:type="pct"/>
            <w:noWrap w:val="0"/>
            <w:vAlign w:val="center"/>
          </w:tcPr>
          <w:p w14:paraId="3521FECA">
            <w:pPr>
              <w:spacing w:line="400" w:lineRule="exac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本项为除诉前调解外的其他调解报价。</w:t>
            </w:r>
          </w:p>
        </w:tc>
      </w:tr>
    </w:tbl>
    <w:p w14:paraId="57B7D7AE">
      <w:pPr>
        <w:pStyle w:val="28"/>
        <w:spacing w:line="360" w:lineRule="auto"/>
        <w:ind w:firstLine="770" w:firstLineChars="350"/>
        <w:rPr>
          <w:rFonts w:hint="eastAsia" w:cs="宋体"/>
          <w:color w:val="auto"/>
          <w:sz w:val="22"/>
          <w:szCs w:val="22"/>
          <w:highlight w:val="none"/>
        </w:rPr>
      </w:pPr>
    </w:p>
    <w:p w14:paraId="31343112">
      <w:pPr>
        <w:pStyle w:val="28"/>
        <w:spacing w:line="360" w:lineRule="auto"/>
        <w:ind w:firstLine="770" w:firstLineChars="350"/>
        <w:rPr>
          <w:rFonts w:hint="eastAsia" w:cs="宋体"/>
          <w:color w:val="auto"/>
          <w:sz w:val="22"/>
          <w:szCs w:val="22"/>
          <w:highlight w:val="none"/>
        </w:rPr>
      </w:pPr>
    </w:p>
    <w:p w14:paraId="1FBB62BC">
      <w:pPr>
        <w:pStyle w:val="28"/>
        <w:spacing w:line="360" w:lineRule="auto"/>
        <w:ind w:firstLine="770" w:firstLineChars="350"/>
        <w:rPr>
          <w:rFonts w:hint="eastAsia" w:cs="宋体"/>
          <w:color w:val="auto"/>
          <w:sz w:val="22"/>
          <w:szCs w:val="22"/>
          <w:highlight w:val="none"/>
        </w:rPr>
      </w:pPr>
      <w:r>
        <w:rPr>
          <w:rFonts w:hint="eastAsia" w:cs="宋体"/>
          <w:color w:val="auto"/>
          <w:sz w:val="22"/>
          <w:szCs w:val="22"/>
          <w:highlight w:val="none"/>
        </w:rPr>
        <w:t xml:space="preserve">投标方名称（签章）：____________________________  </w:t>
      </w:r>
    </w:p>
    <w:p w14:paraId="3C362E60">
      <w:pPr>
        <w:pStyle w:val="28"/>
        <w:spacing w:line="360" w:lineRule="auto"/>
        <w:ind w:firstLine="770" w:firstLineChars="350"/>
        <w:rPr>
          <w:rFonts w:hint="eastAsia" w:cs="宋体"/>
          <w:color w:val="auto"/>
          <w:sz w:val="22"/>
          <w:szCs w:val="22"/>
          <w:highlight w:val="none"/>
        </w:rPr>
      </w:pPr>
      <w:r>
        <w:rPr>
          <w:rFonts w:hint="eastAsia" w:cs="宋体"/>
          <w:color w:val="auto"/>
          <w:sz w:val="22"/>
          <w:szCs w:val="22"/>
          <w:highlight w:val="none"/>
        </w:rPr>
        <w:t>日  期:________________</w:t>
      </w:r>
    </w:p>
    <w:p w14:paraId="588BCEE3">
      <w:pPr>
        <w:spacing w:line="360" w:lineRule="auto"/>
        <w:ind w:left="915" w:hanging="915" w:hangingChars="416"/>
        <w:rPr>
          <w:rFonts w:hint="eastAsia" w:ascii="宋体" w:hAnsi="宋体" w:cs="宋体"/>
          <w:color w:val="auto"/>
          <w:sz w:val="22"/>
          <w:szCs w:val="22"/>
          <w:highlight w:val="none"/>
        </w:rPr>
      </w:pPr>
    </w:p>
    <w:p w14:paraId="34FB736F">
      <w:pPr>
        <w:spacing w:line="360" w:lineRule="auto"/>
        <w:ind w:left="895" w:leftChars="200" w:hanging="475" w:hangingChars="216"/>
        <w:rPr>
          <w:rFonts w:hint="eastAsia" w:ascii="宋体" w:hAnsi="宋体" w:cs="宋体"/>
          <w:color w:val="auto"/>
          <w:sz w:val="22"/>
          <w:szCs w:val="22"/>
          <w:highlight w:val="none"/>
        </w:rPr>
      </w:pPr>
    </w:p>
    <w:p w14:paraId="4870CC66">
      <w:pPr>
        <w:pStyle w:val="28"/>
        <w:spacing w:line="360" w:lineRule="auto"/>
        <w:ind w:firstLine="440" w:firstLineChars="200"/>
        <w:rPr>
          <w:rFonts w:hint="eastAsia" w:cs="宋体"/>
          <w:color w:val="auto"/>
          <w:sz w:val="22"/>
          <w:szCs w:val="22"/>
          <w:highlight w:val="none"/>
        </w:rPr>
      </w:pPr>
      <w:r>
        <w:rPr>
          <w:rFonts w:hint="eastAsia" w:cs="宋体"/>
          <w:color w:val="auto"/>
          <w:sz w:val="22"/>
          <w:szCs w:val="22"/>
          <w:highlight w:val="none"/>
        </w:rPr>
        <w:t>此表在不改变表式的情况下，可自行制作。</w:t>
      </w:r>
    </w:p>
    <w:p w14:paraId="5DDCD03F">
      <w:pPr>
        <w:pStyle w:val="49"/>
        <w:ind w:left="210" w:hanging="210"/>
        <w:jc w:val="center"/>
        <w:rPr>
          <w:rFonts w:ascii="Times New Roman" w:hAnsi="Times New Roman"/>
          <w:b/>
          <w:color w:val="auto"/>
          <w:sz w:val="36"/>
          <w:highlight w:val="none"/>
        </w:rPr>
      </w:pPr>
    </w:p>
    <w:p w14:paraId="70DFEA8C">
      <w:pPr>
        <w:pStyle w:val="49"/>
        <w:ind w:left="210" w:hanging="210"/>
        <w:jc w:val="center"/>
        <w:rPr>
          <w:rFonts w:ascii="Times New Roman" w:hAnsi="Times New Roman"/>
          <w:b/>
          <w:color w:val="auto"/>
          <w:sz w:val="36"/>
          <w:highlight w:val="none"/>
        </w:rPr>
      </w:pPr>
    </w:p>
    <w:p w14:paraId="7489FF11">
      <w:pPr>
        <w:jc w:val="center"/>
        <w:rPr>
          <w:b/>
          <w:bCs/>
          <w:color w:val="auto"/>
          <w:sz w:val="36"/>
          <w:szCs w:val="36"/>
          <w:highlight w:val="none"/>
        </w:rPr>
      </w:pPr>
    </w:p>
    <w:p w14:paraId="57D803F9">
      <w:pPr>
        <w:spacing w:line="480" w:lineRule="auto"/>
        <w:jc w:val="center"/>
        <w:rPr>
          <w:b/>
          <w:bCs/>
          <w:color w:val="auto"/>
          <w:sz w:val="36"/>
          <w:szCs w:val="36"/>
          <w:highlight w:val="none"/>
        </w:rPr>
      </w:pPr>
      <w:r>
        <w:rPr>
          <w:b/>
          <w:bCs/>
          <w:color w:val="auto"/>
          <w:sz w:val="36"/>
          <w:szCs w:val="36"/>
          <w:highlight w:val="none"/>
        </w:rPr>
        <w:br w:type="page"/>
      </w:r>
      <w:r>
        <w:rPr>
          <w:b/>
          <w:bCs/>
          <w:color w:val="auto"/>
          <w:sz w:val="36"/>
          <w:szCs w:val="36"/>
          <w:highlight w:val="none"/>
        </w:rPr>
        <w:t>中小企业声明函（服务）</w:t>
      </w:r>
    </w:p>
    <w:p w14:paraId="42206720">
      <w:pPr>
        <w:pStyle w:val="150"/>
        <w:spacing w:line="460" w:lineRule="exact"/>
        <w:ind w:firstLine="600"/>
        <w:rPr>
          <w:color w:val="auto"/>
          <w:sz w:val="24"/>
          <w:szCs w:val="24"/>
          <w:highlight w:val="none"/>
        </w:rPr>
      </w:pPr>
      <w:r>
        <w:rPr>
          <w:color w:val="auto"/>
          <w:sz w:val="24"/>
          <w:szCs w:val="24"/>
          <w:highlight w:val="none"/>
        </w:rPr>
        <w:t>本公司（联合体）郑重声明，根据《政府采购促进中小企业发展管理办法》（财库（2020）46号）的规定</w:t>
      </w:r>
      <w:r>
        <w:rPr>
          <w:rFonts w:hint="eastAsia"/>
          <w:color w:val="auto"/>
          <w:sz w:val="24"/>
          <w:szCs w:val="24"/>
          <w:highlight w:val="none"/>
          <w:lang w:eastAsia="zh-CN"/>
        </w:rPr>
        <w:t>，</w:t>
      </w:r>
      <w:r>
        <w:rPr>
          <w:color w:val="auto"/>
          <w:sz w:val="24"/>
          <w:szCs w:val="24"/>
          <w:highlight w:val="none"/>
        </w:rPr>
        <w:t>本公司 （联合体）参加</w:t>
      </w:r>
      <w:r>
        <w:rPr>
          <w:rFonts w:hint="eastAsia"/>
          <w:i/>
          <w:iCs/>
          <w:color w:val="auto"/>
          <w:sz w:val="24"/>
          <w:szCs w:val="24"/>
          <w:highlight w:val="none"/>
          <w:u w:val="single"/>
          <w:lang w:val="en-US" w:eastAsia="zh-CN" w:bidi="en-US"/>
        </w:rPr>
        <w:t>（单位名称）</w:t>
      </w:r>
      <w:r>
        <w:rPr>
          <w:rFonts w:hint="eastAsia"/>
          <w:color w:val="auto"/>
          <w:sz w:val="24"/>
          <w:szCs w:val="24"/>
          <w:highlight w:val="none"/>
          <w:lang w:val="en-US" w:eastAsia="zh-CN"/>
        </w:rPr>
        <w:t>的</w:t>
      </w:r>
      <w:r>
        <w:rPr>
          <w:rFonts w:hint="eastAsia"/>
          <w:i/>
          <w:iCs/>
          <w:color w:val="auto"/>
          <w:sz w:val="24"/>
          <w:szCs w:val="24"/>
          <w:highlight w:val="none"/>
          <w:u w:val="single"/>
          <w:lang w:val="en-US" w:eastAsia="zh-CN" w:bidi="en-US"/>
        </w:rPr>
        <w:t>（项目名称）</w:t>
      </w:r>
      <w:r>
        <w:rPr>
          <w:rFonts w:hint="eastAsia"/>
          <w:i/>
          <w:iCs/>
          <w:color w:val="auto"/>
          <w:sz w:val="24"/>
          <w:szCs w:val="24"/>
          <w:highlight w:val="none"/>
          <w:lang w:val="en-US" w:eastAsia="zh-CN"/>
        </w:rPr>
        <w:t>采</w:t>
      </w:r>
      <w:r>
        <w:rPr>
          <w:color w:val="auto"/>
          <w:sz w:val="24"/>
          <w:szCs w:val="24"/>
          <w:highlight w:val="none"/>
        </w:rPr>
        <w:t>购活动，工程的施工单位全部为符合政策要求的中小企业（或者：服务全部由符合政策要求的中小企业承接</w:t>
      </w:r>
      <w:r>
        <w:rPr>
          <w:rFonts w:hint="eastAsia"/>
          <w:color w:val="auto"/>
          <w:sz w:val="24"/>
          <w:szCs w:val="24"/>
          <w:highlight w:val="none"/>
          <w:lang w:eastAsia="zh-CN"/>
        </w:rPr>
        <w:t>）</w:t>
      </w:r>
      <w:r>
        <w:rPr>
          <w:color w:val="auto"/>
          <w:sz w:val="24"/>
          <w:szCs w:val="24"/>
          <w:highlight w:val="none"/>
        </w:rPr>
        <w:t>相关企业</w:t>
      </w:r>
      <w:r>
        <w:rPr>
          <w:rFonts w:hint="eastAsia"/>
          <w:color w:val="auto"/>
          <w:sz w:val="24"/>
          <w:szCs w:val="24"/>
          <w:highlight w:val="none"/>
          <w:lang w:eastAsia="zh-CN"/>
        </w:rPr>
        <w:t>（</w:t>
      </w:r>
      <w:r>
        <w:rPr>
          <w:color w:val="auto"/>
          <w:sz w:val="24"/>
          <w:szCs w:val="24"/>
          <w:highlight w:val="none"/>
        </w:rPr>
        <w:t>含联合体中的中小企业</w:t>
      </w:r>
      <w:r>
        <w:rPr>
          <w:rFonts w:hint="eastAsia"/>
          <w:color w:val="auto"/>
          <w:sz w:val="24"/>
          <w:szCs w:val="24"/>
          <w:highlight w:val="none"/>
          <w:lang w:eastAsia="zh-CN"/>
        </w:rPr>
        <w:t>、</w:t>
      </w:r>
      <w:r>
        <w:rPr>
          <w:color w:val="auto"/>
          <w:sz w:val="24"/>
          <w:szCs w:val="24"/>
          <w:highlight w:val="none"/>
        </w:rPr>
        <w:t>签订分包意向协议的中小企业）的具体情况如下:</w:t>
      </w:r>
    </w:p>
    <w:p w14:paraId="7A2CBCC1">
      <w:pPr>
        <w:pStyle w:val="150"/>
        <w:tabs>
          <w:tab w:val="left" w:pos="6686"/>
        </w:tabs>
        <w:spacing w:line="460" w:lineRule="exact"/>
        <w:ind w:firstLine="480" w:firstLineChars="200"/>
        <w:rPr>
          <w:color w:val="auto"/>
          <w:sz w:val="24"/>
          <w:szCs w:val="24"/>
          <w:highlight w:val="none"/>
          <w:lang w:val="en-US" w:eastAsia="zh-CN" w:bidi="en-US"/>
        </w:rPr>
      </w:pPr>
      <w:r>
        <w:rPr>
          <w:rFonts w:hint="eastAsia"/>
          <w:color w:val="auto"/>
          <w:sz w:val="24"/>
          <w:szCs w:val="24"/>
          <w:highlight w:val="none"/>
          <w:lang w:val="en-US" w:eastAsia="zh-CN" w:bidi="en-US"/>
        </w:rPr>
        <w:t>1.</w:t>
      </w:r>
      <w:r>
        <w:rPr>
          <w:rFonts w:hint="eastAsia"/>
          <w:i/>
          <w:iCs/>
          <w:color w:val="auto"/>
          <w:sz w:val="24"/>
          <w:szCs w:val="24"/>
          <w:highlight w:val="none"/>
          <w:u w:val="single"/>
          <w:lang w:val="en-US" w:eastAsia="zh-CN" w:bidi="en-US"/>
        </w:rPr>
        <w:t xml:space="preserve">（标的名称）        </w:t>
      </w:r>
      <w:r>
        <w:rPr>
          <w:rFonts w:hint="eastAsia"/>
          <w:color w:val="auto"/>
          <w:sz w:val="24"/>
          <w:szCs w:val="24"/>
          <w:highlight w:val="none"/>
          <w:lang w:val="en-US" w:eastAsia="zh-CN" w:bidi="en-US"/>
        </w:rPr>
        <w:t>，属于</w:t>
      </w:r>
      <w:r>
        <w:rPr>
          <w:rFonts w:hint="eastAsia"/>
          <w:i/>
          <w:iCs/>
          <w:color w:val="auto"/>
          <w:sz w:val="24"/>
          <w:szCs w:val="24"/>
          <w:highlight w:val="none"/>
          <w:u w:val="single"/>
          <w:lang w:val="en-US" w:eastAsia="zh-CN" w:bidi="en-US"/>
        </w:rPr>
        <w:t>（招标文件中明确的所属行业）</w:t>
      </w:r>
      <w:r>
        <w:rPr>
          <w:rFonts w:hint="eastAsia"/>
          <w:color w:val="auto"/>
          <w:sz w:val="24"/>
          <w:szCs w:val="24"/>
          <w:highlight w:val="none"/>
          <w:lang w:val="en-US" w:eastAsia="zh-CN" w:bidi="en-US"/>
        </w:rPr>
        <w:t>；承建（承接）</w:t>
      </w:r>
    </w:p>
    <w:p w14:paraId="7094137C">
      <w:pPr>
        <w:pStyle w:val="150"/>
        <w:tabs>
          <w:tab w:val="left" w:pos="6686"/>
        </w:tabs>
        <w:spacing w:line="460" w:lineRule="exact"/>
        <w:ind w:firstLine="0"/>
        <w:rPr>
          <w:color w:val="auto"/>
          <w:sz w:val="24"/>
          <w:szCs w:val="24"/>
          <w:highlight w:val="none"/>
          <w:lang w:val="en-US" w:eastAsia="zh-CN" w:bidi="en-US"/>
        </w:rPr>
      </w:pPr>
      <w:r>
        <w:rPr>
          <w:rFonts w:hint="eastAsia"/>
          <w:color w:val="auto"/>
          <w:sz w:val="24"/>
          <w:szCs w:val="24"/>
          <w:highlight w:val="none"/>
          <w:lang w:val="en-US" w:eastAsia="zh-CN" w:bidi="en-US"/>
        </w:rPr>
        <w:t>企业为</w:t>
      </w:r>
      <w:r>
        <w:rPr>
          <w:rFonts w:hint="eastAsia"/>
          <w:i/>
          <w:iCs/>
          <w:color w:val="auto"/>
          <w:sz w:val="24"/>
          <w:szCs w:val="24"/>
          <w:highlight w:val="none"/>
          <w:u w:val="single"/>
          <w:lang w:val="en-US" w:eastAsia="zh-CN" w:bidi="en-US"/>
        </w:rPr>
        <w:t xml:space="preserve">（企业名称）       </w:t>
      </w:r>
      <w:r>
        <w:rPr>
          <w:rFonts w:hint="eastAsia"/>
          <w:color w:val="auto"/>
          <w:sz w:val="24"/>
          <w:szCs w:val="24"/>
          <w:highlight w:val="none"/>
          <w:lang w:val="en-US" w:eastAsia="zh-CN" w:bidi="en-US"/>
        </w:rPr>
        <w:t>，从业人员</w:t>
      </w:r>
      <w:r>
        <w:rPr>
          <w:rFonts w:hint="eastAsia"/>
          <w:color w:val="auto"/>
          <w:sz w:val="24"/>
          <w:szCs w:val="24"/>
          <w:highlight w:val="none"/>
          <w:u w:val="single"/>
          <w:lang w:val="en-US" w:eastAsia="zh-CN" w:bidi="en-US"/>
        </w:rPr>
        <w:t xml:space="preserve">     </w:t>
      </w:r>
      <w:r>
        <w:rPr>
          <w:rFonts w:hint="eastAsia"/>
          <w:color w:val="auto"/>
          <w:sz w:val="24"/>
          <w:szCs w:val="24"/>
          <w:highlight w:val="none"/>
          <w:lang w:val="en-US" w:eastAsia="zh-CN" w:bidi="en-US"/>
        </w:rPr>
        <w:t>人，营业收入为</w:t>
      </w:r>
      <w:r>
        <w:rPr>
          <w:rFonts w:hint="eastAsia"/>
          <w:color w:val="auto"/>
          <w:sz w:val="24"/>
          <w:szCs w:val="24"/>
          <w:highlight w:val="none"/>
          <w:u w:val="single"/>
          <w:lang w:val="en-US" w:eastAsia="zh-CN" w:bidi="en-US"/>
        </w:rPr>
        <w:t xml:space="preserve">     </w:t>
      </w:r>
      <w:r>
        <w:rPr>
          <w:rFonts w:hint="eastAsia"/>
          <w:color w:val="auto"/>
          <w:sz w:val="24"/>
          <w:szCs w:val="24"/>
          <w:highlight w:val="none"/>
          <w:lang w:val="en-US" w:eastAsia="zh-CN" w:bidi="en-US"/>
        </w:rPr>
        <w:t>万元，资产总额为</w:t>
      </w:r>
      <w:r>
        <w:rPr>
          <w:rFonts w:hint="eastAsia"/>
          <w:color w:val="auto"/>
          <w:sz w:val="24"/>
          <w:szCs w:val="24"/>
          <w:highlight w:val="none"/>
          <w:u w:val="single"/>
          <w:lang w:val="en-US" w:eastAsia="zh-CN" w:bidi="en-US"/>
        </w:rPr>
        <w:t xml:space="preserve">     </w:t>
      </w:r>
      <w:r>
        <w:rPr>
          <w:rFonts w:hint="eastAsia"/>
          <w:color w:val="auto"/>
          <w:sz w:val="24"/>
          <w:szCs w:val="24"/>
          <w:highlight w:val="none"/>
          <w:lang w:val="en-US" w:eastAsia="zh-CN" w:bidi="en-US"/>
        </w:rPr>
        <w:t>万元</w:t>
      </w:r>
      <w:r>
        <w:rPr>
          <w:rFonts w:hint="eastAsia"/>
          <w:color w:val="auto"/>
          <w:sz w:val="24"/>
          <w:szCs w:val="24"/>
          <w:highlight w:val="none"/>
          <w:vertAlign w:val="superscript"/>
          <w:lang w:val="en-US" w:eastAsia="zh-CN" w:bidi="en-US"/>
        </w:rPr>
        <w:t>1</w:t>
      </w:r>
      <w:r>
        <w:rPr>
          <w:rFonts w:hint="eastAsia"/>
          <w:color w:val="auto"/>
          <w:sz w:val="24"/>
          <w:szCs w:val="24"/>
          <w:highlight w:val="none"/>
          <w:lang w:val="en-US" w:eastAsia="zh-CN" w:bidi="en-US"/>
        </w:rPr>
        <w:t>，属于</w:t>
      </w:r>
      <w:r>
        <w:rPr>
          <w:rFonts w:hint="eastAsia"/>
          <w:i/>
          <w:iCs/>
          <w:color w:val="auto"/>
          <w:sz w:val="24"/>
          <w:szCs w:val="24"/>
          <w:highlight w:val="none"/>
          <w:u w:val="single"/>
          <w:lang w:val="en-US" w:eastAsia="zh-CN" w:bidi="en-US"/>
        </w:rPr>
        <w:t>（中型企业、小型企业、微型企业）</w:t>
      </w:r>
      <w:r>
        <w:rPr>
          <w:rFonts w:hint="eastAsia"/>
          <w:color w:val="auto"/>
          <w:sz w:val="24"/>
          <w:szCs w:val="24"/>
          <w:highlight w:val="none"/>
          <w:lang w:val="en-US" w:eastAsia="zh-CN" w:bidi="en-US"/>
        </w:rPr>
        <w:t>；</w:t>
      </w:r>
    </w:p>
    <w:p w14:paraId="25DEBF63">
      <w:pPr>
        <w:pStyle w:val="150"/>
        <w:tabs>
          <w:tab w:val="left" w:pos="6686"/>
        </w:tabs>
        <w:spacing w:line="460" w:lineRule="exact"/>
        <w:ind w:firstLine="480" w:firstLineChars="200"/>
        <w:rPr>
          <w:color w:val="auto"/>
          <w:sz w:val="24"/>
          <w:szCs w:val="24"/>
          <w:highlight w:val="none"/>
          <w:lang w:val="en-US" w:eastAsia="zh-CN" w:bidi="en-US"/>
        </w:rPr>
      </w:pPr>
      <w:r>
        <w:rPr>
          <w:rFonts w:hint="eastAsia"/>
          <w:color w:val="auto"/>
          <w:sz w:val="24"/>
          <w:szCs w:val="24"/>
          <w:highlight w:val="none"/>
          <w:lang w:val="en-US" w:eastAsia="zh-CN" w:bidi="en-US"/>
        </w:rPr>
        <w:t>2.</w:t>
      </w:r>
      <w:r>
        <w:rPr>
          <w:rFonts w:hint="eastAsia"/>
          <w:i/>
          <w:iCs/>
          <w:color w:val="auto"/>
          <w:sz w:val="24"/>
          <w:szCs w:val="24"/>
          <w:highlight w:val="none"/>
          <w:u w:val="single"/>
          <w:lang w:val="en-US" w:eastAsia="zh-CN" w:bidi="en-US"/>
        </w:rPr>
        <w:t xml:space="preserve">（标的名称）        </w:t>
      </w:r>
      <w:r>
        <w:rPr>
          <w:rFonts w:hint="eastAsia"/>
          <w:color w:val="auto"/>
          <w:sz w:val="24"/>
          <w:szCs w:val="24"/>
          <w:highlight w:val="none"/>
          <w:lang w:val="en-US" w:eastAsia="zh-CN" w:bidi="en-US"/>
        </w:rPr>
        <w:t>，属于</w:t>
      </w:r>
      <w:r>
        <w:rPr>
          <w:rFonts w:hint="eastAsia"/>
          <w:i/>
          <w:iCs/>
          <w:color w:val="auto"/>
          <w:sz w:val="24"/>
          <w:szCs w:val="24"/>
          <w:highlight w:val="none"/>
          <w:u w:val="single"/>
          <w:lang w:val="en-US" w:eastAsia="zh-CN" w:bidi="en-US"/>
        </w:rPr>
        <w:t>（招标文件中明确的所属行业）</w:t>
      </w:r>
      <w:r>
        <w:rPr>
          <w:rFonts w:hint="eastAsia"/>
          <w:color w:val="auto"/>
          <w:sz w:val="24"/>
          <w:szCs w:val="24"/>
          <w:highlight w:val="none"/>
          <w:lang w:val="en-US" w:eastAsia="zh-CN" w:bidi="en-US"/>
        </w:rPr>
        <w:t>；承建（承接）</w:t>
      </w:r>
    </w:p>
    <w:p w14:paraId="5D444F7E">
      <w:pPr>
        <w:pStyle w:val="150"/>
        <w:tabs>
          <w:tab w:val="left" w:pos="6686"/>
        </w:tabs>
        <w:spacing w:line="460" w:lineRule="exact"/>
        <w:ind w:firstLine="0"/>
        <w:rPr>
          <w:color w:val="auto"/>
          <w:sz w:val="24"/>
          <w:szCs w:val="24"/>
          <w:highlight w:val="none"/>
          <w:lang w:val="en-US" w:eastAsia="zh-CN" w:bidi="en-US"/>
        </w:rPr>
      </w:pPr>
      <w:r>
        <w:rPr>
          <w:rFonts w:hint="eastAsia"/>
          <w:color w:val="auto"/>
          <w:sz w:val="24"/>
          <w:szCs w:val="24"/>
          <w:highlight w:val="none"/>
          <w:lang w:val="en-US" w:eastAsia="zh-CN" w:bidi="en-US"/>
        </w:rPr>
        <w:t>企业为</w:t>
      </w:r>
      <w:r>
        <w:rPr>
          <w:rFonts w:hint="eastAsia"/>
          <w:i/>
          <w:iCs/>
          <w:color w:val="auto"/>
          <w:sz w:val="24"/>
          <w:szCs w:val="24"/>
          <w:highlight w:val="none"/>
          <w:u w:val="single"/>
          <w:lang w:val="en-US" w:eastAsia="zh-CN" w:bidi="en-US"/>
        </w:rPr>
        <w:t xml:space="preserve">（企业名称）       </w:t>
      </w:r>
      <w:r>
        <w:rPr>
          <w:rFonts w:hint="eastAsia"/>
          <w:color w:val="auto"/>
          <w:sz w:val="24"/>
          <w:szCs w:val="24"/>
          <w:highlight w:val="none"/>
          <w:lang w:val="en-US" w:eastAsia="zh-CN" w:bidi="en-US"/>
        </w:rPr>
        <w:t>，从业人员</w:t>
      </w:r>
      <w:r>
        <w:rPr>
          <w:rFonts w:hint="eastAsia"/>
          <w:color w:val="auto"/>
          <w:sz w:val="24"/>
          <w:szCs w:val="24"/>
          <w:highlight w:val="none"/>
          <w:u w:val="single"/>
          <w:lang w:val="en-US" w:eastAsia="zh-CN" w:bidi="en-US"/>
        </w:rPr>
        <w:t xml:space="preserve">     </w:t>
      </w:r>
      <w:r>
        <w:rPr>
          <w:rFonts w:hint="eastAsia"/>
          <w:color w:val="auto"/>
          <w:sz w:val="24"/>
          <w:szCs w:val="24"/>
          <w:highlight w:val="none"/>
          <w:lang w:val="en-US" w:eastAsia="zh-CN" w:bidi="en-US"/>
        </w:rPr>
        <w:t>人，营业收入为</w:t>
      </w:r>
      <w:r>
        <w:rPr>
          <w:rFonts w:hint="eastAsia"/>
          <w:color w:val="auto"/>
          <w:sz w:val="24"/>
          <w:szCs w:val="24"/>
          <w:highlight w:val="none"/>
          <w:u w:val="single"/>
          <w:lang w:val="en-US" w:eastAsia="zh-CN" w:bidi="en-US"/>
        </w:rPr>
        <w:t xml:space="preserve">     </w:t>
      </w:r>
      <w:r>
        <w:rPr>
          <w:rFonts w:hint="eastAsia"/>
          <w:color w:val="auto"/>
          <w:sz w:val="24"/>
          <w:szCs w:val="24"/>
          <w:highlight w:val="none"/>
          <w:lang w:val="en-US" w:eastAsia="zh-CN" w:bidi="en-US"/>
        </w:rPr>
        <w:t>万元，资产总额为</w:t>
      </w:r>
      <w:r>
        <w:rPr>
          <w:rFonts w:hint="eastAsia"/>
          <w:color w:val="auto"/>
          <w:sz w:val="24"/>
          <w:szCs w:val="24"/>
          <w:highlight w:val="none"/>
          <w:u w:val="single"/>
          <w:lang w:val="en-US" w:eastAsia="zh-CN" w:bidi="en-US"/>
        </w:rPr>
        <w:t xml:space="preserve">     </w:t>
      </w:r>
      <w:r>
        <w:rPr>
          <w:rFonts w:hint="eastAsia"/>
          <w:color w:val="auto"/>
          <w:sz w:val="24"/>
          <w:szCs w:val="24"/>
          <w:highlight w:val="none"/>
          <w:lang w:val="en-US" w:eastAsia="zh-CN" w:bidi="en-US"/>
        </w:rPr>
        <w:t>万元</w:t>
      </w:r>
      <w:r>
        <w:rPr>
          <w:rFonts w:hint="eastAsia"/>
          <w:color w:val="auto"/>
          <w:sz w:val="24"/>
          <w:szCs w:val="24"/>
          <w:highlight w:val="none"/>
          <w:vertAlign w:val="superscript"/>
          <w:lang w:val="en-US" w:eastAsia="zh-CN" w:bidi="en-US"/>
        </w:rPr>
        <w:t>1</w:t>
      </w:r>
      <w:r>
        <w:rPr>
          <w:rFonts w:hint="eastAsia"/>
          <w:color w:val="auto"/>
          <w:sz w:val="24"/>
          <w:szCs w:val="24"/>
          <w:highlight w:val="none"/>
          <w:lang w:val="en-US" w:eastAsia="zh-CN" w:bidi="en-US"/>
        </w:rPr>
        <w:t>，属于</w:t>
      </w:r>
      <w:r>
        <w:rPr>
          <w:rFonts w:hint="eastAsia"/>
          <w:i/>
          <w:iCs/>
          <w:color w:val="auto"/>
          <w:sz w:val="24"/>
          <w:szCs w:val="24"/>
          <w:highlight w:val="none"/>
          <w:u w:val="single"/>
          <w:lang w:val="en-US" w:eastAsia="zh-CN" w:bidi="en-US"/>
        </w:rPr>
        <w:t>（中型企业、小型企业、微型企业）</w:t>
      </w:r>
      <w:r>
        <w:rPr>
          <w:rFonts w:hint="eastAsia"/>
          <w:color w:val="auto"/>
          <w:sz w:val="24"/>
          <w:szCs w:val="24"/>
          <w:highlight w:val="none"/>
          <w:lang w:val="en-US" w:eastAsia="zh-CN" w:bidi="en-US"/>
        </w:rPr>
        <w:t>；</w:t>
      </w:r>
    </w:p>
    <w:p w14:paraId="4D59E909">
      <w:pPr>
        <w:pStyle w:val="150"/>
        <w:tabs>
          <w:tab w:val="left" w:pos="6686"/>
        </w:tabs>
        <w:spacing w:line="460" w:lineRule="exact"/>
        <w:ind w:firstLine="480" w:firstLineChars="200"/>
        <w:rPr>
          <w:color w:val="auto"/>
          <w:sz w:val="24"/>
          <w:szCs w:val="24"/>
          <w:highlight w:val="none"/>
          <w:lang w:val="en-US" w:eastAsia="zh-CN" w:bidi="en-US"/>
        </w:rPr>
      </w:pPr>
      <w:r>
        <w:rPr>
          <w:rFonts w:hint="eastAsia" w:ascii="新宋体" w:hAnsi="新宋体" w:eastAsia="新宋体"/>
          <w:color w:val="auto"/>
          <w:sz w:val="24"/>
          <w:highlight w:val="none"/>
          <w:lang w:val="en-US" w:eastAsia="zh-CN"/>
        </w:rPr>
        <w:t>3.</w:t>
      </w:r>
      <w:r>
        <w:rPr>
          <w:rFonts w:hint="eastAsia" w:ascii="新宋体" w:hAnsi="新宋体" w:eastAsia="新宋体"/>
          <w:color w:val="auto"/>
          <w:sz w:val="24"/>
          <w:highlight w:val="none"/>
        </w:rPr>
        <w:t>小型、微型企业的协议合同金额占到联合体协议合同总金额</w:t>
      </w:r>
      <w:r>
        <w:rPr>
          <w:rFonts w:hint="eastAsia"/>
          <w:color w:val="auto"/>
          <w:sz w:val="24"/>
          <w:szCs w:val="24"/>
          <w:highlight w:val="none"/>
          <w:u w:val="single"/>
          <w:lang w:val="en-US" w:eastAsia="zh-CN" w:bidi="en-US"/>
        </w:rPr>
        <w:t xml:space="preserve">     %</w:t>
      </w:r>
      <w:r>
        <w:rPr>
          <w:rFonts w:hint="eastAsia" w:ascii="新宋体" w:hAnsi="新宋体" w:eastAsia="新宋体"/>
          <w:color w:val="auto"/>
          <w:sz w:val="24"/>
          <w:highlight w:val="none"/>
          <w:lang w:eastAsia="zh-CN"/>
        </w:rPr>
        <w:t>。</w:t>
      </w:r>
    </w:p>
    <w:p w14:paraId="5CF2AFAC">
      <w:pPr>
        <w:pStyle w:val="150"/>
        <w:spacing w:line="499" w:lineRule="exact"/>
        <w:ind w:firstLine="600"/>
        <w:rPr>
          <w:color w:val="auto"/>
          <w:sz w:val="24"/>
          <w:szCs w:val="24"/>
          <w:highlight w:val="none"/>
          <w:lang w:val="en-US" w:eastAsia="zh-CN" w:bidi="en-US"/>
        </w:rPr>
      </w:pPr>
      <w:r>
        <w:rPr>
          <w:rFonts w:hint="eastAsia"/>
          <w:color w:val="auto"/>
          <w:sz w:val="24"/>
          <w:szCs w:val="24"/>
          <w:highlight w:val="none"/>
          <w:lang w:val="en-US" w:eastAsia="zh-CN" w:bidi="en-US"/>
        </w:rPr>
        <w:t>......</w:t>
      </w:r>
    </w:p>
    <w:p w14:paraId="48A2261D">
      <w:pPr>
        <w:pStyle w:val="150"/>
        <w:spacing w:line="499" w:lineRule="exact"/>
        <w:ind w:firstLine="600"/>
        <w:rPr>
          <w:color w:val="auto"/>
          <w:sz w:val="24"/>
          <w:szCs w:val="24"/>
          <w:highlight w:val="none"/>
        </w:rPr>
      </w:pPr>
      <w:r>
        <w:rPr>
          <w:color w:val="auto"/>
          <w:sz w:val="24"/>
          <w:szCs w:val="24"/>
          <w:highlight w:val="none"/>
        </w:rPr>
        <w:t>以上企业</w:t>
      </w:r>
      <w:r>
        <w:rPr>
          <w:rFonts w:hint="eastAsia"/>
          <w:color w:val="auto"/>
          <w:sz w:val="24"/>
          <w:szCs w:val="24"/>
          <w:highlight w:val="none"/>
          <w:lang w:eastAsia="zh-CN"/>
        </w:rPr>
        <w:t>，</w:t>
      </w:r>
      <w:r>
        <w:rPr>
          <w:color w:val="auto"/>
          <w:sz w:val="24"/>
          <w:szCs w:val="24"/>
          <w:highlight w:val="none"/>
        </w:rPr>
        <w:t>不属于大企业的分支机构，不存在控股股东为大企业的情形</w:t>
      </w:r>
      <w:r>
        <w:rPr>
          <w:rFonts w:hint="eastAsia"/>
          <w:color w:val="auto"/>
          <w:sz w:val="24"/>
          <w:szCs w:val="24"/>
          <w:highlight w:val="none"/>
          <w:lang w:eastAsia="zh-CN"/>
        </w:rPr>
        <w:t>，</w:t>
      </w:r>
      <w:r>
        <w:rPr>
          <w:color w:val="auto"/>
          <w:sz w:val="24"/>
          <w:szCs w:val="24"/>
          <w:highlight w:val="none"/>
        </w:rPr>
        <w:t>也不存在与大企业的</w:t>
      </w:r>
      <w:r>
        <w:rPr>
          <w:rFonts w:hint="eastAsia"/>
          <w:color w:val="auto"/>
          <w:sz w:val="24"/>
          <w:szCs w:val="24"/>
          <w:highlight w:val="none"/>
          <w:lang w:val="en-US" w:eastAsia="zh-CN"/>
        </w:rPr>
        <w:t>负</w:t>
      </w:r>
      <w:r>
        <w:rPr>
          <w:color w:val="auto"/>
          <w:sz w:val="24"/>
          <w:szCs w:val="24"/>
          <w:highlight w:val="none"/>
        </w:rPr>
        <w:t>责人为同一人的情形。</w:t>
      </w:r>
    </w:p>
    <w:p w14:paraId="794F8BCA">
      <w:pPr>
        <w:pStyle w:val="150"/>
        <w:spacing w:line="499" w:lineRule="exact"/>
        <w:ind w:firstLine="600"/>
        <w:rPr>
          <w:color w:val="auto"/>
          <w:sz w:val="24"/>
          <w:szCs w:val="24"/>
          <w:highlight w:val="none"/>
          <w:lang w:eastAsia="zh-CN"/>
        </w:rPr>
      </w:pPr>
      <w:r>
        <w:rPr>
          <w:color w:val="auto"/>
          <w:sz w:val="24"/>
          <w:szCs w:val="24"/>
          <w:highlight w:val="none"/>
        </w:rPr>
        <w:t>本企业对上述声明内容的</w:t>
      </w:r>
      <w:r>
        <w:rPr>
          <w:rFonts w:hint="eastAsia"/>
          <w:color w:val="auto"/>
          <w:sz w:val="24"/>
          <w:szCs w:val="24"/>
          <w:highlight w:val="none"/>
          <w:lang w:eastAsia="zh-CN"/>
        </w:rPr>
        <w:t>真</w:t>
      </w:r>
      <w:r>
        <w:rPr>
          <w:color w:val="auto"/>
          <w:sz w:val="24"/>
          <w:szCs w:val="24"/>
          <w:highlight w:val="none"/>
        </w:rPr>
        <w:t>实性负责</w:t>
      </w:r>
      <w:r>
        <w:rPr>
          <w:rFonts w:hint="eastAsia"/>
          <w:color w:val="auto"/>
          <w:sz w:val="24"/>
          <w:szCs w:val="24"/>
          <w:highlight w:val="none"/>
          <w:lang w:eastAsia="zh-CN"/>
        </w:rPr>
        <w:t>。</w:t>
      </w:r>
      <w:r>
        <w:rPr>
          <w:color w:val="auto"/>
          <w:sz w:val="24"/>
          <w:szCs w:val="24"/>
          <w:highlight w:val="none"/>
        </w:rPr>
        <w:t>如有虚假</w:t>
      </w:r>
      <w:r>
        <w:rPr>
          <w:color w:val="auto"/>
          <w:sz w:val="24"/>
          <w:szCs w:val="24"/>
          <w:highlight w:val="none"/>
          <w:lang w:val="en-US" w:eastAsia="zh-CN" w:bidi="en-US"/>
        </w:rPr>
        <w:t>，</w:t>
      </w:r>
      <w:r>
        <w:rPr>
          <w:color w:val="auto"/>
          <w:sz w:val="24"/>
          <w:szCs w:val="24"/>
          <w:highlight w:val="none"/>
        </w:rPr>
        <w:t>将依法承担相应责任</w:t>
      </w:r>
      <w:r>
        <w:rPr>
          <w:rFonts w:hint="eastAsia"/>
          <w:color w:val="auto"/>
          <w:sz w:val="24"/>
          <w:szCs w:val="24"/>
          <w:highlight w:val="none"/>
          <w:lang w:val="en-US" w:eastAsia="zh-CN" w:bidi="en-US"/>
        </w:rPr>
        <w:t>。</w:t>
      </w:r>
    </w:p>
    <w:p w14:paraId="0E5D6C9C">
      <w:pPr>
        <w:pStyle w:val="150"/>
        <w:spacing w:line="499" w:lineRule="exact"/>
        <w:ind w:left="3640" w:firstLine="0"/>
        <w:jc w:val="left"/>
        <w:rPr>
          <w:color w:val="auto"/>
          <w:highlight w:val="none"/>
        </w:rPr>
      </w:pPr>
    </w:p>
    <w:p w14:paraId="309DF44F">
      <w:pPr>
        <w:pStyle w:val="150"/>
        <w:spacing w:line="499" w:lineRule="exact"/>
        <w:ind w:firstLine="0"/>
        <w:jc w:val="center"/>
        <w:rPr>
          <w:color w:val="auto"/>
          <w:sz w:val="24"/>
          <w:highlight w:val="none"/>
        </w:rPr>
      </w:pPr>
      <w:r>
        <w:rPr>
          <w:rFonts w:hint="eastAsia"/>
          <w:color w:val="auto"/>
          <w:sz w:val="24"/>
          <w:highlight w:val="none"/>
        </w:rPr>
        <w:t>投标人名称（盖</w:t>
      </w:r>
      <w:r>
        <w:rPr>
          <w:rFonts w:hint="eastAsia"/>
          <w:color w:val="auto"/>
          <w:sz w:val="24"/>
          <w:highlight w:val="none"/>
          <w:lang w:val="en-US" w:eastAsia="zh-CN"/>
        </w:rPr>
        <w:t>单位公</w:t>
      </w:r>
      <w:r>
        <w:rPr>
          <w:rFonts w:hint="eastAsia"/>
          <w:color w:val="auto"/>
          <w:sz w:val="24"/>
          <w:highlight w:val="none"/>
        </w:rPr>
        <w:t>章）：</w:t>
      </w:r>
    </w:p>
    <w:p w14:paraId="24C43788">
      <w:pPr>
        <w:pStyle w:val="150"/>
        <w:spacing w:line="499" w:lineRule="exact"/>
        <w:ind w:firstLine="0"/>
        <w:jc w:val="center"/>
        <w:rPr>
          <w:color w:val="auto"/>
          <w:sz w:val="24"/>
          <w:szCs w:val="24"/>
          <w:highlight w:val="none"/>
        </w:rPr>
      </w:pPr>
      <w:r>
        <w:rPr>
          <w:color w:val="auto"/>
          <w:sz w:val="24"/>
          <w:szCs w:val="24"/>
          <w:highlight w:val="none"/>
        </w:rPr>
        <w:t>日期:</w:t>
      </w:r>
    </w:p>
    <w:p w14:paraId="04588BB2">
      <w:pPr>
        <w:pStyle w:val="124"/>
        <w:tabs>
          <w:tab w:val="left" w:pos="750"/>
        </w:tabs>
        <w:jc w:val="left"/>
        <w:rPr>
          <w:rFonts w:hint="eastAsia" w:ascii="宋体" w:hAnsi="宋体" w:cs="宋体"/>
          <w:color w:val="auto"/>
          <w:sz w:val="22"/>
          <w:szCs w:val="22"/>
          <w:highlight w:val="none"/>
        </w:rPr>
      </w:pPr>
    </w:p>
    <w:p w14:paraId="1D5C7AA7">
      <w:pPr>
        <w:wordWrap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说明：</w:t>
      </w:r>
    </w:p>
    <w:p w14:paraId="0909D339">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b w:val="0"/>
          <w:bCs w:val="0"/>
          <w:i w:val="0"/>
          <w:iCs w:val="0"/>
          <w:color w:val="auto"/>
          <w:kern w:val="2"/>
          <w:sz w:val="24"/>
          <w:szCs w:val="24"/>
          <w:highlight w:val="none"/>
          <w:u w:val="none"/>
          <w:lang w:val="en-US" w:eastAsia="zh-CN" w:bidi="ar-SA"/>
        </w:rPr>
      </w:pPr>
      <w:r>
        <w:rPr>
          <w:rFonts w:hint="eastAsia" w:ascii="宋体" w:hAnsi="宋体" w:eastAsia="宋体" w:cs="宋体"/>
          <w:b/>
          <w:bCs/>
          <w:i w:val="0"/>
          <w:iCs w:val="0"/>
          <w:color w:val="auto"/>
          <w:kern w:val="2"/>
          <w:sz w:val="24"/>
          <w:szCs w:val="24"/>
          <w:highlight w:val="none"/>
          <w:u w:val="none"/>
          <w:lang w:val="en-US" w:eastAsia="zh-CN" w:bidi="ar-SA"/>
        </w:rPr>
        <w:t>1.标的</w:t>
      </w:r>
    </w:p>
    <w:p w14:paraId="4F54CF6B">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i w:val="0"/>
          <w:iCs w:val="0"/>
          <w:color w:val="auto"/>
          <w:sz w:val="24"/>
          <w:szCs w:val="24"/>
          <w:highlight w:val="none"/>
          <w:u w:val="none"/>
          <w:lang w:val="en-US" w:eastAsia="zh-CN"/>
        </w:rPr>
      </w:pPr>
      <w:r>
        <w:rPr>
          <w:rFonts w:hint="eastAsia" w:ascii="宋体" w:hAnsi="宋体" w:eastAsia="宋体" w:cs="宋体"/>
          <w:b w:val="0"/>
          <w:bCs w:val="0"/>
          <w:i w:val="0"/>
          <w:iCs w:val="0"/>
          <w:color w:val="auto"/>
          <w:kern w:val="2"/>
          <w:sz w:val="24"/>
          <w:szCs w:val="24"/>
          <w:highlight w:val="none"/>
          <w:u w:val="none"/>
          <w:lang w:val="en-US" w:eastAsia="zh-CN" w:bidi="ar-SA"/>
        </w:rPr>
        <w:t>1.1</w:t>
      </w:r>
      <w:r>
        <w:rPr>
          <w:rFonts w:hint="eastAsia" w:ascii="宋体" w:hAnsi="宋体" w:eastAsia="宋体" w:cs="宋体"/>
          <w:b w:val="0"/>
          <w:bCs w:val="0"/>
          <w:i w:val="0"/>
          <w:iCs w:val="0"/>
          <w:color w:val="auto"/>
          <w:sz w:val="24"/>
          <w:szCs w:val="24"/>
          <w:highlight w:val="none"/>
          <w:u w:val="none"/>
          <w:lang w:val="en-US" w:eastAsia="zh-CN"/>
        </w:rPr>
        <w:t>按照【招标文件】中明确的标的填写标的名称；</w:t>
      </w:r>
    </w:p>
    <w:p w14:paraId="1E6EFDA7">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val="0"/>
          <w:bCs w:val="0"/>
          <w:i w:val="0"/>
          <w:iCs w:val="0"/>
          <w:color w:val="auto"/>
          <w:sz w:val="24"/>
          <w:szCs w:val="24"/>
          <w:highlight w:val="none"/>
          <w:u w:val="none"/>
          <w:lang w:val="en-US" w:eastAsia="zh-CN"/>
        </w:rPr>
        <w:t>1.2《中小企业声明函》中</w:t>
      </w:r>
      <w:r>
        <w:rPr>
          <w:rFonts w:hint="eastAsia" w:ascii="宋体" w:hAnsi="宋体" w:eastAsia="宋体" w:cs="宋体"/>
          <w:b w:val="0"/>
          <w:bCs w:val="0"/>
          <w:color w:val="auto"/>
          <w:kern w:val="2"/>
          <w:sz w:val="24"/>
          <w:szCs w:val="24"/>
          <w:highlight w:val="none"/>
          <w:u w:val="none"/>
          <w:lang w:val="en-US" w:eastAsia="zh-CN" w:bidi="ar-SA"/>
        </w:rPr>
        <w:t>未包括全部采购标的，</w:t>
      </w:r>
      <w:r>
        <w:rPr>
          <w:rFonts w:hint="eastAsia" w:ascii="宋体" w:hAnsi="宋体" w:eastAsia="宋体" w:cs="宋体"/>
          <w:b/>
          <w:bCs/>
          <w:i w:val="0"/>
          <w:iCs w:val="0"/>
          <w:color w:val="auto"/>
          <w:sz w:val="24"/>
          <w:szCs w:val="24"/>
          <w:highlight w:val="none"/>
          <w:u w:val="none"/>
          <w:lang w:val="en-US" w:eastAsia="zh-CN"/>
        </w:rPr>
        <w:t>《中小企业声明函》无效</w:t>
      </w:r>
      <w:r>
        <w:rPr>
          <w:rFonts w:hint="eastAsia" w:ascii="宋体" w:hAnsi="宋体" w:eastAsia="宋体" w:cs="宋体"/>
          <w:b w:val="0"/>
          <w:bCs w:val="0"/>
          <w:i w:val="0"/>
          <w:iCs w:val="0"/>
          <w:color w:val="auto"/>
          <w:sz w:val="24"/>
          <w:szCs w:val="24"/>
          <w:highlight w:val="none"/>
          <w:u w:val="none"/>
          <w:lang w:val="en-US" w:eastAsia="zh-CN"/>
        </w:rPr>
        <w:t>。（招标文件中明确的标的是能够独立发挥功能的产品，配件、辅料不作为标的，不需要在《中小企业声明函》里填列。）</w:t>
      </w:r>
    </w:p>
    <w:p w14:paraId="2C0DF21F">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bCs/>
          <w:color w:val="auto"/>
          <w:kern w:val="2"/>
          <w:sz w:val="24"/>
          <w:szCs w:val="24"/>
          <w:highlight w:val="none"/>
          <w:u w:val="none"/>
          <w:lang w:val="en-US" w:eastAsia="zh-CN" w:bidi="ar-SA"/>
        </w:rPr>
        <w:t>2.所属行业</w:t>
      </w:r>
    </w:p>
    <w:p w14:paraId="210E847B">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i w:val="0"/>
          <w:iCs w:val="0"/>
          <w:color w:val="auto"/>
          <w:sz w:val="24"/>
          <w:szCs w:val="24"/>
          <w:highlight w:val="none"/>
          <w:u w:val="none"/>
          <w:lang w:val="en-US" w:eastAsia="zh-CN"/>
        </w:rPr>
      </w:pPr>
      <w:r>
        <w:rPr>
          <w:rFonts w:hint="eastAsia" w:ascii="宋体" w:hAnsi="宋体" w:eastAsia="宋体" w:cs="宋体"/>
          <w:b w:val="0"/>
          <w:bCs w:val="0"/>
          <w:i w:val="0"/>
          <w:iCs w:val="0"/>
          <w:color w:val="auto"/>
          <w:sz w:val="24"/>
          <w:szCs w:val="24"/>
          <w:highlight w:val="none"/>
          <w:u w:val="none"/>
          <w:lang w:val="en-US" w:eastAsia="zh-CN"/>
        </w:rPr>
        <w:t>按照【招标文件】中明确的标的“所属行业”填写，</w:t>
      </w:r>
      <w:r>
        <w:rPr>
          <w:rFonts w:hint="eastAsia" w:ascii="宋体" w:hAnsi="宋体" w:eastAsia="宋体" w:cs="宋体"/>
          <w:b w:val="0"/>
          <w:bCs w:val="0"/>
          <w:i w:val="0"/>
          <w:iCs w:val="0"/>
          <w:color w:val="auto"/>
          <w:sz w:val="24"/>
          <w:szCs w:val="24"/>
          <w:highlight w:val="none"/>
          <w:u w:val="none"/>
        </w:rPr>
        <w:t>未填写</w:t>
      </w:r>
      <w:r>
        <w:rPr>
          <w:rFonts w:hint="eastAsia" w:ascii="宋体" w:hAnsi="宋体" w:eastAsia="宋体" w:cs="宋体"/>
          <w:b w:val="0"/>
          <w:bCs w:val="0"/>
          <w:i w:val="0"/>
          <w:iCs w:val="0"/>
          <w:color w:val="auto"/>
          <w:sz w:val="24"/>
          <w:szCs w:val="24"/>
          <w:highlight w:val="none"/>
          <w:u w:val="none"/>
          <w:lang w:val="en-US" w:eastAsia="zh-CN"/>
        </w:rPr>
        <w:t>标的所属</w:t>
      </w:r>
      <w:r>
        <w:rPr>
          <w:rFonts w:hint="eastAsia" w:ascii="宋体" w:hAnsi="宋体" w:eastAsia="宋体" w:cs="宋体"/>
          <w:b w:val="0"/>
          <w:bCs w:val="0"/>
          <w:i w:val="0"/>
          <w:iCs w:val="0"/>
          <w:color w:val="auto"/>
          <w:sz w:val="24"/>
          <w:szCs w:val="24"/>
          <w:highlight w:val="none"/>
          <w:u w:val="none"/>
        </w:rPr>
        <w:t>行业</w:t>
      </w:r>
      <w:r>
        <w:rPr>
          <w:rFonts w:hint="eastAsia" w:ascii="宋体" w:hAnsi="宋体" w:eastAsia="宋体" w:cs="宋体"/>
          <w:b w:val="0"/>
          <w:bCs w:val="0"/>
          <w:i w:val="0"/>
          <w:iCs w:val="0"/>
          <w:color w:val="auto"/>
          <w:sz w:val="24"/>
          <w:szCs w:val="24"/>
          <w:highlight w:val="none"/>
          <w:u w:val="none"/>
          <w:lang w:eastAsia="zh-CN"/>
        </w:rPr>
        <w:t>，</w:t>
      </w:r>
      <w:r>
        <w:rPr>
          <w:rFonts w:hint="eastAsia" w:ascii="宋体" w:hAnsi="宋体" w:eastAsia="宋体" w:cs="宋体"/>
          <w:b w:val="0"/>
          <w:bCs w:val="0"/>
          <w:i w:val="0"/>
          <w:iCs w:val="0"/>
          <w:color w:val="auto"/>
          <w:sz w:val="24"/>
          <w:szCs w:val="24"/>
          <w:highlight w:val="none"/>
          <w:u w:val="none"/>
        </w:rPr>
        <w:t>或者填写</w:t>
      </w:r>
      <w:r>
        <w:rPr>
          <w:rFonts w:hint="eastAsia" w:ascii="宋体" w:hAnsi="宋体" w:eastAsia="宋体" w:cs="宋体"/>
          <w:b w:val="0"/>
          <w:bCs w:val="0"/>
          <w:i w:val="0"/>
          <w:iCs w:val="0"/>
          <w:color w:val="auto"/>
          <w:sz w:val="24"/>
          <w:szCs w:val="24"/>
          <w:highlight w:val="none"/>
          <w:u w:val="none"/>
          <w:lang w:val="en-US" w:eastAsia="zh-CN"/>
        </w:rPr>
        <w:t>的所属</w:t>
      </w:r>
      <w:r>
        <w:rPr>
          <w:rFonts w:hint="eastAsia" w:ascii="宋体" w:hAnsi="宋体" w:eastAsia="宋体" w:cs="宋体"/>
          <w:b w:val="0"/>
          <w:bCs w:val="0"/>
          <w:i w:val="0"/>
          <w:iCs w:val="0"/>
          <w:color w:val="auto"/>
          <w:sz w:val="24"/>
          <w:szCs w:val="24"/>
          <w:highlight w:val="none"/>
          <w:u w:val="none"/>
        </w:rPr>
        <w:t>行业</w:t>
      </w:r>
      <w:r>
        <w:rPr>
          <w:rFonts w:hint="eastAsia" w:ascii="宋体" w:hAnsi="宋体" w:eastAsia="宋体" w:cs="宋体"/>
          <w:b w:val="0"/>
          <w:bCs w:val="0"/>
          <w:i w:val="0"/>
          <w:iCs w:val="0"/>
          <w:color w:val="auto"/>
          <w:sz w:val="24"/>
          <w:szCs w:val="24"/>
          <w:highlight w:val="none"/>
          <w:u w:val="none"/>
          <w:lang w:val="en-US" w:eastAsia="zh-CN"/>
        </w:rPr>
        <w:t>与招标文件明确的所属行业不一致，</w:t>
      </w:r>
      <w:r>
        <w:rPr>
          <w:rFonts w:hint="eastAsia" w:ascii="宋体" w:hAnsi="宋体" w:eastAsia="宋体" w:cs="宋体"/>
          <w:b/>
          <w:bCs/>
          <w:i w:val="0"/>
          <w:iCs w:val="0"/>
          <w:color w:val="auto"/>
          <w:sz w:val="24"/>
          <w:szCs w:val="24"/>
          <w:highlight w:val="none"/>
          <w:u w:val="none"/>
          <w:lang w:val="en-US" w:eastAsia="zh-CN"/>
        </w:rPr>
        <w:t>《中小企业声明函》无效</w:t>
      </w:r>
      <w:r>
        <w:rPr>
          <w:rFonts w:hint="eastAsia" w:ascii="宋体" w:hAnsi="宋体" w:eastAsia="宋体" w:cs="宋体"/>
          <w:b w:val="0"/>
          <w:bCs w:val="0"/>
          <w:i w:val="0"/>
          <w:iCs w:val="0"/>
          <w:color w:val="auto"/>
          <w:sz w:val="24"/>
          <w:szCs w:val="24"/>
          <w:highlight w:val="none"/>
          <w:u w:val="none"/>
          <w:lang w:val="en-US" w:eastAsia="zh-CN"/>
        </w:rPr>
        <w:t>。</w:t>
      </w:r>
    </w:p>
    <w:p w14:paraId="24628C89">
      <w:pPr>
        <w:pStyle w:val="34"/>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b w:val="0"/>
          <w:bCs w:val="0"/>
          <w:i w:val="0"/>
          <w:iCs w:val="0"/>
          <w:color w:val="auto"/>
          <w:sz w:val="24"/>
          <w:szCs w:val="24"/>
          <w:highlight w:val="none"/>
          <w:u w:val="none"/>
          <w:lang w:val="en-US" w:eastAsia="zh-CN"/>
        </w:rPr>
      </w:pPr>
      <w:r>
        <w:rPr>
          <w:rFonts w:hint="eastAsia" w:ascii="宋体" w:hAnsi="宋体" w:eastAsia="宋体" w:cs="宋体"/>
          <w:b/>
          <w:bCs/>
          <w:i w:val="0"/>
          <w:iCs w:val="0"/>
          <w:color w:val="auto"/>
          <w:sz w:val="24"/>
          <w:szCs w:val="24"/>
          <w:highlight w:val="none"/>
          <w:u w:val="none"/>
          <w:lang w:val="en-US" w:eastAsia="zh-CN"/>
        </w:rPr>
        <w:t>3.承接企业</w:t>
      </w:r>
    </w:p>
    <w:p w14:paraId="460A9E82">
      <w:pPr>
        <w:pStyle w:val="34"/>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i w:val="0"/>
          <w:iCs w:val="0"/>
          <w:color w:val="auto"/>
          <w:sz w:val="24"/>
          <w:szCs w:val="24"/>
          <w:highlight w:val="none"/>
          <w:u w:val="none"/>
          <w:lang w:val="en-US" w:eastAsia="zh-CN"/>
        </w:rPr>
      </w:pPr>
      <w:r>
        <w:rPr>
          <w:rFonts w:hint="eastAsia" w:ascii="宋体" w:hAnsi="宋体" w:eastAsia="宋体" w:cs="宋体"/>
          <w:b w:val="0"/>
          <w:bCs w:val="0"/>
          <w:i w:val="0"/>
          <w:iCs w:val="0"/>
          <w:color w:val="auto"/>
          <w:sz w:val="24"/>
          <w:szCs w:val="24"/>
          <w:highlight w:val="none"/>
          <w:u w:val="none"/>
          <w:lang w:val="en-US" w:eastAsia="zh-CN"/>
        </w:rPr>
        <w:t>承接本项目的服务供应商。</w:t>
      </w:r>
    </w:p>
    <w:p w14:paraId="7FB03772">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b w:val="0"/>
          <w:bCs w:val="0"/>
          <w:i w:val="0"/>
          <w:iCs w:val="0"/>
          <w:color w:val="auto"/>
          <w:sz w:val="24"/>
          <w:szCs w:val="24"/>
          <w:highlight w:val="none"/>
          <w:u w:val="none"/>
          <w:lang w:val="en-US" w:eastAsia="zh-CN"/>
        </w:rPr>
      </w:pPr>
      <w:r>
        <w:rPr>
          <w:rFonts w:hint="eastAsia" w:ascii="宋体" w:hAnsi="宋体" w:eastAsia="宋体" w:cs="宋体"/>
          <w:b/>
          <w:bCs/>
          <w:i w:val="0"/>
          <w:iCs w:val="0"/>
          <w:color w:val="auto"/>
          <w:kern w:val="2"/>
          <w:sz w:val="24"/>
          <w:szCs w:val="24"/>
          <w:highlight w:val="none"/>
          <w:u w:val="none"/>
          <w:lang w:val="en-US" w:eastAsia="zh-CN" w:bidi="ar-SA"/>
        </w:rPr>
        <w:t>4.</w:t>
      </w:r>
      <w:r>
        <w:rPr>
          <w:rFonts w:hint="eastAsia" w:ascii="宋体" w:hAnsi="宋体" w:eastAsia="宋体" w:cs="宋体"/>
          <w:b/>
          <w:bCs/>
          <w:i w:val="0"/>
          <w:iCs w:val="0"/>
          <w:color w:val="auto"/>
          <w:sz w:val="24"/>
          <w:szCs w:val="24"/>
          <w:highlight w:val="none"/>
          <w:u w:val="none"/>
          <w:lang w:val="en-US" w:eastAsia="zh-CN"/>
        </w:rPr>
        <w:t>企业数据（</w:t>
      </w:r>
      <w:r>
        <w:rPr>
          <w:rFonts w:hint="eastAsia" w:ascii="宋体" w:hAnsi="宋体" w:eastAsia="宋体" w:cs="宋体"/>
          <w:b/>
          <w:bCs/>
          <w:color w:val="auto"/>
          <w:sz w:val="24"/>
          <w:szCs w:val="24"/>
          <w:highlight w:val="none"/>
          <w:u w:val="none"/>
        </w:rPr>
        <w:t>从业人员、营业收入、资产总额</w:t>
      </w:r>
      <w:r>
        <w:rPr>
          <w:rFonts w:hint="eastAsia" w:ascii="宋体" w:hAnsi="宋体" w:eastAsia="宋体" w:cs="宋体"/>
          <w:b/>
          <w:bCs/>
          <w:i w:val="0"/>
          <w:iCs w:val="0"/>
          <w:color w:val="auto"/>
          <w:sz w:val="24"/>
          <w:szCs w:val="24"/>
          <w:highlight w:val="none"/>
          <w:u w:val="none"/>
          <w:lang w:val="en-US" w:eastAsia="zh-CN"/>
        </w:rPr>
        <w:t>）</w:t>
      </w:r>
    </w:p>
    <w:p w14:paraId="3004E02F">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sz w:val="24"/>
          <w:szCs w:val="24"/>
          <w:highlight w:val="none"/>
          <w:u w:val="none"/>
          <w:lang w:eastAsia="zh-CN"/>
        </w:rPr>
      </w:pPr>
      <w:r>
        <w:rPr>
          <w:rFonts w:hint="eastAsia" w:ascii="宋体" w:hAnsi="宋体" w:eastAsia="宋体" w:cs="宋体"/>
          <w:b w:val="0"/>
          <w:bCs w:val="0"/>
          <w:i w:val="0"/>
          <w:iCs w:val="0"/>
          <w:color w:val="auto"/>
          <w:sz w:val="24"/>
          <w:szCs w:val="24"/>
          <w:highlight w:val="none"/>
          <w:u w:val="none"/>
          <w:lang w:val="en-US" w:eastAsia="zh-CN"/>
        </w:rPr>
        <w:t>企业数据</w:t>
      </w:r>
      <w:r>
        <w:rPr>
          <w:rFonts w:hint="eastAsia" w:ascii="宋体" w:hAnsi="宋体" w:eastAsia="宋体" w:cs="宋体"/>
          <w:b w:val="0"/>
          <w:bCs w:val="0"/>
          <w:color w:val="auto"/>
          <w:sz w:val="24"/>
          <w:szCs w:val="24"/>
          <w:highlight w:val="none"/>
          <w:u w:val="none"/>
        </w:rPr>
        <w:t>填报上一年度数据</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无上一年度数据的新</w:t>
      </w:r>
      <w:r>
        <w:rPr>
          <w:rFonts w:hint="eastAsia" w:ascii="宋体" w:hAnsi="宋体" w:eastAsia="宋体" w:cs="宋体"/>
          <w:b w:val="0"/>
          <w:bCs w:val="0"/>
          <w:color w:val="auto"/>
          <w:sz w:val="24"/>
          <w:szCs w:val="24"/>
          <w:highlight w:val="none"/>
          <w:u w:val="none"/>
          <w:lang w:val="en-US" w:eastAsia="zh-CN"/>
        </w:rPr>
        <w:t>成立</w:t>
      </w:r>
      <w:r>
        <w:rPr>
          <w:rFonts w:hint="eastAsia" w:ascii="宋体" w:hAnsi="宋体" w:eastAsia="宋体" w:cs="宋体"/>
          <w:b w:val="0"/>
          <w:bCs w:val="0"/>
          <w:color w:val="auto"/>
          <w:sz w:val="24"/>
          <w:szCs w:val="24"/>
          <w:highlight w:val="none"/>
          <w:u w:val="none"/>
        </w:rPr>
        <w:t>公司可不填写</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i w:val="0"/>
          <w:iCs w:val="0"/>
          <w:color w:val="auto"/>
          <w:sz w:val="24"/>
          <w:szCs w:val="24"/>
          <w:highlight w:val="none"/>
          <w:u w:val="none"/>
          <w:lang w:val="en-US" w:eastAsia="zh-CN"/>
        </w:rPr>
        <w:t>企业数据</w:t>
      </w:r>
      <w:r>
        <w:rPr>
          <w:rFonts w:hint="eastAsia" w:ascii="宋体" w:hAnsi="宋体" w:eastAsia="宋体" w:cs="宋体"/>
          <w:b w:val="0"/>
          <w:bCs w:val="0"/>
          <w:i w:val="0"/>
          <w:iCs w:val="0"/>
          <w:color w:val="auto"/>
          <w:sz w:val="24"/>
          <w:szCs w:val="24"/>
          <w:highlight w:val="none"/>
          <w:u w:val="none"/>
        </w:rPr>
        <w:t>有误的，评标委员会可以要求供应商进行澄清、说明。</w:t>
      </w:r>
    </w:p>
    <w:p w14:paraId="34AC2ACC">
      <w:pPr>
        <w:pStyle w:val="34"/>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eastAsia="zh-CN"/>
        </w:rPr>
        <w:t>5.中型企业、小型企业、微型企业类型</w:t>
      </w:r>
    </w:p>
    <w:p w14:paraId="7C0B005B">
      <w:pPr>
        <w:pStyle w:val="34"/>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sz w:val="24"/>
          <w:szCs w:val="24"/>
          <w:highlight w:val="none"/>
          <w:u w:val="none"/>
          <w:lang w:eastAsia="zh-CN"/>
        </w:rPr>
      </w:pPr>
      <w:r>
        <w:rPr>
          <w:rFonts w:hint="eastAsia" w:ascii="宋体" w:hAnsi="宋体" w:eastAsia="宋体" w:cs="宋体"/>
          <w:b w:val="0"/>
          <w:bCs w:val="0"/>
          <w:color w:val="auto"/>
          <w:sz w:val="24"/>
          <w:szCs w:val="24"/>
          <w:highlight w:val="none"/>
          <w:u w:val="none"/>
          <w:lang w:val="en-US" w:eastAsia="zh-CN"/>
        </w:rPr>
        <w:t>5.1</w:t>
      </w:r>
      <w:r>
        <w:rPr>
          <w:rFonts w:hint="eastAsia" w:ascii="宋体" w:hAnsi="宋体" w:eastAsia="宋体" w:cs="宋体"/>
          <w:b w:val="0"/>
          <w:bCs w:val="0"/>
          <w:color w:val="auto"/>
          <w:sz w:val="24"/>
          <w:szCs w:val="24"/>
          <w:highlight w:val="none"/>
          <w:u w:val="none"/>
        </w:rPr>
        <w:t>投标人须</w:t>
      </w:r>
      <w:r>
        <w:rPr>
          <w:rFonts w:hint="eastAsia" w:ascii="宋体" w:hAnsi="宋体" w:eastAsia="宋体" w:cs="宋体"/>
          <w:b w:val="0"/>
          <w:bCs w:val="0"/>
          <w:i w:val="0"/>
          <w:iCs w:val="0"/>
          <w:color w:val="auto"/>
          <w:sz w:val="24"/>
          <w:szCs w:val="24"/>
          <w:highlight w:val="none"/>
          <w:u w:val="none"/>
          <w:lang w:val="en-US" w:eastAsia="zh-CN"/>
        </w:rPr>
        <w:t>按照《中小企业划型标准规定》（工信部联企业〔2011〕300号）规定和【招标文件】中明确的标的“所属行业”，选择“中型企业、小型企业、微型企业”其中之一</w:t>
      </w:r>
      <w:r>
        <w:rPr>
          <w:rFonts w:hint="eastAsia" w:ascii="宋体" w:hAnsi="宋体" w:eastAsia="宋体" w:cs="宋体"/>
          <w:b w:val="0"/>
          <w:bCs w:val="0"/>
          <w:color w:val="auto"/>
          <w:sz w:val="24"/>
          <w:szCs w:val="24"/>
          <w:highlight w:val="none"/>
          <w:u w:val="none"/>
        </w:rPr>
        <w:t>正确填写《中小企业声明函》中的类型</w:t>
      </w:r>
      <w:r>
        <w:rPr>
          <w:rFonts w:hint="eastAsia" w:ascii="宋体" w:hAnsi="宋体" w:eastAsia="宋体" w:cs="宋体"/>
          <w:b w:val="0"/>
          <w:bCs w:val="0"/>
          <w:color w:val="auto"/>
          <w:sz w:val="24"/>
          <w:szCs w:val="24"/>
          <w:highlight w:val="none"/>
          <w:u w:val="none"/>
          <w:lang w:eastAsia="zh-CN"/>
        </w:rPr>
        <w:t>。</w:t>
      </w:r>
    </w:p>
    <w:p w14:paraId="551E9F13">
      <w:pPr>
        <w:pStyle w:val="34"/>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sz w:val="24"/>
          <w:szCs w:val="24"/>
          <w:highlight w:val="none"/>
          <w:u w:val="none"/>
          <w:lang w:eastAsia="zh-CN"/>
        </w:rPr>
      </w:pPr>
      <w:r>
        <w:rPr>
          <w:rFonts w:hint="eastAsia" w:ascii="宋体" w:hAnsi="宋体" w:eastAsia="宋体" w:cs="宋体"/>
          <w:b w:val="0"/>
          <w:bCs w:val="0"/>
          <w:color w:val="auto"/>
          <w:sz w:val="24"/>
          <w:szCs w:val="24"/>
          <w:highlight w:val="none"/>
          <w:u w:val="none"/>
          <w:lang w:val="en-US" w:eastAsia="zh-CN"/>
        </w:rPr>
        <w:t>5.2未填写企业类型、填写的企业类型不明确或填写的企业类型与实际不符（即：企业类型（中型企业、小型企业或微型企业）填写错误）</w:t>
      </w:r>
      <w:r>
        <w:rPr>
          <w:rFonts w:hint="eastAsia" w:ascii="宋体" w:hAnsi="宋体" w:eastAsia="宋体" w:cs="宋体"/>
          <w:b w:val="0"/>
          <w:bCs w:val="0"/>
          <w:color w:val="auto"/>
          <w:sz w:val="24"/>
          <w:szCs w:val="24"/>
          <w:highlight w:val="none"/>
          <w:u w:val="none"/>
        </w:rPr>
        <w:t>，</w:t>
      </w:r>
      <w:r>
        <w:rPr>
          <w:rFonts w:hint="eastAsia" w:ascii="宋体" w:hAnsi="宋体" w:eastAsia="宋体" w:cs="宋体"/>
          <w:b/>
          <w:bCs/>
          <w:i w:val="0"/>
          <w:iCs w:val="0"/>
          <w:color w:val="auto"/>
          <w:sz w:val="24"/>
          <w:szCs w:val="24"/>
          <w:highlight w:val="none"/>
          <w:u w:val="none"/>
          <w:lang w:val="en-US" w:eastAsia="zh-CN"/>
        </w:rPr>
        <w:t>《中小企业声明函》无效</w:t>
      </w:r>
      <w:r>
        <w:rPr>
          <w:rFonts w:hint="eastAsia" w:ascii="宋体" w:hAnsi="宋体" w:eastAsia="宋体" w:cs="宋体"/>
          <w:b w:val="0"/>
          <w:bCs w:val="0"/>
          <w:color w:val="auto"/>
          <w:sz w:val="24"/>
          <w:szCs w:val="24"/>
          <w:highlight w:val="none"/>
          <w:u w:val="none"/>
          <w:lang w:eastAsia="zh-CN"/>
        </w:rPr>
        <w:t>。</w:t>
      </w:r>
    </w:p>
    <w:p w14:paraId="1DC841D9">
      <w:pPr>
        <w:pStyle w:val="34"/>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color w:val="auto"/>
          <w:sz w:val="24"/>
          <w:szCs w:val="24"/>
          <w:highlight w:val="none"/>
          <w:u w:val="none"/>
          <w:lang w:val="en-US" w:eastAsia="zh-CN"/>
        </w:rPr>
        <w:t>5.3</w:t>
      </w:r>
      <w:r>
        <w:rPr>
          <w:rFonts w:hint="eastAsia" w:ascii="宋体" w:hAnsi="宋体" w:eastAsia="宋体" w:cs="宋体"/>
          <w:b w:val="0"/>
          <w:bCs w:val="0"/>
          <w:i w:val="0"/>
          <w:iCs w:val="0"/>
          <w:color w:val="auto"/>
          <w:sz w:val="24"/>
          <w:szCs w:val="24"/>
          <w:highlight w:val="none"/>
          <w:u w:val="none"/>
          <w:lang w:val="en-US" w:eastAsia="zh-CN"/>
        </w:rPr>
        <w:t>供应商声明的类型获得了本不应获得的利益（价格扣除或者资格审查通过）</w:t>
      </w:r>
      <w:r>
        <w:rPr>
          <w:rFonts w:hint="eastAsia" w:ascii="宋体" w:hAnsi="宋体" w:eastAsia="宋体" w:cs="宋体"/>
          <w:b w:val="0"/>
          <w:bCs w:val="0"/>
          <w:i w:val="0"/>
          <w:iCs w:val="0"/>
          <w:color w:val="auto"/>
          <w:sz w:val="24"/>
          <w:szCs w:val="24"/>
          <w:highlight w:val="none"/>
          <w:u w:val="none"/>
        </w:rPr>
        <w:t>，属于提供虚假材料。构成“</w:t>
      </w:r>
      <w:r>
        <w:rPr>
          <w:rFonts w:hint="eastAsia" w:ascii="宋体" w:hAnsi="宋体" w:eastAsia="宋体" w:cs="宋体"/>
          <w:b w:val="0"/>
          <w:bCs w:val="0"/>
          <w:i w:val="0"/>
          <w:iCs w:val="0"/>
          <w:color w:val="auto"/>
          <w:sz w:val="24"/>
          <w:szCs w:val="24"/>
          <w:highlight w:val="none"/>
          <w:u w:val="none"/>
          <w:lang w:val="en-US" w:eastAsia="zh-CN"/>
        </w:rPr>
        <w:t>提供</w:t>
      </w:r>
      <w:r>
        <w:rPr>
          <w:rFonts w:hint="eastAsia" w:ascii="宋体" w:hAnsi="宋体" w:eastAsia="宋体" w:cs="宋体"/>
          <w:b w:val="0"/>
          <w:bCs w:val="0"/>
          <w:i w:val="0"/>
          <w:iCs w:val="0"/>
          <w:color w:val="auto"/>
          <w:sz w:val="24"/>
          <w:szCs w:val="24"/>
          <w:highlight w:val="none"/>
          <w:u w:val="none"/>
        </w:rPr>
        <w:t>虚假材料谋取中标的”，依法承担法律责任。</w:t>
      </w:r>
    </w:p>
    <w:p w14:paraId="2B3A572D">
      <w:pPr>
        <w:pStyle w:val="28"/>
        <w:wordWrap w:val="0"/>
        <w:adjustRightInd w:val="0"/>
        <w:snapToGrid w:val="0"/>
        <w:spacing w:line="360" w:lineRule="auto"/>
        <w:ind w:firstLine="480" w:firstLineChars="200"/>
        <w:rPr>
          <w:color w:val="auto"/>
          <w:sz w:val="24"/>
          <w:highlight w:val="none"/>
        </w:rPr>
      </w:pPr>
    </w:p>
    <w:p w14:paraId="200A2993">
      <w:pPr>
        <w:wordWrap w:val="0"/>
        <w:jc w:val="center"/>
        <w:rPr>
          <w:rFonts w:ascii="宋体" w:hAnsi="宋体"/>
          <w:b/>
          <w:bCs/>
          <w:color w:val="auto"/>
          <w:sz w:val="44"/>
          <w:szCs w:val="44"/>
          <w:highlight w:val="none"/>
        </w:rPr>
      </w:pPr>
      <w:r>
        <w:rPr>
          <w:rFonts w:ascii="宋体" w:hAnsi="宋体"/>
          <w:b/>
          <w:bCs/>
          <w:color w:val="auto"/>
          <w:sz w:val="44"/>
          <w:szCs w:val="44"/>
          <w:highlight w:val="none"/>
        </w:rPr>
        <w:br w:type="page"/>
      </w:r>
      <w:r>
        <w:rPr>
          <w:rFonts w:ascii="宋体" w:hAnsi="宋体"/>
          <w:b/>
          <w:bCs/>
          <w:color w:val="auto"/>
          <w:sz w:val="44"/>
          <w:szCs w:val="44"/>
          <w:highlight w:val="none"/>
        </w:rPr>
        <w:t>监狱企业声明函</w:t>
      </w:r>
    </w:p>
    <w:p w14:paraId="04A64F67">
      <w:pPr>
        <w:wordWrap w:val="0"/>
        <w:adjustRightInd w:val="0"/>
        <w:snapToGrid w:val="0"/>
        <w:spacing w:line="300" w:lineRule="auto"/>
        <w:jc w:val="center"/>
        <w:rPr>
          <w:rFonts w:ascii="宋体" w:hAnsi="宋体"/>
          <w:b/>
          <w:color w:val="auto"/>
          <w:sz w:val="24"/>
          <w:highlight w:val="none"/>
        </w:rPr>
      </w:pPr>
      <w:r>
        <w:rPr>
          <w:rFonts w:ascii="宋体" w:hAnsi="宋体"/>
          <w:b/>
          <w:color w:val="auto"/>
          <w:sz w:val="24"/>
          <w:highlight w:val="none"/>
        </w:rPr>
        <w:t>【非监狱企业不用提供】</w:t>
      </w:r>
    </w:p>
    <w:p w14:paraId="7359A78D">
      <w:pPr>
        <w:widowControl/>
        <w:wordWrap w:val="0"/>
        <w:adjustRightInd w:val="0"/>
        <w:snapToGrid w:val="0"/>
        <w:spacing w:line="300" w:lineRule="auto"/>
        <w:ind w:firstLine="480" w:firstLineChars="200"/>
        <w:rPr>
          <w:rFonts w:ascii="宋体" w:hAnsi="宋体"/>
          <w:color w:val="auto"/>
          <w:sz w:val="24"/>
          <w:highlight w:val="none"/>
        </w:rPr>
      </w:pPr>
    </w:p>
    <w:p w14:paraId="07A6C412">
      <w:pPr>
        <w:widowControl/>
        <w:wordWrap w:val="0"/>
        <w:adjustRightInd w:val="0"/>
        <w:snapToGrid w:val="0"/>
        <w:spacing w:line="360" w:lineRule="auto"/>
        <w:ind w:firstLine="480" w:firstLineChars="200"/>
        <w:jc w:val="left"/>
        <w:rPr>
          <w:rFonts w:ascii="宋体" w:hAnsi="宋体"/>
          <w:color w:val="auto"/>
          <w:sz w:val="24"/>
          <w:highlight w:val="none"/>
        </w:rPr>
      </w:pPr>
      <w:r>
        <w:rPr>
          <w:rFonts w:ascii="宋体" w:hAnsi="宋体"/>
          <w:color w:val="auto"/>
          <w:sz w:val="24"/>
          <w:highlight w:val="none"/>
        </w:rPr>
        <w:t>本企业郑重声明，根据《关于政府采购支持监狱企业发展有关问题的通知》（财库[2014]68号）的规定，本企业为</w:t>
      </w:r>
      <w:r>
        <w:rPr>
          <w:rFonts w:ascii="宋体" w:hAnsi="宋体"/>
          <w:color w:val="auto"/>
          <w:sz w:val="24"/>
          <w:highlight w:val="none"/>
          <w:u w:val="single"/>
        </w:rPr>
        <w:t>监狱企业</w:t>
      </w:r>
      <w:r>
        <w:rPr>
          <w:rFonts w:ascii="宋体" w:hAnsi="宋体"/>
          <w:color w:val="auto"/>
          <w:sz w:val="24"/>
          <w:highlight w:val="none"/>
        </w:rPr>
        <w:t>。</w:t>
      </w:r>
    </w:p>
    <w:p w14:paraId="5B69927D">
      <w:pPr>
        <w:widowControl/>
        <w:wordWrap w:val="0"/>
        <w:adjustRightInd w:val="0"/>
        <w:snapToGrid w:val="0"/>
        <w:spacing w:line="360" w:lineRule="auto"/>
        <w:ind w:firstLine="480" w:firstLineChars="200"/>
        <w:jc w:val="left"/>
        <w:rPr>
          <w:rFonts w:ascii="宋体" w:hAnsi="宋体"/>
          <w:color w:val="auto"/>
          <w:sz w:val="24"/>
          <w:highlight w:val="none"/>
        </w:rPr>
      </w:pPr>
      <w:r>
        <w:rPr>
          <w:rFonts w:ascii="宋体" w:hAnsi="宋体"/>
          <w:color w:val="auto"/>
          <w:sz w:val="24"/>
          <w:highlight w:val="none"/>
        </w:rPr>
        <w:t>根据上述标准，我企业属于</w:t>
      </w:r>
      <w:r>
        <w:rPr>
          <w:rFonts w:ascii="宋体" w:hAnsi="宋体"/>
          <w:color w:val="auto"/>
          <w:sz w:val="24"/>
          <w:highlight w:val="none"/>
          <w:u w:val="single"/>
        </w:rPr>
        <w:t>监狱企业</w:t>
      </w:r>
      <w:r>
        <w:rPr>
          <w:rFonts w:ascii="宋体" w:hAnsi="宋体"/>
          <w:color w:val="auto"/>
          <w:sz w:val="24"/>
          <w:highlight w:val="none"/>
        </w:rPr>
        <w:t>的理由为：</w:t>
      </w:r>
      <w:r>
        <w:rPr>
          <w:rFonts w:ascii="宋体" w:hAnsi="宋体"/>
          <w:color w:val="auto"/>
          <w:sz w:val="24"/>
          <w:highlight w:val="none"/>
          <w:u w:val="single"/>
        </w:rPr>
        <w:t xml:space="preserve">        </w:t>
      </w:r>
      <w:r>
        <w:rPr>
          <w:rFonts w:ascii="宋体" w:hAnsi="宋体"/>
          <w:color w:val="auto"/>
          <w:sz w:val="24"/>
          <w:highlight w:val="none"/>
        </w:rPr>
        <w:t xml:space="preserve"> 。</w:t>
      </w:r>
    </w:p>
    <w:p w14:paraId="2AAD3A94">
      <w:pPr>
        <w:widowControl/>
        <w:wordWrap w:val="0"/>
        <w:adjustRightInd w:val="0"/>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本企业为参加（项目名称：</w:t>
      </w:r>
      <w:r>
        <w:rPr>
          <w:rFonts w:ascii="宋体" w:hAnsi="宋体"/>
          <w:color w:val="auto"/>
          <w:sz w:val="24"/>
          <w:highlight w:val="none"/>
          <w:u w:val="single"/>
        </w:rPr>
        <w:t xml:space="preserve">     </w:t>
      </w:r>
      <w:r>
        <w:rPr>
          <w:rFonts w:ascii="宋体" w:hAnsi="宋体"/>
          <w:color w:val="auto"/>
          <w:sz w:val="24"/>
          <w:highlight w:val="none"/>
        </w:rPr>
        <w:t>）（项目编号：</w:t>
      </w:r>
      <w:r>
        <w:rPr>
          <w:rFonts w:ascii="宋体" w:hAnsi="宋体"/>
          <w:color w:val="auto"/>
          <w:sz w:val="24"/>
          <w:highlight w:val="none"/>
          <w:u w:val="single"/>
        </w:rPr>
        <w:t xml:space="preserve">    </w:t>
      </w:r>
      <w:r>
        <w:rPr>
          <w:rFonts w:ascii="宋体" w:hAnsi="宋体"/>
          <w:color w:val="auto"/>
          <w:sz w:val="24"/>
          <w:highlight w:val="none"/>
        </w:rPr>
        <w:t>）采购活动提供本企业</w:t>
      </w:r>
      <w:r>
        <w:rPr>
          <w:rFonts w:ascii="宋体" w:hAnsi="宋体"/>
          <w:color w:val="auto"/>
          <w:sz w:val="24"/>
          <w:highlight w:val="none"/>
          <w:u w:val="single"/>
        </w:rPr>
        <w:t>的服务</w:t>
      </w:r>
      <w:r>
        <w:rPr>
          <w:rFonts w:ascii="宋体" w:hAnsi="宋体"/>
          <w:color w:val="auto"/>
          <w:sz w:val="24"/>
          <w:highlight w:val="none"/>
        </w:rPr>
        <w:t>。</w:t>
      </w:r>
    </w:p>
    <w:p w14:paraId="6DA0AF98">
      <w:pPr>
        <w:widowControl/>
        <w:wordWrap w:val="0"/>
        <w:adjustRightInd w:val="0"/>
        <w:snapToGrid w:val="0"/>
        <w:spacing w:line="360" w:lineRule="auto"/>
        <w:ind w:firstLine="482" w:firstLineChars="200"/>
        <w:rPr>
          <w:rFonts w:ascii="宋体" w:hAnsi="宋体"/>
          <w:color w:val="auto"/>
          <w:sz w:val="24"/>
          <w:highlight w:val="none"/>
        </w:rPr>
      </w:pPr>
      <w:r>
        <w:rPr>
          <w:rFonts w:ascii="宋体" w:hAnsi="宋体"/>
          <w:b/>
          <w:color w:val="auto"/>
          <w:sz w:val="24"/>
          <w:highlight w:val="none"/>
          <w:u w:val="single"/>
        </w:rPr>
        <w:t>本企业对上述声明的真实性负责。如有虚假，将依法承担相应责任</w:t>
      </w:r>
      <w:r>
        <w:rPr>
          <w:rFonts w:ascii="宋体" w:hAnsi="宋体"/>
          <w:color w:val="auto"/>
          <w:sz w:val="24"/>
          <w:highlight w:val="none"/>
        </w:rPr>
        <w:t>。</w:t>
      </w:r>
    </w:p>
    <w:p w14:paraId="4278675D">
      <w:pPr>
        <w:wordWrap w:val="0"/>
        <w:adjustRightInd w:val="0"/>
        <w:snapToGrid w:val="0"/>
        <w:spacing w:line="360" w:lineRule="auto"/>
        <w:ind w:firstLine="480" w:firstLineChars="200"/>
        <w:jc w:val="center"/>
        <w:rPr>
          <w:rFonts w:ascii="宋体" w:hAnsi="宋体"/>
          <w:color w:val="auto"/>
          <w:sz w:val="24"/>
          <w:highlight w:val="none"/>
        </w:rPr>
      </w:pPr>
    </w:p>
    <w:p w14:paraId="03574722">
      <w:pPr>
        <w:wordWrap w:val="0"/>
        <w:adjustRightInd w:val="0"/>
        <w:snapToGrid w:val="0"/>
        <w:spacing w:line="360" w:lineRule="auto"/>
        <w:ind w:firstLine="480" w:firstLineChars="200"/>
        <w:rPr>
          <w:rFonts w:ascii="宋体" w:hAnsi="宋体"/>
          <w:color w:val="auto"/>
          <w:sz w:val="24"/>
          <w:highlight w:val="none"/>
          <w:u w:val="single"/>
        </w:rPr>
      </w:pPr>
      <w:r>
        <w:rPr>
          <w:rFonts w:ascii="宋体" w:hAnsi="宋体"/>
          <w:color w:val="auto"/>
          <w:sz w:val="24"/>
          <w:highlight w:val="none"/>
        </w:rPr>
        <w:t>供应商名称（</w:t>
      </w:r>
      <w:r>
        <w:rPr>
          <w:rFonts w:hint="eastAsia" w:cs="宋体"/>
          <w:color w:val="auto"/>
          <w:sz w:val="22"/>
          <w:szCs w:val="22"/>
          <w:highlight w:val="none"/>
        </w:rPr>
        <w:t>公章</w:t>
      </w:r>
      <w:r>
        <w:rPr>
          <w:rFonts w:ascii="宋体" w:hAnsi="宋体"/>
          <w:color w:val="auto"/>
          <w:sz w:val="24"/>
          <w:highlight w:val="none"/>
        </w:rPr>
        <w:t>）：</w:t>
      </w:r>
      <w:r>
        <w:rPr>
          <w:rFonts w:ascii="宋体" w:hAnsi="宋体"/>
          <w:color w:val="auto"/>
          <w:sz w:val="24"/>
          <w:highlight w:val="none"/>
          <w:u w:val="single"/>
        </w:rPr>
        <w:t xml:space="preserve">            </w:t>
      </w:r>
    </w:p>
    <w:p w14:paraId="0537F1BD">
      <w:pPr>
        <w:wordWrap w:val="0"/>
        <w:adjustRightInd w:val="0"/>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日期：   年  月  日</w:t>
      </w:r>
    </w:p>
    <w:p w14:paraId="42797950">
      <w:pPr>
        <w:widowControl/>
        <w:wordWrap w:val="0"/>
        <w:snapToGrid w:val="0"/>
        <w:spacing w:line="360" w:lineRule="auto"/>
        <w:ind w:firstLine="480" w:firstLineChars="200"/>
        <w:rPr>
          <w:rFonts w:ascii="宋体" w:hAnsi="宋体"/>
          <w:color w:val="auto"/>
          <w:sz w:val="24"/>
          <w:highlight w:val="none"/>
        </w:rPr>
      </w:pPr>
    </w:p>
    <w:p w14:paraId="50B90FCD">
      <w:pPr>
        <w:widowControl/>
        <w:wordWrap w:val="0"/>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监狱企业参加政府采购活动时，应当提供由省级以上监狱管理局、戒毒管理局（含新疆生产建设兵团）出具的属于监狱企业的文件或网页资料。</w:t>
      </w:r>
    </w:p>
    <w:p w14:paraId="3B315FD7">
      <w:pPr>
        <w:widowControl/>
        <w:wordWrap w:val="0"/>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094E0EF">
      <w:pPr>
        <w:pStyle w:val="28"/>
        <w:wordWrap w:val="0"/>
        <w:adjustRightInd w:val="0"/>
        <w:snapToGrid w:val="0"/>
        <w:spacing w:line="300" w:lineRule="auto"/>
        <w:ind w:firstLine="420" w:firstLineChars="200"/>
        <w:rPr>
          <w:color w:val="auto"/>
          <w:highlight w:val="none"/>
        </w:rPr>
      </w:pPr>
      <w:r>
        <w:rPr>
          <w:color w:val="auto"/>
          <w:highlight w:val="none"/>
        </w:rPr>
        <w:br w:type="page"/>
      </w:r>
    </w:p>
    <w:p w14:paraId="42EA9403">
      <w:pPr>
        <w:wordWrap w:val="0"/>
        <w:jc w:val="center"/>
        <w:rPr>
          <w:rFonts w:ascii="宋体" w:hAnsi="宋体"/>
          <w:b/>
          <w:bCs/>
          <w:color w:val="auto"/>
          <w:sz w:val="44"/>
          <w:szCs w:val="44"/>
          <w:highlight w:val="none"/>
        </w:rPr>
      </w:pPr>
      <w:bookmarkStart w:id="93" w:name="OLE_LINK13"/>
      <w:bookmarkStart w:id="94" w:name="OLE_LINK14"/>
      <w:r>
        <w:rPr>
          <w:rFonts w:ascii="宋体" w:hAnsi="宋体"/>
          <w:b/>
          <w:bCs/>
          <w:color w:val="auto"/>
          <w:sz w:val="44"/>
          <w:szCs w:val="44"/>
          <w:highlight w:val="none"/>
        </w:rPr>
        <w:t>残疾人福利性单位声明函</w:t>
      </w:r>
    </w:p>
    <w:bookmarkEnd w:id="93"/>
    <w:bookmarkEnd w:id="94"/>
    <w:p w14:paraId="695A79A8">
      <w:pPr>
        <w:wordWrap w:val="0"/>
        <w:snapToGrid w:val="0"/>
        <w:spacing w:line="300" w:lineRule="auto"/>
        <w:ind w:firstLine="444" w:firstLineChars="200"/>
        <w:rPr>
          <w:rFonts w:ascii="宋体" w:hAnsi="宋体"/>
          <w:color w:val="auto"/>
          <w:spacing w:val="6"/>
          <w:highlight w:val="none"/>
        </w:rPr>
      </w:pPr>
    </w:p>
    <w:p w14:paraId="40F59B36">
      <w:pPr>
        <w:wordWrap w:val="0"/>
        <w:snapToGrid w:val="0"/>
        <w:spacing w:line="360" w:lineRule="auto"/>
        <w:ind w:firstLine="504" w:firstLineChars="200"/>
        <w:rPr>
          <w:rFonts w:ascii="宋体" w:hAnsi="宋体"/>
          <w:color w:val="auto"/>
          <w:spacing w:val="6"/>
          <w:sz w:val="24"/>
          <w:highlight w:val="none"/>
        </w:rPr>
      </w:pPr>
      <w:r>
        <w:rPr>
          <w:rFonts w:ascii="宋体" w:hAnsi="宋体"/>
          <w:color w:val="auto"/>
          <w:spacing w:val="6"/>
          <w:sz w:val="24"/>
          <w:highlight w:val="none"/>
        </w:rPr>
        <w:t>本单位郑重声明，根据《财政部 民政部 中国残疾人联合会关于促进残疾人就业政府采购政策的通知》（财库</w:t>
      </w:r>
      <w:r>
        <w:rPr>
          <w:rFonts w:ascii="宋体" w:hAnsi="宋体"/>
          <w:color w:val="auto"/>
          <w:sz w:val="24"/>
          <w:highlight w:val="none"/>
        </w:rPr>
        <w:t>〔2017〕141</w:t>
      </w:r>
      <w:r>
        <w:rPr>
          <w:rFonts w:ascii="宋体" w:hAnsi="宋体"/>
          <w:color w:val="auto"/>
          <w:spacing w:val="6"/>
          <w:sz w:val="24"/>
          <w:highlight w:val="none"/>
        </w:rPr>
        <w:t>号）的规定，本单位为符合条件的残疾人福利性单位，且本单位参加</w:t>
      </w:r>
      <w:r>
        <w:rPr>
          <w:rFonts w:ascii="宋体" w:hAnsi="宋体"/>
          <w:color w:val="auto"/>
          <w:spacing w:val="6"/>
          <w:sz w:val="24"/>
          <w:highlight w:val="none"/>
          <w:u w:val="single"/>
        </w:rPr>
        <w:t xml:space="preserve"> （采购人名称）  </w:t>
      </w:r>
      <w:r>
        <w:rPr>
          <w:rFonts w:ascii="宋体" w:hAnsi="宋体"/>
          <w:color w:val="auto"/>
          <w:spacing w:val="6"/>
          <w:sz w:val="24"/>
          <w:highlight w:val="none"/>
        </w:rPr>
        <w:t>单位的</w:t>
      </w:r>
      <w:r>
        <w:rPr>
          <w:rFonts w:ascii="宋体" w:hAnsi="宋体"/>
          <w:color w:val="auto"/>
          <w:spacing w:val="6"/>
          <w:sz w:val="24"/>
          <w:highlight w:val="none"/>
          <w:u w:val="single"/>
        </w:rPr>
        <w:t xml:space="preserve">   （项目名称）    </w:t>
      </w:r>
      <w:r>
        <w:rPr>
          <w:rFonts w:ascii="宋体" w:hAnsi="宋体"/>
          <w:color w:val="auto"/>
          <w:spacing w:val="6"/>
          <w:sz w:val="24"/>
          <w:highlight w:val="none"/>
        </w:rPr>
        <w:t>项目采购活动提供本单位制造的货物（由本单位承担工程/提供服务），或者提供其他残疾人福利性单位制造的货物（不包括使用非残疾人福利性单位注册商标的货物）。</w:t>
      </w:r>
    </w:p>
    <w:p w14:paraId="249245E1">
      <w:pPr>
        <w:wordWrap w:val="0"/>
        <w:snapToGrid w:val="0"/>
        <w:spacing w:line="360" w:lineRule="auto"/>
        <w:ind w:firstLine="506" w:firstLineChars="200"/>
        <w:rPr>
          <w:rFonts w:ascii="宋体" w:hAnsi="宋体"/>
          <w:color w:val="auto"/>
          <w:spacing w:val="6"/>
          <w:sz w:val="24"/>
          <w:highlight w:val="none"/>
        </w:rPr>
      </w:pPr>
      <w:r>
        <w:rPr>
          <w:rFonts w:ascii="宋体" w:hAnsi="宋体"/>
          <w:b/>
          <w:color w:val="auto"/>
          <w:spacing w:val="6"/>
          <w:sz w:val="24"/>
          <w:highlight w:val="none"/>
          <w:u w:val="single"/>
        </w:rPr>
        <w:t>本单位对上述声明的真实性负责。如有虚假，将依法承担相应责任</w:t>
      </w:r>
      <w:r>
        <w:rPr>
          <w:rFonts w:ascii="宋体" w:hAnsi="宋体"/>
          <w:color w:val="auto"/>
          <w:spacing w:val="6"/>
          <w:sz w:val="24"/>
          <w:highlight w:val="none"/>
        </w:rPr>
        <w:t>。</w:t>
      </w:r>
    </w:p>
    <w:p w14:paraId="4C7BCC0E">
      <w:pPr>
        <w:wordWrap w:val="0"/>
        <w:snapToGrid w:val="0"/>
        <w:spacing w:line="360" w:lineRule="auto"/>
        <w:ind w:firstLine="504" w:firstLineChars="200"/>
        <w:rPr>
          <w:rFonts w:ascii="宋体" w:hAnsi="宋体"/>
          <w:color w:val="auto"/>
          <w:spacing w:val="6"/>
          <w:sz w:val="24"/>
          <w:highlight w:val="none"/>
        </w:rPr>
      </w:pPr>
    </w:p>
    <w:p w14:paraId="7CBCC439">
      <w:pPr>
        <w:wordWrap w:val="0"/>
        <w:snapToGrid w:val="0"/>
        <w:spacing w:line="360" w:lineRule="auto"/>
        <w:ind w:firstLine="504" w:firstLineChars="200"/>
        <w:rPr>
          <w:rFonts w:ascii="宋体" w:hAnsi="宋体"/>
          <w:color w:val="auto"/>
          <w:spacing w:val="6"/>
          <w:sz w:val="24"/>
          <w:highlight w:val="none"/>
        </w:rPr>
      </w:pPr>
    </w:p>
    <w:p w14:paraId="4F68FBF6">
      <w:pPr>
        <w:wordWrap w:val="0"/>
        <w:adjustRightInd w:val="0"/>
        <w:snapToGrid w:val="0"/>
        <w:spacing w:line="360" w:lineRule="auto"/>
        <w:ind w:firstLine="480" w:firstLineChars="200"/>
        <w:rPr>
          <w:rFonts w:ascii="宋体" w:hAnsi="宋体"/>
          <w:color w:val="auto"/>
          <w:sz w:val="24"/>
          <w:highlight w:val="none"/>
          <w:u w:val="single"/>
        </w:rPr>
      </w:pPr>
      <w:r>
        <w:rPr>
          <w:rFonts w:ascii="宋体" w:hAnsi="宋体"/>
          <w:color w:val="auto"/>
          <w:sz w:val="24"/>
          <w:highlight w:val="none"/>
        </w:rPr>
        <w:t>供应商名称（</w:t>
      </w:r>
      <w:r>
        <w:rPr>
          <w:rFonts w:hint="eastAsia" w:cs="宋体"/>
          <w:color w:val="auto"/>
          <w:sz w:val="22"/>
          <w:szCs w:val="22"/>
          <w:highlight w:val="none"/>
        </w:rPr>
        <w:t>公章</w:t>
      </w:r>
      <w:r>
        <w:rPr>
          <w:rFonts w:ascii="宋体" w:hAnsi="宋体"/>
          <w:color w:val="auto"/>
          <w:sz w:val="24"/>
          <w:highlight w:val="none"/>
        </w:rPr>
        <w:t>）：</w:t>
      </w:r>
      <w:r>
        <w:rPr>
          <w:rFonts w:ascii="宋体" w:hAnsi="宋体"/>
          <w:color w:val="auto"/>
          <w:sz w:val="24"/>
          <w:highlight w:val="none"/>
          <w:u w:val="single"/>
        </w:rPr>
        <w:t xml:space="preserve">            </w:t>
      </w:r>
    </w:p>
    <w:p w14:paraId="4C6E5B8D">
      <w:pPr>
        <w:wordWrap w:val="0"/>
        <w:adjustRightInd w:val="0"/>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日期：   年  月  日</w:t>
      </w:r>
    </w:p>
    <w:p w14:paraId="530F1671">
      <w:pPr>
        <w:spacing w:line="320" w:lineRule="exact"/>
        <w:jc w:val="center"/>
        <w:rPr>
          <w:b/>
          <w:color w:val="auto"/>
          <w:sz w:val="28"/>
          <w:highlight w:val="none"/>
        </w:rPr>
      </w:pPr>
    </w:p>
    <w:p w14:paraId="43935D10">
      <w:pPr>
        <w:spacing w:line="320" w:lineRule="exact"/>
        <w:jc w:val="center"/>
        <w:rPr>
          <w:b/>
          <w:color w:val="auto"/>
          <w:sz w:val="28"/>
          <w:highlight w:val="none"/>
        </w:rPr>
      </w:pPr>
    </w:p>
    <w:p w14:paraId="53CABB9C">
      <w:pPr>
        <w:spacing w:line="320" w:lineRule="exact"/>
        <w:jc w:val="center"/>
        <w:rPr>
          <w:b/>
          <w:color w:val="auto"/>
          <w:sz w:val="28"/>
          <w:highlight w:val="none"/>
        </w:rPr>
      </w:pPr>
    </w:p>
    <w:p w14:paraId="55288442">
      <w:pPr>
        <w:spacing w:line="320" w:lineRule="exact"/>
        <w:jc w:val="center"/>
        <w:rPr>
          <w:b/>
          <w:color w:val="auto"/>
          <w:sz w:val="28"/>
          <w:highlight w:val="none"/>
        </w:rPr>
      </w:pPr>
    </w:p>
    <w:p w14:paraId="339E9220">
      <w:pPr>
        <w:spacing w:line="320" w:lineRule="exact"/>
        <w:jc w:val="center"/>
        <w:rPr>
          <w:b/>
          <w:color w:val="auto"/>
          <w:sz w:val="28"/>
          <w:highlight w:val="none"/>
        </w:rPr>
      </w:pPr>
    </w:p>
    <w:p w14:paraId="6B82C59E">
      <w:pPr>
        <w:pStyle w:val="2"/>
        <w:rPr>
          <w:color w:val="auto"/>
          <w:highlight w:val="none"/>
        </w:rPr>
      </w:pPr>
    </w:p>
    <w:p w14:paraId="30CA270C">
      <w:pPr>
        <w:spacing w:line="320" w:lineRule="exact"/>
        <w:jc w:val="center"/>
        <w:rPr>
          <w:b/>
          <w:color w:val="auto"/>
          <w:sz w:val="28"/>
          <w:highlight w:val="none"/>
        </w:rPr>
      </w:pPr>
    </w:p>
    <w:p w14:paraId="7BEFE7BF">
      <w:pPr>
        <w:spacing w:line="320" w:lineRule="exact"/>
        <w:jc w:val="center"/>
        <w:rPr>
          <w:b/>
          <w:color w:val="auto"/>
          <w:sz w:val="28"/>
          <w:highlight w:val="none"/>
        </w:rPr>
      </w:pPr>
    </w:p>
    <w:p w14:paraId="5D62B1D3">
      <w:pPr>
        <w:spacing w:line="320" w:lineRule="exact"/>
        <w:jc w:val="center"/>
        <w:rPr>
          <w:b/>
          <w:color w:val="auto"/>
          <w:sz w:val="28"/>
          <w:highlight w:val="none"/>
        </w:rPr>
      </w:pPr>
    </w:p>
    <w:p w14:paraId="73681DB0">
      <w:pPr>
        <w:spacing w:line="320" w:lineRule="exact"/>
        <w:jc w:val="center"/>
        <w:rPr>
          <w:b/>
          <w:color w:val="auto"/>
          <w:sz w:val="28"/>
          <w:highlight w:val="none"/>
        </w:rPr>
      </w:pPr>
    </w:p>
    <w:p w14:paraId="32E654CF">
      <w:pPr>
        <w:spacing w:line="320" w:lineRule="exact"/>
        <w:jc w:val="center"/>
        <w:rPr>
          <w:b/>
          <w:color w:val="auto"/>
          <w:sz w:val="28"/>
          <w:highlight w:val="none"/>
        </w:rPr>
      </w:pPr>
    </w:p>
    <w:p w14:paraId="506E2771">
      <w:pPr>
        <w:spacing w:line="320" w:lineRule="exact"/>
        <w:jc w:val="center"/>
        <w:rPr>
          <w:b/>
          <w:color w:val="auto"/>
          <w:sz w:val="28"/>
          <w:highlight w:val="none"/>
        </w:rPr>
      </w:pPr>
    </w:p>
    <w:p w14:paraId="3DF8B19A">
      <w:pPr>
        <w:spacing w:line="320" w:lineRule="exact"/>
        <w:jc w:val="center"/>
        <w:rPr>
          <w:b/>
          <w:color w:val="auto"/>
          <w:sz w:val="28"/>
          <w:highlight w:val="none"/>
        </w:rPr>
      </w:pPr>
    </w:p>
    <w:p w14:paraId="47E2DC8C">
      <w:pPr>
        <w:spacing w:line="320" w:lineRule="exact"/>
        <w:jc w:val="center"/>
        <w:rPr>
          <w:b/>
          <w:color w:val="auto"/>
          <w:sz w:val="28"/>
          <w:highlight w:val="none"/>
        </w:rPr>
      </w:pPr>
    </w:p>
    <w:p w14:paraId="12160685">
      <w:pPr>
        <w:spacing w:line="320" w:lineRule="exact"/>
        <w:jc w:val="center"/>
        <w:rPr>
          <w:b/>
          <w:color w:val="auto"/>
          <w:sz w:val="28"/>
          <w:highlight w:val="none"/>
        </w:rPr>
      </w:pPr>
    </w:p>
    <w:p w14:paraId="2DD496DB">
      <w:pPr>
        <w:spacing w:line="320" w:lineRule="exact"/>
        <w:rPr>
          <w:color w:val="auto"/>
          <w:kern w:val="1"/>
          <w:highlight w:val="none"/>
        </w:rPr>
      </w:pPr>
    </w:p>
    <w:sectPr>
      <w:footerReference r:id="rId11" w:type="first"/>
      <w:headerReference r:id="rId9" w:type="default"/>
      <w:footerReference r:id="rId10" w:type="default"/>
      <w:pgSz w:w="11906" w:h="16838"/>
      <w:pgMar w:top="1247" w:right="1361" w:bottom="1247" w:left="1417" w:header="851" w:footer="992" w:gutter="0"/>
      <w:pgBorders>
        <w:top w:val="none" w:sz="0" w:space="0"/>
        <w:left w:val="none" w:sz="0" w:space="0"/>
        <w:bottom w:val="none" w:sz="0" w:space="0"/>
        <w:right w:val="none" w:sz="0" w:space="0"/>
      </w:pgBorders>
      <w:pgNumType w:fmt="numberInDash"/>
      <w:cols w:space="720" w:num="1"/>
      <w:titlePg/>
      <w:rtlGutter w:val="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1"/>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15E18D2-5569-4DC4-AA24-2D7E4E7D24D0}"/>
  </w:font>
  <w:font w:name="黑体">
    <w:panose1 w:val="02010609060101010101"/>
    <w:charset w:val="86"/>
    <w:family w:val="auto"/>
    <w:pitch w:val="default"/>
    <w:sig w:usb0="800002BF" w:usb1="38CF7CFA" w:usb2="00000016" w:usb3="00000000" w:csb0="00040001" w:csb1="00000000"/>
    <w:embedRegular r:id="rId2" w:fontKey="{D6233654-24F1-488A-A06C-D413A1DBE11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embedRegular r:id="rId3" w:fontKey="{7F86B533-B8E6-41E1-9D6B-235B717B652E}"/>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embedRegular r:id="rId4" w:fontKey="{A9A4015A-FC59-42D2-9531-269FFAB08D5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9C876">
    <w:pPr>
      <w:pStyle w:val="34"/>
      <w:tabs>
        <w:tab w:val="left" w:pos="6872"/>
        <w:tab w:val="clear" w:pos="4153"/>
      </w:tabs>
      <w:rPr>
        <w:rFonts w:hint="eastAsia" w:eastAsia="黑体"/>
        <w:lang w:eastAsia="zh-CN"/>
      </w:rPr>
    </w:pPr>
    <w:r>
      <w:rPr>
        <w:rFonts w:hint="eastAsia" w:ascii="黑体" w:hAnsi="黑体" w:eastAsia="黑体"/>
        <w:bCs/>
        <w:szCs w:val="22"/>
        <w:lang w:eastAsia="zh-CN"/>
      </w:rPr>
      <w:t>2025年度义乌市社会治理中心调处工作服务项目</w:t>
    </w:r>
    <w:r>
      <w:rPr>
        <w:rFonts w:hint="eastAsia" w:ascii="黑体" w:hAnsi="黑体" w:eastAsia="黑体"/>
        <w:bCs/>
        <w:szCs w:val="22"/>
      </w:rPr>
      <w:t>——</w:t>
    </w:r>
    <w:r>
      <w:rPr>
        <w:rFonts w:hint="eastAsia" w:ascii="黑体" w:hAnsi="黑体" w:eastAsia="黑体"/>
        <w:bCs/>
        <w:szCs w:val="22"/>
        <w:lang w:eastAsia="zh-CN"/>
      </w:rPr>
      <w:t>KXYC2024066FG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F3630">
    <w:pPr>
      <w:pStyle w:val="34"/>
      <w:tabs>
        <w:tab w:val="left" w:pos="6872"/>
        <w:tab w:val="clear" w:pos="4153"/>
      </w:tabs>
      <w:rPr>
        <w:rFonts w:hint="eastAsia" w:eastAsia="黑体"/>
        <w:lang w:eastAsia="zh-CN"/>
      </w:rPr>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4327F15">
                          <w:pPr>
                            <w:pStyle w:val="34"/>
                            <w:rPr>
                              <w:rFonts w:hint="eastAsia"/>
                            </w:rPr>
                          </w:pPr>
                          <w:r>
                            <w:rPr>
                              <w:rFonts w:hint="eastAsia"/>
                            </w:rPr>
                            <w:fldChar w:fldCharType="begin"/>
                          </w:r>
                          <w:r>
                            <w:rPr>
                              <w:rFonts w:hint="eastAsia"/>
                            </w:rPr>
                            <w:instrText xml:space="preserve"> PAGE  \* MERGEFORMAT </w:instrText>
                          </w:r>
                          <w:r>
                            <w:rPr>
                              <w:rFonts w:hint="eastAsia"/>
                            </w:rPr>
                            <w:fldChar w:fldCharType="separate"/>
                          </w:r>
                          <w:r>
                            <w:t>- 24 -</w:t>
                          </w:r>
                          <w:r>
                            <w:rPr>
                              <w:rFonts w:hint="eastAsia"/>
                            </w:rPr>
                            <w:fldChar w:fldCharType="end"/>
                          </w:r>
                        </w:p>
                      </w:txbxContent>
                    </wps:txbx>
                    <wps:bodyPr wrap="none" lIns="0" tIns="0" rIns="0" bIns="0" upright="0">
                      <a:spAutoFit/>
                    </wps:bodyPr>
                  </wps:wsp>
                </a:graphicData>
              </a:graphic>
            </wp:anchor>
          </w:drawing>
        </mc:Choice>
        <mc:Fallback>
          <w:pict>
            <v:shape id="文本框 12"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S9SVryQEAAJoDAAAOAAAAAAAAAAEAIAAAAB4BAABkcnMvZTJvRG9j&#10;LnhtbFBLBQYAAAAABgAGAFkBAABZBQAAAAA=&#10;">
              <v:fill on="f" focussize="0,0"/>
              <v:stroke on="f"/>
              <v:imagedata o:title=""/>
              <o:lock v:ext="edit" aspectratio="f"/>
              <v:textbox inset="0mm,0mm,0mm,0mm" style="mso-fit-shape-to-text:t;">
                <w:txbxContent>
                  <w:p w14:paraId="24327F15">
                    <w:pPr>
                      <w:pStyle w:val="34"/>
                      <w:rPr>
                        <w:rFonts w:hint="eastAsia"/>
                      </w:rPr>
                    </w:pPr>
                    <w:r>
                      <w:rPr>
                        <w:rFonts w:hint="eastAsia"/>
                      </w:rPr>
                      <w:fldChar w:fldCharType="begin"/>
                    </w:r>
                    <w:r>
                      <w:rPr>
                        <w:rFonts w:hint="eastAsia"/>
                      </w:rPr>
                      <w:instrText xml:space="preserve"> PAGE  \* MERGEFORMAT </w:instrText>
                    </w:r>
                    <w:r>
                      <w:rPr>
                        <w:rFonts w:hint="eastAsia"/>
                      </w:rPr>
                      <w:fldChar w:fldCharType="separate"/>
                    </w:r>
                    <w:r>
                      <w:t>- 24 -</w:t>
                    </w:r>
                    <w:r>
                      <w:rPr>
                        <w:rFonts w:hint="eastAsia"/>
                      </w:rPr>
                      <w:fldChar w:fldCharType="end"/>
                    </w:r>
                  </w:p>
                </w:txbxContent>
              </v:textbox>
            </v:shape>
          </w:pict>
        </mc:Fallback>
      </mc:AlternateContent>
    </w:r>
    <w:r>
      <w:rPr>
        <w:rFonts w:hint="eastAsia" w:ascii="黑体" w:hAnsi="黑体" w:eastAsia="黑体"/>
        <w:bCs/>
        <w:szCs w:val="22"/>
        <w:lang w:eastAsia="zh-CN"/>
      </w:rPr>
      <w:t>2025年度义乌市社会治理中心调处工作服务项目</w:t>
    </w:r>
    <w:r>
      <w:rPr>
        <w:rFonts w:hint="eastAsia" w:ascii="黑体" w:hAnsi="黑体" w:eastAsia="黑体"/>
        <w:bCs/>
        <w:szCs w:val="22"/>
      </w:rPr>
      <w:t>——</w:t>
    </w:r>
    <w:r>
      <w:rPr>
        <w:rFonts w:hint="eastAsia" w:ascii="黑体" w:hAnsi="黑体" w:eastAsia="黑体"/>
        <w:bCs/>
        <w:szCs w:val="22"/>
        <w:lang w:eastAsia="zh-CN"/>
      </w:rPr>
      <w:t>KXYC2024066FG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30365">
    <w:pPr>
      <w:pStyle w:val="34"/>
      <w:tabs>
        <w:tab w:val="left" w:pos="6872"/>
        <w:tab w:val="clear" w:pos="4153"/>
      </w:tabs>
      <w:rPr>
        <w:rFonts w:hint="eastAsia" w:eastAsia="黑体"/>
        <w:kern w:val="1"/>
        <w:lang w:eastAsia="zh-CN"/>
      </w:rP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1B68256">
                          <w:pPr>
                            <w:pStyle w:val="34"/>
                            <w:rPr>
                              <w:rFonts w:hint="eastAsia"/>
                            </w:rPr>
                          </w:pPr>
                          <w:r>
                            <w:rPr>
                              <w:rFonts w:hint="eastAsia"/>
                            </w:rPr>
                            <w:fldChar w:fldCharType="begin"/>
                          </w:r>
                          <w:r>
                            <w:rPr>
                              <w:rFonts w:hint="eastAsia"/>
                            </w:rPr>
                            <w:instrText xml:space="preserve"> PAGE  \* MERGEFORMAT </w:instrText>
                          </w:r>
                          <w:r>
                            <w:rPr>
                              <w:rFonts w:hint="eastAsia"/>
                            </w:rPr>
                            <w:fldChar w:fldCharType="separate"/>
                          </w:r>
                          <w:r>
                            <w:t>- 23 -</w:t>
                          </w:r>
                          <w:r>
                            <w:rPr>
                              <w:rFonts w:hint="eastAsia"/>
                            </w:rP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mLMpMkBAACZ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I6&#10;29MHqLHrIWBfGu78kFunPGAyqx5UtPmNegjW0dzz1Vw5JCLyR+vVel1hSWBtPiAOe/w8REhvpbck&#10;Bw2NeHvFVH56D2lsnVvyNOfvtTGY57VxfyUQM2dY5j5yzFEa9sNEfO/bM+rp8eIb6nDPKTHvHPqa&#10;d2QO4hzs5+AYoj50SG1ZeEG4PSYkUbjlCSPsNBhvrKibtiuvxJ/n0vX4R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YsykyQEAAJkDAAAOAAAAAAAAAAEAIAAAAB4BAABkcnMvZTJvRG9j&#10;LnhtbFBLBQYAAAAABgAGAFkBAABZBQAAAAA=&#10;">
              <v:fill on="f" focussize="0,0"/>
              <v:stroke on="f"/>
              <v:imagedata o:title=""/>
              <o:lock v:ext="edit" aspectratio="f"/>
              <v:textbox inset="0mm,0mm,0mm,0mm" style="mso-fit-shape-to-text:t;">
                <w:txbxContent>
                  <w:p w14:paraId="21B68256">
                    <w:pPr>
                      <w:pStyle w:val="34"/>
                      <w:rPr>
                        <w:rFonts w:hint="eastAsia"/>
                      </w:rPr>
                    </w:pPr>
                    <w:r>
                      <w:rPr>
                        <w:rFonts w:hint="eastAsia"/>
                      </w:rPr>
                      <w:fldChar w:fldCharType="begin"/>
                    </w:r>
                    <w:r>
                      <w:rPr>
                        <w:rFonts w:hint="eastAsia"/>
                      </w:rPr>
                      <w:instrText xml:space="preserve"> PAGE  \* MERGEFORMAT </w:instrText>
                    </w:r>
                    <w:r>
                      <w:rPr>
                        <w:rFonts w:hint="eastAsia"/>
                      </w:rPr>
                      <w:fldChar w:fldCharType="separate"/>
                    </w:r>
                    <w:r>
                      <w:t>- 23 -</w:t>
                    </w:r>
                    <w:r>
                      <w:rPr>
                        <w:rFonts w:hint="eastAsia"/>
                      </w:rPr>
                      <w:fldChar w:fldCharType="end"/>
                    </w:r>
                  </w:p>
                </w:txbxContent>
              </v:textbox>
            </v:shape>
          </w:pict>
        </mc:Fallback>
      </mc:AlternateContent>
    </w:r>
    <w:r>
      <w:rPr>
        <w:rFonts w:hint="eastAsia" w:ascii="黑体" w:hAnsi="黑体" w:eastAsia="黑体"/>
        <w:bCs/>
        <w:szCs w:val="22"/>
        <w:lang w:eastAsia="zh-CN"/>
      </w:rPr>
      <w:t>2025年度义乌市社会治理中心调处工作服务项目</w:t>
    </w:r>
    <w:r>
      <w:rPr>
        <w:rFonts w:hint="eastAsia" w:ascii="黑体" w:hAnsi="黑体" w:eastAsia="黑体"/>
        <w:bCs/>
        <w:szCs w:val="22"/>
      </w:rPr>
      <w:t>——</w:t>
    </w:r>
    <w:r>
      <w:rPr>
        <w:rFonts w:hint="eastAsia" w:ascii="黑体" w:hAnsi="黑体" w:eastAsia="黑体"/>
        <w:bCs/>
        <w:szCs w:val="22"/>
        <w:lang w:eastAsia="zh-CN"/>
      </w:rPr>
      <w:t>KXYC2024066FG</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3CE8C">
    <w:pPr>
      <w:pStyle w:val="34"/>
      <w:tabs>
        <w:tab w:val="left" w:pos="6872"/>
        <w:tab w:val="clear" w:pos="4153"/>
      </w:tabs>
      <w:rPr>
        <w:rFonts w:hint="eastAsia" w:eastAsia="黑体"/>
        <w:lang w:eastAsia="zh-CN"/>
      </w:rPr>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5ABA14">
                          <w:pPr>
                            <w:pStyle w:val="34"/>
                            <w:rPr>
                              <w:rFonts w:hint="eastAsia"/>
                            </w:rPr>
                          </w:pPr>
                          <w:r>
                            <w:rPr>
                              <w:rFonts w:hint="eastAsia"/>
                            </w:rPr>
                            <w:fldChar w:fldCharType="begin"/>
                          </w:r>
                          <w:r>
                            <w:rPr>
                              <w:rFonts w:hint="eastAsia"/>
                            </w:rPr>
                            <w:instrText xml:space="preserve"> PAGE  \* MERGEFORMAT </w:instrText>
                          </w:r>
                          <w:r>
                            <w:rPr>
                              <w:rFonts w:hint="eastAsia"/>
                            </w:rPr>
                            <w:fldChar w:fldCharType="separate"/>
                          </w:r>
                          <w:r>
                            <w:t>- 43 -</w:t>
                          </w:r>
                          <w:r>
                            <w:rPr>
                              <w:rFonts w:hint="eastAsia"/>
                            </w:rPr>
                            <w:fldChar w:fldCharType="end"/>
                          </w:r>
                        </w:p>
                      </w:txbxContent>
                    </wps:txbx>
                    <wps:bodyPr wrap="none" lIns="0" tIns="0" rIns="0" bIns="0" upright="0">
                      <a:spAutoFit/>
                    </wps:bodyPr>
                  </wps:wsp>
                </a:graphicData>
              </a:graphic>
            </wp:anchor>
          </w:drawing>
        </mc:Choice>
        <mc:Fallback>
          <w:pict>
            <v:shape id="文本框 14"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htiniyQEAAJoDAAAOAAAAAAAAAAEAIAAAAB4BAABkcnMvZTJvRG9j&#10;LnhtbFBLBQYAAAAABgAGAFkBAABZBQAAAAA=&#10;">
              <v:fill on="f" focussize="0,0"/>
              <v:stroke on="f"/>
              <v:imagedata o:title=""/>
              <o:lock v:ext="edit" aspectratio="f"/>
              <v:textbox inset="0mm,0mm,0mm,0mm" style="mso-fit-shape-to-text:t;">
                <w:txbxContent>
                  <w:p w14:paraId="3F5ABA14">
                    <w:pPr>
                      <w:pStyle w:val="34"/>
                      <w:rPr>
                        <w:rFonts w:hint="eastAsia"/>
                      </w:rPr>
                    </w:pPr>
                    <w:r>
                      <w:rPr>
                        <w:rFonts w:hint="eastAsia"/>
                      </w:rPr>
                      <w:fldChar w:fldCharType="begin"/>
                    </w:r>
                    <w:r>
                      <w:rPr>
                        <w:rFonts w:hint="eastAsia"/>
                      </w:rPr>
                      <w:instrText xml:space="preserve"> PAGE  \* MERGEFORMAT </w:instrText>
                    </w:r>
                    <w:r>
                      <w:rPr>
                        <w:rFonts w:hint="eastAsia"/>
                      </w:rPr>
                      <w:fldChar w:fldCharType="separate"/>
                    </w:r>
                    <w:r>
                      <w:t>- 43 -</w:t>
                    </w:r>
                    <w:r>
                      <w:rPr>
                        <w:rFonts w:hint="eastAsia"/>
                      </w:rPr>
                      <w:fldChar w:fldCharType="end"/>
                    </w:r>
                  </w:p>
                </w:txbxContent>
              </v:textbox>
            </v:shape>
          </w:pict>
        </mc:Fallback>
      </mc:AlternateContent>
    </w:r>
    <w:r>
      <w:rPr>
        <w:rFonts w:hint="eastAsia" w:ascii="黑体" w:hAnsi="黑体" w:eastAsia="黑体"/>
        <w:bCs/>
        <w:szCs w:val="22"/>
        <w:lang w:eastAsia="zh-CN"/>
      </w:rPr>
      <w:t>2025年度义乌市社会治理中心调处工作服务项目</w:t>
    </w:r>
    <w:r>
      <w:rPr>
        <w:rFonts w:hint="eastAsia" w:ascii="黑体" w:hAnsi="黑体" w:eastAsia="黑体"/>
        <w:bCs/>
        <w:szCs w:val="22"/>
      </w:rPr>
      <w:t>——</w:t>
    </w:r>
    <w:r>
      <w:rPr>
        <w:rFonts w:hint="eastAsia" w:ascii="黑体" w:hAnsi="黑体" w:eastAsia="黑体"/>
        <w:bCs/>
        <w:szCs w:val="22"/>
        <w:lang w:eastAsia="zh-CN"/>
      </w:rPr>
      <w:t>KXYC2024066FG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64516">
    <w:pPr>
      <w:pStyle w:val="34"/>
      <w:tabs>
        <w:tab w:val="left" w:pos="6872"/>
        <w:tab w:val="clear" w:pos="4153"/>
      </w:tabs>
      <w:rPr>
        <w:rFonts w:hint="eastAsia" w:eastAsia="黑体"/>
        <w:lang w:eastAsia="zh-CN"/>
      </w:rPr>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F084743">
                          <w:pPr>
                            <w:pStyle w:val="34"/>
                            <w:rPr>
                              <w:rFonts w:hint="eastAsia"/>
                            </w:rPr>
                          </w:pPr>
                          <w:r>
                            <w:rPr>
                              <w:rFonts w:hint="eastAsia"/>
                            </w:rPr>
                            <w:fldChar w:fldCharType="begin"/>
                          </w:r>
                          <w:r>
                            <w:rPr>
                              <w:rFonts w:hint="eastAsia"/>
                            </w:rPr>
                            <w:instrText xml:space="preserve"> PAGE  \* MERGEFORMAT </w:instrText>
                          </w:r>
                          <w:r>
                            <w:rPr>
                              <w:rFonts w:hint="eastAsia"/>
                            </w:rPr>
                            <w:fldChar w:fldCharType="separate"/>
                          </w:r>
                          <w:r>
                            <w:t>- 25 -</w:t>
                          </w:r>
                          <w:r>
                            <w:rPr>
                              <w:rFonts w:hint="eastAsia"/>
                            </w:rPr>
                            <w:fldChar w:fldCharType="end"/>
                          </w:r>
                        </w:p>
                      </w:txbxContent>
                    </wps:txbx>
                    <wps:bodyPr wrap="none" lIns="0" tIns="0" rIns="0" bIns="0" upright="0">
                      <a:spAutoFit/>
                    </wps:bodyPr>
                  </wps:wsp>
                </a:graphicData>
              </a:graphic>
            </wp:anchor>
          </w:drawing>
        </mc:Choice>
        <mc:Fallback>
          <w:pict>
            <v:shape id="文本框 13"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luC6yQEAAJoDAAAOAAAAAAAAAAEAIAAAAB4BAABkcnMvZTJvRG9j&#10;LnhtbFBLBQYAAAAABgAGAFkBAABZBQAAAAA=&#10;">
              <v:fill on="f" focussize="0,0"/>
              <v:stroke on="f"/>
              <v:imagedata o:title=""/>
              <o:lock v:ext="edit" aspectratio="f"/>
              <v:textbox inset="0mm,0mm,0mm,0mm" style="mso-fit-shape-to-text:t;">
                <w:txbxContent>
                  <w:p w14:paraId="0F084743">
                    <w:pPr>
                      <w:pStyle w:val="34"/>
                      <w:rPr>
                        <w:rFonts w:hint="eastAsia"/>
                      </w:rPr>
                    </w:pPr>
                    <w:r>
                      <w:rPr>
                        <w:rFonts w:hint="eastAsia"/>
                      </w:rPr>
                      <w:fldChar w:fldCharType="begin"/>
                    </w:r>
                    <w:r>
                      <w:rPr>
                        <w:rFonts w:hint="eastAsia"/>
                      </w:rPr>
                      <w:instrText xml:space="preserve"> PAGE  \* MERGEFORMAT </w:instrText>
                    </w:r>
                    <w:r>
                      <w:rPr>
                        <w:rFonts w:hint="eastAsia"/>
                      </w:rPr>
                      <w:fldChar w:fldCharType="separate"/>
                    </w:r>
                    <w:r>
                      <w:t>- 25 -</w:t>
                    </w:r>
                    <w:r>
                      <w:rPr>
                        <w:rFonts w:hint="eastAsia"/>
                      </w:rPr>
                      <w:fldChar w:fldCharType="end"/>
                    </w:r>
                  </w:p>
                </w:txbxContent>
              </v:textbox>
            </v:shape>
          </w:pict>
        </mc:Fallback>
      </mc:AlternateContent>
    </w:r>
    <w:r>
      <w:rPr>
        <w:rFonts w:hint="eastAsia" w:ascii="黑体" w:hAnsi="黑体" w:eastAsia="黑体"/>
        <w:bCs/>
        <w:szCs w:val="22"/>
        <w:lang w:eastAsia="zh-CN"/>
      </w:rPr>
      <w:t>2025年度义乌市社会治理中心调处工作服务项目</w:t>
    </w:r>
    <w:r>
      <w:rPr>
        <w:rFonts w:hint="eastAsia" w:ascii="黑体" w:hAnsi="黑体" w:eastAsia="黑体"/>
        <w:bCs/>
        <w:szCs w:val="22"/>
      </w:rPr>
      <w:t>——</w:t>
    </w:r>
    <w:r>
      <w:rPr>
        <w:rFonts w:hint="eastAsia" w:ascii="黑体" w:hAnsi="黑体" w:eastAsia="黑体"/>
        <w:bCs/>
        <w:szCs w:val="22"/>
        <w:lang w:eastAsia="zh-CN"/>
      </w:rPr>
      <w:t>KXYC2024066FG</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FBA1C">
    <w:pPr>
      <w:pStyle w:val="34"/>
      <w:pBdr>
        <w:bottom w:val="single" w:color="auto" w:sz="4" w:space="0"/>
      </w:pBdr>
      <w:tabs>
        <w:tab w:val="left" w:pos="6872"/>
        <w:tab w:val="clear" w:pos="4153"/>
      </w:tabs>
      <w:jc w:val="both"/>
      <w:rPr>
        <w:rFonts w:hint="eastAsia" w:eastAsia="宋体"/>
        <w:u w:val="single"/>
        <w:lang w:eastAsia="zh-CN"/>
      </w:rPr>
    </w:pPr>
    <w:r>
      <w:drawing>
        <wp:inline distT="0" distB="0" distL="114300" distR="114300">
          <wp:extent cx="305435" cy="369570"/>
          <wp:effectExtent l="0" t="0" r="12065" b="1143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
                  <a:stretch>
                    <a:fillRect/>
                  </a:stretch>
                </pic:blipFill>
                <pic:spPr>
                  <a:xfrm>
                    <a:off x="0" y="0"/>
                    <a:ext cx="305435" cy="369570"/>
                  </a:xfrm>
                  <a:prstGeom prst="rect">
                    <a:avLst/>
                  </a:prstGeom>
                  <a:noFill/>
                  <a:ln>
                    <a:noFill/>
                  </a:ln>
                </pic:spPr>
              </pic:pic>
            </a:graphicData>
          </a:graphic>
        </wp:inline>
      </w:drawing>
    </w:r>
    <w:r>
      <w:rPr>
        <w:rFonts w:hint="eastAsia"/>
      </w:rPr>
      <w:t xml:space="preserve"> </w:t>
    </w:r>
    <w:r>
      <w:rPr>
        <w:rFonts w:hint="eastAsia" w:ascii="黑体" w:hAnsi="黑体" w:eastAsia="黑体"/>
        <w:bCs/>
        <w:lang w:eastAsia="zh-CN"/>
      </w:rPr>
      <w:t>科信联合工程咨询有限公司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77AD0">
    <w:pPr>
      <w:pStyle w:val="35"/>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9199C1">
    <w:pPr>
      <w:pStyle w:val="34"/>
      <w:pBdr>
        <w:bottom w:val="single" w:color="auto" w:sz="4" w:space="0"/>
      </w:pBdr>
      <w:tabs>
        <w:tab w:val="left" w:pos="6872"/>
        <w:tab w:val="clear" w:pos="4153"/>
      </w:tabs>
      <w:jc w:val="both"/>
      <w:rPr>
        <w:rFonts w:hint="eastAsia" w:eastAsia="宋体"/>
        <w:u w:val="single"/>
        <w:lang w:eastAsia="zh-CN"/>
      </w:rPr>
    </w:pPr>
    <w:r>
      <w:drawing>
        <wp:inline distT="0" distB="0" distL="114300" distR="114300">
          <wp:extent cx="305435" cy="369570"/>
          <wp:effectExtent l="0" t="0" r="12065" b="1143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1"/>
                  <a:stretch>
                    <a:fillRect/>
                  </a:stretch>
                </pic:blipFill>
                <pic:spPr>
                  <a:xfrm>
                    <a:off x="0" y="0"/>
                    <a:ext cx="305435" cy="369570"/>
                  </a:xfrm>
                  <a:prstGeom prst="rect">
                    <a:avLst/>
                  </a:prstGeom>
                  <a:noFill/>
                  <a:ln>
                    <a:noFill/>
                  </a:ln>
                </pic:spPr>
              </pic:pic>
            </a:graphicData>
          </a:graphic>
        </wp:inline>
      </w:drawing>
    </w:r>
    <w:r>
      <w:rPr>
        <w:rFonts w:hint="eastAsia"/>
      </w:rPr>
      <w:t xml:space="preserve"> </w:t>
    </w:r>
    <w:r>
      <w:rPr>
        <w:rFonts w:hint="eastAsia" w:ascii="黑体" w:hAnsi="黑体" w:eastAsia="黑体"/>
        <w:bCs/>
        <w:lang w:eastAsia="zh-CN"/>
      </w:rPr>
      <w:t>科信联合工程咨询有限公司</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52E0F">
    <w:pPr>
      <w:pStyle w:val="34"/>
      <w:pBdr>
        <w:bottom w:val="single" w:color="auto" w:sz="4" w:space="0"/>
      </w:pBdr>
      <w:tabs>
        <w:tab w:val="left" w:pos="6872"/>
        <w:tab w:val="clear" w:pos="4153"/>
      </w:tabs>
      <w:jc w:val="both"/>
      <w:rPr>
        <w:rFonts w:hint="eastAsia" w:eastAsia="宋体"/>
        <w:u w:val="single"/>
        <w:lang w:eastAsia="zh-CN"/>
      </w:rPr>
    </w:pPr>
    <w:r>
      <w:t xml:space="preserve"> </w:t>
    </w:r>
    <w:r>
      <w:drawing>
        <wp:inline distT="0" distB="0" distL="114300" distR="114300">
          <wp:extent cx="305435" cy="369570"/>
          <wp:effectExtent l="0" t="0" r="12065" b="1143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1"/>
                  <a:stretch>
                    <a:fillRect/>
                  </a:stretch>
                </pic:blipFill>
                <pic:spPr>
                  <a:xfrm>
                    <a:off x="0" y="0"/>
                    <a:ext cx="305435" cy="369570"/>
                  </a:xfrm>
                  <a:prstGeom prst="rect">
                    <a:avLst/>
                  </a:prstGeom>
                  <a:noFill/>
                  <a:ln>
                    <a:noFill/>
                  </a:ln>
                </pic:spPr>
              </pic:pic>
            </a:graphicData>
          </a:graphic>
        </wp:inline>
      </w:drawing>
    </w:r>
    <w:r>
      <w:rPr>
        <w:rFonts w:hint="eastAsia"/>
      </w:rPr>
      <w:t xml:space="preserve"> </w:t>
    </w:r>
    <w:r>
      <w:rPr>
        <w:rFonts w:hint="eastAsia" w:ascii="黑体" w:hAnsi="黑体" w:eastAsia="黑体"/>
        <w:bCs/>
        <w:lang w:eastAsia="zh-CN"/>
      </w:rPr>
      <w:t>科信联合工程咨询有限公司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84ED8C"/>
    <w:multiLevelType w:val="singleLevel"/>
    <w:tmpl w:val="F384ED8C"/>
    <w:lvl w:ilvl="0" w:tentative="0">
      <w:start w:val="1"/>
      <w:numFmt w:val="decimal"/>
      <w:suff w:val="nothing"/>
      <w:lvlText w:val="%1、"/>
      <w:lvlJc w:val="left"/>
    </w:lvl>
  </w:abstractNum>
  <w:abstractNum w:abstractNumId="1">
    <w:nsid w:val="00000001"/>
    <w:multiLevelType w:val="multilevel"/>
    <w:tmpl w:val="00000001"/>
    <w:lvl w:ilvl="0" w:tentative="0">
      <w:start w:val="3"/>
      <w:numFmt w:val="japaneseCounting"/>
      <w:lvlText w:val="第%1章"/>
      <w:lvlJc w:val="left"/>
      <w:pPr>
        <w:tabs>
          <w:tab w:val="left" w:pos="1455"/>
        </w:tabs>
        <w:ind w:left="1455" w:hanging="1455"/>
      </w:pPr>
      <w:rPr>
        <w:rFonts w:hint="default"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2"/>
    <w:multiLevelType w:val="multilevel"/>
    <w:tmpl w:val="00000002"/>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00000003"/>
    <w:multiLevelType w:val="multilevel"/>
    <w:tmpl w:val="00000003"/>
    <w:lvl w:ilvl="0" w:tentative="0">
      <w:start w:val="0"/>
      <w:numFmt w:val="decimal"/>
      <w:pStyle w:val="16"/>
      <w:lvlText w:val=""/>
      <w:lvlJc w:val="left"/>
    </w:lvl>
    <w:lvl w:ilvl="1" w:tentative="0">
      <w:start w:val="0"/>
      <w:numFmt w:val="decimal"/>
      <w:lvlText w:val=""/>
      <w:lvlJc w:val="left"/>
    </w:lvl>
    <w:lvl w:ilvl="2" w:tentative="0">
      <w:start w:val="0"/>
      <w:numFmt w:val="decimal"/>
      <w:lvlText w:val=""/>
      <w:lvlJc w:val="left"/>
    </w:lvl>
    <w:lvl w:ilvl="3" w:tentative="0">
      <w:start w:val="1572864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none"/>
      <w:lvlText w:val=""/>
      <w:lvlJc w:val="left"/>
      <w:pPr>
        <w:tabs>
          <w:tab w:val="left" w:pos="360"/>
        </w:tabs>
      </w:pPr>
    </w:lvl>
  </w:abstractNum>
  <w:abstractNum w:abstractNumId="4">
    <w:nsid w:val="00000008"/>
    <w:multiLevelType w:val="multilevel"/>
    <w:tmpl w:val="00000008"/>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decimal"/>
      <w:pStyle w:val="64"/>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0000000D"/>
    <w:multiLevelType w:val="singleLevel"/>
    <w:tmpl w:val="0000000D"/>
    <w:lvl w:ilvl="0" w:tentative="0">
      <w:start w:val="1"/>
      <w:numFmt w:val="decimal"/>
      <w:suff w:val="nothing"/>
      <w:lvlText w:val="（%1）"/>
      <w:lvlJc w:val="left"/>
    </w:lvl>
  </w:abstractNum>
  <w:abstractNum w:abstractNumId="6">
    <w:nsid w:val="0000000E"/>
    <w:multiLevelType w:val="singleLevel"/>
    <w:tmpl w:val="0000000E"/>
    <w:lvl w:ilvl="0" w:tentative="0">
      <w:start w:val="1"/>
      <w:numFmt w:val="ideographTraditional"/>
      <w:suff w:val="nothing"/>
      <w:lvlText w:val="%1、"/>
      <w:lvlJc w:val="left"/>
      <w:rPr>
        <w:rFonts w:hint="eastAsia"/>
      </w:rPr>
    </w:lvl>
  </w:abstractNum>
  <w:abstractNum w:abstractNumId="7">
    <w:nsid w:val="44C50F90"/>
    <w:multiLevelType w:val="multilevel"/>
    <w:tmpl w:val="44C50F90"/>
    <w:lvl w:ilvl="0" w:tentative="0">
      <w:start w:val="1"/>
      <w:numFmt w:val="decimal"/>
      <w:pStyle w:val="154"/>
      <w:lvlText w:val="%1"/>
      <w:lvlJc w:val="left"/>
      <w:pPr>
        <w:tabs>
          <w:tab w:val="left" w:pos="851"/>
        </w:tabs>
        <w:ind w:left="851" w:hanging="426"/>
      </w:pPr>
      <w:rPr>
        <w:rFonts w:hint="default"/>
        <w:color w:val="auto"/>
        <w:sz w:val="24"/>
        <w:szCs w:val="24"/>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8">
    <w:nsid w:val="4F6BD1B1"/>
    <w:multiLevelType w:val="singleLevel"/>
    <w:tmpl w:val="4F6BD1B1"/>
    <w:lvl w:ilvl="0" w:tentative="0">
      <w:start w:val="1"/>
      <w:numFmt w:val="decimal"/>
      <w:suff w:val="nothing"/>
      <w:lvlText w:val="%1、"/>
      <w:lvlJc w:val="left"/>
    </w:lvl>
  </w:abstractNum>
  <w:abstractNum w:abstractNumId="9">
    <w:nsid w:val="5C4F566E"/>
    <w:multiLevelType w:val="singleLevel"/>
    <w:tmpl w:val="5C4F566E"/>
    <w:lvl w:ilvl="0" w:tentative="0">
      <w:start w:val="1"/>
      <w:numFmt w:val="decimal"/>
      <w:suff w:val="nothing"/>
      <w:lvlText w:val="%1、"/>
      <w:lvlJc w:val="left"/>
    </w:lvl>
  </w:abstractNum>
  <w:num w:numId="1">
    <w:abstractNumId w:val="3"/>
  </w:num>
  <w:num w:numId="2">
    <w:abstractNumId w:val="4"/>
  </w:num>
  <w:num w:numId="3">
    <w:abstractNumId w:val="7"/>
  </w:num>
  <w:num w:numId="4">
    <w:abstractNumId w:val="2"/>
  </w:num>
  <w:num w:numId="5">
    <w:abstractNumId w:val="5"/>
  </w:num>
  <w:num w:numId="6">
    <w:abstractNumId w:val="1"/>
  </w:num>
  <w:num w:numId="7">
    <w:abstractNumId w:val="9"/>
  </w:num>
  <w:num w:numId="8">
    <w:abstractNumId w:val="8"/>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TrueTypeFonts/>
  <w:saveSubsetFonts/>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0"/>
  <w:displayHorizontalDrawingGridEvery w:val="1"/>
  <w:displayVerticalDrawingGridEvery w:val="1"/>
  <w:doNotUseMarginsForDrawingGridOrigin w:val="1"/>
  <w:drawingGridHorizontalOrigin w:val="0"/>
  <w:drawingGridVerticalOrigin w:val="0"/>
  <w:doNotShadeFormData w:val="1"/>
  <w:noPunctuationKerning w:val="1"/>
  <w:characterSpacingControl w:val="doNotCompress"/>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xMTRmYWUyMDZjMjRjOWExZmU0OGY0ZGY5MTE0ZDEifQ=="/>
  </w:docVars>
  <w:rsids>
    <w:rsidRoot w:val="00172A27"/>
    <w:rsid w:val="01D44E47"/>
    <w:rsid w:val="01FB0577"/>
    <w:rsid w:val="02607CB1"/>
    <w:rsid w:val="030219C1"/>
    <w:rsid w:val="038E2B2B"/>
    <w:rsid w:val="03E2379C"/>
    <w:rsid w:val="040F3E66"/>
    <w:rsid w:val="05020837"/>
    <w:rsid w:val="050A2055"/>
    <w:rsid w:val="05FC15FD"/>
    <w:rsid w:val="061F512D"/>
    <w:rsid w:val="06DB44D3"/>
    <w:rsid w:val="06EA663C"/>
    <w:rsid w:val="072C336F"/>
    <w:rsid w:val="07873D09"/>
    <w:rsid w:val="0B2D7481"/>
    <w:rsid w:val="0B902493"/>
    <w:rsid w:val="0BF413E9"/>
    <w:rsid w:val="0C9924D5"/>
    <w:rsid w:val="0CDF7DC3"/>
    <w:rsid w:val="0D994811"/>
    <w:rsid w:val="0D9C44D0"/>
    <w:rsid w:val="0DA33AE9"/>
    <w:rsid w:val="0E260B91"/>
    <w:rsid w:val="0E897E8F"/>
    <w:rsid w:val="0F7243CE"/>
    <w:rsid w:val="0F98794A"/>
    <w:rsid w:val="10756F2C"/>
    <w:rsid w:val="10B364CA"/>
    <w:rsid w:val="122356AC"/>
    <w:rsid w:val="16B2714A"/>
    <w:rsid w:val="17081314"/>
    <w:rsid w:val="172C2AB2"/>
    <w:rsid w:val="178C784F"/>
    <w:rsid w:val="18092BFC"/>
    <w:rsid w:val="186A5FCA"/>
    <w:rsid w:val="18716A45"/>
    <w:rsid w:val="18AB4D08"/>
    <w:rsid w:val="1B99253B"/>
    <w:rsid w:val="1BAC7B93"/>
    <w:rsid w:val="1C377725"/>
    <w:rsid w:val="1F043FF8"/>
    <w:rsid w:val="1FAE0D30"/>
    <w:rsid w:val="20482782"/>
    <w:rsid w:val="20AA51EA"/>
    <w:rsid w:val="20F729B3"/>
    <w:rsid w:val="21175DDE"/>
    <w:rsid w:val="21BF051D"/>
    <w:rsid w:val="21FA4655"/>
    <w:rsid w:val="226A091D"/>
    <w:rsid w:val="22C11D47"/>
    <w:rsid w:val="23955A1E"/>
    <w:rsid w:val="24016533"/>
    <w:rsid w:val="25333A00"/>
    <w:rsid w:val="27022387"/>
    <w:rsid w:val="29260BFC"/>
    <w:rsid w:val="29F25918"/>
    <w:rsid w:val="2A0E172D"/>
    <w:rsid w:val="2B627304"/>
    <w:rsid w:val="2B836D64"/>
    <w:rsid w:val="2CCC648B"/>
    <w:rsid w:val="2D1265F1"/>
    <w:rsid w:val="2E17362E"/>
    <w:rsid w:val="2EAA55FC"/>
    <w:rsid w:val="2EE97BB0"/>
    <w:rsid w:val="31681E6C"/>
    <w:rsid w:val="31881823"/>
    <w:rsid w:val="31F04B02"/>
    <w:rsid w:val="33614751"/>
    <w:rsid w:val="34890455"/>
    <w:rsid w:val="352D5A86"/>
    <w:rsid w:val="35B76948"/>
    <w:rsid w:val="36B67FED"/>
    <w:rsid w:val="38121677"/>
    <w:rsid w:val="38C40061"/>
    <w:rsid w:val="38E43E4B"/>
    <w:rsid w:val="395A76BD"/>
    <w:rsid w:val="39BA1BA2"/>
    <w:rsid w:val="3B8D24E0"/>
    <w:rsid w:val="3BAE667E"/>
    <w:rsid w:val="3BD238FF"/>
    <w:rsid w:val="3C6C59AD"/>
    <w:rsid w:val="3C83291B"/>
    <w:rsid w:val="3D162E93"/>
    <w:rsid w:val="3D591587"/>
    <w:rsid w:val="3E0D3736"/>
    <w:rsid w:val="3E2F2324"/>
    <w:rsid w:val="3E4329F4"/>
    <w:rsid w:val="3F402745"/>
    <w:rsid w:val="3FB3688B"/>
    <w:rsid w:val="413335F6"/>
    <w:rsid w:val="41F43789"/>
    <w:rsid w:val="42724C87"/>
    <w:rsid w:val="42B054D7"/>
    <w:rsid w:val="43784CC4"/>
    <w:rsid w:val="439A52A4"/>
    <w:rsid w:val="43AD77C7"/>
    <w:rsid w:val="449851D6"/>
    <w:rsid w:val="44E26451"/>
    <w:rsid w:val="45BA6527"/>
    <w:rsid w:val="46A17E60"/>
    <w:rsid w:val="47735211"/>
    <w:rsid w:val="47853567"/>
    <w:rsid w:val="47FC5A7C"/>
    <w:rsid w:val="485F2B8C"/>
    <w:rsid w:val="48650157"/>
    <w:rsid w:val="48E172F9"/>
    <w:rsid w:val="48EE1E5E"/>
    <w:rsid w:val="4DBA799D"/>
    <w:rsid w:val="4E571680"/>
    <w:rsid w:val="4EBA08DF"/>
    <w:rsid w:val="4F3C33B8"/>
    <w:rsid w:val="4F695880"/>
    <w:rsid w:val="4FED2534"/>
    <w:rsid w:val="50C55232"/>
    <w:rsid w:val="50CF6ED0"/>
    <w:rsid w:val="50DE0A30"/>
    <w:rsid w:val="511532D1"/>
    <w:rsid w:val="52655E07"/>
    <w:rsid w:val="52A15B9E"/>
    <w:rsid w:val="52EF5D1E"/>
    <w:rsid w:val="532D2E6A"/>
    <w:rsid w:val="54A62F1E"/>
    <w:rsid w:val="565F3ADC"/>
    <w:rsid w:val="567433FD"/>
    <w:rsid w:val="58EB1FE8"/>
    <w:rsid w:val="59E27F63"/>
    <w:rsid w:val="5B1F2619"/>
    <w:rsid w:val="5B9F3F13"/>
    <w:rsid w:val="5BB167FD"/>
    <w:rsid w:val="5C1E5B4F"/>
    <w:rsid w:val="5C3C0E4A"/>
    <w:rsid w:val="5C591F42"/>
    <w:rsid w:val="5C687C3A"/>
    <w:rsid w:val="5CBD3410"/>
    <w:rsid w:val="5E1F02E0"/>
    <w:rsid w:val="5E7A0DA0"/>
    <w:rsid w:val="5F045A74"/>
    <w:rsid w:val="5F50616A"/>
    <w:rsid w:val="5FC1639B"/>
    <w:rsid w:val="60E65FE3"/>
    <w:rsid w:val="646B37D4"/>
    <w:rsid w:val="64811736"/>
    <w:rsid w:val="64AE5DA6"/>
    <w:rsid w:val="64CD7E10"/>
    <w:rsid w:val="67251A3B"/>
    <w:rsid w:val="6912568C"/>
    <w:rsid w:val="69CB29DA"/>
    <w:rsid w:val="6D5C4743"/>
    <w:rsid w:val="6D913B71"/>
    <w:rsid w:val="6FD134FD"/>
    <w:rsid w:val="7070733F"/>
    <w:rsid w:val="72F9205C"/>
    <w:rsid w:val="75A94AD9"/>
    <w:rsid w:val="75DE2D84"/>
    <w:rsid w:val="76D47F05"/>
    <w:rsid w:val="78B369F9"/>
    <w:rsid w:val="78CD3EF5"/>
    <w:rsid w:val="79BF2D92"/>
    <w:rsid w:val="7AC340DC"/>
    <w:rsid w:val="7B505C1C"/>
    <w:rsid w:val="7B8006B1"/>
    <w:rsid w:val="7CE16A13"/>
    <w:rsid w:val="7D0F6087"/>
    <w:rsid w:val="7DAB6B92"/>
    <w:rsid w:val="7DCF7E3D"/>
    <w:rsid w:val="7FBF52B3"/>
    <w:rsid w:val="E75E041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1"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1" w:name="caption"/>
    <w:lsdException w:qFormat="1" w:unhideWhenUsed="0" w:uiPriority="0" w:semiHidden="0" w:name="table of figures"/>
    <w:lsdException w:uiPriority="1" w:name="envelope address"/>
    <w:lsdException w:uiPriority="1" w:name="envelope return"/>
    <w:lsdException w:uiPriority="1" w:name="footnote reference"/>
    <w:lsdException w:qFormat="1" w:unhideWhenUsed="0" w:uiPriority="0" w:semiHidden="0" w:name="annotation reference"/>
    <w:lsdException w:uiPriority="1" w:name="line number"/>
    <w:lsdException w:qFormat="1" w:unhideWhenUsed="0" w:uiPriority="0" w:semiHidden="0" w:name="page number"/>
    <w:lsdException w:uiPriority="1" w:name="endnote reference"/>
    <w:lsdException w:uiPriority="1" w:name="endnote text"/>
    <w:lsdException w:uiPriority="1" w:name="table of authorities"/>
    <w:lsdException w:uiPriority="1" w:name="macro"/>
    <w:lsdException w:uiPriority="1" w:name="toa heading"/>
    <w:lsdException w:uiPriority="1" w:name="List"/>
    <w:lsdException w:uiPriority="1" w:name="List Bullet"/>
    <w:lsdException w:qFormat="1" w:unhideWhenUsed="0" w:uiPriority="0" w:semiHidden="0" w:name="List Number"/>
    <w:lsdException w:uiPriority="1" w:name="List 2"/>
    <w:lsdException w:uiPriority="1" w:name="List 3"/>
    <w:lsdException w:uiPriority="1" w:name="List 4"/>
    <w:lsdException w:uiPriority="1" w:name="List 5"/>
    <w:lsdException w:uiPriority="1" w:name="List Bullet 2"/>
    <w:lsdException w:uiPriority="1" w:name="List Bullet 3"/>
    <w:lsdException w:uiPriority="1" w:name="List Bullet 4"/>
    <w:lsdException w:uiPriority="1" w:name="List Bullet 5"/>
    <w:lsdException w:uiPriority="1" w:name="List Number 2"/>
    <w:lsdException w:uiPriority="1" w:name="List Number 3"/>
    <w:lsdException w:uiPriority="1" w:name="List Number 4"/>
    <w:lsdException w:uiPriority="1" w:name="List Number 5"/>
    <w:lsdException w:qFormat="1" w:unhideWhenUsed="0" w:uiPriority="1" w:semiHidden="0" w:name="Title"/>
    <w:lsdException w:uiPriority="1" w:name="Closing"/>
    <w:lsdException w:uiPriority="1"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1" w:name="List Continue"/>
    <w:lsdException w:uiPriority="1" w:name="List Continue 2"/>
    <w:lsdException w:uiPriority="1" w:name="List Continue 3"/>
    <w:lsdException w:uiPriority="1" w:name="List Continue 4"/>
    <w:lsdException w:uiPriority="1" w:name="List Continue 5"/>
    <w:lsdException w:uiPriority="1" w:name="Message Header"/>
    <w:lsdException w:qFormat="1" w:unhideWhenUsed="0" w:uiPriority="1" w:semiHidden="0" w:name="Subtitle"/>
    <w:lsdException w:qFormat="1"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1"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1"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1" w:name="E-mail Signature"/>
    <w:lsdException w:qFormat="1" w:unhideWhenUsed="0" w:uiPriority="0" w:semiHidden="0" w:name="Normal (Web)"/>
    <w:lsdException w:uiPriority="1" w:name="HTML Acronym"/>
    <w:lsdException w:uiPriority="1" w:name="HTML Address"/>
    <w:lsdException w:qFormat="1" w:unhideWhenUsed="0" w:uiPriority="0" w:semiHidden="0" w:name="HTML Cite"/>
    <w:lsdException w:uiPriority="1" w:name="HTML Code"/>
    <w:lsdException w:uiPriority="1" w:name="HTML Definition"/>
    <w:lsdException w:uiPriority="1" w:name="HTML Keyboard"/>
    <w:lsdException w:qFormat="1" w:unhideWhenUsed="0" w:uiPriority="0" w:semiHidden="0" w:name="HTML Preformatted"/>
    <w:lsdException w:uiPriority="1" w:name="HTML Sample"/>
    <w:lsdException w:qFormat="1" w:unhideWhenUsed="0" w:uiPriority="0" w:semiHidden="0" w:name="HTML Typewriter"/>
    <w:lsdException w:uiPriority="1" w:name="HTML Variable"/>
    <w:lsdException w:qFormat="1" w:unhideWhenUsed="0" w:uiPriority="0" w:semiHidden="0" w:name="Normal Table"/>
    <w:lsdException w:qFormat="1" w:unhideWhenUsed="0" w:uiPriority="0" w:semiHidden="0" w:name="annotation subject"/>
    <w:lsdException w:uiPriority="1" w:name="Table Simple 1"/>
    <w:lsdException w:uiPriority="1" w:name="Table Simple 2"/>
    <w:lsdException w:uiPriority="1" w:name="Table Simple 3"/>
    <w:lsdException w:uiPriority="1" w:name="Table Classic 1"/>
    <w:lsdException w:uiPriority="1" w:name="Table Classic 2"/>
    <w:lsdException w:uiPriority="1" w:name="Table Classic 3"/>
    <w:lsdException w:uiPriority="1" w:name="Table Classic 4"/>
    <w:lsdException w:uiPriority="1" w:name="Table Colorful 1"/>
    <w:lsdException w:uiPriority="1" w:name="Table Colorful 2"/>
    <w:lsdException w:uiPriority="1" w:name="Table Colorful 3"/>
    <w:lsdException w:uiPriority="1" w:name="Table Columns 1"/>
    <w:lsdException w:uiPriority="1" w:name="Table Columns 2"/>
    <w:lsdException w:uiPriority="1" w:name="Table Columns 3"/>
    <w:lsdException w:uiPriority="1" w:name="Table Columns 4"/>
    <w:lsdException w:uiPriority="1" w:name="Table Columns 5"/>
    <w:lsdException w:uiPriority="1" w:name="Table Grid 1"/>
    <w:lsdException w:uiPriority="1" w:name="Table Grid 2"/>
    <w:lsdException w:uiPriority="1" w:name="Table Grid 3"/>
    <w:lsdException w:uiPriority="1" w:name="Table Grid 4"/>
    <w:lsdException w:uiPriority="1" w:name="Table Grid 5"/>
    <w:lsdException w:uiPriority="1" w:name="Table Grid 6"/>
    <w:lsdException w:uiPriority="1" w:name="Table Grid 7"/>
    <w:lsdException w:uiPriority="1" w:name="Table Grid 8"/>
    <w:lsdException w:uiPriority="1" w:name="Table List 1"/>
    <w:lsdException w:uiPriority="1" w:name="Table List 2"/>
    <w:lsdException w:uiPriority="1" w:name="Table List 3"/>
    <w:lsdException w:uiPriority="1" w:name="Table List 4"/>
    <w:lsdException w:uiPriority="1" w:name="Table List 5"/>
    <w:lsdException w:uiPriority="1" w:name="Table List 6"/>
    <w:lsdException w:uiPriority="1" w:name="Table List 7"/>
    <w:lsdException w:uiPriority="1" w:name="Table List 8"/>
    <w:lsdException w:uiPriority="1" w:name="Table 3D effects 1"/>
    <w:lsdException w:uiPriority="1" w:name="Table 3D effects 2"/>
    <w:lsdException w:uiPriority="1" w:name="Table 3D effects 3"/>
    <w:lsdException w:uiPriority="1" w:name="Table Contemporary"/>
    <w:lsdException w:uiPriority="1" w:name="Table Elegant"/>
    <w:lsdException w:uiPriority="1" w:name="Table Professional"/>
    <w:lsdException w:uiPriority="1" w:name="Table Subtle 1"/>
    <w:lsdException w:uiPriority="1" w:name="Table Subtle 2"/>
    <w:lsdException w:uiPriority="1" w:name="Table Web 1"/>
    <w:lsdException w:uiPriority="1" w:name="Table Web 2"/>
    <w:lsdException w:uiPriority="1" w:name="Table Web 3"/>
    <w:lsdException w:qFormat="1" w:unhideWhenUsed="0" w:uiPriority="0" w:semiHidden="0" w:name="Balloon Text"/>
    <w:lsdException w:qFormat="1" w:unhideWhenUsed="0" w:uiPriority="0" w:semiHidden="0" w:name="Table Grid"/>
    <w:lsdException w:uiPriority="1"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color w:val="000000"/>
      <w:sz w:val="21"/>
      <w:lang w:val="en-US" w:eastAsia="zh-CN" w:bidi="ar-SA"/>
    </w:rPr>
  </w:style>
  <w:style w:type="paragraph" w:styleId="5">
    <w:name w:val="heading 1"/>
    <w:basedOn w:val="1"/>
    <w:next w:val="1"/>
    <w:link w:val="92"/>
    <w:qFormat/>
    <w:uiPriority w:val="0"/>
    <w:pPr>
      <w:keepNext/>
      <w:keepLines/>
      <w:spacing w:before="340" w:beforeAutospacing="0" w:after="330" w:afterAutospacing="0" w:line="576" w:lineRule="auto"/>
      <w:outlineLvl w:val="0"/>
    </w:pPr>
    <w:rPr>
      <w:rFonts w:ascii="Times New Roman" w:hAnsi="Times New Roman" w:eastAsia="宋体" w:cs="Times New Roman"/>
      <w:b/>
      <w:color w:val="auto"/>
      <w:kern w:val="1"/>
      <w:sz w:val="44"/>
    </w:rPr>
  </w:style>
  <w:style w:type="paragraph" w:styleId="6">
    <w:name w:val="heading 2"/>
    <w:basedOn w:val="1"/>
    <w:next w:val="1"/>
    <w:link w:val="90"/>
    <w:qFormat/>
    <w:uiPriority w:val="0"/>
    <w:pPr>
      <w:keepNext/>
      <w:keepLines/>
      <w:spacing w:before="260" w:beforeAutospacing="0" w:after="260" w:afterAutospacing="0" w:line="413" w:lineRule="auto"/>
      <w:outlineLvl w:val="1"/>
    </w:pPr>
    <w:rPr>
      <w:rFonts w:ascii="Arial" w:hAnsi="Arial" w:eastAsia="黑体" w:cs="Times New Roman"/>
      <w:b/>
      <w:color w:val="auto"/>
      <w:kern w:val="1"/>
      <w:sz w:val="32"/>
    </w:rPr>
  </w:style>
  <w:style w:type="paragraph" w:styleId="7">
    <w:name w:val="heading 3"/>
    <w:basedOn w:val="1"/>
    <w:next w:val="1"/>
    <w:link w:val="89"/>
    <w:qFormat/>
    <w:uiPriority w:val="0"/>
    <w:pPr>
      <w:tabs>
        <w:tab w:val="left" w:pos="2520"/>
      </w:tabs>
      <w:spacing w:before="0" w:beforeAutospacing="0" w:after="0" w:afterAutospacing="0" w:line="360" w:lineRule="auto"/>
      <w:ind w:left="0" w:firstLine="422"/>
      <w:outlineLvl w:val="2"/>
    </w:pPr>
    <w:rPr>
      <w:rFonts w:ascii="Times New Roman" w:hAnsi="Times New Roman" w:eastAsia="宋体" w:cs="Times New Roman"/>
      <w:b/>
      <w:color w:val="auto"/>
    </w:rPr>
  </w:style>
  <w:style w:type="paragraph" w:styleId="8">
    <w:name w:val="heading 4"/>
    <w:basedOn w:val="1"/>
    <w:next w:val="1"/>
    <w:link w:val="100"/>
    <w:qFormat/>
    <w:uiPriority w:val="0"/>
    <w:pPr>
      <w:keepNext/>
      <w:keepLines/>
      <w:spacing w:before="280" w:beforeAutospacing="0" w:after="290" w:afterAutospacing="0" w:line="372" w:lineRule="auto"/>
      <w:outlineLvl w:val="3"/>
    </w:pPr>
    <w:rPr>
      <w:rFonts w:ascii="Arial" w:hAnsi="Arial" w:eastAsia="黑体" w:cs="Times New Roman"/>
      <w:b/>
      <w:color w:val="auto"/>
      <w:kern w:val="1"/>
      <w:sz w:val="28"/>
    </w:rPr>
  </w:style>
  <w:style w:type="paragraph" w:styleId="9">
    <w:name w:val="heading 5"/>
    <w:basedOn w:val="1"/>
    <w:next w:val="1"/>
    <w:link w:val="110"/>
    <w:qFormat/>
    <w:uiPriority w:val="0"/>
    <w:pPr>
      <w:keepNext/>
      <w:keepLines/>
      <w:spacing w:before="280" w:beforeAutospacing="0" w:after="290" w:afterAutospacing="0" w:line="372" w:lineRule="auto"/>
      <w:outlineLvl w:val="4"/>
    </w:pPr>
    <w:rPr>
      <w:rFonts w:ascii="Times New Roman" w:hAnsi="Times New Roman" w:eastAsia="宋体" w:cs="Times New Roman"/>
      <w:b/>
      <w:color w:val="auto"/>
      <w:kern w:val="1"/>
      <w:sz w:val="28"/>
    </w:rPr>
  </w:style>
  <w:style w:type="paragraph" w:styleId="10">
    <w:name w:val="heading 6"/>
    <w:basedOn w:val="1"/>
    <w:next w:val="1"/>
    <w:link w:val="87"/>
    <w:qFormat/>
    <w:uiPriority w:val="0"/>
    <w:pPr>
      <w:keepNext/>
      <w:keepLines/>
      <w:spacing w:before="240" w:beforeAutospacing="0" w:after="64" w:afterAutospacing="0" w:line="317" w:lineRule="auto"/>
      <w:outlineLvl w:val="5"/>
    </w:pPr>
    <w:rPr>
      <w:rFonts w:ascii="Arial" w:hAnsi="Arial" w:eastAsia="黑体" w:cs="Times New Roman"/>
      <w:b/>
      <w:color w:val="auto"/>
      <w:kern w:val="1"/>
      <w:sz w:val="24"/>
    </w:rPr>
  </w:style>
  <w:style w:type="paragraph" w:styleId="11">
    <w:name w:val="heading 7"/>
    <w:basedOn w:val="1"/>
    <w:next w:val="1"/>
    <w:link w:val="101"/>
    <w:qFormat/>
    <w:uiPriority w:val="0"/>
    <w:pPr>
      <w:keepNext/>
      <w:keepLines/>
      <w:spacing w:before="240" w:beforeAutospacing="0" w:after="64" w:afterAutospacing="0" w:line="317" w:lineRule="auto"/>
      <w:outlineLvl w:val="6"/>
    </w:pPr>
    <w:rPr>
      <w:rFonts w:ascii="Times New Roman" w:hAnsi="Times New Roman" w:eastAsia="宋体" w:cs="Times New Roman"/>
      <w:b/>
      <w:color w:val="auto"/>
      <w:kern w:val="1"/>
      <w:sz w:val="24"/>
    </w:rPr>
  </w:style>
  <w:style w:type="paragraph" w:styleId="12">
    <w:name w:val="heading 8"/>
    <w:basedOn w:val="1"/>
    <w:next w:val="1"/>
    <w:link w:val="85"/>
    <w:qFormat/>
    <w:uiPriority w:val="0"/>
    <w:pPr>
      <w:keepNext/>
      <w:keepLines/>
      <w:spacing w:before="240" w:beforeAutospacing="0" w:after="64" w:afterAutospacing="0" w:line="317" w:lineRule="auto"/>
      <w:outlineLvl w:val="7"/>
    </w:pPr>
    <w:rPr>
      <w:rFonts w:ascii="Arial" w:hAnsi="Arial" w:eastAsia="黑体" w:cs="Times New Roman"/>
      <w:color w:val="auto"/>
      <w:kern w:val="1"/>
      <w:sz w:val="24"/>
    </w:rPr>
  </w:style>
  <w:style w:type="paragraph" w:styleId="13">
    <w:name w:val="heading 9"/>
    <w:basedOn w:val="1"/>
    <w:next w:val="1"/>
    <w:link w:val="111"/>
    <w:qFormat/>
    <w:uiPriority w:val="0"/>
    <w:pPr>
      <w:keepNext/>
      <w:keepLines/>
      <w:spacing w:before="240" w:beforeAutospacing="0" w:after="64" w:afterAutospacing="0" w:line="317" w:lineRule="auto"/>
      <w:outlineLvl w:val="8"/>
    </w:pPr>
    <w:rPr>
      <w:rFonts w:ascii="Arial" w:hAnsi="Arial" w:eastAsia="黑体" w:cs="Times New Roman"/>
      <w:color w:val="auto"/>
      <w:kern w:val="1"/>
    </w:rPr>
  </w:style>
  <w:style w:type="character" w:default="1" w:styleId="55">
    <w:name w:val="Default Paragraph Font"/>
    <w:qFormat/>
    <w:uiPriority w:val="0"/>
    <w:rPr>
      <w:rFonts w:ascii="Times New Roman" w:hAnsi="Times New Roman" w:eastAsia="宋体" w:cs="Times New Roman"/>
    </w:rPr>
  </w:style>
  <w:style w:type="table" w:default="1" w:styleId="53">
    <w:name w:val="Normal Table"/>
    <w:qFormat/>
    <w:uiPriority w:val="0"/>
    <w:rPr>
      <w:rFonts w:ascii="Times New Roman" w:hAnsi="Times New Roman" w:eastAsia="宋体" w:cs="Times New Roman"/>
    </w:rPr>
    <w:tblPr>
      <w:tblCellMar>
        <w:top w:w="0" w:type="dxa"/>
        <w:left w:w="108" w:type="dxa"/>
        <w:bottom w:w="0" w:type="dxa"/>
        <w:right w:w="108" w:type="dxa"/>
      </w:tblCellMar>
    </w:tblPr>
  </w:style>
  <w:style w:type="paragraph" w:styleId="2">
    <w:name w:val="Body Text First Indent 2"/>
    <w:basedOn w:val="3"/>
    <w:next w:val="4"/>
    <w:qFormat/>
    <w:uiPriority w:val="0"/>
    <w:pPr>
      <w:spacing w:after="120" w:line="240" w:lineRule="auto"/>
      <w:ind w:left="420" w:leftChars="200" w:firstLine="420"/>
    </w:pPr>
    <w:rPr>
      <w:rFonts w:ascii="Times New Roman" w:hAnsi="Times New Roman" w:eastAsia="宋体" w:cs="Times New Roman"/>
      <w:shd w:val="clear" w:color="auto" w:fill="auto"/>
    </w:rPr>
  </w:style>
  <w:style w:type="paragraph" w:styleId="3">
    <w:name w:val="Body Text Indent"/>
    <w:basedOn w:val="1"/>
    <w:next w:val="2"/>
    <w:link w:val="105"/>
    <w:qFormat/>
    <w:uiPriority w:val="0"/>
    <w:pPr>
      <w:ind w:firstLine="420"/>
    </w:pPr>
    <w:rPr>
      <w:rFonts w:ascii="Times New Roman" w:hAnsi="Times New Roman" w:eastAsia="宋体" w:cs="Times New Roman"/>
      <w:color w:val="auto"/>
      <w:kern w:val="1"/>
    </w:rPr>
  </w:style>
  <w:style w:type="paragraph" w:customStyle="1" w:styleId="4">
    <w:name w:val="xl53"/>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lang w:val="en-US" w:eastAsia="zh-CN" w:bidi="ar-SA"/>
    </w:rPr>
  </w:style>
  <w:style w:type="paragraph" w:styleId="14">
    <w:name w:val="toc 7"/>
    <w:basedOn w:val="1"/>
    <w:next w:val="1"/>
    <w:qFormat/>
    <w:uiPriority w:val="0"/>
    <w:pPr>
      <w:ind w:left="2520"/>
    </w:pPr>
    <w:rPr>
      <w:rFonts w:ascii="Times New Roman" w:hAnsi="Times New Roman" w:eastAsia="宋体" w:cs="Times New Roman"/>
      <w:kern w:val="1"/>
    </w:rPr>
  </w:style>
  <w:style w:type="paragraph" w:styleId="15">
    <w:name w:val="index 8"/>
    <w:basedOn w:val="1"/>
    <w:next w:val="1"/>
    <w:qFormat/>
    <w:uiPriority w:val="0"/>
    <w:pPr>
      <w:ind w:left="1400"/>
    </w:pPr>
    <w:rPr>
      <w:rFonts w:ascii="Times New Roman" w:hAnsi="Times New Roman" w:eastAsia="宋体" w:cs="Times New Roman"/>
      <w:kern w:val="1"/>
    </w:rPr>
  </w:style>
  <w:style w:type="paragraph" w:styleId="16">
    <w:name w:val="List Number"/>
    <w:basedOn w:val="1"/>
    <w:qFormat/>
    <w:uiPriority w:val="0"/>
    <w:pPr>
      <w:numPr>
        <w:ilvl w:val="0"/>
        <w:numId w:val="1"/>
      </w:numPr>
      <w:tabs>
        <w:tab w:val="left" w:pos="1455"/>
      </w:tabs>
      <w:ind w:left="420" w:hanging="132"/>
    </w:pPr>
    <w:rPr>
      <w:rFonts w:ascii="Times New Roman" w:hAnsi="Times New Roman" w:eastAsia="宋体" w:cs="Times New Roman"/>
      <w:kern w:val="1"/>
    </w:rPr>
  </w:style>
  <w:style w:type="paragraph" w:styleId="17">
    <w:name w:val="Normal Indent"/>
    <w:basedOn w:val="1"/>
    <w:next w:val="3"/>
    <w:qFormat/>
    <w:uiPriority w:val="0"/>
    <w:pPr>
      <w:ind w:firstLine="420"/>
    </w:pPr>
    <w:rPr>
      <w:rFonts w:ascii="Times New Roman" w:hAnsi="Times New Roman" w:eastAsia="宋体" w:cs="Times New Roman"/>
      <w:kern w:val="1"/>
    </w:rPr>
  </w:style>
  <w:style w:type="paragraph" w:styleId="18">
    <w:name w:val="index 5"/>
    <w:basedOn w:val="1"/>
    <w:next w:val="1"/>
    <w:qFormat/>
    <w:uiPriority w:val="0"/>
    <w:pPr>
      <w:ind w:left="800"/>
    </w:pPr>
    <w:rPr>
      <w:rFonts w:ascii="Times New Roman" w:hAnsi="Times New Roman" w:eastAsia="宋体" w:cs="Times New Roman"/>
      <w:kern w:val="1"/>
    </w:rPr>
  </w:style>
  <w:style w:type="paragraph" w:styleId="19">
    <w:name w:val="Document Map"/>
    <w:basedOn w:val="1"/>
    <w:link w:val="95"/>
    <w:qFormat/>
    <w:uiPriority w:val="0"/>
    <w:pPr>
      <w:shd w:val="clear" w:color="000000" w:fill="00007F"/>
    </w:pPr>
    <w:rPr>
      <w:rFonts w:ascii="Times New Roman" w:hAnsi="Times New Roman" w:eastAsia="宋体" w:cs="Times New Roman"/>
      <w:color w:val="auto"/>
      <w:kern w:val="1"/>
      <w:shd w:val="clear" w:color="auto" w:fill="00007F"/>
    </w:rPr>
  </w:style>
  <w:style w:type="paragraph" w:styleId="20">
    <w:name w:val="annotation text"/>
    <w:basedOn w:val="1"/>
    <w:link w:val="94"/>
    <w:qFormat/>
    <w:uiPriority w:val="0"/>
    <w:pPr>
      <w:jc w:val="left"/>
    </w:pPr>
    <w:rPr>
      <w:rFonts w:ascii="Times New Roman" w:hAnsi="Times New Roman" w:eastAsia="宋体" w:cs="Times New Roman"/>
      <w:color w:val="auto"/>
      <w:kern w:val="1"/>
    </w:rPr>
  </w:style>
  <w:style w:type="paragraph" w:styleId="21">
    <w:name w:val="index 6"/>
    <w:basedOn w:val="1"/>
    <w:next w:val="1"/>
    <w:qFormat/>
    <w:uiPriority w:val="0"/>
    <w:pPr>
      <w:ind w:left="1000"/>
    </w:pPr>
    <w:rPr>
      <w:rFonts w:ascii="Times New Roman" w:hAnsi="Times New Roman" w:eastAsia="宋体" w:cs="Times New Roman"/>
      <w:kern w:val="1"/>
    </w:rPr>
  </w:style>
  <w:style w:type="paragraph" w:styleId="22">
    <w:name w:val="Salutation"/>
    <w:basedOn w:val="1"/>
    <w:next w:val="1"/>
    <w:qFormat/>
    <w:uiPriority w:val="0"/>
    <w:pPr>
      <w:tabs>
        <w:tab w:val="left" w:pos="600"/>
      </w:tabs>
    </w:pPr>
    <w:rPr>
      <w:rFonts w:ascii="Times New Roman" w:hAnsi="Times New Roman" w:eastAsia="宋体" w:cs="Times New Roman"/>
      <w:sz w:val="24"/>
    </w:rPr>
  </w:style>
  <w:style w:type="paragraph" w:styleId="23">
    <w:name w:val="Body Text 3"/>
    <w:basedOn w:val="1"/>
    <w:link w:val="91"/>
    <w:qFormat/>
    <w:uiPriority w:val="0"/>
    <w:pPr>
      <w:tabs>
        <w:tab w:val="left" w:pos="0"/>
      </w:tabs>
      <w:spacing w:line="360" w:lineRule="auto"/>
    </w:pPr>
    <w:rPr>
      <w:rFonts w:ascii="宋体" w:hAnsi="宋体" w:eastAsia="宋体" w:cs="Times New Roman"/>
      <w:kern w:val="1"/>
    </w:rPr>
  </w:style>
  <w:style w:type="paragraph" w:styleId="24">
    <w:name w:val="Body Text"/>
    <w:basedOn w:val="1"/>
    <w:link w:val="103"/>
    <w:qFormat/>
    <w:uiPriority w:val="0"/>
    <w:pPr>
      <w:jc w:val="center"/>
    </w:pPr>
    <w:rPr>
      <w:rFonts w:ascii="宋体" w:hAnsi="宋体" w:eastAsia="宋体" w:cs="Times New Roman"/>
      <w:b/>
      <w:kern w:val="1"/>
      <w:sz w:val="72"/>
    </w:rPr>
  </w:style>
  <w:style w:type="paragraph" w:styleId="25">
    <w:name w:val="index 4"/>
    <w:basedOn w:val="1"/>
    <w:next w:val="1"/>
    <w:qFormat/>
    <w:uiPriority w:val="0"/>
    <w:pPr>
      <w:ind w:left="600"/>
    </w:pPr>
    <w:rPr>
      <w:rFonts w:ascii="Times New Roman" w:hAnsi="Times New Roman" w:eastAsia="宋体" w:cs="Times New Roman"/>
      <w:kern w:val="1"/>
    </w:rPr>
  </w:style>
  <w:style w:type="paragraph" w:styleId="26">
    <w:name w:val="toc 5"/>
    <w:basedOn w:val="1"/>
    <w:next w:val="1"/>
    <w:qFormat/>
    <w:uiPriority w:val="0"/>
    <w:pPr>
      <w:ind w:left="1680"/>
    </w:pPr>
    <w:rPr>
      <w:rFonts w:ascii="Times New Roman" w:hAnsi="Times New Roman" w:eastAsia="宋体" w:cs="Times New Roman"/>
      <w:kern w:val="1"/>
    </w:rPr>
  </w:style>
  <w:style w:type="paragraph" w:styleId="27">
    <w:name w:val="toc 3"/>
    <w:basedOn w:val="1"/>
    <w:next w:val="1"/>
    <w:qFormat/>
    <w:uiPriority w:val="0"/>
    <w:pPr>
      <w:ind w:left="840"/>
    </w:pPr>
    <w:rPr>
      <w:rFonts w:ascii="Times New Roman" w:hAnsi="Times New Roman" w:eastAsia="宋体" w:cs="Times New Roman"/>
      <w:kern w:val="1"/>
    </w:rPr>
  </w:style>
  <w:style w:type="paragraph" w:styleId="28">
    <w:name w:val="Plain Text"/>
    <w:basedOn w:val="1"/>
    <w:next w:val="1"/>
    <w:link w:val="86"/>
    <w:qFormat/>
    <w:uiPriority w:val="0"/>
    <w:pPr>
      <w:widowControl/>
      <w:jc w:val="left"/>
    </w:pPr>
    <w:rPr>
      <w:rFonts w:ascii="宋体" w:hAnsi="宋体" w:eastAsia="宋体" w:cs="Times New Roman"/>
      <w:color w:val="auto"/>
    </w:rPr>
  </w:style>
  <w:style w:type="paragraph" w:styleId="29">
    <w:name w:val="toc 8"/>
    <w:basedOn w:val="1"/>
    <w:next w:val="1"/>
    <w:qFormat/>
    <w:uiPriority w:val="0"/>
    <w:pPr>
      <w:ind w:left="2940"/>
    </w:pPr>
    <w:rPr>
      <w:rFonts w:ascii="Times New Roman" w:hAnsi="Times New Roman" w:eastAsia="宋体" w:cs="Times New Roman"/>
      <w:kern w:val="1"/>
    </w:rPr>
  </w:style>
  <w:style w:type="paragraph" w:styleId="30">
    <w:name w:val="index 3"/>
    <w:basedOn w:val="1"/>
    <w:next w:val="1"/>
    <w:qFormat/>
    <w:uiPriority w:val="0"/>
    <w:pPr>
      <w:ind w:left="400"/>
    </w:pPr>
    <w:rPr>
      <w:rFonts w:ascii="Times New Roman" w:hAnsi="Times New Roman" w:eastAsia="宋体" w:cs="Times New Roman"/>
      <w:kern w:val="1"/>
    </w:rPr>
  </w:style>
  <w:style w:type="paragraph" w:styleId="31">
    <w:name w:val="Date"/>
    <w:basedOn w:val="1"/>
    <w:next w:val="1"/>
    <w:link w:val="93"/>
    <w:qFormat/>
    <w:uiPriority w:val="0"/>
    <w:pPr>
      <w:ind w:left="100"/>
    </w:pPr>
    <w:rPr>
      <w:rFonts w:ascii="Times New Roman" w:hAnsi="Times New Roman" w:eastAsia="宋体" w:cs="Times New Roman"/>
      <w:color w:val="auto"/>
      <w:kern w:val="1"/>
    </w:rPr>
  </w:style>
  <w:style w:type="paragraph" w:styleId="32">
    <w:name w:val="Body Text Indent 2"/>
    <w:basedOn w:val="1"/>
    <w:link w:val="156"/>
    <w:qFormat/>
    <w:uiPriority w:val="0"/>
    <w:pPr>
      <w:spacing w:line="360" w:lineRule="auto"/>
      <w:ind w:firstLine="480"/>
    </w:pPr>
    <w:rPr>
      <w:rFonts w:ascii="宋体" w:hAnsi="宋体" w:eastAsia="新宋体" w:cs="Times New Roman"/>
      <w:color w:val="auto"/>
      <w:kern w:val="1"/>
      <w:sz w:val="24"/>
    </w:rPr>
  </w:style>
  <w:style w:type="paragraph" w:styleId="33">
    <w:name w:val="Balloon Text"/>
    <w:basedOn w:val="1"/>
    <w:link w:val="83"/>
    <w:qFormat/>
    <w:uiPriority w:val="0"/>
    <w:rPr>
      <w:rFonts w:ascii="Times New Roman" w:hAnsi="Times New Roman" w:eastAsia="宋体" w:cs="Times New Roman"/>
      <w:color w:val="auto"/>
      <w:kern w:val="1"/>
      <w:sz w:val="18"/>
    </w:rPr>
  </w:style>
  <w:style w:type="paragraph" w:styleId="34">
    <w:name w:val="footer"/>
    <w:basedOn w:val="1"/>
    <w:link w:val="107"/>
    <w:qFormat/>
    <w:uiPriority w:val="0"/>
    <w:pPr>
      <w:widowControl/>
      <w:tabs>
        <w:tab w:val="center" w:pos="4153"/>
        <w:tab w:val="right" w:pos="8306"/>
      </w:tabs>
      <w:jc w:val="left"/>
    </w:pPr>
    <w:rPr>
      <w:rFonts w:ascii="Times New Roman" w:hAnsi="Times New Roman" w:eastAsia="宋体" w:cs="Times New Roman"/>
      <w:color w:val="auto"/>
      <w:sz w:val="18"/>
    </w:rPr>
  </w:style>
  <w:style w:type="paragraph" w:styleId="35">
    <w:name w:val="header"/>
    <w:basedOn w:val="1"/>
    <w:link w:val="82"/>
    <w:qFormat/>
    <w:uiPriority w:val="0"/>
    <w:pPr>
      <w:widowControl/>
      <w:pBdr>
        <w:bottom w:val="single" w:color="auto" w:sz="6" w:space="1"/>
      </w:pBdr>
      <w:tabs>
        <w:tab w:val="center" w:pos="4153"/>
        <w:tab w:val="right" w:pos="8306"/>
      </w:tabs>
      <w:jc w:val="center"/>
    </w:pPr>
    <w:rPr>
      <w:rFonts w:ascii="Times New Roman" w:hAnsi="Times New Roman" w:eastAsia="宋体" w:cs="Times New Roman"/>
      <w:color w:val="auto"/>
      <w:sz w:val="18"/>
    </w:rPr>
  </w:style>
  <w:style w:type="paragraph" w:styleId="36">
    <w:name w:val="toc 1"/>
    <w:basedOn w:val="1"/>
    <w:next w:val="1"/>
    <w:qFormat/>
    <w:uiPriority w:val="0"/>
    <w:pPr>
      <w:tabs>
        <w:tab w:val="right" w:leader="dot" w:pos="9127"/>
      </w:tabs>
      <w:spacing w:line="360" w:lineRule="auto"/>
      <w:ind w:left="-4" w:firstLine="3"/>
      <w:jc w:val="center"/>
    </w:pPr>
    <w:rPr>
      <w:rFonts w:ascii="黑体" w:hAnsi="黑体" w:eastAsia="黑体" w:cs="Times New Roman"/>
      <w:kern w:val="1"/>
      <w:sz w:val="30"/>
    </w:rPr>
  </w:style>
  <w:style w:type="paragraph" w:styleId="37">
    <w:name w:val="toc 4"/>
    <w:basedOn w:val="1"/>
    <w:next w:val="1"/>
    <w:qFormat/>
    <w:uiPriority w:val="0"/>
    <w:pPr>
      <w:ind w:left="1260"/>
    </w:pPr>
    <w:rPr>
      <w:rFonts w:ascii="Times New Roman" w:hAnsi="Times New Roman" w:eastAsia="宋体" w:cs="Times New Roman"/>
      <w:kern w:val="1"/>
    </w:rPr>
  </w:style>
  <w:style w:type="paragraph" w:styleId="38">
    <w:name w:val="index heading"/>
    <w:basedOn w:val="1"/>
    <w:next w:val="39"/>
    <w:qFormat/>
    <w:uiPriority w:val="0"/>
    <w:rPr>
      <w:rFonts w:ascii="Times New Roman" w:hAnsi="Times New Roman" w:eastAsia="宋体" w:cs="Times New Roman"/>
      <w:kern w:val="1"/>
    </w:rPr>
  </w:style>
  <w:style w:type="paragraph" w:styleId="39">
    <w:name w:val="index 1"/>
    <w:basedOn w:val="1"/>
    <w:next w:val="1"/>
    <w:qFormat/>
    <w:uiPriority w:val="0"/>
    <w:pPr>
      <w:spacing w:line="560" w:lineRule="exact"/>
    </w:pPr>
    <w:rPr>
      <w:rFonts w:ascii="Times New Roman" w:hAnsi="Times New Roman" w:eastAsia="宋体" w:cs="Times New Roman"/>
      <w:kern w:val="1"/>
      <w:sz w:val="28"/>
    </w:rPr>
  </w:style>
  <w:style w:type="paragraph" w:styleId="40">
    <w:name w:val="toc 6"/>
    <w:basedOn w:val="1"/>
    <w:next w:val="1"/>
    <w:qFormat/>
    <w:uiPriority w:val="0"/>
    <w:pPr>
      <w:ind w:left="2100"/>
    </w:pPr>
    <w:rPr>
      <w:rFonts w:ascii="Times New Roman" w:hAnsi="Times New Roman" w:eastAsia="宋体" w:cs="Times New Roman"/>
      <w:kern w:val="1"/>
    </w:rPr>
  </w:style>
  <w:style w:type="paragraph" w:styleId="41">
    <w:name w:val="Body Text Indent 3"/>
    <w:basedOn w:val="1"/>
    <w:link w:val="102"/>
    <w:qFormat/>
    <w:uiPriority w:val="0"/>
    <w:pPr>
      <w:spacing w:before="100" w:beforeAutospacing="0" w:line="360" w:lineRule="auto"/>
      <w:ind w:firstLine="560"/>
    </w:pPr>
    <w:rPr>
      <w:rFonts w:ascii="Times New Roman" w:hAnsi="Times New Roman" w:eastAsia="宋体" w:cs="Times New Roman"/>
      <w:color w:val="auto"/>
      <w:kern w:val="1"/>
      <w:sz w:val="28"/>
    </w:rPr>
  </w:style>
  <w:style w:type="paragraph" w:styleId="42">
    <w:name w:val="index 7"/>
    <w:basedOn w:val="1"/>
    <w:next w:val="1"/>
    <w:qFormat/>
    <w:uiPriority w:val="0"/>
    <w:pPr>
      <w:ind w:left="1200"/>
    </w:pPr>
    <w:rPr>
      <w:rFonts w:ascii="Times New Roman" w:hAnsi="Times New Roman" w:eastAsia="宋体" w:cs="Times New Roman"/>
      <w:kern w:val="1"/>
    </w:rPr>
  </w:style>
  <w:style w:type="paragraph" w:styleId="43">
    <w:name w:val="index 9"/>
    <w:basedOn w:val="1"/>
    <w:next w:val="1"/>
    <w:qFormat/>
    <w:uiPriority w:val="0"/>
    <w:pPr>
      <w:ind w:left="1600"/>
    </w:pPr>
    <w:rPr>
      <w:rFonts w:ascii="Times New Roman" w:hAnsi="Times New Roman" w:eastAsia="宋体" w:cs="Times New Roman"/>
      <w:kern w:val="1"/>
    </w:rPr>
  </w:style>
  <w:style w:type="paragraph" w:styleId="44">
    <w:name w:val="table of figures"/>
    <w:basedOn w:val="1"/>
    <w:next w:val="1"/>
    <w:qFormat/>
    <w:uiPriority w:val="0"/>
    <w:pPr>
      <w:spacing w:line="560" w:lineRule="exact"/>
    </w:pPr>
    <w:rPr>
      <w:rFonts w:ascii="Times New Roman" w:hAnsi="Times New Roman" w:eastAsia="宋体" w:cs="Times New Roman"/>
      <w:b/>
      <w:kern w:val="1"/>
      <w:sz w:val="28"/>
    </w:rPr>
  </w:style>
  <w:style w:type="paragraph" w:styleId="45">
    <w:name w:val="toc 2"/>
    <w:basedOn w:val="1"/>
    <w:next w:val="1"/>
    <w:qFormat/>
    <w:uiPriority w:val="0"/>
    <w:pPr>
      <w:ind w:left="420"/>
    </w:pPr>
    <w:rPr>
      <w:rFonts w:ascii="Times New Roman" w:hAnsi="Times New Roman" w:eastAsia="宋体" w:cs="Times New Roman"/>
      <w:kern w:val="1"/>
    </w:rPr>
  </w:style>
  <w:style w:type="paragraph" w:styleId="46">
    <w:name w:val="toc 9"/>
    <w:basedOn w:val="1"/>
    <w:next w:val="1"/>
    <w:qFormat/>
    <w:uiPriority w:val="0"/>
    <w:pPr>
      <w:ind w:left="3360"/>
    </w:pPr>
    <w:rPr>
      <w:rFonts w:ascii="Times New Roman" w:hAnsi="Times New Roman" w:eastAsia="宋体" w:cs="Times New Roman"/>
      <w:kern w:val="1"/>
    </w:rPr>
  </w:style>
  <w:style w:type="paragraph" w:styleId="47">
    <w:name w:val="Body Text 2"/>
    <w:basedOn w:val="1"/>
    <w:link w:val="81"/>
    <w:qFormat/>
    <w:uiPriority w:val="0"/>
    <w:pPr>
      <w:spacing w:line="460" w:lineRule="exact"/>
    </w:pPr>
    <w:rPr>
      <w:rFonts w:ascii="宋体" w:hAnsi="宋体" w:eastAsia="宋体" w:cs="Times New Roman"/>
      <w:color w:val="auto"/>
      <w:kern w:val="1"/>
      <w:sz w:val="24"/>
    </w:rPr>
  </w:style>
  <w:style w:type="paragraph" w:styleId="4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rPr>
  </w:style>
  <w:style w:type="paragraph" w:styleId="49">
    <w:name w:val="Normal (Web)"/>
    <w:basedOn w:val="1"/>
    <w:qFormat/>
    <w:uiPriority w:val="0"/>
    <w:pPr>
      <w:widowControl/>
      <w:spacing w:before="100" w:beforeAutospacing="1" w:after="100" w:afterAutospacing="1"/>
      <w:jc w:val="left"/>
    </w:pPr>
    <w:rPr>
      <w:rFonts w:ascii="宋体" w:hAnsi="宋体" w:eastAsia="宋体" w:cs="Times New Roman"/>
      <w:sz w:val="24"/>
    </w:rPr>
  </w:style>
  <w:style w:type="paragraph" w:styleId="50">
    <w:name w:val="index 2"/>
    <w:basedOn w:val="1"/>
    <w:next w:val="1"/>
    <w:qFormat/>
    <w:uiPriority w:val="0"/>
    <w:pPr>
      <w:spacing w:line="560" w:lineRule="exact"/>
      <w:ind w:left="200"/>
    </w:pPr>
    <w:rPr>
      <w:rFonts w:ascii="Times New Roman" w:hAnsi="Times New Roman" w:eastAsia="宋体" w:cs="Times New Roman"/>
      <w:kern w:val="1"/>
      <w:sz w:val="28"/>
    </w:rPr>
  </w:style>
  <w:style w:type="paragraph" w:styleId="51">
    <w:name w:val="annotation subject"/>
    <w:basedOn w:val="20"/>
    <w:next w:val="20"/>
    <w:link w:val="84"/>
    <w:qFormat/>
    <w:uiPriority w:val="0"/>
    <w:rPr>
      <w:rFonts w:ascii="Times New Roman" w:hAnsi="Times New Roman" w:eastAsia="宋体" w:cs="Times New Roman"/>
      <w:b/>
    </w:rPr>
  </w:style>
  <w:style w:type="paragraph" w:styleId="52">
    <w:name w:val="Body Text First Indent"/>
    <w:basedOn w:val="24"/>
    <w:next w:val="1"/>
    <w:unhideWhenUsed/>
    <w:qFormat/>
    <w:uiPriority w:val="99"/>
    <w:pPr>
      <w:ind w:firstLine="420" w:firstLineChars="100"/>
    </w:pPr>
  </w:style>
  <w:style w:type="table" w:styleId="54">
    <w:name w:val="Table Grid"/>
    <w:basedOn w:val="53"/>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6">
    <w:name w:val="Strong"/>
    <w:qFormat/>
    <w:uiPriority w:val="0"/>
    <w:rPr>
      <w:rFonts w:ascii="Times New Roman" w:hAnsi="Times New Roman" w:eastAsia="宋体" w:cs="Times New Roman"/>
      <w:b/>
    </w:rPr>
  </w:style>
  <w:style w:type="character" w:styleId="57">
    <w:name w:val="page number"/>
    <w:qFormat/>
    <w:uiPriority w:val="0"/>
    <w:rPr>
      <w:rFonts w:ascii="Times New Roman" w:hAnsi="Times New Roman" w:eastAsia="宋体" w:cs="Times New Roman"/>
    </w:rPr>
  </w:style>
  <w:style w:type="character" w:styleId="58">
    <w:name w:val="FollowedHyperlink"/>
    <w:qFormat/>
    <w:uiPriority w:val="0"/>
    <w:rPr>
      <w:rFonts w:ascii="Times New Roman" w:hAnsi="Times New Roman" w:eastAsia="宋体" w:cs="Times New Roman"/>
      <w:color w:val="333232"/>
      <w:u w:val="none"/>
    </w:rPr>
  </w:style>
  <w:style w:type="character" w:styleId="59">
    <w:name w:val="Emphasis"/>
    <w:qFormat/>
    <w:uiPriority w:val="0"/>
    <w:rPr>
      <w:rFonts w:ascii="Times New Roman" w:hAnsi="Times New Roman" w:eastAsia="宋体" w:cs="Times New Roman"/>
      <w:color w:val="CC0000"/>
    </w:rPr>
  </w:style>
  <w:style w:type="character" w:styleId="60">
    <w:name w:val="HTML Typewriter"/>
    <w:qFormat/>
    <w:uiPriority w:val="0"/>
    <w:rPr>
      <w:rFonts w:ascii="Courier New" w:hAnsi="Courier New" w:eastAsia="宋体" w:cs="Times New Roman"/>
      <w:sz w:val="20"/>
    </w:rPr>
  </w:style>
  <w:style w:type="character" w:styleId="61">
    <w:name w:val="Hyperlink"/>
    <w:qFormat/>
    <w:uiPriority w:val="0"/>
    <w:rPr>
      <w:rFonts w:ascii="Times New Roman" w:hAnsi="Times New Roman" w:eastAsia="宋体" w:cs="Times New Roman"/>
      <w:color w:val="333232"/>
      <w:u w:val="none"/>
    </w:rPr>
  </w:style>
  <w:style w:type="character" w:styleId="62">
    <w:name w:val="annotation reference"/>
    <w:qFormat/>
    <w:uiPriority w:val="0"/>
    <w:rPr>
      <w:rFonts w:ascii="Times New Roman" w:hAnsi="Times New Roman" w:eastAsia="宋体" w:cs="Times New Roman"/>
      <w:sz w:val="21"/>
    </w:rPr>
  </w:style>
  <w:style w:type="character" w:styleId="63">
    <w:name w:val="HTML Cite"/>
    <w:qFormat/>
    <w:uiPriority w:val="0"/>
    <w:rPr>
      <w:rFonts w:ascii="Times New Roman" w:hAnsi="Times New Roman" w:eastAsia="宋体" w:cs="Times New Roman"/>
      <w:color w:val="008000"/>
    </w:rPr>
  </w:style>
  <w:style w:type="paragraph" w:customStyle="1" w:styleId="64">
    <w:name w:val="标题 5（有编号）（绿盟科技）"/>
    <w:basedOn w:val="1"/>
    <w:next w:val="65"/>
    <w:qFormat/>
    <w:uiPriority w:val="0"/>
    <w:pPr>
      <w:keepNext/>
      <w:keepLines/>
      <w:numPr>
        <w:ilvl w:val="4"/>
        <w:numId w:val="2"/>
      </w:numPr>
      <w:spacing w:before="280" w:after="156" w:line="377" w:lineRule="auto"/>
      <w:outlineLvl w:val="4"/>
    </w:pPr>
    <w:rPr>
      <w:rFonts w:ascii="Arial" w:hAnsi="Arial" w:eastAsia="黑体" w:cs="Arial"/>
      <w:b/>
      <w:bCs/>
      <w:sz w:val="24"/>
      <w:szCs w:val="24"/>
    </w:rPr>
  </w:style>
  <w:style w:type="paragraph" w:customStyle="1" w:styleId="65">
    <w:name w:val="正文（绿盟科技）"/>
    <w:qFormat/>
    <w:uiPriority w:val="0"/>
    <w:pPr>
      <w:spacing w:line="300" w:lineRule="auto"/>
    </w:pPr>
    <w:rPr>
      <w:rFonts w:ascii="Arial" w:hAnsi="Arial" w:eastAsia="宋体" w:cs="Arial"/>
      <w:sz w:val="21"/>
      <w:szCs w:val="21"/>
      <w:lang w:val="en-US" w:eastAsia="zh-CN" w:bidi="ar-SA"/>
    </w:rPr>
  </w:style>
  <w:style w:type="paragraph" w:customStyle="1" w:styleId="66">
    <w:name w:val="段"/>
    <w:next w:val="1"/>
    <w:qFormat/>
    <w:uiPriority w:val="0"/>
    <w:pPr>
      <w:autoSpaceDE w:val="0"/>
      <w:autoSpaceDN w:val="0"/>
      <w:ind w:firstLine="200" w:firstLineChars="200"/>
      <w:jc w:val="both"/>
    </w:pPr>
    <w:rPr>
      <w:rFonts w:ascii="宋体" w:hAnsi="Times New Roman" w:eastAsia="宋体" w:cs="Times New Roman"/>
      <w:kern w:val="2"/>
      <w:sz w:val="21"/>
      <w:szCs w:val="22"/>
      <w:lang w:val="en-US" w:eastAsia="zh-CN" w:bidi="ar-SA"/>
    </w:rPr>
  </w:style>
  <w:style w:type="paragraph" w:customStyle="1" w:styleId="67">
    <w:name w:val="Table Paragraph"/>
    <w:basedOn w:val="1"/>
    <w:qFormat/>
    <w:uiPriority w:val="0"/>
    <w:pPr>
      <w:autoSpaceDE w:val="0"/>
      <w:autoSpaceDN w:val="0"/>
      <w:adjustRightInd w:val="0"/>
      <w:jc w:val="left"/>
    </w:pPr>
    <w:rPr>
      <w:rFonts w:ascii="Times New Roman" w:hAnsi="Times New Roman" w:eastAsia="宋体" w:cs="Times New Roman"/>
      <w:color w:val="auto"/>
      <w:sz w:val="24"/>
    </w:rPr>
  </w:style>
  <w:style w:type="character" w:customStyle="1" w:styleId="68">
    <w:name w:val="font11"/>
    <w:qFormat/>
    <w:uiPriority w:val="0"/>
    <w:rPr>
      <w:rFonts w:hint="eastAsia" w:ascii="宋体" w:hAnsi="宋体" w:eastAsia="宋体" w:cs="宋体"/>
      <w:color w:val="000000"/>
      <w:sz w:val="28"/>
      <w:szCs w:val="28"/>
      <w:u w:val="none"/>
    </w:rPr>
  </w:style>
  <w:style w:type="character" w:customStyle="1" w:styleId="69">
    <w:name w:val="apple-style-span"/>
    <w:qFormat/>
    <w:uiPriority w:val="0"/>
    <w:rPr>
      <w:rFonts w:ascii="Times New Roman" w:hAnsi="Times New Roman" w:eastAsia="宋体" w:cs="Times New Roman"/>
    </w:rPr>
  </w:style>
  <w:style w:type="character" w:customStyle="1" w:styleId="70">
    <w:name w:val="Char Char"/>
    <w:qFormat/>
    <w:uiPriority w:val="0"/>
    <w:rPr>
      <w:rFonts w:ascii="Times New Roman" w:hAnsi="Times New Roman" w:eastAsia="宋体" w:cs="Times New Roman"/>
      <w:kern w:val="1"/>
      <w:sz w:val="21"/>
      <w:lang w:val="en-US" w:eastAsia="zh-CN"/>
    </w:rPr>
  </w:style>
  <w:style w:type="character" w:customStyle="1" w:styleId="71">
    <w:name w:val="font41"/>
    <w:qFormat/>
    <w:uiPriority w:val="0"/>
    <w:rPr>
      <w:rFonts w:ascii="宋体" w:hAnsi="宋体" w:eastAsia="宋体" w:cs="Times New Roman"/>
      <w:color w:val="000000"/>
      <w:sz w:val="21"/>
      <w:u w:val="none"/>
    </w:rPr>
  </w:style>
  <w:style w:type="character" w:customStyle="1" w:styleId="72">
    <w:name w:val="z-窗体顶端 字符"/>
    <w:link w:val="73"/>
    <w:qFormat/>
    <w:uiPriority w:val="0"/>
    <w:rPr>
      <w:rFonts w:ascii="Times New Roman" w:hAnsi="Times New Roman" w:eastAsia="宋体" w:cs="Times New Roman"/>
      <w:kern w:val="1"/>
      <w:sz w:val="21"/>
    </w:rPr>
  </w:style>
  <w:style w:type="paragraph" w:customStyle="1" w:styleId="73">
    <w:name w:val="_Style 69"/>
    <w:basedOn w:val="1"/>
    <w:next w:val="1"/>
    <w:link w:val="72"/>
    <w:qFormat/>
    <w:uiPriority w:val="0"/>
    <w:rPr>
      <w:rFonts w:ascii="Times New Roman" w:hAnsi="Times New Roman" w:eastAsia="宋体" w:cs="Times New Roman"/>
      <w:color w:val="auto"/>
      <w:kern w:val="1"/>
    </w:rPr>
  </w:style>
  <w:style w:type="character" w:customStyle="1" w:styleId="74">
    <w:name w:val="15"/>
    <w:qFormat/>
    <w:uiPriority w:val="0"/>
    <w:rPr>
      <w:rFonts w:hint="default" w:ascii="Times New Roman" w:hAnsi="Times New Roman" w:eastAsia="宋体" w:cs="Times New Roman"/>
    </w:rPr>
  </w:style>
  <w:style w:type="character" w:customStyle="1" w:styleId="75">
    <w:name w:val="orange"/>
    <w:qFormat/>
    <w:uiPriority w:val="0"/>
    <w:rPr>
      <w:rFonts w:ascii="Times New Roman" w:hAnsi="Times New Roman" w:eastAsia="宋体" w:cs="Times New Roman"/>
      <w:color w:val="E04D01"/>
    </w:rPr>
  </w:style>
  <w:style w:type="character" w:customStyle="1" w:styleId="76">
    <w:name w:val="Char Char Char Char Char"/>
    <w:qFormat/>
    <w:uiPriority w:val="0"/>
    <w:rPr>
      <w:rFonts w:ascii="宋体" w:hAnsi="宋体" w:eastAsia="宋体" w:cs="Times New Roman"/>
      <w:kern w:val="1"/>
      <w:sz w:val="21"/>
      <w:lang w:val="en-US" w:eastAsia="zh-CN"/>
    </w:rPr>
  </w:style>
  <w:style w:type="character" w:customStyle="1" w:styleId="77">
    <w:name w:val="普通文字 Char Char1"/>
    <w:qFormat/>
    <w:uiPriority w:val="0"/>
    <w:rPr>
      <w:rFonts w:ascii="宋体" w:hAnsi="宋体" w:eastAsia="宋体" w:cs="Times New Roman"/>
      <w:kern w:val="1"/>
      <w:sz w:val="24"/>
      <w:lang w:val="en-US" w:eastAsia="zh-CN"/>
    </w:rPr>
  </w:style>
  <w:style w:type="character" w:customStyle="1" w:styleId="78">
    <w:name w:val="表内五号sj2 Char"/>
    <w:link w:val="79"/>
    <w:qFormat/>
    <w:uiPriority w:val="0"/>
    <w:rPr>
      <w:rFonts w:ascii="Times New Roman" w:hAnsi="Times New Roman" w:eastAsia="宋体" w:cs="Times New Roman"/>
      <w:color w:val="000000"/>
      <w:sz w:val="21"/>
      <w:lang w:val="zh-CN" w:eastAsia="zh-CN"/>
    </w:rPr>
  </w:style>
  <w:style w:type="paragraph" w:customStyle="1" w:styleId="79">
    <w:name w:val="表内五号sj2"/>
    <w:basedOn w:val="1"/>
    <w:link w:val="78"/>
    <w:qFormat/>
    <w:uiPriority w:val="0"/>
    <w:pPr>
      <w:spacing w:before="20" w:beforeAutospacing="0" w:after="20" w:afterAutospacing="0" w:line="380" w:lineRule="exact"/>
      <w:ind w:firstLine="200"/>
    </w:pPr>
    <w:rPr>
      <w:rFonts w:ascii="Times New Roman" w:hAnsi="Times New Roman" w:eastAsia="宋体" w:cs="Times New Roman"/>
      <w:lang w:val="zh-CN"/>
    </w:rPr>
  </w:style>
  <w:style w:type="character" w:customStyle="1" w:styleId="80">
    <w:name w:val="gray"/>
    <w:qFormat/>
    <w:uiPriority w:val="0"/>
    <w:rPr>
      <w:rFonts w:ascii="Times New Roman" w:hAnsi="Times New Roman" w:eastAsia="宋体" w:cs="Times New Roman"/>
      <w:b/>
      <w:color w:val="424242"/>
      <w:sz w:val="21"/>
    </w:rPr>
  </w:style>
  <w:style w:type="character" w:customStyle="1" w:styleId="81">
    <w:name w:val="正文文本 2 字符"/>
    <w:link w:val="47"/>
    <w:qFormat/>
    <w:uiPriority w:val="0"/>
    <w:rPr>
      <w:rFonts w:ascii="宋体" w:hAnsi="宋体" w:eastAsia="宋体" w:cs="Times New Roman"/>
      <w:kern w:val="1"/>
      <w:sz w:val="24"/>
    </w:rPr>
  </w:style>
  <w:style w:type="character" w:customStyle="1" w:styleId="82">
    <w:name w:val="页眉 字符"/>
    <w:link w:val="35"/>
    <w:qFormat/>
    <w:uiPriority w:val="0"/>
    <w:rPr>
      <w:rFonts w:ascii="Times New Roman" w:hAnsi="Times New Roman" w:eastAsia="宋体" w:cs="Times New Roman"/>
      <w:sz w:val="18"/>
    </w:rPr>
  </w:style>
  <w:style w:type="character" w:customStyle="1" w:styleId="83">
    <w:name w:val="批注框文本 字符"/>
    <w:link w:val="33"/>
    <w:qFormat/>
    <w:uiPriority w:val="0"/>
    <w:rPr>
      <w:rFonts w:ascii="Times New Roman" w:hAnsi="Times New Roman" w:eastAsia="宋体" w:cs="Times New Roman"/>
      <w:kern w:val="1"/>
      <w:sz w:val="18"/>
    </w:rPr>
  </w:style>
  <w:style w:type="character" w:customStyle="1" w:styleId="84">
    <w:name w:val="批注主题 字符"/>
    <w:link w:val="51"/>
    <w:qFormat/>
    <w:uiPriority w:val="0"/>
    <w:rPr>
      <w:rFonts w:ascii="Times New Roman" w:hAnsi="Times New Roman" w:eastAsia="宋体" w:cs="Times New Roman"/>
      <w:b/>
      <w:kern w:val="1"/>
      <w:sz w:val="21"/>
    </w:rPr>
  </w:style>
  <w:style w:type="character" w:customStyle="1" w:styleId="85">
    <w:name w:val="标题 8 字符"/>
    <w:link w:val="12"/>
    <w:qFormat/>
    <w:uiPriority w:val="0"/>
    <w:rPr>
      <w:rFonts w:ascii="Arial" w:hAnsi="Arial" w:eastAsia="黑体" w:cs="Times New Roman"/>
      <w:kern w:val="1"/>
      <w:sz w:val="24"/>
    </w:rPr>
  </w:style>
  <w:style w:type="character" w:customStyle="1" w:styleId="86">
    <w:name w:val="纯文本 字符"/>
    <w:link w:val="28"/>
    <w:qFormat/>
    <w:uiPriority w:val="0"/>
    <w:rPr>
      <w:rFonts w:ascii="宋体" w:hAnsi="宋体" w:eastAsia="宋体" w:cs="Times New Roman"/>
      <w:sz w:val="21"/>
      <w:lang w:val="en-US" w:eastAsia="zh-CN"/>
    </w:rPr>
  </w:style>
  <w:style w:type="character" w:customStyle="1" w:styleId="87">
    <w:name w:val="标题 6 字符"/>
    <w:link w:val="10"/>
    <w:qFormat/>
    <w:uiPriority w:val="0"/>
    <w:rPr>
      <w:rFonts w:ascii="Arial" w:hAnsi="Arial" w:eastAsia="黑体" w:cs="Times New Roman"/>
      <w:b/>
      <w:kern w:val="1"/>
      <w:sz w:val="24"/>
    </w:rPr>
  </w:style>
  <w:style w:type="character" w:customStyle="1" w:styleId="88">
    <w:name w:val="10"/>
    <w:qFormat/>
    <w:uiPriority w:val="0"/>
    <w:rPr>
      <w:rFonts w:hint="default" w:ascii="Times New Roman" w:hAnsi="Times New Roman" w:eastAsia="宋体" w:cs="Times New Roman"/>
    </w:rPr>
  </w:style>
  <w:style w:type="character" w:customStyle="1" w:styleId="89">
    <w:name w:val="标题 3 字符"/>
    <w:link w:val="7"/>
    <w:qFormat/>
    <w:uiPriority w:val="0"/>
    <w:rPr>
      <w:rFonts w:ascii="Times New Roman" w:hAnsi="Times New Roman" w:eastAsia="宋体" w:cs="Times New Roman"/>
      <w:b/>
      <w:sz w:val="21"/>
      <w:lang w:val="en-US" w:eastAsia="zh-CN"/>
    </w:rPr>
  </w:style>
  <w:style w:type="character" w:customStyle="1" w:styleId="90">
    <w:name w:val="标题 2 字符"/>
    <w:link w:val="6"/>
    <w:qFormat/>
    <w:uiPriority w:val="0"/>
    <w:rPr>
      <w:rFonts w:ascii="Arial" w:hAnsi="Arial" w:eastAsia="黑体" w:cs="Times New Roman"/>
      <w:b/>
      <w:kern w:val="1"/>
      <w:sz w:val="32"/>
    </w:rPr>
  </w:style>
  <w:style w:type="character" w:customStyle="1" w:styleId="91">
    <w:name w:val="正文文本 3 字符"/>
    <w:link w:val="23"/>
    <w:qFormat/>
    <w:uiPriority w:val="0"/>
    <w:rPr>
      <w:rFonts w:ascii="宋体" w:hAnsi="宋体" w:eastAsia="宋体" w:cs="Times New Roman"/>
      <w:color w:val="000000"/>
      <w:kern w:val="1"/>
      <w:sz w:val="21"/>
    </w:rPr>
  </w:style>
  <w:style w:type="character" w:customStyle="1" w:styleId="92">
    <w:name w:val="标题 1 字符"/>
    <w:link w:val="5"/>
    <w:qFormat/>
    <w:uiPriority w:val="0"/>
    <w:rPr>
      <w:rFonts w:ascii="Times New Roman" w:hAnsi="Times New Roman" w:eastAsia="宋体" w:cs="Times New Roman"/>
      <w:b/>
      <w:kern w:val="1"/>
      <w:sz w:val="44"/>
    </w:rPr>
  </w:style>
  <w:style w:type="character" w:customStyle="1" w:styleId="93">
    <w:name w:val="日期 字符"/>
    <w:link w:val="31"/>
    <w:qFormat/>
    <w:uiPriority w:val="0"/>
    <w:rPr>
      <w:rFonts w:ascii="Times New Roman" w:hAnsi="Times New Roman" w:eastAsia="宋体" w:cs="Times New Roman"/>
      <w:kern w:val="1"/>
      <w:sz w:val="21"/>
    </w:rPr>
  </w:style>
  <w:style w:type="character" w:customStyle="1" w:styleId="94">
    <w:name w:val="批注文字 字符"/>
    <w:link w:val="20"/>
    <w:qFormat/>
    <w:uiPriority w:val="0"/>
    <w:rPr>
      <w:rFonts w:ascii="Times New Roman" w:hAnsi="Times New Roman" w:eastAsia="宋体" w:cs="Times New Roman"/>
      <w:kern w:val="1"/>
      <w:sz w:val="21"/>
    </w:rPr>
  </w:style>
  <w:style w:type="character" w:customStyle="1" w:styleId="95">
    <w:name w:val="文档结构图 字符"/>
    <w:link w:val="19"/>
    <w:qFormat/>
    <w:uiPriority w:val="0"/>
    <w:rPr>
      <w:rFonts w:ascii="Times New Roman" w:hAnsi="Times New Roman" w:eastAsia="宋体" w:cs="Times New Roman"/>
      <w:kern w:val="1"/>
      <w:sz w:val="21"/>
      <w:shd w:val="clear" w:color="auto" w:fill="00007F"/>
    </w:rPr>
  </w:style>
  <w:style w:type="character" w:customStyle="1" w:styleId="96">
    <w:name w:val="font01"/>
    <w:basedOn w:val="55"/>
    <w:qFormat/>
    <w:uiPriority w:val="0"/>
    <w:rPr>
      <w:rFonts w:hint="eastAsia" w:ascii="宋体" w:hAnsi="宋体" w:eastAsia="宋体" w:cs="宋体"/>
      <w:color w:val="000000"/>
      <w:sz w:val="22"/>
      <w:szCs w:val="22"/>
      <w:u w:val="none"/>
    </w:rPr>
  </w:style>
  <w:style w:type="character" w:customStyle="1" w:styleId="97">
    <w:name w:val="hover29"/>
    <w:qFormat/>
    <w:uiPriority w:val="0"/>
    <w:rPr>
      <w:rFonts w:ascii="Times New Roman" w:hAnsi="Times New Roman" w:eastAsia="宋体" w:cs="Times New Roman"/>
      <w:color w:val="FF0000"/>
    </w:rPr>
  </w:style>
  <w:style w:type="character" w:customStyle="1" w:styleId="98">
    <w:name w:val="无间隔 字符"/>
    <w:link w:val="99"/>
    <w:qFormat/>
    <w:uiPriority w:val="0"/>
    <w:rPr>
      <w:rFonts w:ascii="Times New Roman" w:hAnsi="Times New Roman" w:eastAsia="宋体" w:cs="Times New Roman"/>
      <w:sz w:val="22"/>
      <w:lang w:val="en-US" w:eastAsia="zh-CN" w:bidi="ar-SA"/>
    </w:rPr>
  </w:style>
  <w:style w:type="paragraph" w:styleId="99">
    <w:name w:val="No Spacing"/>
    <w:link w:val="98"/>
    <w:qFormat/>
    <w:uiPriority w:val="0"/>
    <w:rPr>
      <w:rFonts w:ascii="Times New Roman" w:hAnsi="Times New Roman" w:eastAsia="宋体" w:cs="Times New Roman"/>
      <w:sz w:val="22"/>
      <w:lang w:val="en-US" w:eastAsia="zh-CN" w:bidi="ar-SA"/>
    </w:rPr>
  </w:style>
  <w:style w:type="character" w:customStyle="1" w:styleId="100">
    <w:name w:val="标题 4 字符"/>
    <w:link w:val="8"/>
    <w:qFormat/>
    <w:uiPriority w:val="0"/>
    <w:rPr>
      <w:rFonts w:ascii="Arial" w:hAnsi="Arial" w:eastAsia="黑体" w:cs="Times New Roman"/>
      <w:b/>
      <w:kern w:val="1"/>
      <w:sz w:val="28"/>
    </w:rPr>
  </w:style>
  <w:style w:type="character" w:customStyle="1" w:styleId="101">
    <w:name w:val="标题 7 字符"/>
    <w:link w:val="11"/>
    <w:qFormat/>
    <w:uiPriority w:val="0"/>
    <w:rPr>
      <w:rFonts w:ascii="Times New Roman" w:hAnsi="Times New Roman" w:eastAsia="宋体" w:cs="Times New Roman"/>
      <w:b/>
      <w:kern w:val="1"/>
      <w:sz w:val="24"/>
    </w:rPr>
  </w:style>
  <w:style w:type="character" w:customStyle="1" w:styleId="102">
    <w:name w:val="正文文本缩进 3 字符"/>
    <w:link w:val="41"/>
    <w:qFormat/>
    <w:uiPriority w:val="0"/>
    <w:rPr>
      <w:rFonts w:ascii="Times New Roman" w:hAnsi="Times New Roman" w:eastAsia="宋体" w:cs="Times New Roman"/>
      <w:kern w:val="1"/>
      <w:sz w:val="28"/>
    </w:rPr>
  </w:style>
  <w:style w:type="character" w:customStyle="1" w:styleId="103">
    <w:name w:val="正文文本 字符"/>
    <w:link w:val="24"/>
    <w:qFormat/>
    <w:uiPriority w:val="0"/>
    <w:rPr>
      <w:rFonts w:ascii="宋体" w:hAnsi="宋体" w:eastAsia="宋体" w:cs="Times New Roman"/>
      <w:b/>
      <w:color w:val="000000"/>
      <w:kern w:val="1"/>
      <w:sz w:val="72"/>
    </w:rPr>
  </w:style>
  <w:style w:type="character" w:customStyle="1" w:styleId="104">
    <w:name w:val="content"/>
    <w:qFormat/>
    <w:uiPriority w:val="0"/>
    <w:rPr>
      <w:rFonts w:ascii="Times New Roman" w:hAnsi="Times New Roman" w:eastAsia="宋体" w:cs="Times New Roman"/>
    </w:rPr>
  </w:style>
  <w:style w:type="character" w:customStyle="1" w:styleId="105">
    <w:name w:val="正文文本缩进 字符"/>
    <w:link w:val="3"/>
    <w:qFormat/>
    <w:uiPriority w:val="0"/>
    <w:rPr>
      <w:rFonts w:ascii="Times New Roman" w:hAnsi="Times New Roman" w:eastAsia="宋体" w:cs="Times New Roman"/>
      <w:kern w:val="1"/>
      <w:sz w:val="21"/>
    </w:rPr>
  </w:style>
  <w:style w:type="character" w:customStyle="1" w:styleId="106">
    <w:name w:val="hover28"/>
    <w:qFormat/>
    <w:uiPriority w:val="0"/>
    <w:rPr>
      <w:rFonts w:ascii="Times New Roman" w:hAnsi="Times New Roman" w:eastAsia="宋体" w:cs="Times New Roman"/>
      <w:color w:val="FF0000"/>
    </w:rPr>
  </w:style>
  <w:style w:type="character" w:customStyle="1" w:styleId="107">
    <w:name w:val="页脚 字符"/>
    <w:link w:val="34"/>
    <w:qFormat/>
    <w:uiPriority w:val="0"/>
    <w:rPr>
      <w:rFonts w:ascii="Times New Roman" w:hAnsi="Times New Roman" w:eastAsia="宋体" w:cs="Times New Roman"/>
      <w:sz w:val="18"/>
    </w:rPr>
  </w:style>
  <w:style w:type="character" w:customStyle="1" w:styleId="108">
    <w:name w:val="正文文本缩进 2 字符"/>
    <w:link w:val="32"/>
    <w:qFormat/>
    <w:uiPriority w:val="0"/>
    <w:rPr>
      <w:rFonts w:ascii="宋体" w:hAnsi="宋体" w:eastAsia="新宋体" w:cs="Times New Roman"/>
      <w:kern w:val="1"/>
      <w:sz w:val="24"/>
    </w:rPr>
  </w:style>
  <w:style w:type="character" w:customStyle="1" w:styleId="109">
    <w:name w:val="f12"/>
    <w:qFormat/>
    <w:uiPriority w:val="0"/>
    <w:rPr>
      <w:rFonts w:ascii="Times New Roman" w:hAnsi="Times New Roman" w:eastAsia="宋体" w:cs="Times New Roman"/>
    </w:rPr>
  </w:style>
  <w:style w:type="character" w:customStyle="1" w:styleId="110">
    <w:name w:val="标题 5 字符"/>
    <w:link w:val="9"/>
    <w:qFormat/>
    <w:uiPriority w:val="0"/>
    <w:rPr>
      <w:rFonts w:ascii="Times New Roman" w:hAnsi="Times New Roman" w:eastAsia="宋体" w:cs="Times New Roman"/>
      <w:b/>
      <w:kern w:val="1"/>
      <w:sz w:val="28"/>
    </w:rPr>
  </w:style>
  <w:style w:type="character" w:customStyle="1" w:styleId="111">
    <w:name w:val="标题 9 字符"/>
    <w:link w:val="13"/>
    <w:qFormat/>
    <w:uiPriority w:val="0"/>
    <w:rPr>
      <w:rFonts w:ascii="Arial" w:hAnsi="Arial" w:eastAsia="黑体" w:cs="Times New Roman"/>
      <w:kern w:val="1"/>
      <w:sz w:val="21"/>
    </w:rPr>
  </w:style>
  <w:style w:type="character" w:customStyle="1" w:styleId="112">
    <w:name w:val="c-icon14"/>
    <w:qFormat/>
    <w:uiPriority w:val="0"/>
    <w:rPr>
      <w:rFonts w:ascii="Times New Roman" w:hAnsi="Times New Roman" w:eastAsia="宋体" w:cs="Times New Roman"/>
    </w:rPr>
  </w:style>
  <w:style w:type="character" w:customStyle="1" w:styleId="113">
    <w:name w:val=" Char Char"/>
    <w:link w:val="114"/>
    <w:qFormat/>
    <w:uiPriority w:val="0"/>
    <w:rPr>
      <w:rFonts w:ascii="Times New Roman" w:hAnsi="Times New Roman" w:eastAsia="宋体" w:cs="Times New Roman"/>
      <w:kern w:val="1"/>
      <w:sz w:val="21"/>
      <w:lang w:val="en-US" w:eastAsia="zh-CN"/>
    </w:rPr>
  </w:style>
  <w:style w:type="paragraph" w:customStyle="1" w:styleId="114">
    <w:name w:val=" Char"/>
    <w:basedOn w:val="1"/>
    <w:link w:val="113"/>
    <w:qFormat/>
    <w:uiPriority w:val="0"/>
    <w:pPr>
      <w:widowControl/>
      <w:spacing w:after="160" w:afterAutospacing="0" w:line="240" w:lineRule="exact"/>
      <w:jc w:val="left"/>
    </w:pPr>
    <w:rPr>
      <w:rFonts w:ascii="Times New Roman" w:hAnsi="Times New Roman" w:eastAsia="宋体" w:cs="Times New Roman"/>
      <w:color w:val="auto"/>
      <w:kern w:val="1"/>
    </w:rPr>
  </w:style>
  <w:style w:type="character" w:customStyle="1" w:styleId="115">
    <w:name w:val="纯文本 Char1"/>
    <w:qFormat/>
    <w:uiPriority w:val="0"/>
    <w:rPr>
      <w:rFonts w:ascii="宋体" w:hAnsi="宋体" w:eastAsia="宋体" w:cs="Times New Roman"/>
      <w:kern w:val="0"/>
    </w:rPr>
  </w:style>
  <w:style w:type="character" w:customStyle="1" w:styleId="116">
    <w:name w:val="font21"/>
    <w:qFormat/>
    <w:uiPriority w:val="0"/>
    <w:rPr>
      <w:rFonts w:ascii="Calibri" w:hAnsi="Calibri" w:eastAsia="宋体" w:cs="Times New Roman"/>
      <w:color w:val="000000"/>
      <w:sz w:val="21"/>
      <w:u w:val="none"/>
    </w:rPr>
  </w:style>
  <w:style w:type="paragraph" w:customStyle="1" w:styleId="117">
    <w:name w:val="可研正文"/>
    <w:basedOn w:val="1"/>
    <w:qFormat/>
    <w:uiPriority w:val="0"/>
    <w:pPr>
      <w:spacing w:line="360" w:lineRule="auto"/>
      <w:ind w:firstLine="200" w:firstLineChars="200"/>
    </w:pPr>
    <w:rPr>
      <w:rFonts w:ascii="Times New Roman" w:hAnsi="Times New Roman" w:eastAsia="仿宋_GB2312" w:cs="Times New Roman"/>
      <w:bCs/>
      <w:sz w:val="28"/>
    </w:rPr>
  </w:style>
  <w:style w:type="paragraph" w:customStyle="1" w:styleId="118">
    <w:name w:val="Body Text 2*"/>
    <w:basedOn w:val="1"/>
    <w:qFormat/>
    <w:uiPriority w:val="0"/>
    <w:pPr>
      <w:spacing w:line="300" w:lineRule="auto"/>
      <w:jc w:val="center"/>
    </w:pPr>
    <w:rPr>
      <w:rFonts w:ascii="宋体" w:hAnsi="宋体" w:eastAsia="宋体" w:cs="Times New Roman"/>
      <w:kern w:val="1"/>
      <w:sz w:val="24"/>
    </w:rPr>
  </w:style>
  <w:style w:type="paragraph" w:customStyle="1" w:styleId="119">
    <w:name w:val="_Style 3"/>
    <w:basedOn w:val="1"/>
    <w:qFormat/>
    <w:uiPriority w:val="0"/>
    <w:pPr>
      <w:widowControl w:val="0"/>
      <w:spacing w:line="360" w:lineRule="auto"/>
      <w:ind w:firstLine="420" w:firstLineChars="200"/>
      <w:jc w:val="both"/>
    </w:pPr>
    <w:rPr>
      <w:rFonts w:ascii="Times New Roman" w:hAnsi="Times New Roman" w:eastAsia="宋体" w:cs="Times New Roman"/>
      <w:kern w:val="2"/>
      <w:sz w:val="21"/>
      <w:szCs w:val="24"/>
    </w:rPr>
  </w:style>
  <w:style w:type="paragraph" w:customStyle="1" w:styleId="120">
    <w:name w:val="标题 7 New"/>
    <w:basedOn w:val="1"/>
    <w:next w:val="1"/>
    <w:qFormat/>
    <w:uiPriority w:val="0"/>
    <w:pPr>
      <w:keepNext/>
      <w:keepLines/>
      <w:widowControl/>
      <w:tabs>
        <w:tab w:val="left" w:pos="2520"/>
      </w:tabs>
      <w:spacing w:before="240" w:beforeAutospacing="0" w:after="64" w:afterAutospacing="0" w:line="317" w:lineRule="auto"/>
      <w:ind w:left="1296" w:hanging="1296"/>
      <w:jc w:val="left"/>
      <w:outlineLvl w:val="6"/>
    </w:pPr>
    <w:rPr>
      <w:rFonts w:ascii="Times New Roman" w:hAnsi="Times New Roman" w:eastAsia="宋体" w:cs="Times New Roman"/>
      <w:b/>
      <w:sz w:val="24"/>
    </w:rPr>
  </w:style>
  <w:style w:type="paragraph" w:customStyle="1" w:styleId="121">
    <w:name w:val="样式"/>
    <w:basedOn w:val="1"/>
    <w:qFormat/>
    <w:uiPriority w:val="0"/>
    <w:pPr>
      <w:spacing w:before="120" w:beforeAutospacing="0" w:after="120" w:afterAutospacing="0" w:line="360" w:lineRule="auto"/>
    </w:pPr>
    <w:rPr>
      <w:rFonts w:ascii="宋体" w:hAnsi="宋体" w:eastAsia="宋体" w:cs="Times New Roman"/>
      <w:kern w:val="1"/>
      <w:sz w:val="24"/>
    </w:rPr>
  </w:style>
  <w:style w:type="paragraph" w:customStyle="1" w:styleId="122">
    <w:name w:val=" Char Char Char"/>
    <w:basedOn w:val="1"/>
    <w:qFormat/>
    <w:uiPriority w:val="0"/>
    <w:rPr>
      <w:rFonts w:ascii="Tahoma" w:hAnsi="Tahoma" w:eastAsia="宋体" w:cs="Times New Roman"/>
      <w:kern w:val="1"/>
      <w:sz w:val="24"/>
    </w:rPr>
  </w:style>
  <w:style w:type="paragraph" w:customStyle="1" w:styleId="123">
    <w:name w:val="样式 正文（首行缩进两字） + 首行缩进:  2 字符"/>
    <w:basedOn w:val="17"/>
    <w:qFormat/>
    <w:uiPriority w:val="0"/>
    <w:pPr>
      <w:spacing w:line="460" w:lineRule="exact"/>
      <w:ind w:firstLine="536"/>
    </w:pPr>
    <w:rPr>
      <w:rFonts w:ascii="Times New Roman" w:hAnsi="Times New Roman" w:eastAsia="宋体" w:cs="Times New Roman"/>
      <w:spacing w:val="12"/>
      <w:sz w:val="24"/>
    </w:rPr>
  </w:style>
  <w:style w:type="paragraph" w:customStyle="1" w:styleId="124">
    <w:name w:val="Body text|4"/>
    <w:basedOn w:val="1"/>
    <w:qFormat/>
    <w:uiPriority w:val="0"/>
    <w:pPr>
      <w:widowControl w:val="0"/>
      <w:shd w:val="clear" w:color="auto" w:fill="auto"/>
      <w:ind w:hanging="2000"/>
    </w:pPr>
    <w:rPr>
      <w:sz w:val="20"/>
      <w:szCs w:val="20"/>
      <w:u w:val="single"/>
      <w:shd w:val="clear" w:color="auto" w:fill="auto"/>
      <w:lang w:val="zh-CN"/>
    </w:rPr>
  </w:style>
  <w:style w:type="paragraph" w:styleId="125">
    <w:name w:val="List Paragraph"/>
    <w:basedOn w:val="1"/>
    <w:qFormat/>
    <w:uiPriority w:val="0"/>
    <w:pPr>
      <w:ind w:firstLine="420" w:firstLineChars="200"/>
    </w:pPr>
    <w:rPr>
      <w:rFonts w:ascii="Times New Roman" w:hAnsi="Times New Roman" w:eastAsia="宋体" w:cs="Times New Roman"/>
    </w:rPr>
  </w:style>
  <w:style w:type="paragraph" w:customStyle="1" w:styleId="126">
    <w:name w:val=" Char Char Char Char Char Char Char"/>
    <w:basedOn w:val="1"/>
    <w:qFormat/>
    <w:uiPriority w:val="0"/>
    <w:rPr>
      <w:rFonts w:ascii="Tahoma" w:hAnsi="Tahoma" w:eastAsia="宋体" w:cs="Times New Roman"/>
      <w:kern w:val="1"/>
      <w:sz w:val="24"/>
    </w:rPr>
  </w:style>
  <w:style w:type="paragraph" w:customStyle="1" w:styleId="127">
    <w:name w:val="居中"/>
    <w:basedOn w:val="1"/>
    <w:qFormat/>
    <w:uiPriority w:val="0"/>
    <w:pPr>
      <w:spacing w:line="260" w:lineRule="exact"/>
      <w:jc w:val="center"/>
    </w:pPr>
    <w:rPr>
      <w:rFonts w:ascii="Times New Roman" w:hAnsi="Times New Roman" w:eastAsia="宋体" w:cs="Times New Roman"/>
      <w:kern w:val="1"/>
    </w:rPr>
  </w:style>
  <w:style w:type="paragraph" w:customStyle="1" w:styleId="128">
    <w:name w:val="ÕýÎÄ"/>
    <w:qFormat/>
    <w:uiPriority w:val="0"/>
    <w:pPr>
      <w:widowControl w:val="0"/>
      <w:spacing w:line="351" w:lineRule="atLeast"/>
      <w:ind w:firstLine="419"/>
      <w:jc w:val="both"/>
    </w:pPr>
    <w:rPr>
      <w:rFonts w:ascii="Times New Roman" w:hAnsi="Times New Roman" w:eastAsia="宋体" w:cs="Times New Roman"/>
      <w:color w:val="000000"/>
      <w:sz w:val="21"/>
      <w:lang w:val="en-US" w:eastAsia="zh-CN" w:bidi="ar-SA"/>
    </w:rPr>
  </w:style>
  <w:style w:type="paragraph" w:customStyle="1" w:styleId="129">
    <w:name w:val="Body text|2"/>
    <w:basedOn w:val="1"/>
    <w:qFormat/>
    <w:uiPriority w:val="0"/>
    <w:pPr>
      <w:widowControl w:val="0"/>
      <w:shd w:val="clear" w:color="auto" w:fill="auto"/>
      <w:spacing w:after="120"/>
    </w:pPr>
    <w:rPr>
      <w:rFonts w:ascii="宋体" w:hAnsi="宋体" w:eastAsia="宋体" w:cs="宋体"/>
      <w:sz w:val="17"/>
      <w:szCs w:val="17"/>
      <w:u w:val="none"/>
      <w:shd w:val="clear" w:color="auto" w:fill="auto"/>
      <w:lang w:val="zh-TW" w:eastAsia="zh-TW" w:bidi="zh-TW"/>
    </w:rPr>
  </w:style>
  <w:style w:type="paragraph" w:customStyle="1" w:styleId="130">
    <w:name w:val="默认段落字体 Para Char Char Char Char Char Char Char"/>
    <w:basedOn w:val="1"/>
    <w:qFormat/>
    <w:uiPriority w:val="0"/>
    <w:rPr>
      <w:rFonts w:ascii="Tahoma" w:hAnsi="Tahoma" w:eastAsia="宋体" w:cs="Times New Roman"/>
      <w:b/>
      <w:kern w:val="1"/>
      <w:sz w:val="24"/>
    </w:rPr>
  </w:style>
  <w:style w:type="paragraph" w:customStyle="1" w:styleId="131">
    <w:name w:val="默认段落字体 Para Char Char Char Char Char Char Char Char Char1 Char Char Char Char"/>
    <w:basedOn w:val="1"/>
    <w:qFormat/>
    <w:uiPriority w:val="0"/>
    <w:rPr>
      <w:rFonts w:ascii="Tahoma" w:hAnsi="Tahoma"/>
      <w:sz w:val="24"/>
      <w:szCs w:val="20"/>
    </w:rPr>
  </w:style>
  <w:style w:type="paragraph" w:customStyle="1" w:styleId="132">
    <w:name w:val="item1.1"/>
    <w:basedOn w:val="1"/>
    <w:qFormat/>
    <w:uiPriority w:val="0"/>
    <w:pPr>
      <w:spacing w:line="480" w:lineRule="exact"/>
    </w:pPr>
    <w:rPr>
      <w:rFonts w:ascii="宋体" w:hAnsi="宋体" w:eastAsia="宋体" w:cs="Times New Roman"/>
      <w:kern w:val="1"/>
      <w:sz w:val="28"/>
    </w:rPr>
  </w:style>
  <w:style w:type="paragraph" w:customStyle="1" w:styleId="133">
    <w:name w:val="首行缩进"/>
    <w:basedOn w:val="1"/>
    <w:qFormat/>
    <w:uiPriority w:val="0"/>
    <w:pPr>
      <w:spacing w:line="360" w:lineRule="auto"/>
      <w:ind w:firstLine="480" w:firstLineChars="200"/>
    </w:pPr>
    <w:rPr>
      <w:rFonts w:ascii="Times New Roman" w:hAnsi="Times New Roman" w:eastAsia="宋体" w:cs="Times New Roman"/>
      <w:sz w:val="24"/>
      <w:lang w:val="zh-CN"/>
    </w:rPr>
  </w:style>
  <w:style w:type="paragraph" w:customStyle="1" w:styleId="134">
    <w:name w:val="样式 (符号) 宋体"/>
    <w:basedOn w:val="1"/>
    <w:qFormat/>
    <w:uiPriority w:val="0"/>
    <w:pPr>
      <w:ind w:firstLine="420"/>
    </w:pPr>
    <w:rPr>
      <w:rFonts w:ascii="Times New Roman" w:hAnsi="Times New Roman" w:eastAsia="宋体" w:cs="Times New Roman"/>
      <w:kern w:val="1"/>
    </w:rPr>
  </w:style>
  <w:style w:type="paragraph" w:customStyle="1" w:styleId="135">
    <w:name w:val=" Char3"/>
    <w:basedOn w:val="1"/>
    <w:qFormat/>
    <w:uiPriority w:val="0"/>
    <w:pPr>
      <w:tabs>
        <w:tab w:val="left" w:pos="360"/>
      </w:tabs>
    </w:pPr>
    <w:rPr>
      <w:rFonts w:ascii="Times New Roman" w:hAnsi="Times New Roman" w:eastAsia="宋体" w:cs="Times New Roman"/>
      <w:kern w:val="1"/>
      <w:sz w:val="24"/>
    </w:rPr>
  </w:style>
  <w:style w:type="paragraph" w:customStyle="1" w:styleId="136">
    <w:name w:val=" Char Char7 Char"/>
    <w:basedOn w:val="1"/>
    <w:qFormat/>
    <w:uiPriority w:val="0"/>
    <w:pPr>
      <w:tabs>
        <w:tab w:val="left" w:pos="425"/>
      </w:tabs>
      <w:ind w:left="420" w:firstLine="270"/>
    </w:pPr>
    <w:rPr>
      <w:rFonts w:ascii="宋体" w:hAnsi="宋体" w:eastAsia="宋体" w:cs="Times New Roman"/>
      <w:color w:val="5E5E5E"/>
    </w:rPr>
  </w:style>
  <w:style w:type="paragraph" w:customStyle="1" w:styleId="137">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138">
    <w:name w:val=" Char2"/>
    <w:basedOn w:val="1"/>
    <w:qFormat/>
    <w:uiPriority w:val="0"/>
    <w:pPr>
      <w:jc w:val="center"/>
    </w:pPr>
    <w:rPr>
      <w:rFonts w:ascii="Times New Roman" w:hAnsi="Times New Roman" w:eastAsia="宋体" w:cs="Times New Roman"/>
      <w:kern w:val="1"/>
      <w:sz w:val="24"/>
    </w:rPr>
  </w:style>
  <w:style w:type="paragraph" w:customStyle="1" w:styleId="139">
    <w:name w:val="标题1"/>
    <w:basedOn w:val="36"/>
    <w:qFormat/>
    <w:uiPriority w:val="0"/>
    <w:pPr>
      <w:widowControl/>
      <w:tabs>
        <w:tab w:val="clear" w:pos="9127"/>
      </w:tabs>
      <w:spacing w:before="120" w:beforeAutospacing="0" w:after="120" w:afterAutospacing="0" w:line="420" w:lineRule="exact"/>
      <w:ind w:left="0" w:firstLine="0"/>
    </w:pPr>
    <w:rPr>
      <w:rFonts w:ascii="宋体" w:hAnsi="宋体" w:eastAsia="宋体" w:cs="Times New Roman"/>
      <w:kern w:val="0"/>
      <w:sz w:val="44"/>
    </w:rPr>
  </w:style>
  <w:style w:type="paragraph" w:customStyle="1" w:styleId="140">
    <w:name w:val="_Style 136"/>
    <w:qFormat/>
    <w:uiPriority w:val="0"/>
    <w:rPr>
      <w:rFonts w:ascii="Times New Roman" w:hAnsi="Times New Roman" w:eastAsia="宋体" w:cs="Times New Roman"/>
      <w:color w:val="000000"/>
      <w:kern w:val="1"/>
      <w:sz w:val="21"/>
      <w:lang w:val="en-US" w:eastAsia="zh-CN" w:bidi="ar-SA"/>
    </w:rPr>
  </w:style>
  <w:style w:type="paragraph" w:customStyle="1" w:styleId="141">
    <w:name w:val="4"/>
    <w:basedOn w:val="1"/>
    <w:next w:val="28"/>
    <w:qFormat/>
    <w:uiPriority w:val="0"/>
    <w:pPr>
      <w:spacing w:line="520" w:lineRule="exact"/>
    </w:pPr>
    <w:rPr>
      <w:rFonts w:ascii="宋体" w:hAnsi="Courier New"/>
      <w:color w:val="auto"/>
      <w:kern w:val="2"/>
    </w:rPr>
  </w:style>
  <w:style w:type="paragraph" w:customStyle="1" w:styleId="142">
    <w:name w:val="样式 首行缩进:  2 字符"/>
    <w:basedOn w:val="1"/>
    <w:qFormat/>
    <w:uiPriority w:val="0"/>
    <w:pPr>
      <w:ind w:firstLine="420"/>
    </w:pPr>
    <w:rPr>
      <w:rFonts w:ascii="Times New Roman" w:hAnsi="Times New Roman" w:eastAsia="宋体" w:cs="Times New Roman"/>
      <w:kern w:val="1"/>
    </w:rPr>
  </w:style>
  <w:style w:type="paragraph" w:customStyle="1" w:styleId="143">
    <w:name w:val="PlainText"/>
    <w:basedOn w:val="1"/>
    <w:qFormat/>
    <w:uiPriority w:val="0"/>
    <w:pPr>
      <w:jc w:val="left"/>
    </w:pPr>
    <w:rPr>
      <w:rFonts w:hAnsi="Courier New"/>
      <w:kern w:val="0"/>
      <w:szCs w:val="20"/>
    </w:rPr>
  </w:style>
  <w:style w:type="paragraph" w:customStyle="1" w:styleId="144">
    <w:name w:val="Char Char Char"/>
    <w:basedOn w:val="1"/>
    <w:qFormat/>
    <w:uiPriority w:val="0"/>
    <w:rPr>
      <w:rFonts w:ascii="Times New Roman" w:hAnsi="Times New Roman" w:eastAsia="宋体" w:cs="Times New Roman"/>
      <w:kern w:val="1"/>
    </w:rPr>
  </w:style>
  <w:style w:type="paragraph" w:customStyle="1" w:styleId="145">
    <w:name w:val="文档正文"/>
    <w:basedOn w:val="1"/>
    <w:qFormat/>
    <w:uiPriority w:val="0"/>
    <w:pPr>
      <w:spacing w:line="480" w:lineRule="atLeast"/>
      <w:ind w:firstLine="567"/>
    </w:pPr>
    <w:rPr>
      <w:rFonts w:ascii="仿宋_GB2312" w:hAnsi="仿宋_GB2312" w:eastAsia="仿宋" w:cs="Times New Roman"/>
      <w:sz w:val="28"/>
    </w:rPr>
  </w:style>
  <w:style w:type="paragraph" w:customStyle="1" w:styleId="146">
    <w:name w:val="*正文"/>
    <w:basedOn w:val="1"/>
    <w:qFormat/>
    <w:uiPriority w:val="0"/>
    <w:pPr>
      <w:spacing w:line="360" w:lineRule="auto"/>
      <w:ind w:firstLine="200" w:firstLineChars="200"/>
    </w:pPr>
    <w:rPr>
      <w:rFonts w:ascii="宋体" w:hAnsi="宋体"/>
      <w:sz w:val="24"/>
    </w:rPr>
  </w:style>
  <w:style w:type="paragraph" w:customStyle="1" w:styleId="147">
    <w:name w:val="样式1"/>
    <w:basedOn w:val="36"/>
    <w:qFormat/>
    <w:uiPriority w:val="0"/>
    <w:pPr>
      <w:spacing w:line="360" w:lineRule="exact"/>
      <w:ind w:firstLine="200" w:firstLineChars="200"/>
    </w:pPr>
    <w:rPr>
      <w:rFonts w:ascii="Arial" w:hAnsi="Arial" w:eastAsia="宋体" w:cs="Times New Roman"/>
    </w:rPr>
  </w:style>
  <w:style w:type="paragraph" w:customStyle="1" w:styleId="148">
    <w:name w:val="xl24"/>
    <w:basedOn w:val="1"/>
    <w:qFormat/>
    <w:uiPriority w:val="0"/>
    <w:pPr>
      <w:widowControl/>
      <w:spacing w:before="100" w:beforeAutospacing="1" w:after="100" w:afterAutospacing="1"/>
      <w:jc w:val="right"/>
    </w:pPr>
    <w:rPr>
      <w:rFonts w:ascii="宋体" w:hAnsi="宋体" w:eastAsia="宋体" w:cs="Times New Roman"/>
      <w:sz w:val="24"/>
    </w:rPr>
  </w:style>
  <w:style w:type="paragraph" w:customStyle="1" w:styleId="149">
    <w:name w:val="+正文"/>
    <w:basedOn w:val="1"/>
    <w:qFormat/>
    <w:uiPriority w:val="0"/>
    <w:pPr>
      <w:spacing w:line="360" w:lineRule="auto"/>
      <w:ind w:firstLine="200"/>
    </w:pPr>
    <w:rPr>
      <w:rFonts w:ascii="Times New Roman" w:hAnsi="Times New Roman" w:eastAsia="宋体" w:cs="Times New Roman"/>
      <w:kern w:val="1"/>
      <w:sz w:val="24"/>
    </w:rPr>
  </w:style>
  <w:style w:type="paragraph" w:customStyle="1" w:styleId="150">
    <w:name w:val="Body text|1"/>
    <w:basedOn w:val="1"/>
    <w:qFormat/>
    <w:uiPriority w:val="0"/>
    <w:pPr>
      <w:widowControl w:val="0"/>
      <w:shd w:val="clear" w:color="auto" w:fill="auto"/>
      <w:spacing w:line="374" w:lineRule="auto"/>
      <w:ind w:firstLine="400"/>
    </w:pPr>
    <w:rPr>
      <w:rFonts w:ascii="宋体" w:hAnsi="宋体" w:eastAsia="宋体" w:cs="宋体"/>
      <w:sz w:val="28"/>
      <w:szCs w:val="28"/>
      <w:u w:val="none"/>
      <w:shd w:val="clear" w:color="auto" w:fill="auto"/>
      <w:lang w:val="zh-TW" w:eastAsia="zh-TW" w:bidi="zh-TW"/>
    </w:rPr>
  </w:style>
  <w:style w:type="paragraph" w:customStyle="1" w:styleId="151">
    <w:name w:val=" Char Char2 Char Char"/>
    <w:basedOn w:val="1"/>
    <w:qFormat/>
    <w:uiPriority w:val="0"/>
    <w:rPr>
      <w:rFonts w:ascii="Times New Roman" w:hAnsi="Times New Roman" w:eastAsia="宋体" w:cs="Times New Roman"/>
      <w:kern w:val="1"/>
    </w:rPr>
  </w:style>
  <w:style w:type="paragraph" w:customStyle="1" w:styleId="152">
    <w:name w:val="样式 首行缩进: 2 字符"/>
    <w:basedOn w:val="1"/>
    <w:qFormat/>
    <w:uiPriority w:val="0"/>
    <w:pPr>
      <w:ind w:firstLine="420"/>
    </w:pPr>
    <w:rPr>
      <w:rFonts w:ascii="Times New Roman" w:hAnsi="Times New Roman" w:eastAsia="宋体" w:cs="Times New Roman"/>
      <w:kern w:val="1"/>
    </w:rPr>
  </w:style>
  <w:style w:type="paragraph" w:customStyle="1" w:styleId="153">
    <w:name w:val="No Spacing*"/>
    <w:qFormat/>
    <w:uiPriority w:val="0"/>
    <w:rPr>
      <w:rFonts w:ascii="Times New Roman" w:hAnsi="Times New Roman" w:eastAsia="宋体" w:cs="Times New Roman"/>
      <w:color w:val="000000"/>
      <w:sz w:val="22"/>
      <w:lang w:val="en-US" w:eastAsia="zh-CN" w:bidi="ar-SA"/>
    </w:rPr>
  </w:style>
  <w:style w:type="paragraph" w:customStyle="1" w:styleId="154">
    <w:name w:val="标准文件_字母编号列项（一级）"/>
    <w:qFormat/>
    <w:uiPriority w:val="0"/>
    <w:pPr>
      <w:numPr>
        <w:ilvl w:val="0"/>
        <w:numId w:val="3"/>
      </w:numPr>
      <w:jc w:val="both"/>
    </w:pPr>
    <w:rPr>
      <w:rFonts w:ascii="宋体" w:hAnsi="Times New Roman" w:eastAsia="宋体" w:cs="Times New Roman"/>
      <w:sz w:val="21"/>
      <w:lang w:val="en-US" w:eastAsia="zh-CN" w:bidi="ar-SA"/>
    </w:rPr>
  </w:style>
  <w:style w:type="paragraph" w:customStyle="1" w:styleId="155">
    <w:name w:val="标书正文"/>
    <w:basedOn w:val="1"/>
    <w:qFormat/>
    <w:uiPriority w:val="0"/>
    <w:pPr>
      <w:tabs>
        <w:tab w:val="left" w:pos="600"/>
      </w:tabs>
      <w:spacing w:line="480" w:lineRule="atLeast"/>
      <w:ind w:firstLine="480"/>
    </w:pPr>
    <w:rPr>
      <w:rFonts w:ascii="Times New Roman" w:hAnsi="Times New Roman" w:eastAsia="宋体" w:cs="Times New Roman"/>
      <w:kern w:val="1"/>
      <w:sz w:val="24"/>
    </w:rPr>
  </w:style>
  <w:style w:type="character" w:customStyle="1" w:styleId="156">
    <w:name w:val="正文文本缩进 2 Char1"/>
    <w:link w:val="32"/>
    <w:qFormat/>
    <w:uiPriority w:val="0"/>
    <w:rPr>
      <w:rFonts w:ascii="宋体" w:eastAsia="新宋体"/>
      <w:kern w:val="2"/>
      <w:sz w:val="24"/>
    </w:rPr>
  </w:style>
  <w:style w:type="paragraph" w:customStyle="1" w:styleId="157">
    <w:name w:val="正文_2"/>
    <w:qFormat/>
    <w:uiPriority w:val="0"/>
    <w:rPr>
      <w:rFonts w:ascii="Times New Roman" w:hAnsi="Times New Roman" w:eastAsia="宋体" w:cs="Times New Roman"/>
      <w:sz w:val="21"/>
      <w:szCs w:val="21"/>
      <w:lang w:val="en-US" w:eastAsia="zh-CN" w:bidi="ar-SA"/>
    </w:rPr>
  </w:style>
  <w:style w:type="paragraph" w:customStyle="1" w:styleId="158">
    <w:name w:val="Body Text First Indent 21"/>
    <w:basedOn w:val="159"/>
    <w:qFormat/>
    <w:uiPriority w:val="0"/>
    <w:pPr>
      <w:ind w:firstLine="420"/>
    </w:pPr>
    <w:rPr>
      <w:rFonts w:cs="宋体"/>
    </w:rPr>
  </w:style>
  <w:style w:type="paragraph" w:customStyle="1" w:styleId="159">
    <w:name w:val="Body Text Indent1"/>
    <w:basedOn w:val="1"/>
    <w:next w:val="1"/>
    <w:qFormat/>
    <w:uiPriority w:val="0"/>
    <w:pPr>
      <w:spacing w:after="120"/>
      <w:ind w:left="420" w:leftChars="200"/>
    </w:pPr>
  </w:style>
  <w:style w:type="paragraph" w:customStyle="1" w:styleId="160">
    <w:name w:val="p0"/>
    <w:basedOn w:val="1"/>
    <w:autoRedefine/>
    <w:qFormat/>
    <w:uiPriority w:val="0"/>
    <w:pPr>
      <w:widowControl/>
      <w:adjustRightInd/>
      <w:snapToGrid w:val="0"/>
      <w:jc w:val="left"/>
      <w:pPrChange w:id="0" w:author="天祺 潘" w:date="2024-05-21T17:48:00Z">
        <w:pPr>
          <w:jc w:val="both"/>
        </w:pPr>
      </w:pPrChange>
    </w:pPr>
    <w:rPr>
      <w:kern w:val="0"/>
      <w:szCs w:val="21"/>
      <w:rPrChange w:id="1" w:author="天祺 潘" w:date="2024-05-21T17:48:00Z">
        <w:rPr>
          <w:rFonts w:eastAsia="宋体"/>
          <w:sz w:val="21"/>
          <w:szCs w:val="21"/>
          <w:lang w:val="en-US" w:eastAsia="zh-CN" w:bidi="ar-SA"/>
        </w:rPr>
      </w:rPrChang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45</Pages>
  <Words>18290</Words>
  <Characters>19852</Characters>
  <Lines>235</Lines>
  <Paragraphs>66</Paragraphs>
  <TotalTime>55</TotalTime>
  <ScaleCrop>false</ScaleCrop>
  <LinksUpToDate>false</LinksUpToDate>
  <CharactersWithSpaces>20133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2020-11-17T14:21:00Z</dcterms:created>
  <dc:creator>成套</dc:creator>
  <cp:lastModifiedBy>Miss Yogert</cp:lastModifiedBy>
  <cp:lastPrinted>2024-08-30T04:28:00Z</cp:lastPrinted>
  <dcterms:modified xsi:type="dcterms:W3CDTF">2025-02-28T00:36:36Z</dcterms:modified>
  <dc:title>生产资料市场一期一阶段</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D10347F5F7AE481B9BDC7C0B90F5144A_13</vt:lpwstr>
  </property>
  <property fmtid="{D5CDD505-2E9C-101B-9397-08002B2CF9AE}" pid="4" name="KSOTemplateDocerSaveRecord">
    <vt:lpwstr>eyJoZGlkIjoiNDA5OTVkMzVhNTUwNGY3NjI0N2JkYWMxNDc4OTAzZDAiLCJ1c2VySWQiOiI0MDg3Nzk5OTEifQ==</vt:lpwstr>
  </property>
</Properties>
</file>