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52C60B">
      <w:pPr>
        <w:pStyle w:val="26"/>
        <w:ind w:left="0" w:leftChars="0" w:firstLine="0" w:firstLineChars="0"/>
        <w:jc w:val="center"/>
        <w:rPr>
          <w:rFonts w:hint="eastAsia" w:ascii="仿宋" w:hAnsi="仿宋" w:eastAsia="仿宋" w:cs="仿宋"/>
          <w:b/>
          <w:bCs w:val="0"/>
          <w:color w:val="auto"/>
          <w:spacing w:val="0"/>
          <w:sz w:val="48"/>
          <w:szCs w:val="48"/>
          <w:highlight w:val="none"/>
          <w:lang w:val="en-US" w:eastAsia="zh-CN"/>
        </w:rPr>
      </w:pPr>
    </w:p>
    <w:p w14:paraId="1D6A7786">
      <w:pPr>
        <w:pStyle w:val="26"/>
        <w:ind w:left="0" w:leftChars="0" w:firstLine="0" w:firstLineChars="0"/>
        <w:jc w:val="center"/>
        <w:rPr>
          <w:rFonts w:hint="eastAsia" w:ascii="仿宋" w:hAnsi="仿宋" w:eastAsia="仿宋" w:cs="仿宋"/>
          <w:color w:val="auto"/>
          <w:sz w:val="44"/>
          <w:szCs w:val="44"/>
          <w:highlight w:val="none"/>
        </w:rPr>
      </w:pPr>
      <w:r>
        <w:rPr>
          <w:rFonts w:hint="eastAsia" w:ascii="仿宋" w:hAnsi="仿宋" w:eastAsia="仿宋" w:cs="仿宋"/>
          <w:b/>
          <w:bCs w:val="0"/>
          <w:color w:val="auto"/>
          <w:spacing w:val="0"/>
          <w:sz w:val="44"/>
          <w:szCs w:val="44"/>
          <w:highlight w:val="none"/>
          <w:lang w:val="en-US" w:eastAsia="zh-CN"/>
        </w:rPr>
        <w:t>衢州市柯城区白云街道社区居家养老服务照料中心建设设备物品采购项目</w:t>
      </w:r>
    </w:p>
    <w:p w14:paraId="53FA6D9E">
      <w:pPr>
        <w:pStyle w:val="26"/>
        <w:spacing w:line="240" w:lineRule="auto"/>
        <w:ind w:firstLine="210"/>
        <w:rPr>
          <w:rFonts w:hint="eastAsia" w:ascii="仿宋" w:hAnsi="仿宋" w:eastAsia="仿宋" w:cs="仿宋"/>
          <w:color w:val="auto"/>
          <w:highlight w:val="none"/>
        </w:rPr>
      </w:pPr>
    </w:p>
    <w:p w14:paraId="6097498D">
      <w:pPr>
        <w:spacing w:line="240" w:lineRule="auto"/>
        <w:rPr>
          <w:rFonts w:hint="eastAsia" w:ascii="仿宋" w:hAnsi="仿宋" w:eastAsia="仿宋" w:cs="仿宋"/>
          <w:color w:val="auto"/>
          <w:highlight w:val="none"/>
        </w:rPr>
      </w:pPr>
    </w:p>
    <w:p w14:paraId="156C357A">
      <w:pPr>
        <w:spacing w:line="240" w:lineRule="auto"/>
        <w:ind w:firstLine="1771" w:firstLineChars="245"/>
        <w:rPr>
          <w:rFonts w:hint="eastAsia" w:ascii="仿宋" w:hAnsi="仿宋" w:eastAsia="仿宋" w:cs="仿宋"/>
          <w:b/>
          <w:bCs/>
          <w:color w:val="auto"/>
          <w:sz w:val="72"/>
          <w:szCs w:val="72"/>
          <w:highlight w:val="none"/>
        </w:rPr>
      </w:pPr>
    </w:p>
    <w:p w14:paraId="1921BA45">
      <w:pPr>
        <w:ind w:firstLine="1771" w:firstLineChars="245"/>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公开招标采购文件</w:t>
      </w:r>
    </w:p>
    <w:p w14:paraId="475E2F19">
      <w:pPr>
        <w:pStyle w:val="972"/>
        <w:rPr>
          <w:rFonts w:hint="eastAsia" w:ascii="仿宋" w:hAnsi="仿宋" w:eastAsia="仿宋" w:cs="仿宋"/>
          <w:color w:val="auto"/>
          <w:highlight w:val="none"/>
        </w:rPr>
      </w:pPr>
    </w:p>
    <w:p w14:paraId="67B0F306">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hint="eastAsia" w:ascii="仿宋" w:hAnsi="仿宋" w:eastAsia="仿宋" w:cs="仿宋"/>
          <w:b/>
          <w:color w:val="auto"/>
          <w:sz w:val="32"/>
          <w:highlight w:val="none"/>
        </w:rPr>
      </w:pPr>
      <w:r>
        <w:rPr>
          <w:rFonts w:hint="eastAsia" w:ascii="仿宋" w:hAnsi="仿宋" w:eastAsia="仿宋" w:cs="仿宋"/>
          <w:b/>
          <w:color w:val="auto"/>
          <w:sz w:val="36"/>
          <w:highlight w:val="none"/>
        </w:rPr>
        <w:t>（线上电子标）</w:t>
      </w:r>
    </w:p>
    <w:p w14:paraId="39E5F901">
      <w:pPr>
        <w:spacing w:line="240" w:lineRule="auto"/>
        <w:jc w:val="center"/>
        <w:rPr>
          <w:rFonts w:hint="eastAsia" w:ascii="仿宋" w:hAnsi="仿宋" w:eastAsia="仿宋" w:cs="仿宋"/>
          <w:color w:val="auto"/>
          <w:spacing w:val="-20"/>
          <w:sz w:val="60"/>
          <w:szCs w:val="60"/>
          <w:highlight w:val="none"/>
        </w:rPr>
      </w:pPr>
    </w:p>
    <w:p w14:paraId="7FC26C51">
      <w:pPr>
        <w:spacing w:line="240" w:lineRule="auto"/>
        <w:jc w:val="both"/>
        <w:rPr>
          <w:rFonts w:hint="eastAsia" w:ascii="仿宋" w:hAnsi="仿宋" w:eastAsia="仿宋" w:cs="仿宋"/>
          <w:color w:val="auto"/>
          <w:highlight w:val="none"/>
        </w:rPr>
      </w:pPr>
    </w:p>
    <w:p w14:paraId="60D31DE8">
      <w:pPr>
        <w:spacing w:line="240" w:lineRule="auto"/>
        <w:jc w:val="center"/>
        <w:rPr>
          <w:rFonts w:hint="eastAsia" w:ascii="仿宋" w:hAnsi="仿宋" w:eastAsia="仿宋" w:cs="仿宋"/>
          <w:color w:val="auto"/>
          <w:highlight w:val="none"/>
        </w:rPr>
      </w:pPr>
    </w:p>
    <w:p w14:paraId="157E6D52">
      <w:pPr>
        <w:spacing w:line="460" w:lineRule="exact"/>
        <w:jc w:val="left"/>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kxqz2024196-2</w:t>
      </w:r>
    </w:p>
    <w:p w14:paraId="0A708884">
      <w:pPr>
        <w:spacing w:line="460" w:lineRule="exact"/>
        <w:ind w:left="2625" w:leftChars="406" w:hanging="1772" w:hangingChars="592"/>
        <w:jc w:val="left"/>
        <w:rPr>
          <w:rFonts w:hint="eastAsia" w:ascii="仿宋" w:hAnsi="仿宋" w:eastAsia="仿宋" w:cs="仿宋"/>
          <w:b/>
          <w:color w:val="auto"/>
          <w:spacing w:val="-11"/>
          <w:sz w:val="32"/>
          <w:szCs w:val="32"/>
          <w:highlight w:val="none"/>
        </w:rPr>
      </w:pPr>
    </w:p>
    <w:p w14:paraId="20E8A9B2">
      <w:pPr>
        <w:spacing w:before="24" w:beforeLines="10" w:line="360" w:lineRule="auto"/>
        <w:jc w:val="left"/>
        <w:rPr>
          <w:rFonts w:hint="eastAsia" w:ascii="仿宋" w:hAnsi="仿宋" w:eastAsia="仿宋" w:cs="仿宋"/>
          <w:b/>
          <w:color w:val="auto"/>
          <w:spacing w:val="0"/>
          <w:sz w:val="32"/>
          <w:szCs w:val="32"/>
          <w:highlight w:val="none"/>
          <w:lang w:eastAsia="zh-CN"/>
        </w:rPr>
      </w:pPr>
      <w:r>
        <w:rPr>
          <w:rFonts w:hint="eastAsia" w:ascii="仿宋" w:hAnsi="仿宋" w:eastAsia="仿宋" w:cs="仿宋"/>
          <w:b/>
          <w:color w:val="auto"/>
          <w:spacing w:val="0"/>
          <w:sz w:val="32"/>
          <w:szCs w:val="32"/>
          <w:highlight w:val="none"/>
        </w:rPr>
        <w:t>项目名称：</w:t>
      </w:r>
      <w:r>
        <w:rPr>
          <w:rFonts w:hint="eastAsia" w:ascii="仿宋" w:hAnsi="仿宋" w:eastAsia="仿宋" w:cs="仿宋"/>
          <w:b/>
          <w:color w:val="auto"/>
          <w:spacing w:val="0"/>
          <w:sz w:val="32"/>
          <w:szCs w:val="32"/>
          <w:highlight w:val="none"/>
          <w:lang w:eastAsia="zh-CN"/>
        </w:rPr>
        <w:t>衢州市柯城区白云街道社区居家养老服务照料中心建设设备物品采购项目</w:t>
      </w:r>
    </w:p>
    <w:p w14:paraId="59B2EEB9">
      <w:pPr>
        <w:spacing w:line="240" w:lineRule="auto"/>
        <w:jc w:val="both"/>
        <w:rPr>
          <w:rFonts w:hint="eastAsia" w:ascii="仿宋" w:hAnsi="仿宋" w:eastAsia="仿宋" w:cs="仿宋"/>
          <w:color w:val="auto"/>
          <w:highlight w:val="none"/>
        </w:rPr>
      </w:pPr>
    </w:p>
    <w:p w14:paraId="469E89B3">
      <w:pPr>
        <w:spacing w:line="460" w:lineRule="exact"/>
        <w:ind w:left="2300" w:leftChars="200" w:hanging="1880" w:hangingChars="683"/>
        <w:jc w:val="left"/>
        <w:rPr>
          <w:rFonts w:hint="eastAsia" w:ascii="仿宋" w:hAnsi="仿宋" w:eastAsia="仿宋" w:cs="仿宋"/>
          <w:b/>
          <w:color w:val="auto"/>
          <w:spacing w:val="-23"/>
          <w:sz w:val="32"/>
          <w:szCs w:val="32"/>
          <w:highlight w:val="none"/>
          <w:lang w:eastAsia="zh-CN"/>
        </w:rPr>
      </w:pPr>
    </w:p>
    <w:p w14:paraId="1C3C4507">
      <w:pPr>
        <w:pStyle w:val="36"/>
        <w:ind w:left="0"/>
        <w:rPr>
          <w:rFonts w:hint="eastAsia" w:ascii="仿宋" w:hAnsi="仿宋" w:eastAsia="仿宋" w:cs="仿宋"/>
          <w:b/>
          <w:color w:val="auto"/>
          <w:kern w:val="2"/>
          <w:sz w:val="32"/>
          <w:szCs w:val="32"/>
          <w:highlight w:val="none"/>
          <w:lang w:val="en-US" w:eastAsia="zh-CN" w:bidi="ar-SA"/>
        </w:rPr>
      </w:pPr>
    </w:p>
    <w:p w14:paraId="6AABD56E">
      <w:pPr>
        <w:ind w:right="840" w:rightChars="400"/>
        <w:jc w:val="left"/>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采   购   人：衢州市柯城区白云街道办事处</w:t>
      </w:r>
    </w:p>
    <w:p w14:paraId="1CD26F35">
      <w:pPr>
        <w:ind w:firstLine="321" w:firstLineChars="100"/>
        <w:rPr>
          <w:rFonts w:hint="eastAsia" w:ascii="仿宋" w:hAnsi="仿宋" w:eastAsia="仿宋" w:cs="仿宋"/>
          <w:b/>
          <w:color w:val="auto"/>
          <w:kern w:val="2"/>
          <w:sz w:val="32"/>
          <w:szCs w:val="32"/>
          <w:highlight w:val="none"/>
          <w:lang w:val="en-US" w:eastAsia="zh-CN" w:bidi="ar-SA"/>
        </w:rPr>
      </w:pPr>
    </w:p>
    <w:p w14:paraId="4F3F0F59">
      <w:pPr>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采购代理单位：科信联合工程咨询有限公司</w:t>
      </w:r>
    </w:p>
    <w:p w14:paraId="33A97C42">
      <w:pPr>
        <w:spacing w:line="700" w:lineRule="exact"/>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 xml:space="preserve"> </w:t>
      </w:r>
    </w:p>
    <w:p w14:paraId="6021D9F2">
      <w:pPr>
        <w:pStyle w:val="640"/>
        <w:pageBreakBefore w:val="0"/>
        <w:widowControl w:val="0"/>
        <w:kinsoku/>
        <w:wordWrap/>
        <w:overflowPunct/>
        <w:topLinePunct w:val="0"/>
        <w:autoSpaceDE/>
        <w:autoSpaceDN/>
        <w:bidi w:val="0"/>
        <w:spacing w:before="0" w:after="0" w:line="360" w:lineRule="auto"/>
        <w:ind w:left="0" w:firstLine="0" w:firstLineChars="0"/>
        <w:jc w:val="center"/>
        <w:textAlignment w:val="auto"/>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二○二五年四月</w:t>
      </w:r>
    </w:p>
    <w:p w14:paraId="32C1A9FD">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0" w:name="_Hlt91233176"/>
      <w:bookmarkEnd w:id="0"/>
      <w:bookmarkStart w:id="1" w:name="_Toc91899869"/>
    </w:p>
    <w:p w14:paraId="68296771">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sectPr>
          <w:headerReference r:id="rId4" w:type="first"/>
          <w:footerReference r:id="rId6" w:type="first"/>
          <w:headerReference r:id="rId3" w:type="default"/>
          <w:footerReference r:id="rId5" w:type="default"/>
          <w:pgSz w:w="11906" w:h="16838"/>
          <w:pgMar w:top="1276" w:right="1474" w:bottom="1247" w:left="1474"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347069B7">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目录</w:t>
      </w:r>
    </w:p>
    <w:p w14:paraId="17369F57">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14:paraId="352D81F1">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5CDFA8A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7A27501E">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6C1A066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793D3ED6">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3D33B496">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12F46A3C">
      <w:pPr>
        <w:spacing w:line="360" w:lineRule="auto"/>
        <w:ind w:firstLine="549" w:firstLineChars="229"/>
        <w:rPr>
          <w:rFonts w:hint="eastAsia" w:ascii="仿宋" w:hAnsi="仿宋" w:eastAsia="仿宋" w:cs="仿宋"/>
          <w:color w:val="auto"/>
          <w:sz w:val="24"/>
          <w:highlight w:val="none"/>
        </w:rPr>
      </w:pPr>
    </w:p>
    <w:p w14:paraId="14570689">
      <w:pPr>
        <w:spacing w:line="360" w:lineRule="auto"/>
        <w:ind w:firstLine="549" w:firstLineChars="229"/>
        <w:rPr>
          <w:rFonts w:hint="eastAsia" w:ascii="仿宋" w:hAnsi="仿宋" w:eastAsia="仿宋" w:cs="仿宋"/>
          <w:color w:val="auto"/>
          <w:sz w:val="24"/>
          <w:highlight w:val="none"/>
        </w:rPr>
      </w:pPr>
    </w:p>
    <w:p w14:paraId="0FADE5EB">
      <w:pPr>
        <w:spacing w:line="360" w:lineRule="auto"/>
        <w:ind w:firstLine="549" w:firstLineChars="229"/>
        <w:rPr>
          <w:rFonts w:hint="eastAsia" w:ascii="仿宋" w:hAnsi="仿宋" w:eastAsia="仿宋" w:cs="仿宋"/>
          <w:color w:val="auto"/>
          <w:sz w:val="24"/>
          <w:highlight w:val="none"/>
        </w:rPr>
      </w:pPr>
    </w:p>
    <w:p w14:paraId="2AF38CD8">
      <w:pPr>
        <w:spacing w:line="360" w:lineRule="auto"/>
        <w:ind w:firstLine="549" w:firstLineChars="229"/>
        <w:rPr>
          <w:rFonts w:hint="eastAsia" w:ascii="仿宋" w:hAnsi="仿宋" w:eastAsia="仿宋" w:cs="仿宋"/>
          <w:color w:val="auto"/>
          <w:sz w:val="24"/>
          <w:highlight w:val="none"/>
        </w:rPr>
      </w:pPr>
    </w:p>
    <w:p w14:paraId="44DBEC0B">
      <w:pPr>
        <w:spacing w:line="360" w:lineRule="auto"/>
        <w:ind w:firstLine="549" w:firstLineChars="229"/>
        <w:rPr>
          <w:rFonts w:hint="eastAsia" w:ascii="仿宋" w:hAnsi="仿宋" w:eastAsia="仿宋" w:cs="仿宋"/>
          <w:color w:val="auto"/>
          <w:sz w:val="24"/>
          <w:highlight w:val="none"/>
        </w:rPr>
      </w:pPr>
    </w:p>
    <w:p w14:paraId="20B98A26">
      <w:pPr>
        <w:spacing w:line="360" w:lineRule="auto"/>
        <w:ind w:firstLine="549" w:firstLineChars="229"/>
        <w:rPr>
          <w:rFonts w:hint="eastAsia" w:ascii="仿宋" w:hAnsi="仿宋" w:eastAsia="仿宋" w:cs="仿宋"/>
          <w:color w:val="auto"/>
          <w:sz w:val="24"/>
          <w:highlight w:val="none"/>
        </w:rPr>
      </w:pPr>
    </w:p>
    <w:p w14:paraId="28FBEA42">
      <w:pPr>
        <w:spacing w:line="360" w:lineRule="auto"/>
        <w:ind w:firstLine="549" w:firstLineChars="229"/>
        <w:rPr>
          <w:rFonts w:hint="eastAsia" w:ascii="仿宋" w:hAnsi="仿宋" w:eastAsia="仿宋" w:cs="仿宋"/>
          <w:color w:val="auto"/>
          <w:sz w:val="24"/>
          <w:highlight w:val="none"/>
        </w:rPr>
      </w:pPr>
    </w:p>
    <w:p w14:paraId="5DD93D62">
      <w:pPr>
        <w:spacing w:line="360" w:lineRule="auto"/>
        <w:ind w:firstLine="549" w:firstLineChars="229"/>
        <w:rPr>
          <w:rFonts w:hint="eastAsia" w:ascii="仿宋" w:hAnsi="仿宋" w:eastAsia="仿宋" w:cs="仿宋"/>
          <w:color w:val="auto"/>
          <w:sz w:val="24"/>
          <w:highlight w:val="none"/>
        </w:rPr>
      </w:pPr>
    </w:p>
    <w:p w14:paraId="28881AF3">
      <w:pPr>
        <w:spacing w:line="360" w:lineRule="auto"/>
        <w:ind w:firstLine="549" w:firstLineChars="229"/>
        <w:rPr>
          <w:rFonts w:hint="eastAsia" w:ascii="仿宋" w:hAnsi="仿宋" w:eastAsia="仿宋" w:cs="仿宋"/>
          <w:color w:val="auto"/>
          <w:sz w:val="24"/>
          <w:highlight w:val="none"/>
        </w:rPr>
      </w:pPr>
    </w:p>
    <w:p w14:paraId="45D762FE">
      <w:pPr>
        <w:spacing w:line="360" w:lineRule="auto"/>
        <w:ind w:firstLine="549" w:firstLineChars="229"/>
        <w:rPr>
          <w:rFonts w:hint="eastAsia" w:ascii="仿宋" w:hAnsi="仿宋" w:eastAsia="仿宋" w:cs="仿宋"/>
          <w:color w:val="auto"/>
          <w:sz w:val="24"/>
          <w:highlight w:val="none"/>
        </w:rPr>
      </w:pPr>
    </w:p>
    <w:p w14:paraId="12563A94">
      <w:pPr>
        <w:spacing w:line="360" w:lineRule="auto"/>
        <w:ind w:firstLine="549" w:firstLineChars="229"/>
        <w:rPr>
          <w:rFonts w:hint="eastAsia" w:ascii="仿宋" w:hAnsi="仿宋" w:eastAsia="仿宋" w:cs="仿宋"/>
          <w:color w:val="auto"/>
          <w:sz w:val="24"/>
          <w:highlight w:val="none"/>
        </w:rPr>
      </w:pPr>
    </w:p>
    <w:p w14:paraId="0E324794">
      <w:pPr>
        <w:spacing w:line="360" w:lineRule="auto"/>
        <w:rPr>
          <w:rFonts w:hint="eastAsia" w:ascii="仿宋" w:hAnsi="仿宋" w:eastAsia="仿宋" w:cs="仿宋"/>
          <w:color w:val="auto"/>
          <w:sz w:val="24"/>
          <w:highlight w:val="none"/>
        </w:rPr>
      </w:pPr>
    </w:p>
    <w:bookmarkEnd w:id="1"/>
    <w:p w14:paraId="1593BFF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bookmarkStart w:id="2" w:name="第二部分"/>
      <w:bookmarkStart w:id="3" w:name="_Toc91899870"/>
      <w:bookmarkStart w:id="4" w:name="_Toc91899871"/>
    </w:p>
    <w:p w14:paraId="7786D15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p>
    <w:p w14:paraId="7A1DA588">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5FF9169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326FAD5D">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38FA45D8">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衢州市柯城区白云街道社区居家养老服务照料中心建设设备物品采购项目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Style w:val="76"/>
          <w:rFonts w:hint="eastAsia" w:ascii="仿宋" w:hAnsi="仿宋" w:eastAsia="仿宋" w:cs="仿宋"/>
          <w:snapToGrid/>
          <w:color w:val="auto"/>
          <w:kern w:val="2"/>
          <w:sz w:val="24"/>
          <w:szCs w:val="24"/>
          <w:highlight w:val="none"/>
          <w:lang w:eastAsia="zh-CN"/>
        </w:rPr>
        <w:t>2025年04月23日09点30分00秒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0A4E8149">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A52880B">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bCs/>
          <w:color w:val="auto"/>
          <w:sz w:val="24"/>
          <w:highlight w:val="none"/>
          <w:lang w:val="zh-TW" w:eastAsia="zh-CN"/>
        </w:rPr>
        <w:t>kxqz2024196-2</w:t>
      </w:r>
    </w:p>
    <w:p w14:paraId="058C8EF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u w:val="none"/>
          <w:lang w:eastAsia="zh-CN"/>
        </w:rPr>
        <w:t>衢州市柯城区白云街道社区居家养老服务照料中心建设设备物品采购项目</w:t>
      </w:r>
      <w:r>
        <w:rPr>
          <w:rFonts w:hint="eastAsia" w:ascii="仿宋" w:hAnsi="仿宋" w:eastAsia="仿宋" w:cs="仿宋"/>
          <w:color w:val="auto"/>
          <w:sz w:val="24"/>
          <w:highlight w:val="none"/>
          <w:lang w:val="en-US" w:eastAsia="zh-CN"/>
        </w:rPr>
        <w:t xml:space="preserve"> </w:t>
      </w:r>
    </w:p>
    <w:p w14:paraId="5F795607">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color w:val="auto"/>
          <w:sz w:val="24"/>
          <w:highlight w:val="none"/>
          <w:u w:val="none"/>
          <w:lang w:eastAsia="zh-CN"/>
        </w:rPr>
        <w:t xml:space="preserve">359060 </w:t>
      </w:r>
    </w:p>
    <w:p w14:paraId="7913ADB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lang w:val="en-US"/>
        </w:rPr>
      </w:pPr>
      <w:r>
        <w:rPr>
          <w:rFonts w:hint="eastAsia" w:ascii="仿宋" w:hAnsi="仿宋" w:eastAsia="仿宋" w:cs="仿宋"/>
          <w:b/>
          <w:color w:val="auto"/>
          <w:sz w:val="24"/>
          <w:highlight w:val="none"/>
        </w:rPr>
        <w:t>最高限价（元）：</w:t>
      </w:r>
      <w:r>
        <w:rPr>
          <w:rFonts w:hint="eastAsia" w:ascii="仿宋" w:hAnsi="仿宋" w:eastAsia="仿宋" w:cs="仿宋"/>
          <w:color w:val="auto"/>
          <w:sz w:val="24"/>
          <w:highlight w:val="none"/>
          <w:u w:val="none"/>
          <w:lang w:val="en-US" w:eastAsia="zh-CN"/>
        </w:rPr>
        <w:t>359060</w:t>
      </w:r>
    </w:p>
    <w:p w14:paraId="2E32AE97">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23321C3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15FE07C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color w:val="auto"/>
          <w:sz w:val="24"/>
          <w:highlight w:val="none"/>
          <w:u w:val="none"/>
          <w:lang w:eastAsia="zh-CN"/>
        </w:rPr>
        <w:t>衢州市柯城区白云街道社区居家养老服务照料中心建设设备物品采购</w:t>
      </w:r>
      <w:r>
        <w:rPr>
          <w:rFonts w:hint="eastAsia" w:ascii="仿宋" w:hAnsi="仿宋" w:eastAsia="仿宋" w:cs="仿宋"/>
          <w:bCs/>
          <w:color w:val="auto"/>
          <w:sz w:val="24"/>
          <w:highlight w:val="none"/>
          <w:lang w:val="en-US" w:eastAsia="zh-CN"/>
        </w:rPr>
        <w:t>项目</w:t>
      </w:r>
    </w:p>
    <w:p w14:paraId="58B1AE7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数量：1项</w:t>
      </w:r>
    </w:p>
    <w:p w14:paraId="70F88AE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预算金额：359060元</w:t>
      </w:r>
    </w:p>
    <w:p w14:paraId="74F8328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主要内容：包括适老化家具、设备等采购；详见招标文件。</w:t>
      </w:r>
    </w:p>
    <w:p w14:paraId="7064E5F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合同履行期限：合同签订后40日内完成及验收合格交付使用。</w:t>
      </w:r>
    </w:p>
    <w:p w14:paraId="076BCD3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w:t>
      </w:r>
      <w:r>
        <w:rPr>
          <w:rFonts w:hint="eastAsia" w:ascii="仿宋" w:hAnsi="仿宋" w:eastAsia="仿宋" w:cs="仿宋"/>
          <w:b/>
          <w:color w:val="auto"/>
          <w:sz w:val="24"/>
          <w:highlight w:val="none"/>
          <w:lang w:val="en-US" w:eastAsia="zh-CN"/>
        </w:rPr>
        <w:t>是</w:t>
      </w:r>
      <w:r>
        <w:rPr>
          <w:rFonts w:hint="eastAsia" w:ascii="仿宋" w:hAnsi="仿宋" w:eastAsia="仿宋" w:cs="仿宋"/>
          <w:b/>
          <w:color w:val="auto"/>
          <w:sz w:val="24"/>
          <w:highlight w:val="none"/>
        </w:rPr>
        <w:t>）接受联合体投标。</w:t>
      </w:r>
    </w:p>
    <w:p w14:paraId="7F23B321">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110A991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80E2F1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lang w:eastAsia="zh-CN"/>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snapToGrid w:val="0"/>
          <w:color w:val="auto"/>
          <w:kern w:val="28"/>
          <w:sz w:val="24"/>
          <w:szCs w:val="20"/>
          <w:highlight w:val="none"/>
          <w:lang w:val="en-US" w:eastAsia="zh-CN"/>
        </w:rPr>
        <w:t>.</w:t>
      </w:r>
      <w:r>
        <w:rPr>
          <w:rFonts w:hint="eastAsia" w:ascii="仿宋" w:hAnsi="仿宋" w:eastAsia="仿宋" w:cs="仿宋"/>
          <w:snapToGrid w:val="0"/>
          <w:color w:val="auto"/>
          <w:kern w:val="28"/>
          <w:sz w:val="24"/>
          <w:szCs w:val="20"/>
          <w:highlight w:val="none"/>
        </w:rPr>
        <w:t>落实政府采购政策需满足的资格要求：</w:t>
      </w:r>
      <w:r>
        <w:rPr>
          <w:rFonts w:hint="eastAsia" w:ascii="仿宋" w:hAnsi="仿宋" w:eastAsia="仿宋" w:cs="仿宋"/>
          <w:snapToGrid w:val="0"/>
          <w:color w:val="auto"/>
          <w:kern w:val="28"/>
          <w:sz w:val="24"/>
          <w:szCs w:val="20"/>
          <w:highlight w:val="none"/>
          <w:lang w:val="en-US" w:eastAsia="zh-CN"/>
        </w:rPr>
        <w:t>标项1：</w:t>
      </w:r>
      <w:r>
        <w:rPr>
          <w:rFonts w:hint="eastAsia" w:ascii="仿宋" w:hAnsi="仿宋" w:eastAsia="仿宋" w:cs="仿宋"/>
          <w:snapToGrid w:val="0"/>
          <w:color w:val="auto"/>
          <w:kern w:val="28"/>
          <w:sz w:val="24"/>
          <w:szCs w:val="20"/>
          <w:highlight w:val="none"/>
        </w:rPr>
        <w:t>本项目属于专门面向中小企业的项目</w:t>
      </w:r>
      <w:r>
        <w:rPr>
          <w:rFonts w:hint="eastAsia" w:ascii="仿宋" w:hAnsi="仿宋" w:eastAsia="仿宋" w:cs="仿宋"/>
          <w:snapToGrid w:val="0"/>
          <w:color w:val="auto"/>
          <w:kern w:val="28"/>
          <w:sz w:val="24"/>
          <w:szCs w:val="20"/>
          <w:highlight w:val="none"/>
          <w:lang w:eastAsia="zh-CN"/>
        </w:rPr>
        <w:t>。</w:t>
      </w:r>
    </w:p>
    <w:p w14:paraId="19AB8890">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.本项目的特定资格要求：</w:t>
      </w:r>
    </w:p>
    <w:p w14:paraId="725F8334">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3.1如是医疗器械，提供有效的投标产品《医疗器械注册证》或医疗器械备案表；</w:t>
      </w:r>
    </w:p>
    <w:p w14:paraId="5A6FFBB4">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供应商（如组成联合体投标的，联合体成员中至少有一家供应商）须具备下列条件之一：①供应商为医疗器械生产企业的：第二类、第三类医疗器械生产企业提供《医疗器械生产许可证》，第一类医疗器械生产企业提供第一类医疗器械生产备案凭证；②供应商为医疗器械经营企业的：第三类医疗器械经营企业提供《医疗器械经营许可证》，第一、第二类医疗器械经营企业提供第一、第二类医疗器械经营备案凭证；（如是医疗器械提供）；</w:t>
      </w:r>
    </w:p>
    <w:p w14:paraId="333B868F">
      <w:pPr>
        <w:numPr>
          <w:ilvl w:val="0"/>
          <w:numId w:val="1"/>
        </w:numPr>
        <w:autoSpaceDE w:val="0"/>
        <w:autoSpaceDN w:val="0"/>
        <w:adjustRightInd w:val="0"/>
        <w:spacing w:line="288" w:lineRule="auto"/>
        <w:ind w:right="-2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单位负责人为同一人或者存在直接控股、管理关系的不同供应商，不得参加同一合同项下的政府采购活动</w:t>
      </w:r>
      <w:r>
        <w:rPr>
          <w:rFonts w:hint="eastAsia" w:ascii="仿宋" w:hAnsi="仿宋" w:eastAsia="仿宋" w:cs="仿宋"/>
          <w:color w:val="auto"/>
          <w:sz w:val="24"/>
          <w:highlight w:val="none"/>
          <w:lang w:val="en-US" w:eastAsia="zh-CN"/>
        </w:rPr>
        <w:t>；</w:t>
      </w:r>
    </w:p>
    <w:p w14:paraId="04F5A2EE">
      <w:pPr>
        <w:numPr>
          <w:ilvl w:val="0"/>
          <w:numId w:val="1"/>
        </w:numPr>
        <w:autoSpaceDE w:val="0"/>
        <w:autoSpaceDN w:val="0"/>
        <w:adjustRightInd w:val="0"/>
        <w:spacing w:line="288" w:lineRule="auto"/>
        <w:ind w:right="-20"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接受联合体，联合体参加本项目政府采购应满足以下条件：</w:t>
      </w:r>
    </w:p>
    <w:p w14:paraId="3EC7E5BA">
      <w:pPr>
        <w:autoSpaceDE w:val="0"/>
        <w:autoSpaceDN w:val="0"/>
        <w:adjustRightInd w:val="0"/>
        <w:spacing w:line="288" w:lineRule="auto"/>
        <w:ind w:right="-20"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①两个以上的自然人、法人或者其他组织可以组成一个联合体，以一个投标人的身份共同参加本项目政府采购活动，联合体在投标文件中提供联合体协议并明确分工；</w:t>
      </w:r>
    </w:p>
    <w:p w14:paraId="3A4233E5">
      <w:pPr>
        <w:autoSpaceDE w:val="0"/>
        <w:autoSpaceDN w:val="0"/>
        <w:adjustRightInd w:val="0"/>
        <w:spacing w:line="288" w:lineRule="auto"/>
        <w:ind w:right="-20"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②联合体中有同类资质的供应商按照联合体分工承担相同工作，按资质等级较低的供应商确定资质等级；</w:t>
      </w:r>
      <w:r>
        <w:rPr>
          <w:rFonts w:hint="eastAsia" w:ascii="仿宋" w:hAnsi="仿宋" w:eastAsia="仿宋" w:cs="仿宋"/>
          <w:color w:val="auto"/>
          <w:sz w:val="24"/>
          <w:szCs w:val="24"/>
          <w:highlight w:val="none"/>
          <w:lang w:val="en-US" w:eastAsia="zh-CN"/>
        </w:rPr>
        <w:t>联合体中特定资格按照联合体分工承担的工作确定资格；</w:t>
      </w:r>
    </w:p>
    <w:p w14:paraId="7D1EB853">
      <w:pPr>
        <w:autoSpaceDE w:val="0"/>
        <w:autoSpaceDN w:val="0"/>
        <w:adjustRightInd w:val="0"/>
        <w:spacing w:line="288" w:lineRule="auto"/>
        <w:ind w:right="-2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lang w:eastAsia="zh-CN"/>
        </w:rPr>
        <w:t>③联合体各方不得再单独参加或与其他供应商另外组成联合体参加本项目政府采购活动。</w:t>
      </w:r>
    </w:p>
    <w:p w14:paraId="47493015">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53CCE9D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lang w:eastAsia="zh-CN"/>
        </w:rPr>
        <w:t>2025年0</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lang w:eastAsia="zh-CN"/>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1B51BCE5">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6294074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5B91AF3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0</w:t>
      </w:r>
    </w:p>
    <w:p w14:paraId="12626A05">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584205E5">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2025年04月23日09点30分00秒</w:t>
      </w:r>
      <w:r>
        <w:rPr>
          <w:rFonts w:hint="eastAsia" w:ascii="仿宋" w:hAnsi="仿宋" w:eastAsia="仿宋" w:cs="仿宋"/>
          <w:color w:val="auto"/>
          <w:sz w:val="24"/>
          <w:highlight w:val="none"/>
        </w:rPr>
        <w:t>（北京时间）</w:t>
      </w:r>
    </w:p>
    <w:p w14:paraId="744B7299">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72107A2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2025年04月23日09点30分00秒</w:t>
      </w:r>
    </w:p>
    <w:p w14:paraId="49DDCA3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13F2A35A">
      <w:pPr>
        <w:pageBreakBefore w:val="0"/>
        <w:widowControl w:val="0"/>
        <w:kinsoku/>
        <w:wordWrap/>
        <w:overflowPunct/>
        <w:topLinePunct w:val="0"/>
        <w:autoSpaceDE/>
        <w:autoSpaceDN/>
        <w:bidi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43DEC38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6A3AC1D3">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58B4352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（浙财采监（2022）8号）已分别于2022年1月29日、2022月1日和2022年7月1日开始实施，此前有关规定与上述文件内容不一致的，按上述文件要求执行。</w:t>
      </w:r>
    </w:p>
    <w:p w14:paraId="21314FF6">
      <w:pPr>
        <w:keepNext w:val="0"/>
        <w:keepLines w:val="0"/>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BC3796">
      <w:pPr>
        <w:keepNext w:val="0"/>
        <w:keepLines w:val="0"/>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92796C0">
      <w:pPr>
        <w:keepNext w:val="0"/>
        <w:keepLines w:val="0"/>
        <w:pageBreakBefore w:val="0"/>
        <w:widowControl w:val="0"/>
        <w:kinsoku/>
        <w:wordWrap/>
        <w:overflowPunct/>
        <w:topLinePunct w:val="0"/>
        <w:autoSpaceDE/>
        <w:autoSpaceDN/>
        <w:bidi w:val="0"/>
        <w:adjustRightInd w:val="0"/>
        <w:snapToGrid/>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D15E26F">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5BB94B86">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bookmarkStart w:id="5" w:name="_Toc28359096"/>
      <w:bookmarkStart w:id="6" w:name="_Toc35393806"/>
      <w:bookmarkStart w:id="7" w:name="_Toc35393637"/>
      <w:bookmarkStart w:id="8" w:name="_Toc28359019"/>
      <w:r>
        <w:rPr>
          <w:rFonts w:hint="eastAsia" w:ascii="仿宋" w:hAnsi="仿宋" w:eastAsia="仿宋" w:cs="仿宋"/>
          <w:color w:val="auto"/>
          <w:sz w:val="24"/>
          <w:szCs w:val="24"/>
          <w:highlight w:val="none"/>
        </w:rPr>
        <w:t>1.采购人信息</w:t>
      </w:r>
      <w:bookmarkEnd w:id="5"/>
      <w:bookmarkEnd w:id="6"/>
      <w:bookmarkEnd w:id="7"/>
      <w:bookmarkEnd w:id="8"/>
      <w:r>
        <w:rPr>
          <w:rFonts w:hint="eastAsia" w:ascii="仿宋" w:hAnsi="仿宋" w:eastAsia="仿宋" w:cs="仿宋"/>
          <w:color w:val="auto"/>
          <w:sz w:val="24"/>
          <w:szCs w:val="24"/>
          <w:highlight w:val="none"/>
        </w:rPr>
        <w:t>：</w:t>
      </w:r>
    </w:p>
    <w:p w14:paraId="2F1CFA8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 xml:space="preserve">衢州市柯城区白云街道办事处 </w:t>
      </w:r>
    </w:p>
    <w:p w14:paraId="332857B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衢州市柯城区白云街道九华北大道333号</w:t>
      </w:r>
    </w:p>
    <w:p w14:paraId="58107AF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项目联系人</w:t>
      </w:r>
      <w:r>
        <w:rPr>
          <w:rFonts w:hint="eastAsia" w:ascii="仿宋" w:hAnsi="仿宋" w:eastAsia="仿宋" w:cs="仿宋"/>
          <w:color w:val="auto"/>
          <w:sz w:val="24"/>
          <w:highlight w:val="none"/>
          <w:lang w:eastAsia="zh-CN"/>
        </w:rPr>
        <w:t>（询问）：</w:t>
      </w:r>
      <w:r>
        <w:rPr>
          <w:rFonts w:hint="eastAsia" w:ascii="仿宋" w:hAnsi="仿宋" w:eastAsia="仿宋" w:cs="仿宋"/>
          <w:color w:val="auto"/>
          <w:sz w:val="24"/>
          <w:highlight w:val="none"/>
          <w:lang w:val="en-US" w:eastAsia="zh-CN"/>
        </w:rPr>
        <w:t xml:space="preserve">傅炎伟  </w:t>
      </w:r>
    </w:p>
    <w:p w14:paraId="7065B56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项目联系方式（询问）：0570-3016557</w:t>
      </w:r>
    </w:p>
    <w:p w14:paraId="0392642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质疑联系人：田宏婷</w:t>
      </w:r>
      <w:r>
        <w:rPr>
          <w:rFonts w:hint="eastAsia" w:ascii="仿宋" w:hAnsi="仿宋" w:eastAsia="仿宋" w:cs="仿宋"/>
          <w:color w:val="auto"/>
          <w:sz w:val="24"/>
          <w:highlight w:val="none"/>
          <w:lang w:val="en-US" w:eastAsia="zh-CN"/>
        </w:rPr>
        <w:t xml:space="preserve"> </w:t>
      </w:r>
    </w:p>
    <w:p w14:paraId="21E4593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质疑联系方式：0570-3016557</w:t>
      </w:r>
    </w:p>
    <w:p w14:paraId="4C333216">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bookmarkStart w:id="9" w:name="_Toc28359020"/>
      <w:bookmarkStart w:id="10" w:name="_Toc35393807"/>
      <w:bookmarkStart w:id="11" w:name="_Toc28359097"/>
      <w:bookmarkStart w:id="12" w:name="_Toc35393638"/>
      <w:r>
        <w:rPr>
          <w:rFonts w:hint="eastAsia" w:ascii="仿宋" w:hAnsi="仿宋" w:eastAsia="仿宋" w:cs="仿宋"/>
          <w:color w:val="auto"/>
          <w:sz w:val="24"/>
          <w:szCs w:val="24"/>
          <w:highlight w:val="none"/>
        </w:rPr>
        <w:t>2.采购代理机构信息</w:t>
      </w:r>
      <w:bookmarkEnd w:id="9"/>
      <w:bookmarkEnd w:id="10"/>
      <w:bookmarkEnd w:id="11"/>
      <w:bookmarkEnd w:id="12"/>
      <w:r>
        <w:rPr>
          <w:rFonts w:hint="eastAsia" w:ascii="仿宋" w:hAnsi="仿宋" w:eastAsia="仿宋" w:cs="仿宋"/>
          <w:color w:val="auto"/>
          <w:sz w:val="24"/>
          <w:szCs w:val="24"/>
          <w:highlight w:val="none"/>
        </w:rPr>
        <w:t>：</w:t>
      </w:r>
    </w:p>
    <w:p w14:paraId="7452188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名    称：科信联合工程咨询有限公司             </w:t>
      </w:r>
    </w:p>
    <w:p w14:paraId="29F5D5F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地    址：衢州市柯城区花园中大道91号鑫港大厦14楼1403室 </w:t>
      </w:r>
    </w:p>
    <w:p w14:paraId="0F419AD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bookmarkStart w:id="13" w:name="_Toc28359021"/>
      <w:bookmarkStart w:id="14" w:name="_Toc28359098"/>
      <w:bookmarkStart w:id="15" w:name="_Toc35393808"/>
      <w:bookmarkStart w:id="16" w:name="_Toc35393639"/>
      <w:r>
        <w:rPr>
          <w:rFonts w:hint="eastAsia" w:ascii="仿宋" w:hAnsi="仿宋" w:eastAsia="仿宋" w:cs="仿宋"/>
          <w:color w:val="auto"/>
          <w:sz w:val="24"/>
          <w:highlight w:val="none"/>
          <w:lang w:eastAsia="zh-CN"/>
        </w:rPr>
        <w:t>项目联系人（询问）：</w:t>
      </w:r>
      <w:r>
        <w:rPr>
          <w:rFonts w:hint="eastAsia" w:ascii="仿宋" w:hAnsi="仿宋" w:eastAsia="仿宋" w:cs="仿宋"/>
          <w:color w:val="auto"/>
          <w:sz w:val="24"/>
          <w:highlight w:val="none"/>
          <w:lang w:val="en-US" w:eastAsia="zh-CN"/>
        </w:rPr>
        <w:t>汪工</w:t>
      </w:r>
      <w:r>
        <w:rPr>
          <w:rFonts w:hint="eastAsia" w:ascii="仿宋" w:hAnsi="仿宋" w:eastAsia="仿宋" w:cs="仿宋"/>
          <w:color w:val="auto"/>
          <w:sz w:val="24"/>
          <w:highlight w:val="none"/>
          <w:lang w:eastAsia="zh-CN"/>
        </w:rPr>
        <w:t> </w:t>
      </w:r>
    </w:p>
    <w:p w14:paraId="051FF58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项目联系方式（询问）： 0570-</w:t>
      </w:r>
      <w:r>
        <w:rPr>
          <w:rFonts w:hint="eastAsia" w:ascii="仿宋" w:hAnsi="仿宋" w:eastAsia="仿宋" w:cs="仿宋"/>
          <w:color w:val="auto"/>
          <w:sz w:val="24"/>
          <w:highlight w:val="none"/>
          <w:lang w:val="en-US" w:eastAsia="zh-CN"/>
        </w:rPr>
        <w:t>3392898</w:t>
      </w:r>
    </w:p>
    <w:p w14:paraId="6A3BDD10">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质疑联系人：</w:t>
      </w:r>
      <w:r>
        <w:rPr>
          <w:rFonts w:hint="eastAsia" w:ascii="仿宋" w:hAnsi="仿宋" w:eastAsia="仿宋" w:cs="仿宋"/>
          <w:color w:val="auto"/>
          <w:sz w:val="24"/>
          <w:highlight w:val="none"/>
          <w:lang w:val="en-US" w:eastAsia="zh-CN"/>
        </w:rPr>
        <w:t>毛红娟</w:t>
      </w:r>
    </w:p>
    <w:p w14:paraId="7DC37BD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质疑联系方式：0570-</w:t>
      </w:r>
      <w:r>
        <w:rPr>
          <w:rFonts w:hint="eastAsia" w:ascii="仿宋" w:hAnsi="仿宋" w:eastAsia="仿宋" w:cs="仿宋"/>
          <w:color w:val="auto"/>
          <w:sz w:val="24"/>
          <w:highlight w:val="none"/>
          <w:lang w:val="en-US" w:eastAsia="zh-CN"/>
        </w:rPr>
        <w:t>3392897</w:t>
      </w:r>
    </w:p>
    <w:p w14:paraId="6DBDD6D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3"/>
    <w:bookmarkEnd w:id="14"/>
    <w:bookmarkEnd w:id="15"/>
    <w:bookmarkEnd w:id="16"/>
    <w:p w14:paraId="548C2C2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名    称：</w:t>
      </w:r>
      <w:r>
        <w:rPr>
          <w:rFonts w:hint="eastAsia" w:ascii="仿宋" w:hAnsi="仿宋" w:eastAsia="仿宋" w:cs="仿宋"/>
          <w:color w:val="auto"/>
          <w:sz w:val="24"/>
          <w:highlight w:val="none"/>
          <w:lang w:val="en-US" w:eastAsia="zh-CN"/>
        </w:rPr>
        <w:t>柯城区</w:t>
      </w:r>
      <w:r>
        <w:rPr>
          <w:rFonts w:hint="eastAsia" w:ascii="仿宋" w:hAnsi="仿宋" w:eastAsia="仿宋" w:cs="仿宋"/>
          <w:color w:val="auto"/>
          <w:sz w:val="24"/>
          <w:highlight w:val="none"/>
          <w:lang w:eastAsia="zh-CN"/>
        </w:rPr>
        <w:t>财政局</w:t>
      </w:r>
    </w:p>
    <w:p w14:paraId="4A7F22C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地    址：</w:t>
      </w:r>
      <w:r>
        <w:rPr>
          <w:rFonts w:hint="eastAsia" w:ascii="仿宋" w:hAnsi="仿宋" w:eastAsia="仿宋" w:cs="仿宋"/>
          <w:i w:val="0"/>
          <w:iCs w:val="0"/>
          <w:caps w:val="0"/>
          <w:color w:val="auto"/>
          <w:spacing w:val="0"/>
          <w:sz w:val="24"/>
          <w:szCs w:val="24"/>
          <w:highlight w:val="none"/>
          <w:shd w:val="clear"/>
        </w:rPr>
        <w:t>衢州市柯城区荷三路231号</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 xml:space="preserve"> </w:t>
      </w:r>
    </w:p>
    <w:p w14:paraId="14F26B1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联系人：</w:t>
      </w:r>
      <w:r>
        <w:rPr>
          <w:rFonts w:hint="eastAsia" w:ascii="仿宋" w:hAnsi="仿宋" w:eastAsia="仿宋" w:cs="仿宋"/>
          <w:color w:val="auto"/>
          <w:sz w:val="24"/>
          <w:highlight w:val="none"/>
          <w:lang w:val="en-US" w:eastAsia="zh-CN"/>
        </w:rPr>
        <w:t>蒋</w:t>
      </w:r>
      <w:r>
        <w:rPr>
          <w:rFonts w:hint="eastAsia" w:ascii="仿宋" w:hAnsi="仿宋" w:eastAsia="仿宋" w:cs="仿宋"/>
          <w:color w:val="auto"/>
          <w:sz w:val="24"/>
          <w:highlight w:val="none"/>
          <w:lang w:eastAsia="zh-CN"/>
        </w:rPr>
        <w:t>先生</w:t>
      </w:r>
      <w:r>
        <w:rPr>
          <w:rFonts w:hint="eastAsia" w:ascii="仿宋" w:hAnsi="仿宋" w:eastAsia="仿宋" w:cs="仿宋"/>
          <w:color w:val="auto"/>
          <w:sz w:val="24"/>
          <w:highlight w:val="none"/>
          <w:lang w:val="en-US" w:eastAsia="zh-CN"/>
        </w:rPr>
        <w:t xml:space="preserve"> </w:t>
      </w:r>
    </w:p>
    <w:p w14:paraId="71FE727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监督投诉电话：0570-</w:t>
      </w:r>
      <w:r>
        <w:rPr>
          <w:rFonts w:hint="eastAsia" w:ascii="仿宋" w:hAnsi="仿宋" w:eastAsia="仿宋" w:cs="仿宋"/>
          <w:color w:val="auto"/>
          <w:sz w:val="24"/>
          <w:highlight w:val="none"/>
          <w:lang w:val="en-US" w:eastAsia="zh-CN"/>
        </w:rPr>
        <w:t xml:space="preserve">3020829 </w:t>
      </w:r>
      <w:r>
        <w:rPr>
          <w:rFonts w:hint="eastAsia" w:ascii="仿宋" w:hAnsi="仿宋" w:eastAsia="仿宋" w:cs="仿宋"/>
          <w:color w:val="auto"/>
          <w:sz w:val="24"/>
          <w:highlight w:val="none"/>
          <w:lang w:eastAsia="zh-CN"/>
        </w:rPr>
        <w:t xml:space="preserve">    </w:t>
      </w:r>
    </w:p>
    <w:p w14:paraId="62E4601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50270A1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D6E3B72">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26244A5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2"/>
      <w:r>
        <w:rPr>
          <w:rFonts w:hint="eastAsia" w:ascii="仿宋" w:hAnsi="仿宋" w:eastAsia="仿宋" w:cs="仿宋"/>
          <w:b/>
          <w:color w:val="auto"/>
          <w:sz w:val="36"/>
          <w:szCs w:val="20"/>
          <w:highlight w:val="none"/>
        </w:rPr>
        <w:t xml:space="preserve"> 投标须知</w:t>
      </w:r>
      <w:bookmarkEnd w:id="3"/>
    </w:p>
    <w:p w14:paraId="7668A88E">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3"/>
        <w:gridCol w:w="1412"/>
        <w:gridCol w:w="7195"/>
      </w:tblGrid>
      <w:tr w14:paraId="5EE2A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Align w:val="center"/>
          </w:tcPr>
          <w:p w14:paraId="2FDEBC0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607" w:type="dxa"/>
            <w:gridSpan w:val="2"/>
            <w:vAlign w:val="center"/>
          </w:tcPr>
          <w:p w14:paraId="6A4A242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6ABE8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0" w:hRule="atLeast"/>
          <w:jc w:val="center"/>
        </w:trPr>
        <w:tc>
          <w:tcPr>
            <w:tcW w:w="633" w:type="dxa"/>
            <w:vAlign w:val="center"/>
          </w:tcPr>
          <w:p w14:paraId="5E7D0AD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607" w:type="dxa"/>
            <w:gridSpan w:val="2"/>
            <w:vAlign w:val="center"/>
          </w:tcPr>
          <w:p w14:paraId="2D8E3B3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3CDED09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1.资格后审。</w:t>
            </w:r>
          </w:p>
          <w:p w14:paraId="4481C15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val="0"/>
                <w:bCs/>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30004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Align w:val="center"/>
          </w:tcPr>
          <w:p w14:paraId="31AA138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607" w:type="dxa"/>
            <w:gridSpan w:val="2"/>
            <w:vAlign w:val="center"/>
          </w:tcPr>
          <w:p w14:paraId="358E9C9E">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7A5BC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Align w:val="center"/>
          </w:tcPr>
          <w:p w14:paraId="4FEDD68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607" w:type="dxa"/>
            <w:gridSpan w:val="2"/>
            <w:vAlign w:val="center"/>
          </w:tcPr>
          <w:p w14:paraId="201D675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60B23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633" w:type="dxa"/>
            <w:vAlign w:val="center"/>
          </w:tcPr>
          <w:p w14:paraId="3EF3FDB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607" w:type="dxa"/>
            <w:gridSpan w:val="2"/>
            <w:vAlign w:val="center"/>
          </w:tcPr>
          <w:p w14:paraId="499A5D5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是否接受联合体投标</w:t>
            </w:r>
          </w:p>
          <w:p w14:paraId="04070FD3">
            <w:pPr>
              <w:numPr>
                <w:ilvl w:val="0"/>
                <w:numId w:val="0"/>
              </w:numPr>
              <w:spacing w:line="288" w:lineRule="auto"/>
              <w:rPr>
                <w:rFonts w:hint="eastAsia" w:ascii="仿宋" w:hAnsi="仿宋" w:eastAsia="仿宋" w:cs="仿宋"/>
                <w:color w:val="auto"/>
                <w:spacing w:val="-2"/>
                <w:kern w:val="0"/>
                <w:position w:val="-3"/>
                <w:sz w:val="24"/>
                <w:szCs w:val="24"/>
                <w:highlight w:val="none"/>
              </w:rPr>
            </w:pPr>
            <w:r>
              <w:rPr>
                <w:rFonts w:hint="eastAsia" w:ascii="仿宋" w:hAnsi="仿宋" w:eastAsia="仿宋" w:cs="仿宋"/>
                <w:color w:val="auto"/>
                <w:spacing w:val="0"/>
                <w:kern w:val="2"/>
                <w:position w:val="0"/>
                <w:sz w:val="24"/>
                <w:szCs w:val="24"/>
                <w:highlight w:val="none"/>
              </w:rPr>
              <w:sym w:font="Wingdings" w:char="00FE"/>
            </w:r>
            <w:r>
              <w:rPr>
                <w:rFonts w:hint="eastAsia" w:ascii="仿宋" w:hAnsi="仿宋" w:eastAsia="仿宋" w:cs="仿宋"/>
                <w:color w:val="auto"/>
                <w:sz w:val="24"/>
                <w:szCs w:val="24"/>
                <w:highlight w:val="none"/>
              </w:rPr>
              <w:t>是。1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联合体各方必须授权联合体</w:t>
            </w:r>
            <w:r>
              <w:rPr>
                <w:rFonts w:hint="eastAsia" w:ascii="仿宋" w:hAnsi="仿宋" w:eastAsia="仿宋" w:cs="仿宋"/>
                <w:color w:val="auto"/>
                <w:sz w:val="24"/>
                <w:szCs w:val="24"/>
                <w:highlight w:val="none"/>
                <w:lang w:eastAsia="zh-CN"/>
              </w:rPr>
              <w:t>牵头单位</w:t>
            </w:r>
            <w:r>
              <w:rPr>
                <w:rFonts w:hint="eastAsia" w:ascii="仿宋" w:hAnsi="仿宋" w:eastAsia="仿宋" w:cs="仿宋"/>
                <w:color w:val="auto"/>
                <w:sz w:val="24"/>
                <w:szCs w:val="24"/>
                <w:highlight w:val="none"/>
              </w:rPr>
              <w:t>代表所有联合体成员单位负责</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响应和合同实施工作。</w:t>
            </w:r>
          </w:p>
          <w:p w14:paraId="17D62B1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szCs w:val="24"/>
                <w:highlight w:val="none"/>
              </w:rPr>
            </w:pPr>
            <w:r>
              <w:rPr>
                <w:rFonts w:hint="eastAsia" w:ascii="仿宋" w:hAnsi="仿宋" w:eastAsia="仿宋" w:cs="仿宋"/>
                <w:color w:val="auto"/>
                <w:spacing w:val="-2"/>
                <w:kern w:val="0"/>
                <w:position w:val="-3"/>
                <w:sz w:val="24"/>
                <w:szCs w:val="24"/>
                <w:highlight w:val="none"/>
              </w:rPr>
              <w:t>联合体投标的，应按</w:t>
            </w:r>
            <w:r>
              <w:rPr>
                <w:rFonts w:hint="eastAsia" w:ascii="仿宋" w:hAnsi="仿宋" w:eastAsia="仿宋" w:cs="仿宋"/>
                <w:color w:val="auto"/>
                <w:spacing w:val="-2"/>
                <w:kern w:val="0"/>
                <w:position w:val="-3"/>
                <w:sz w:val="24"/>
                <w:szCs w:val="24"/>
                <w:highlight w:val="none"/>
                <w:lang w:eastAsia="zh-CN"/>
              </w:rPr>
              <w:t>采购</w:t>
            </w:r>
            <w:r>
              <w:rPr>
                <w:rFonts w:hint="eastAsia" w:ascii="仿宋" w:hAnsi="仿宋" w:eastAsia="仿宋" w:cs="仿宋"/>
                <w:color w:val="auto"/>
                <w:spacing w:val="-2"/>
                <w:kern w:val="0"/>
                <w:position w:val="-3"/>
                <w:sz w:val="24"/>
                <w:szCs w:val="24"/>
                <w:highlight w:val="none"/>
              </w:rPr>
              <w:t>文件要求提交联合体各成员的有关证件和资料。除非另有规定，本</w:t>
            </w:r>
            <w:r>
              <w:rPr>
                <w:rFonts w:hint="eastAsia" w:ascii="仿宋" w:hAnsi="仿宋" w:eastAsia="仿宋" w:cs="仿宋"/>
                <w:color w:val="auto"/>
                <w:spacing w:val="-2"/>
                <w:kern w:val="0"/>
                <w:position w:val="-3"/>
                <w:sz w:val="24"/>
                <w:szCs w:val="24"/>
                <w:highlight w:val="none"/>
                <w:lang w:eastAsia="zh-CN"/>
              </w:rPr>
              <w:t>采购</w:t>
            </w:r>
            <w:r>
              <w:rPr>
                <w:rFonts w:hint="eastAsia" w:ascii="仿宋" w:hAnsi="仿宋" w:eastAsia="仿宋" w:cs="仿宋"/>
                <w:color w:val="auto"/>
                <w:spacing w:val="-2"/>
                <w:kern w:val="0"/>
                <w:position w:val="-3"/>
                <w:sz w:val="24"/>
                <w:szCs w:val="24"/>
                <w:highlight w:val="none"/>
              </w:rPr>
              <w:t>文件中的“</w:t>
            </w:r>
            <w:r>
              <w:rPr>
                <w:rFonts w:hint="eastAsia" w:ascii="仿宋" w:hAnsi="仿宋" w:eastAsia="仿宋" w:cs="仿宋"/>
                <w:color w:val="auto"/>
                <w:sz w:val="24"/>
                <w:szCs w:val="24"/>
                <w:highlight w:val="none"/>
              </w:rPr>
              <w:t>供应商”一词包括联合体各成员。</w:t>
            </w:r>
          </w:p>
          <w:p w14:paraId="782E404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同意将非主体、非关键性的工作分包。</w:t>
            </w:r>
          </w:p>
          <w:p w14:paraId="194A7CCD">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0B9E4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Align w:val="center"/>
          </w:tcPr>
          <w:p w14:paraId="543F921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607" w:type="dxa"/>
            <w:gridSpan w:val="2"/>
            <w:vAlign w:val="center"/>
          </w:tcPr>
          <w:p w14:paraId="78164D6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08910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633" w:type="dxa"/>
            <w:vAlign w:val="center"/>
          </w:tcPr>
          <w:p w14:paraId="508B483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607" w:type="dxa"/>
            <w:gridSpan w:val="2"/>
            <w:vAlign w:val="center"/>
          </w:tcPr>
          <w:p w14:paraId="7932C071">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6EC1326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53449A44">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49242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33" w:type="dxa"/>
            <w:vAlign w:val="center"/>
          </w:tcPr>
          <w:p w14:paraId="4AED57A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607" w:type="dxa"/>
            <w:gridSpan w:val="2"/>
            <w:vAlign w:val="center"/>
          </w:tcPr>
          <w:p w14:paraId="4E1637B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248B0AF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51DF9A4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14:paraId="2C4543D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7F6D938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529F8FF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66C1A09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77DC738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53F04C6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444AFF1F">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sz w:val="24"/>
                <w:highlight w:val="none"/>
              </w:rPr>
              <w:t>（7）制作、运输、安装和保管样品所发生的一切费用由投标人自理。</w:t>
            </w:r>
          </w:p>
        </w:tc>
      </w:tr>
      <w:tr w14:paraId="6026B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33" w:type="dxa"/>
            <w:vAlign w:val="center"/>
          </w:tcPr>
          <w:p w14:paraId="2583B15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607" w:type="dxa"/>
            <w:gridSpan w:val="2"/>
            <w:vAlign w:val="center"/>
          </w:tcPr>
          <w:p w14:paraId="011D3BFF">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方案讲解演示：</w:t>
            </w:r>
          </w:p>
          <w:p w14:paraId="64E1CCE0">
            <w:pPr>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p>
          <w:p w14:paraId="50BA113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B有方案讲解演示</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color w:val="auto"/>
                <w:sz w:val="24"/>
                <w:szCs w:val="24"/>
                <w:highlight w:val="none"/>
                <w:lang w:val="en-US" w:eastAsia="zh-CN"/>
              </w:rPr>
              <w:t>。</w:t>
            </w:r>
          </w:p>
        </w:tc>
      </w:tr>
      <w:tr w14:paraId="313E4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633" w:type="dxa"/>
            <w:vAlign w:val="center"/>
          </w:tcPr>
          <w:p w14:paraId="44BDCFB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p>
        </w:tc>
        <w:tc>
          <w:tcPr>
            <w:tcW w:w="1412" w:type="dxa"/>
            <w:vAlign w:val="center"/>
          </w:tcPr>
          <w:p w14:paraId="34E9EF11">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highlight w:val="none"/>
              </w:rPr>
            </w:pPr>
            <w:r>
              <w:rPr>
                <w:rFonts w:hint="eastAsia" w:ascii="仿宋" w:hAnsi="仿宋" w:eastAsia="仿宋" w:cs="仿宋"/>
                <w:b/>
                <w:color w:val="auto"/>
                <w:spacing w:val="-20"/>
                <w:sz w:val="24"/>
                <w:highlight w:val="none"/>
              </w:rPr>
              <w:t>进口产品</w:t>
            </w:r>
          </w:p>
        </w:tc>
        <w:tc>
          <w:tcPr>
            <w:tcW w:w="7195" w:type="dxa"/>
            <w:vAlign w:val="center"/>
          </w:tcPr>
          <w:p w14:paraId="6B84721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r>
              <w:rPr>
                <w:rFonts w:hint="eastAsia" w:ascii="仿宋" w:hAnsi="仿宋" w:eastAsia="仿宋" w:cs="仿宋"/>
                <w:color w:val="auto"/>
                <w:kern w:val="0"/>
                <w:sz w:val="24"/>
                <w:highlight w:val="none"/>
                <w:lang w:val="en-US" w:eastAsia="zh-CN"/>
              </w:rPr>
              <w:t>/服务</w:t>
            </w:r>
            <w:r>
              <w:rPr>
                <w:rFonts w:hint="eastAsia" w:ascii="仿宋" w:hAnsi="仿宋" w:eastAsia="仿宋" w:cs="仿宋"/>
                <w:color w:val="auto"/>
                <w:kern w:val="0"/>
                <w:sz w:val="24"/>
                <w:highlight w:val="none"/>
              </w:rPr>
              <w:t>。</w:t>
            </w:r>
          </w:p>
          <w:p w14:paraId="57F334A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95A0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633" w:type="dxa"/>
            <w:vAlign w:val="center"/>
          </w:tcPr>
          <w:p w14:paraId="50F95B0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0</w:t>
            </w:r>
          </w:p>
        </w:tc>
        <w:tc>
          <w:tcPr>
            <w:tcW w:w="1412" w:type="dxa"/>
            <w:vAlign w:val="center"/>
          </w:tcPr>
          <w:p w14:paraId="530218A3">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195" w:type="dxa"/>
            <w:vAlign w:val="center"/>
          </w:tcPr>
          <w:p w14:paraId="61D71FE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13D530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34A5B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633" w:type="dxa"/>
            <w:vAlign w:val="center"/>
          </w:tcPr>
          <w:p w14:paraId="48EF0DA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1</w:t>
            </w:r>
          </w:p>
        </w:tc>
        <w:tc>
          <w:tcPr>
            <w:tcW w:w="1412" w:type="dxa"/>
            <w:vAlign w:val="center"/>
          </w:tcPr>
          <w:p w14:paraId="74F3E184">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195" w:type="dxa"/>
            <w:vAlign w:val="center"/>
          </w:tcPr>
          <w:p w14:paraId="06016B8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lang w:val="en-US" w:eastAsia="zh-CN"/>
              </w:rPr>
              <w:t>衢州市柯城区白云街道社区居家养老服务照料中心建设设备物品采购项目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w:t>
            </w:r>
            <w:r>
              <w:rPr>
                <w:rFonts w:hint="eastAsia" w:ascii="仿宋" w:hAnsi="仿宋" w:eastAsia="仿宋" w:cs="仿宋"/>
                <w:color w:val="auto"/>
                <w:kern w:val="0"/>
                <w:sz w:val="24"/>
                <w:highlight w:val="none"/>
              </w:rPr>
              <w:t>；</w:t>
            </w:r>
            <w:r>
              <w:rPr>
                <w:rFonts w:hint="eastAsia" w:ascii="仿宋" w:hAnsi="仿宋" w:eastAsia="仿宋" w:cs="仿宋"/>
                <w:b w:val="0"/>
                <w:bCs w:val="0"/>
                <w:color w:val="auto"/>
                <w:kern w:val="0"/>
                <w:sz w:val="24"/>
                <w:highlight w:val="none"/>
                <w:lang w:val="en-US" w:eastAsia="zh-CN"/>
              </w:rPr>
              <w:t>相关文件：</w:t>
            </w:r>
            <w:r>
              <w:rPr>
                <w:rFonts w:hint="eastAsia" w:ascii="仿宋" w:hAnsi="仿宋" w:eastAsia="仿宋" w:cs="仿宋"/>
                <w:color w:val="auto"/>
                <w:kern w:val="0"/>
                <w:sz w:val="24"/>
                <w:highlight w:val="none"/>
                <w:u w:val="single"/>
                <w:lang w:val="en-US" w:eastAsia="zh-CN"/>
              </w:rPr>
              <w:t>工信部联企业〔2011〕300号</w:t>
            </w:r>
            <w:r>
              <w:rPr>
                <w:rFonts w:hint="eastAsia" w:ascii="仿宋" w:hAnsi="仿宋" w:eastAsia="仿宋" w:cs="仿宋"/>
                <w:b/>
                <w:bCs/>
                <w:color w:val="auto"/>
                <w:kern w:val="0"/>
                <w:sz w:val="24"/>
                <w:highlight w:val="none"/>
                <w:lang w:val="en-US" w:eastAsia="zh-CN"/>
              </w:rPr>
              <w:t>。</w:t>
            </w:r>
          </w:p>
        </w:tc>
      </w:tr>
      <w:tr w14:paraId="03CD5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Merge w:val="restart"/>
            <w:vAlign w:val="center"/>
          </w:tcPr>
          <w:p w14:paraId="4131F02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p>
        </w:tc>
        <w:tc>
          <w:tcPr>
            <w:tcW w:w="1412" w:type="dxa"/>
            <w:vMerge w:val="restart"/>
            <w:vAlign w:val="center"/>
          </w:tcPr>
          <w:p w14:paraId="138A405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195" w:type="dxa"/>
            <w:vAlign w:val="center"/>
          </w:tcPr>
          <w:p w14:paraId="61696DE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65C4F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633" w:type="dxa"/>
            <w:vMerge w:val="continue"/>
            <w:vAlign w:val="center"/>
          </w:tcPr>
          <w:p w14:paraId="616685A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1412" w:type="dxa"/>
            <w:vMerge w:val="continue"/>
            <w:vAlign w:val="center"/>
          </w:tcPr>
          <w:p w14:paraId="7164EFC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195" w:type="dxa"/>
            <w:vAlign w:val="center"/>
          </w:tcPr>
          <w:p w14:paraId="3DFF8C4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tc>
      </w:tr>
      <w:tr w14:paraId="1489B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633" w:type="dxa"/>
            <w:vMerge w:val="continue"/>
            <w:vAlign w:val="center"/>
          </w:tcPr>
          <w:p w14:paraId="33F999C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1412" w:type="dxa"/>
            <w:vMerge w:val="continue"/>
            <w:vAlign w:val="center"/>
          </w:tcPr>
          <w:p w14:paraId="5D5ECEC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195" w:type="dxa"/>
            <w:vAlign w:val="center"/>
          </w:tcPr>
          <w:p w14:paraId="3B7393B2">
            <w:pPr>
              <w:adjustRightInd w:val="0"/>
              <w:snapToGrid w:val="0"/>
              <w:spacing w:line="288" w:lineRule="auto"/>
              <w:rPr>
                <w:rFonts w:hint="eastAsia" w:ascii="仿宋" w:hAnsi="仿宋" w:eastAsia="仿宋" w:cs="仿宋"/>
                <w:b/>
                <w:color w:val="auto"/>
                <w:sz w:val="24"/>
                <w:highlight w:val="none"/>
              </w:rPr>
            </w:pPr>
            <w:r>
              <w:rPr>
                <w:rFonts w:hint="eastAsia" w:ascii="仿宋" w:hAnsi="仿宋" w:eastAsia="仿宋" w:cs="仿宋"/>
                <w:color w:val="auto"/>
                <w:sz w:val="24"/>
                <w:szCs w:val="24"/>
                <w:highlight w:val="none"/>
              </w:rPr>
              <w:t>联合体信用信息查询：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tc>
      </w:tr>
      <w:tr w14:paraId="1C9A9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633" w:type="dxa"/>
            <w:vAlign w:val="center"/>
          </w:tcPr>
          <w:p w14:paraId="6F21BA6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p>
        </w:tc>
        <w:tc>
          <w:tcPr>
            <w:tcW w:w="8607" w:type="dxa"/>
            <w:gridSpan w:val="2"/>
            <w:vAlign w:val="center"/>
          </w:tcPr>
          <w:p w14:paraId="12383A4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04845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3" w:type="dxa"/>
            <w:vAlign w:val="center"/>
          </w:tcPr>
          <w:p w14:paraId="4A231BB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8607" w:type="dxa"/>
            <w:gridSpan w:val="2"/>
            <w:vAlign w:val="center"/>
          </w:tcPr>
          <w:p w14:paraId="17D4707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更正补充公告请自行登录浙江政府采购网查看下载。</w:t>
            </w:r>
          </w:p>
        </w:tc>
      </w:tr>
      <w:tr w14:paraId="6CE5D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633" w:type="dxa"/>
            <w:vAlign w:val="center"/>
          </w:tcPr>
          <w:p w14:paraId="10AEA26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w:t>
            </w:r>
          </w:p>
        </w:tc>
        <w:tc>
          <w:tcPr>
            <w:tcW w:w="8607" w:type="dxa"/>
            <w:gridSpan w:val="2"/>
            <w:vAlign w:val="center"/>
          </w:tcPr>
          <w:p w14:paraId="3F7D20B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7AD0C3F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35A4E16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506031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5C66C2F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379870F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5C3A1982">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5B84C91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73BC5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0AD1593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741A6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99CAA0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w:t>
            </w:r>
            <w:r>
              <w:rPr>
                <w:rFonts w:hint="eastAsia" w:ascii="仿宋" w:hAnsi="仿宋" w:eastAsia="仿宋" w:cs="仿宋"/>
                <w:b/>
                <w:color w:val="auto"/>
                <w:sz w:val="24"/>
                <w:highlight w:val="none"/>
                <w:lang w:val="en-US" w:eastAsia="zh-CN"/>
              </w:rPr>
              <w:t>采购人可以按照评审报告推荐的中标候选人名单排序,确定下一候选人为中标供应商，也可以重新开展政府采购活动。</w:t>
            </w:r>
          </w:p>
        </w:tc>
      </w:tr>
      <w:bookmarkEnd w:id="4"/>
    </w:tbl>
    <w:p w14:paraId="0AB73B55">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color w:val="auto"/>
          <w:sz w:val="32"/>
          <w:szCs w:val="32"/>
          <w:highlight w:val="none"/>
        </w:rPr>
      </w:pPr>
      <w:bookmarkStart w:id="17" w:name="_Toc164416483"/>
      <w:bookmarkStart w:id="18" w:name="第三部分"/>
    </w:p>
    <w:p w14:paraId="55095419">
      <w:pPr>
        <w:keepNext w:val="0"/>
        <w:keepLines w:val="0"/>
        <w:pageBreakBefore w:val="0"/>
        <w:widowControl w:val="0"/>
        <w:kinsoku/>
        <w:wordWrap/>
        <w:overflowPunct/>
        <w:topLinePunct w:val="0"/>
        <w:autoSpaceDE/>
        <w:autoSpaceDN/>
        <w:bidi w:val="0"/>
        <w:adjustRightInd/>
        <w:snapToGrid/>
        <w:spacing w:line="460" w:lineRule="exact"/>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7816AB90">
      <w:pPr>
        <w:keepNext w:val="0"/>
        <w:keepLines w:val="0"/>
        <w:pageBreakBefore w:val="0"/>
        <w:kinsoku/>
        <w:wordWrap/>
        <w:overflowPunct/>
        <w:topLinePunct w:val="0"/>
        <w:autoSpaceDE/>
        <w:autoSpaceDN/>
        <w:bidi w:val="0"/>
        <w:snapToGrid w:val="0"/>
        <w:spacing w:beforeAutospacing="0" w:line="460" w:lineRule="exact"/>
        <w:ind w:left="0" w:leftChars="0" w:firstLine="0" w:firstLineChars="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3AA340FE">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394F4E0E">
      <w:pPr>
        <w:keepNext w:val="0"/>
        <w:keepLines w:val="0"/>
        <w:pageBreakBefore w:val="0"/>
        <w:kinsoku/>
        <w:wordWrap/>
        <w:overflowPunct/>
        <w:topLinePunct w:val="0"/>
        <w:autoSpaceDE/>
        <w:autoSpaceDN/>
        <w:bidi w:val="0"/>
        <w:adjustRightInd/>
        <w:spacing w:beforeAutospacing="0" w:line="460" w:lineRule="exact"/>
        <w:ind w:left="0" w:leftChars="0" w:firstLine="0" w:firstLineChars="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43328227">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40E6C3D2">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01CAA5C0">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或</w:t>
      </w:r>
      <w:r>
        <w:rPr>
          <w:rFonts w:hint="eastAsia" w:ascii="仿宋" w:hAnsi="仿宋" w:eastAsia="仿宋" w:cs="仿宋"/>
          <w:color w:val="auto"/>
          <w:sz w:val="24"/>
          <w:szCs w:val="24"/>
          <w:highlight w:val="none"/>
        </w:rPr>
        <w:t>符合要求的联合体）</w:t>
      </w:r>
      <w:r>
        <w:rPr>
          <w:rFonts w:hint="eastAsia" w:ascii="仿宋" w:hAnsi="仿宋" w:eastAsia="仿宋" w:cs="仿宋"/>
          <w:color w:val="auto"/>
          <w:sz w:val="24"/>
          <w:highlight w:val="none"/>
        </w:rPr>
        <w:t>。</w:t>
      </w:r>
    </w:p>
    <w:p w14:paraId="05935256">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46C4AFE7">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7FCCDDB2">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14:paraId="3A2FD1B4">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597F541">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“▲”系指实质性指标要求条款，如任意一条打“▲”的指标出现负偏离视为实质性不响应招标文件要求，作无效投标处理。“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4AC7D666">
      <w:pPr>
        <w:keepNext w:val="0"/>
        <w:keepLines w:val="0"/>
        <w:pageBreakBefore w:val="0"/>
        <w:widowControl w:val="0"/>
        <w:kinsoku/>
        <w:wordWrap/>
        <w:overflowPunct/>
        <w:topLinePunct w:val="0"/>
        <w:autoSpaceDE/>
        <w:autoSpaceDN/>
        <w:bidi w:val="0"/>
        <w:adjustRightInd w:val="0"/>
        <w:snapToGrid/>
        <w:spacing w:line="460" w:lineRule="exact"/>
        <w:ind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lang w:eastAsia="zh-CN"/>
        </w:rPr>
        <w:t>.关于中小企业参与政府采购活动的规定</w:t>
      </w:r>
    </w:p>
    <w:p w14:paraId="1202F820">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1根据《中小企业划型标准规定》（工信部联企业〔2011〕300号）、《政府采购促进中小企业发展管理办法》（财库〔2020〕46号）的有关规定，《政府采购促进中小企业发展管理办法》所称中小企业（含中型、小型、微型企业，下同）应当同时符合以下条件：</w:t>
      </w:r>
    </w:p>
    <w:p w14:paraId="7F53D3F5">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（一）在货物采购项目中，货物由中小企业制造，即货物由中小企业生产且使用该中小企业商号或者注册商标；</w:t>
      </w:r>
    </w:p>
    <w:p w14:paraId="29CDC361">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（二）在工程采购项目中，工程由中小企业承建，即工程施工单位为中小企业；</w:t>
      </w:r>
    </w:p>
    <w:p w14:paraId="6DB6509B">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（三）在服务采购项目中，服务由中小企业承接，即提供服务的人员为中小企业依照《中华人民共和国劳动合同法》订立劳动合同的从业人员。</w:t>
      </w:r>
    </w:p>
    <w:p w14:paraId="68828CC6">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在货物采购项目中，供应商提供的货物既有中小企业制造货物，也有大型企业制造货物的，不享受本办法规定的中小企业扶持政策。</w:t>
      </w:r>
    </w:p>
    <w:p w14:paraId="1893B501">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以联合体形式参加政府采购活动，联合体各方均为中小企业的，联合体视同中小企业。其中，联合体各方均为小微企业的，联合体视同小微企业。</w:t>
      </w:r>
    </w:p>
    <w:p w14:paraId="771575EE">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14:paraId="32AA2BE7">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3根据财库〔2014〕68号的相关规定，在政府采购活动中，监狱企业视同小型、微型企业，享受评审中价格扣除政策，并在投标文件中提供由省级以上监狱管理局、戒毒管理局（含新疆生产建设兵团）出具的属于监狱企业的证明文件。</w:t>
      </w:r>
    </w:p>
    <w:p w14:paraId="35C3DF02">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4小型、微型企业参加投标时，应提供《中小企业声明函》；监狱或戒毒企业参加投标时应提供《省级以上监狱管理局、戒毒管理局（含新疆生产建设兵团）出具的属于监狱企业的证明文件》；残疾人福利性单位参加投标时应提供残疾人福利性单位声明函。</w:t>
      </w:r>
    </w:p>
    <w:p w14:paraId="5B5FEBCC">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4.特别说明：</w:t>
      </w:r>
    </w:p>
    <w:p w14:paraId="5C677FAF">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4.1供应商投标所使用的资格、信誉、荣誉、业绩与企业认证必须为投标单位所拥有。供应商投标所使用的采购项目实施人员必须为投标单位正式员工。</w:t>
      </w:r>
    </w:p>
    <w:p w14:paraId="351D789E">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4.2供应商应仔细阅读招标文件的所有内容，按照招标文件的要求提交投标文件，并对所提供的全部资料的真实性承担法律责任。</w:t>
      </w:r>
    </w:p>
    <w:p w14:paraId="30942793">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0625362">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4.4本项目招标代理服务费、造价咨询费及其他相关服务费按实收取由中标单位支付，详情咨询代理机构，报价时不单列，综合考虑。</w:t>
      </w:r>
    </w:p>
    <w:p w14:paraId="4150D398">
      <w:pPr>
        <w:adjustRightInd w:val="0"/>
        <w:snapToGrid w:val="0"/>
        <w:spacing w:line="288"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5.</w:t>
      </w:r>
      <w:r>
        <w:rPr>
          <w:rFonts w:hint="eastAsia" w:ascii="仿宋" w:hAnsi="仿宋" w:eastAsia="仿宋" w:cs="仿宋"/>
          <w:b/>
          <w:color w:val="auto"/>
          <w:sz w:val="24"/>
          <w:szCs w:val="24"/>
          <w:highlight w:val="none"/>
        </w:rPr>
        <w:t>联合体投标</w:t>
      </w:r>
    </w:p>
    <w:p w14:paraId="65ECD838">
      <w:pPr>
        <w:adjustRightInd w:val="0"/>
        <w:snapToGrid w:val="0"/>
        <w:spacing w:line="288"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若本须知“前附表”规定接受联合体投标的，应遵守以下规定：</w:t>
      </w:r>
    </w:p>
    <w:p w14:paraId="4DDFCF45">
      <w:pPr>
        <w:adjustRightInd w:val="0"/>
        <w:snapToGrid w:val="0"/>
        <w:spacing w:line="288"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5.1两个以上的自然人、法人或者其他组织可以组成一个联合体，以一个供应商的身份共同参加本项目政府采购活动，联合体在投标文件中提供联合体协议并明确分工；</w:t>
      </w:r>
    </w:p>
    <w:p w14:paraId="7117A166">
      <w:pPr>
        <w:adjustRightInd w:val="0"/>
        <w:snapToGrid w:val="0"/>
        <w:spacing w:line="288"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5.2联合体中有同类资质的供应商按照联合体分工承担相同工作，按资质等级较低供应商确定资质等级；联合体中特定资格按照联合体分工承担的工作确定资格；</w:t>
      </w:r>
    </w:p>
    <w:p w14:paraId="68832800">
      <w:pPr>
        <w:adjustRightInd w:val="0"/>
        <w:snapToGrid w:val="0"/>
        <w:spacing w:line="288"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5.3联合体各方不得再单独参加或与其他供应商另外组成联合体参加本项目政府购活动。</w:t>
      </w:r>
    </w:p>
    <w:p w14:paraId="32CE1C13">
      <w:pPr>
        <w:adjustRightInd w:val="0"/>
        <w:snapToGrid w:val="0"/>
        <w:spacing w:line="288"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5.4以联合体形式参加本项目投标的，联合体的各成员均应当具备《中华人民共和国政府采购法》第二十二条第一款规定的条件同时未被“信用中国”网站(www.creditchina.gov.cn)列入失信被执行人、重大税收违法案件当事人名单；未被“中国政府采购网”(www.ccgp.gov.cn)列入政府采购严重违法失信行为记录名单；</w:t>
      </w:r>
    </w:p>
    <w:p w14:paraId="311DFD65">
      <w:pPr>
        <w:adjustRightInd w:val="0"/>
        <w:snapToGrid w:val="0"/>
        <w:spacing w:line="288"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5.6联合体各方之间须签订联合投标协议（成员中有小微企业或监狱企业的须附相应声明函），明确约定联合体各方承担的工作和相应的责任以及各方的协议合同金额比例，在联合投标协议中指定本项目联合体牵头人，并将联合投标协议作为投标响应文件组成的一部分；本项目的主体、关键性工作须由联合体牵头人完成，并在联合投标协议中进行说明；</w:t>
      </w:r>
    </w:p>
    <w:p w14:paraId="5B76F211">
      <w:pPr>
        <w:adjustRightInd w:val="0"/>
        <w:snapToGrid w:val="0"/>
        <w:spacing w:line="288"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5.7以联合体形式参加政府采购活动，联合体各方均为中小企业的，联合体视同中小企业。其中，联合体各方均为小微企业的，联合体视同小微企业。</w:t>
      </w:r>
    </w:p>
    <w:p w14:paraId="2A7B5BAB">
      <w:pPr>
        <w:pStyle w:val="2"/>
        <w:rPr>
          <w:rFonts w:hint="eastAsia"/>
          <w:color w:val="auto"/>
          <w:lang w:val="en-US" w:eastAsia="zh-CN"/>
        </w:rPr>
      </w:pPr>
    </w:p>
    <w:p w14:paraId="18082CEC">
      <w:pPr>
        <w:keepNext w:val="0"/>
        <w:keepLines w:val="0"/>
        <w:pageBreakBefore w:val="0"/>
        <w:widowControl w:val="0"/>
        <w:kinsoku/>
        <w:wordWrap/>
        <w:overflowPunct/>
        <w:topLinePunct w:val="0"/>
        <w:autoSpaceDE/>
        <w:autoSpaceDN/>
        <w:bidi w:val="0"/>
        <w:adjustRightInd/>
        <w:snapToGrid/>
        <w:spacing w:beforeAutospacing="0" w:line="460" w:lineRule="exact"/>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5351E76A">
      <w:pPr>
        <w:keepNext w:val="0"/>
        <w:keepLines w:val="0"/>
        <w:pageBreakBefore w:val="0"/>
        <w:kinsoku/>
        <w:wordWrap/>
        <w:overflowPunct/>
        <w:topLinePunct w:val="0"/>
        <w:autoSpaceDE/>
        <w:autoSpaceDN/>
        <w:bidi w:val="0"/>
        <w:snapToGrid w:val="0"/>
        <w:spacing w:line="46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0D44BBFF">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0DEA6836">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593AB5F2">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300CBFB3">
      <w:pPr>
        <w:pStyle w:val="7"/>
        <w:keepNext w:val="0"/>
        <w:keepLines w:val="0"/>
        <w:pageBreakBefore w:val="0"/>
        <w:kinsoku/>
        <w:wordWrap/>
        <w:overflowPunct/>
        <w:topLinePunct w:val="0"/>
        <w:autoSpaceDE/>
        <w:autoSpaceDN/>
        <w:bidi w:val="0"/>
        <w:snapToGrid w:val="0"/>
        <w:spacing w:line="460" w:lineRule="exact"/>
        <w:ind w:left="0" w:leftChars="0"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28C94258">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5D4023F2">
      <w:pPr>
        <w:keepNext w:val="0"/>
        <w:keepLines w:val="0"/>
        <w:pageBreakBefore w:val="0"/>
        <w:kinsoku/>
        <w:wordWrap/>
        <w:overflowPunct/>
        <w:topLinePunct w:val="0"/>
        <w:autoSpaceDE/>
        <w:autoSpaceDN/>
        <w:bidi w:val="0"/>
        <w:snapToGrid w:val="0"/>
        <w:spacing w:line="46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投标费用</w:t>
      </w:r>
    </w:p>
    <w:p w14:paraId="120D07C9">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7D2F072D">
      <w:pPr>
        <w:keepNext w:val="0"/>
        <w:keepLines w:val="0"/>
        <w:pageBreakBefore w:val="0"/>
        <w:kinsoku/>
        <w:wordWrap/>
        <w:overflowPunct/>
        <w:topLinePunct w:val="0"/>
        <w:autoSpaceDE/>
        <w:autoSpaceDN/>
        <w:bidi w:val="0"/>
        <w:snapToGrid w:val="0"/>
        <w:spacing w:line="46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招标文件的修改</w:t>
      </w:r>
    </w:p>
    <w:p w14:paraId="22BC0BEB">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4F355BE0">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344A3643">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079B1F4D">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460DB919">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2266A6E">
      <w:pPr>
        <w:keepNext w:val="0"/>
        <w:keepLines w:val="0"/>
        <w:pageBreakBefore w:val="0"/>
        <w:widowControl w:val="0"/>
        <w:kinsoku/>
        <w:wordWrap/>
        <w:overflowPunct/>
        <w:topLinePunct w:val="0"/>
        <w:autoSpaceDE/>
        <w:autoSpaceDN/>
        <w:bidi w:val="0"/>
        <w:adjustRightInd w:val="0"/>
        <w:snapToGrid/>
        <w:spacing w:beforeAutospacing="0" w:line="46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78296B4A">
      <w:pPr>
        <w:pStyle w:val="25"/>
        <w:keepNext w:val="0"/>
        <w:keepLines w:val="0"/>
        <w:pageBreakBefore w:val="0"/>
        <w:widowControl w:val="0"/>
        <w:kinsoku/>
        <w:wordWrap/>
        <w:overflowPunct/>
        <w:topLinePunct w:val="0"/>
        <w:bidi w:val="0"/>
        <w:snapToGrid/>
        <w:spacing w:beforeAutospacing="0" w:line="460" w:lineRule="exact"/>
        <w:ind w:left="0" w:leftChars="0"/>
        <w:jc w:val="center"/>
        <w:textAlignment w:val="auto"/>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2828A7FC">
      <w:pPr>
        <w:keepNext w:val="0"/>
        <w:keepLines w:val="0"/>
        <w:pageBreakBefore w:val="0"/>
        <w:widowControl w:val="0"/>
        <w:kinsoku/>
        <w:wordWrap/>
        <w:overflowPunct/>
        <w:topLinePunct w:val="0"/>
        <w:autoSpaceDE/>
        <w:autoSpaceDN/>
        <w:bidi w:val="0"/>
        <w:adjustRightInd w:val="0"/>
        <w:snapToGrid w:val="0"/>
        <w:spacing w:line="460" w:lineRule="exact"/>
        <w:ind w:left="0" w:firstLine="0" w:firstLineChars="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39E968B5">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72E8DA44">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66A64CA1">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4006A395">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0812C895">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51D703A8">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699BE319">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6EAFC176">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3F23C82D">
      <w:pPr>
        <w:pStyle w:val="34"/>
        <w:keepNext w:val="0"/>
        <w:keepLines w:val="0"/>
        <w:pageBreakBefore w:val="0"/>
        <w:widowControl w:val="0"/>
        <w:kinsoku/>
        <w:wordWrap/>
        <w:overflowPunct/>
        <w:topLinePunct w:val="0"/>
        <w:autoSpaceDE/>
        <w:autoSpaceDN/>
        <w:bidi w:val="0"/>
        <w:adjustRightInd w:val="0"/>
        <w:spacing w:beforeAutospacing="0" w:line="46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投标文件的组成</w:t>
      </w:r>
    </w:p>
    <w:p w14:paraId="3E7E42E5">
      <w:pPr>
        <w:keepNext w:val="0"/>
        <w:keepLines w:val="0"/>
        <w:pageBreakBefore w:val="0"/>
        <w:kinsoku/>
        <w:wordWrap/>
        <w:overflowPunct/>
        <w:topLinePunct w:val="0"/>
        <w:bidi w:val="0"/>
        <w:spacing w:line="460" w:lineRule="exact"/>
        <w:ind w:firstLine="480"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w:t>
      </w:r>
      <w:r>
        <w:rPr>
          <w:rFonts w:hint="eastAsia" w:ascii="仿宋" w:hAnsi="仿宋" w:eastAsia="仿宋" w:cs="仿宋"/>
          <w:color w:val="auto"/>
          <w:sz w:val="24"/>
          <w:highlight w:val="none"/>
        </w:rPr>
        <w:t>“报价文件”</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bCs/>
          <w:color w:val="auto"/>
          <w:sz w:val="24"/>
          <w:highlight w:val="none"/>
        </w:rPr>
        <w:t>电子投标文件中所须加盖公章部分均应采用电子签章</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但以下内容可不使用电子签章，联合体投标的，1.符合参加政府采购活动应当具备的一般条件的承诺函；2.联合体投标协议】。</w:t>
      </w:r>
    </w:p>
    <w:p w14:paraId="34C7BE0B">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54A55092">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.1.1▲营业执照(或事业法人登记证或其他工商等登记证明材料)彩色扫描件；</w:t>
      </w:r>
    </w:p>
    <w:p w14:paraId="0EAB7C42">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2.1.2▲符合参加政府采购活动应当具备的一般条件的承诺函；</w:t>
      </w:r>
    </w:p>
    <w:p w14:paraId="303B7CF5">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zh-CN" w:eastAsia="zh-CN"/>
        </w:rPr>
        <w:t>落实政府采购政策需满足的资格要求：</w:t>
      </w:r>
      <w:r>
        <w:rPr>
          <w:rFonts w:hint="eastAsia" w:ascii="仿宋" w:hAnsi="仿宋" w:eastAsia="仿宋" w:cs="仿宋"/>
          <w:color w:val="auto"/>
          <w:sz w:val="24"/>
          <w:highlight w:val="none"/>
          <w:lang w:val="en-US" w:eastAsia="zh-CN"/>
        </w:rPr>
        <w:t>提供</w:t>
      </w:r>
      <w:r>
        <w:rPr>
          <w:rFonts w:hint="eastAsia" w:ascii="仿宋" w:hAnsi="仿宋" w:eastAsia="仿宋" w:cs="仿宋"/>
          <w:color w:val="auto"/>
          <w:sz w:val="24"/>
          <w:highlight w:val="none"/>
          <w:lang w:val="zh-CN" w:eastAsia="zh-CN"/>
        </w:rPr>
        <w:t>《中小企业声明函》；</w:t>
      </w:r>
    </w:p>
    <w:p w14:paraId="1F449431">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如是医疗器械，提供有效的投标产品《医疗器械注册证》或医疗器械备案表；</w:t>
      </w:r>
    </w:p>
    <w:p w14:paraId="1C521517">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供应商为医疗器械生产企业的：第二类、第三类医疗器械生产企业提供《医疗器械生产许可证》，第一类医疗器械生产企业提供第一类医疗器械生产备案凭证；供应商为医疗器械经营企业的：第三类医疗器械经营企业提供《医疗器械经营许可证》，第一、第二类医疗器械经营企业提供第一、第二类医疗器械经营备案凭证；（如是医疗器械提供）；</w:t>
      </w:r>
    </w:p>
    <w:p w14:paraId="60F77724">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2.1.6联合体投标协议（如组成联合体形式投标的提供）；</w:t>
      </w:r>
    </w:p>
    <w:p w14:paraId="55AEA4F9">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2.1.7</w:t>
      </w:r>
      <w:r>
        <w:rPr>
          <w:rFonts w:hint="eastAsia" w:ascii="仿宋" w:hAnsi="仿宋" w:eastAsia="仿宋" w:cs="仿宋"/>
          <w:color w:val="auto"/>
          <w:sz w:val="24"/>
          <w:highlight w:val="none"/>
          <w:lang w:eastAsia="zh-CN"/>
        </w:rPr>
        <w:t>投标人需要说明的其他</w:t>
      </w:r>
      <w:r>
        <w:rPr>
          <w:rFonts w:hint="eastAsia" w:ascii="仿宋" w:hAnsi="仿宋" w:eastAsia="仿宋" w:cs="仿宋"/>
          <w:color w:val="auto"/>
          <w:sz w:val="24"/>
          <w:highlight w:val="none"/>
          <w:lang w:val="en-US" w:eastAsia="zh-CN"/>
        </w:rPr>
        <w:t>资格</w:t>
      </w:r>
      <w:r>
        <w:rPr>
          <w:rFonts w:hint="eastAsia" w:ascii="仿宋" w:hAnsi="仿宋" w:eastAsia="仿宋" w:cs="仿宋"/>
          <w:color w:val="auto"/>
          <w:sz w:val="24"/>
          <w:highlight w:val="none"/>
          <w:lang w:eastAsia="zh-CN"/>
        </w:rPr>
        <w:t>文件和说明（格式自拟）。</w:t>
      </w:r>
    </w:p>
    <w:p w14:paraId="0A790E33">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0248F295">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2.2.1▲投标函；</w:t>
      </w:r>
      <w:r>
        <w:rPr>
          <w:rFonts w:hint="eastAsia" w:ascii="仿宋" w:hAnsi="仿宋" w:eastAsia="仿宋" w:cs="仿宋"/>
          <w:color w:val="auto"/>
          <w:sz w:val="24"/>
          <w:highlight w:val="none"/>
          <w:lang w:val="zh-CN" w:eastAsia="zh-CN"/>
        </w:rPr>
        <w:t xml:space="preserve"> </w:t>
      </w:r>
    </w:p>
    <w:p w14:paraId="4D571C6F">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2.2.2法定代表人授权委托书；</w:t>
      </w:r>
    </w:p>
    <w:p w14:paraId="56F43121">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2.2.3授权代表社保证明；</w:t>
      </w:r>
    </w:p>
    <w:p w14:paraId="5460F597">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2.2.4法定代表人身份证明书；</w:t>
      </w:r>
    </w:p>
    <w:p w14:paraId="2EDC174D">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2.2.5技术响应偏离表；</w:t>
      </w:r>
    </w:p>
    <w:p w14:paraId="6C7FD540">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2.2.6</w:t>
      </w:r>
      <w:r>
        <w:rPr>
          <w:rFonts w:hint="eastAsia" w:ascii="仿宋" w:hAnsi="仿宋" w:eastAsia="仿宋" w:cs="仿宋"/>
          <w:color w:val="auto"/>
          <w:sz w:val="24"/>
          <w:highlight w:val="none"/>
          <w:lang w:eastAsia="zh-CN"/>
        </w:rPr>
        <w:t>商务技术文件</w:t>
      </w:r>
      <w:r>
        <w:rPr>
          <w:rFonts w:hint="eastAsia" w:ascii="仿宋" w:hAnsi="仿宋" w:eastAsia="仿宋" w:cs="仿宋"/>
          <w:color w:val="auto"/>
          <w:sz w:val="24"/>
          <w:highlight w:val="none"/>
          <w:lang w:val="en-US" w:eastAsia="zh-CN"/>
        </w:rPr>
        <w:t>其他内容（根据</w:t>
      </w:r>
      <w:r>
        <w:rPr>
          <w:rFonts w:hint="eastAsia" w:ascii="仿宋" w:hAnsi="仿宋" w:eastAsia="仿宋" w:cs="仿宋"/>
          <w:color w:val="auto"/>
          <w:sz w:val="24"/>
          <w:highlight w:val="none"/>
          <w:lang w:eastAsia="zh-CN"/>
        </w:rPr>
        <w:t>评分标准制作</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w:t>
      </w:r>
    </w:p>
    <w:p w14:paraId="627051C9">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eastAsia="zh-CN"/>
        </w:rPr>
        <w:t>2.2.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eastAsia="zh-CN"/>
        </w:rPr>
        <w:t>投标人需要说明的其他文件和说明（格式自拟）。</w:t>
      </w:r>
    </w:p>
    <w:p w14:paraId="181A84BD">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B4E4EF4">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w:t>
      </w:r>
      <w:r>
        <w:rPr>
          <w:rFonts w:hint="eastAsia" w:ascii="仿宋" w:hAnsi="仿宋" w:eastAsia="仿宋" w:cs="仿宋"/>
          <w:color w:val="auto"/>
          <w:sz w:val="24"/>
          <w:highlight w:val="none"/>
          <w:lang w:val="en-US" w:eastAsia="zh-CN"/>
        </w:rPr>
        <w:t>（报价表）</w:t>
      </w:r>
      <w:r>
        <w:rPr>
          <w:rFonts w:hint="eastAsia" w:ascii="仿宋" w:hAnsi="仿宋" w:eastAsia="仿宋" w:cs="仿宋"/>
          <w:color w:val="auto"/>
          <w:sz w:val="24"/>
          <w:highlight w:val="none"/>
          <w:lang w:eastAsia="zh-CN"/>
        </w:rPr>
        <w:t>；</w:t>
      </w:r>
    </w:p>
    <w:p w14:paraId="5E8A7C07">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2.3.2</w:t>
      </w:r>
      <w:r>
        <w:rPr>
          <w:rFonts w:hint="eastAsia" w:ascii="仿宋" w:hAnsi="仿宋" w:eastAsia="仿宋" w:cs="仿宋"/>
          <w:color w:val="auto"/>
          <w:sz w:val="24"/>
          <w:highlight w:val="none"/>
          <w:lang w:eastAsia="zh-CN"/>
        </w:rPr>
        <w:t>投标人需要说明的其他文件和说明（格式自拟）。</w:t>
      </w:r>
    </w:p>
    <w:p w14:paraId="02F09175">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60" w:lineRule="exact"/>
        <w:ind w:firstLine="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28B4AEF4">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14:paraId="75FE91CE">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3.2报价为完成本项目所需的一切费用。</w:t>
      </w:r>
    </w:p>
    <w:p w14:paraId="4D70757E">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14:paraId="4772ACEB">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60" w:lineRule="exact"/>
        <w:ind w:firstLine="482"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3.4投标报价只允许有一个报价，有选择的报价将不予接受（除指定外）</w:t>
      </w:r>
      <w:r>
        <w:rPr>
          <w:rFonts w:hint="eastAsia" w:ascii="仿宋" w:hAnsi="仿宋" w:eastAsia="仿宋" w:cs="仿宋"/>
          <w:b/>
          <w:bCs/>
          <w:color w:val="auto"/>
          <w:sz w:val="24"/>
          <w:highlight w:val="none"/>
          <w:lang w:val="en-US"/>
        </w:rPr>
        <w:t>。</w:t>
      </w:r>
    </w:p>
    <w:p w14:paraId="583A5CCC">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60" w:lineRule="exact"/>
        <w:textAlignment w:val="auto"/>
        <w:rPr>
          <w:rFonts w:hint="eastAsia" w:ascii="仿宋" w:hAnsi="仿宋" w:eastAsia="仿宋" w:cs="仿宋"/>
          <w:b/>
          <w:color w:val="auto"/>
          <w:szCs w:val="24"/>
          <w:highlight w:val="none"/>
        </w:rPr>
      </w:pPr>
      <w:r>
        <w:rPr>
          <w:rFonts w:hint="eastAsia" w:ascii="仿宋" w:hAnsi="仿宋" w:eastAsia="仿宋" w:cs="仿宋"/>
          <w:b/>
          <w:bCs/>
          <w:color w:val="auto"/>
          <w:sz w:val="24"/>
          <w:highlight w:val="none"/>
          <w:lang w:val="en-US"/>
        </w:rPr>
        <w:t>4.</w:t>
      </w:r>
      <w:r>
        <w:rPr>
          <w:rFonts w:hint="eastAsia" w:ascii="仿宋" w:hAnsi="仿宋" w:eastAsia="仿宋" w:cs="仿宋"/>
          <w:b/>
          <w:bCs/>
          <w:color w:val="auto"/>
          <w:sz w:val="24"/>
          <w:highlight w:val="none"/>
          <w:lang w:val="zh-CN"/>
        </w:rPr>
        <w:t xml:space="preserve"> </w:t>
      </w:r>
      <w:r>
        <w:rPr>
          <w:rFonts w:hint="eastAsia" w:ascii="仿宋" w:hAnsi="仿宋" w:eastAsia="仿宋" w:cs="仿宋"/>
          <w:b/>
          <w:bCs/>
          <w:color w:val="auto"/>
          <w:sz w:val="24"/>
          <w:highlight w:val="none"/>
          <w:lang w:val="en-US"/>
        </w:rPr>
        <w:t>投标文件的编制</w:t>
      </w:r>
      <w:r>
        <w:rPr>
          <w:rFonts w:hint="eastAsia" w:ascii="仿宋" w:hAnsi="仿宋" w:eastAsia="仿宋" w:cs="仿宋"/>
          <w:b/>
          <w:bCs/>
          <w:color w:val="auto"/>
          <w:sz w:val="24"/>
          <w:highlight w:val="none"/>
          <w:lang w:val="en-US" w:eastAsia="zh-CN"/>
        </w:rPr>
        <w:t>和</w:t>
      </w:r>
      <w:r>
        <w:rPr>
          <w:rFonts w:hint="eastAsia" w:ascii="仿宋" w:hAnsi="仿宋" w:eastAsia="仿宋" w:cs="仿宋"/>
          <w:b/>
          <w:bCs/>
          <w:color w:val="auto"/>
          <w:sz w:val="24"/>
          <w:highlight w:val="none"/>
          <w:lang w:val="en-US"/>
        </w:rPr>
        <w:t>签署</w:t>
      </w:r>
    </w:p>
    <w:p w14:paraId="358D4A4D">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C90F77F">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01DD11FA">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2648AE28">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127CDC52">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0E23DEAE">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0EB946C6">
      <w:pPr>
        <w:pStyle w:val="136"/>
        <w:keepNext w:val="0"/>
        <w:keepLines w:val="0"/>
        <w:pageBreakBefore w:val="0"/>
        <w:kinsoku/>
        <w:wordWrap/>
        <w:overflowPunct/>
        <w:topLinePunct w:val="0"/>
        <w:bidi w:val="0"/>
        <w:spacing w:before="0" w:line="460" w:lineRule="exact"/>
        <w:ind w:firstLine="0" w:firstLineChars="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hint="eastAsia" w:ascii="仿宋" w:hAnsi="仿宋" w:eastAsia="仿宋" w:cs="仿宋"/>
          <w:b/>
          <w:color w:val="auto"/>
          <w:szCs w:val="24"/>
          <w:highlight w:val="none"/>
        </w:rPr>
        <w:t>. 投标文件的提交、补充、修改、撤回</w:t>
      </w:r>
    </w:p>
    <w:p w14:paraId="4D875020">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FB9583F">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5D0F1EF0">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5A9992ED">
      <w:pPr>
        <w:keepNext w:val="0"/>
        <w:keepLines w:val="0"/>
        <w:pageBreakBefore w:val="0"/>
        <w:kinsoku/>
        <w:wordWrap/>
        <w:overflowPunct/>
        <w:topLinePunct w:val="0"/>
        <w:bidi w:val="0"/>
        <w:adjustRightInd w:val="0"/>
        <w:spacing w:line="460" w:lineRule="exact"/>
        <w:ind w:left="0" w:leftChars="0" w:firstLine="0" w:firstLineChars="0"/>
        <w:jc w:val="both"/>
        <w:textAlignment w:val="auto"/>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7BC34DD7">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6.1投标有效期为从提交投标文件的截止之日起90天。投标人的投标文件中承诺的投标有效期少于招标文件中载明的投标有效期的，投标无效。</w:t>
      </w:r>
    </w:p>
    <w:p w14:paraId="7359DA80">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6.2投标文件合格投递后，自投标截止日期起，在投标有效期内有效。</w:t>
      </w:r>
    </w:p>
    <w:p w14:paraId="4D915426">
      <w:pPr>
        <w:keepNext w:val="0"/>
        <w:keepLines w:val="0"/>
        <w:pageBreakBefore w:val="0"/>
        <w:kinsoku/>
        <w:wordWrap/>
        <w:overflowPunct/>
        <w:topLinePunct w:val="0"/>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6.3在原定投标有效期满之前，如果出现特殊情况，采购代理机构可以以书面形式通知投标人延长投标有效期。投标人同意延长的，不得要求或被允许修改其投标文件，投标人拒绝延长的，其投标无效。</w:t>
      </w:r>
    </w:p>
    <w:p w14:paraId="688F1614">
      <w:pPr>
        <w:keepNext w:val="0"/>
        <w:keepLines w:val="0"/>
        <w:pageBreakBefore w:val="0"/>
        <w:widowControl w:val="0"/>
        <w:kinsoku/>
        <w:wordWrap/>
        <w:overflowPunct/>
        <w:topLinePunct w:val="0"/>
        <w:autoSpaceDE/>
        <w:autoSpaceDN/>
        <w:bidi w:val="0"/>
        <w:adjustRightInd w:val="0"/>
        <w:snapToGrid/>
        <w:spacing w:line="460" w:lineRule="exact"/>
        <w:jc w:val="center"/>
        <w:textAlignment w:val="auto"/>
        <w:rPr>
          <w:rFonts w:hint="eastAsia" w:ascii="仿宋" w:hAnsi="仿宋" w:eastAsia="仿宋" w:cs="仿宋"/>
          <w:b/>
          <w:color w:val="auto"/>
          <w:sz w:val="32"/>
          <w:szCs w:val="32"/>
          <w:highlight w:val="none"/>
        </w:rPr>
      </w:pPr>
      <w:bookmarkStart w:id="19" w:name="_Toc91899903"/>
      <w:r>
        <w:rPr>
          <w:rFonts w:hint="eastAsia" w:ascii="仿宋" w:hAnsi="仿宋" w:eastAsia="仿宋" w:cs="仿宋"/>
          <w:b/>
          <w:color w:val="auto"/>
          <w:sz w:val="32"/>
          <w:szCs w:val="32"/>
          <w:highlight w:val="none"/>
        </w:rPr>
        <w:t>四、开标和评标</w:t>
      </w:r>
    </w:p>
    <w:p w14:paraId="40A1B840">
      <w:pPr>
        <w:keepNext w:val="0"/>
        <w:keepLines w:val="0"/>
        <w:pageBreakBefore w:val="0"/>
        <w:kinsoku/>
        <w:wordWrap/>
        <w:overflowPunct/>
        <w:topLinePunct w:val="0"/>
        <w:autoSpaceDE/>
        <w:autoSpaceDN/>
        <w:bidi w:val="0"/>
        <w:snapToGrid w:val="0"/>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10B316B1">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622CF45F">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58AF1B8A">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4EDA4D72">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1.4主持人宣布商务技术得分及无效（废）投标情形（如有），公布经商务技术评审符合招标文件要求的投标人名单及其商务技术得分。</w:t>
      </w:r>
    </w:p>
    <w:p w14:paraId="11E3CE30">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5D8EAEBB">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1.6评标委员会对投标文件报价文件资料进行评审，核准投标报价及计算价格分，汇总商务技术分、价格分，根据得分排序确定三名中标候选人。</w:t>
      </w:r>
    </w:p>
    <w:p w14:paraId="04551573">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3BBAC158">
      <w:pPr>
        <w:keepNext w:val="0"/>
        <w:keepLines w:val="0"/>
        <w:pageBreakBefore w:val="0"/>
        <w:widowControl w:val="0"/>
        <w:kinsoku/>
        <w:wordWrap/>
        <w:overflowPunct/>
        <w:topLinePunct w:val="0"/>
        <w:autoSpaceDE/>
        <w:autoSpaceDN/>
        <w:bidi w:val="0"/>
        <w:adjustRightInd w:val="0"/>
        <w:snapToGrid w:val="0"/>
        <w:spacing w:line="46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7722DAAC">
      <w:pPr>
        <w:keepNext w:val="0"/>
        <w:keepLines w:val="0"/>
        <w:pageBreakBefore w:val="0"/>
        <w:kinsoku/>
        <w:wordWrap/>
        <w:overflowPunct/>
        <w:topLinePunct w:val="0"/>
        <w:autoSpaceDE/>
        <w:autoSpaceDN/>
        <w:bidi w:val="0"/>
        <w:snapToGrid w:val="0"/>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6C9A3D20">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2550EB9C">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787AC6FE">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68E4D26A">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516BADDB">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4B9F0678">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2BF1D57C">
      <w:pPr>
        <w:keepNext w:val="0"/>
        <w:keepLines w:val="0"/>
        <w:pageBreakBefore w:val="0"/>
        <w:kinsoku/>
        <w:wordWrap/>
        <w:overflowPunct/>
        <w:topLinePunct w:val="0"/>
        <w:autoSpaceDE/>
        <w:autoSpaceDN/>
        <w:bidi w:val="0"/>
        <w:snapToGrid w:val="0"/>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5974E54C">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6B3F15ED">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3.2评标委员会由采购人代表和有关方面的专家组成，成员人数为七人以上单数。</w:t>
      </w:r>
    </w:p>
    <w:p w14:paraId="10E0BF16">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68D4CC1D">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72A04485">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93797DF">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3584A100">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评分结果进行校对、核对并汇总统计；对明显畸高、畸低的评分情形（评审小组成员个人主观评分偏离所有评审小组成员主观评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09BCDFA3">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0AB06E33">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5DEAEB66">
      <w:pPr>
        <w:keepNext w:val="0"/>
        <w:keepLines w:val="0"/>
        <w:pageBreakBefore w:val="0"/>
        <w:kinsoku/>
        <w:wordWrap/>
        <w:overflowPunct/>
        <w:topLinePunct w:val="0"/>
        <w:autoSpaceDE/>
        <w:autoSpaceDN/>
        <w:bidi w:val="0"/>
        <w:snapToGrid w:val="0"/>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05160582">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4B617305">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3445510D">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641A2E4C">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50AD7522">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09A76E9E">
      <w:pPr>
        <w:keepNext w:val="0"/>
        <w:keepLines w:val="0"/>
        <w:pageBreakBefore w:val="0"/>
        <w:kinsoku/>
        <w:wordWrap/>
        <w:overflowPunct/>
        <w:topLinePunct w:val="0"/>
        <w:autoSpaceDE/>
        <w:autoSpaceDN/>
        <w:bidi w:val="0"/>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616F17B8">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00DF30B4">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68FC20FA">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34297AEB">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77A5D7C3">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0387C22">
      <w:pPr>
        <w:keepNext w:val="0"/>
        <w:keepLines w:val="0"/>
        <w:pageBreakBefore w:val="0"/>
        <w:kinsoku/>
        <w:wordWrap/>
        <w:overflowPunct/>
        <w:topLinePunct w:val="0"/>
        <w:autoSpaceDE/>
        <w:autoSpaceDN/>
        <w:bidi w:val="0"/>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3B9A78E1">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4BD08599">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C9F05DA">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7492AD22">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725A6059">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1BDF430B">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607418A5">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报价审核。对符合采购需求且通过商务技术评审的投标人的报价的合理性、准确性等进行审查核实。</w:t>
      </w:r>
    </w:p>
    <w:p w14:paraId="5A9BADF4">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2525D77A">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0106E597">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6C1B1912">
      <w:pPr>
        <w:keepNext w:val="0"/>
        <w:keepLines w:val="0"/>
        <w:pageBreakBefore w:val="0"/>
        <w:widowControl w:val="0"/>
        <w:kinsoku/>
        <w:wordWrap/>
        <w:overflowPunct/>
        <w:topLinePunct w:val="0"/>
        <w:autoSpaceDE/>
        <w:autoSpaceDN/>
        <w:bidi w:val="0"/>
        <w:adjustRightInd w:val="0"/>
        <w:snapToGrid w:val="0"/>
        <w:spacing w:line="46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397A9A8B">
      <w:pPr>
        <w:pStyle w:val="17"/>
        <w:keepNext w:val="0"/>
        <w:keepLines w:val="0"/>
        <w:pageBreakBefore w:val="0"/>
        <w:widowControl w:val="0"/>
        <w:tabs>
          <w:tab w:val="clear" w:pos="390"/>
          <w:tab w:val="clear" w:pos="454"/>
        </w:tabs>
        <w:kinsoku/>
        <w:wordWrap/>
        <w:overflowPunct/>
        <w:topLinePunct w:val="0"/>
        <w:autoSpaceDE/>
        <w:autoSpaceDN/>
        <w:bidi w:val="0"/>
        <w:spacing w:after="0" w:afterLines="0" w:line="460" w:lineRule="exact"/>
        <w:ind w:left="0" w:firstLine="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21726094">
      <w:pPr>
        <w:pStyle w:val="17"/>
        <w:keepNext w:val="0"/>
        <w:keepLines w:val="0"/>
        <w:pageBreakBefore w:val="0"/>
        <w:widowControl w:val="0"/>
        <w:tabs>
          <w:tab w:val="clear" w:pos="390"/>
          <w:tab w:val="clear" w:pos="454"/>
        </w:tabs>
        <w:kinsoku/>
        <w:wordWrap/>
        <w:overflowPunct/>
        <w:topLinePunct w:val="0"/>
        <w:autoSpaceDE/>
        <w:autoSpaceDN/>
        <w:bidi w:val="0"/>
        <w:spacing w:after="0" w:afterLines="0" w:line="46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3BF23956">
      <w:pPr>
        <w:pStyle w:val="34"/>
        <w:keepNext w:val="0"/>
        <w:keepLines w:val="0"/>
        <w:pageBreakBefore w:val="0"/>
        <w:kinsoku/>
        <w:wordWrap/>
        <w:overflowPunct/>
        <w:topLinePunct w:val="0"/>
        <w:autoSpaceDE/>
        <w:autoSpaceDN/>
        <w:bidi w:val="0"/>
        <w:snapToGrid w:val="0"/>
        <w:spacing w:line="460" w:lineRule="exact"/>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50DCD515">
      <w:pPr>
        <w:keepNext w:val="0"/>
        <w:keepLines w:val="0"/>
        <w:pageBreakBefore w:val="0"/>
        <w:tabs>
          <w:tab w:val="left" w:pos="4085"/>
        </w:tabs>
        <w:kinsoku/>
        <w:wordWrap/>
        <w:overflowPunct/>
        <w:topLinePunct w:val="0"/>
        <w:autoSpaceDE/>
        <w:autoSpaceDN/>
        <w:bidi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5E04E6FD">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1A5CBA74">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6D09243A">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投标人未提供招标文件中规定的基本资格条件书面承诺函的，或投标人未提供有效的特定资格证明文件的，视为投标人不具备招标文件中规定的资格要求；</w:t>
      </w:r>
      <w:r>
        <w:rPr>
          <w:rFonts w:hint="eastAsia" w:ascii="仿宋" w:hAnsi="仿宋" w:eastAsia="仿宋" w:cs="仿宋"/>
          <w:b/>
          <w:color w:val="auto"/>
          <w:sz w:val="24"/>
          <w:highlight w:val="none"/>
          <w:lang w:val="en-US" w:eastAsia="zh-CN"/>
        </w:rPr>
        <w:t>组成联合体形式投标，未提供联合体投标协议的。</w:t>
      </w:r>
    </w:p>
    <w:p w14:paraId="10811AB2">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《法定代表人身份证明书》与提供的身份证复印件信息不符的；《法定代表人授权委托书》与提供的身份证复印件信息不符的；</w:t>
      </w:r>
    </w:p>
    <w:p w14:paraId="71464DDC">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《法定代表人授权委托书》或《法定代表人身份证明书》填写不全、错误、未电子签章(《法定代表人授权委托书》要求“电子签章”和“签字或盖章”缺一不可）的；</w:t>
      </w:r>
    </w:p>
    <w:p w14:paraId="4C348999">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授权代表非投标单位正式职工的（以社保证明为准，如授权代表为离退休返聘人员的，需提供退休证明及单位聘用证明），法定代表人及个体工商户除外；</w:t>
      </w:r>
    </w:p>
    <w:p w14:paraId="0B89320C">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投标文件中的投标函无投标人的电子签章或填写不全的；</w:t>
      </w:r>
    </w:p>
    <w:p w14:paraId="0005802F">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报价一经涂改，未在涂改处加盖投标单位公章或者未经法定代表人或其授权代表签字或盖章的；</w:t>
      </w:r>
    </w:p>
    <w:p w14:paraId="5B6E008B">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rPr>
        <w:t>未按招标文件规定的格式填写，或对招标服务或技术或产品等要求未详细应答或应答内容不全、有缺失的,经评标委员会认定为无法评审的；</w:t>
      </w:r>
    </w:p>
    <w:p w14:paraId="11BAAFFD">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0</w:t>
      </w:r>
      <w:r>
        <w:rPr>
          <w:rFonts w:hint="eastAsia" w:ascii="仿宋" w:hAnsi="仿宋" w:eastAsia="仿宋" w:cs="仿宋"/>
          <w:b/>
          <w:color w:val="auto"/>
          <w:sz w:val="24"/>
          <w:highlight w:val="none"/>
        </w:rPr>
        <w:t>出现同一标的物或本次招标产品(服务)内的主要产品(重要组成部分)出现</w:t>
      </w:r>
      <w:r>
        <w:rPr>
          <w:rFonts w:hint="eastAsia" w:ascii="仿宋" w:hAnsi="仿宋" w:eastAsia="仿宋" w:cs="仿宋"/>
          <w:b/>
          <w:color w:val="auto"/>
          <w:sz w:val="24"/>
          <w:highlight w:val="none"/>
          <w:lang w:eastAsia="zh-CN"/>
        </w:rPr>
        <w:t>商务技术</w:t>
      </w:r>
      <w:r>
        <w:rPr>
          <w:rFonts w:hint="eastAsia" w:ascii="仿宋" w:hAnsi="仿宋" w:eastAsia="仿宋" w:cs="仿宋"/>
          <w:b/>
          <w:color w:val="auto"/>
          <w:sz w:val="24"/>
          <w:highlight w:val="none"/>
        </w:rPr>
        <w:t>文件资料、报价文件资料描述不一致或前后描述不一致，经评标委员会认定后为无法评审的；</w:t>
      </w:r>
    </w:p>
    <w:p w14:paraId="5829A299">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《技术响应偏离表》不真实填写或弄虚作假的；</w:t>
      </w:r>
    </w:p>
    <w:p w14:paraId="0E032CD2">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投标文件含有采购人不能接受的附加条件；</w:t>
      </w:r>
    </w:p>
    <w:p w14:paraId="4379B22C">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评标委员会认为投标人的报价明显低于其他通过符合性审查投标人的报价，有可能影响产品质量或者不能诚信履约的，未能按要求提供书面说明或者提交相关证明材料证明其报价合理性的;</w:t>
      </w:r>
    </w:p>
    <w:p w14:paraId="0EF783EF">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报价超过招标文件中规定的预算金额或最高限价的；</w:t>
      </w:r>
    </w:p>
    <w:p w14:paraId="686E054B">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投标文件“</w:t>
      </w:r>
      <w:r>
        <w:rPr>
          <w:rFonts w:hint="eastAsia" w:ascii="仿宋" w:hAnsi="仿宋" w:eastAsia="仿宋" w:cs="仿宋"/>
          <w:b/>
          <w:color w:val="auto"/>
          <w:sz w:val="24"/>
          <w:highlight w:val="none"/>
          <w:lang w:eastAsia="zh-CN"/>
        </w:rPr>
        <w:t>商务技术</w:t>
      </w:r>
      <w:r>
        <w:rPr>
          <w:rFonts w:hint="eastAsia" w:ascii="仿宋" w:hAnsi="仿宋" w:eastAsia="仿宋" w:cs="仿宋"/>
          <w:b/>
          <w:color w:val="auto"/>
          <w:sz w:val="24"/>
          <w:highlight w:val="none"/>
        </w:rPr>
        <w:t>文件资料”部分中出现《开标一览表》相关内容的；</w:t>
      </w:r>
    </w:p>
    <w:p w14:paraId="71F69BDB">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w:t>
      </w:r>
    </w:p>
    <w:p w14:paraId="4B6EA959">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《开标一览表》填写不完整或字迹不能辨认或有漏项的，经评标委员会认定属于重大偏差的；</w:t>
      </w:r>
    </w:p>
    <w:p w14:paraId="6D60ADC8">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投标人对根据修正原则修正后的报价不确认的；</w:t>
      </w:r>
    </w:p>
    <w:p w14:paraId="1831C77E">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19</w:t>
      </w:r>
      <w:r>
        <w:rPr>
          <w:rFonts w:hint="eastAsia" w:ascii="仿宋" w:hAnsi="仿宋" w:eastAsia="仿宋" w:cs="仿宋"/>
          <w:b/>
          <w:color w:val="auto"/>
          <w:sz w:val="24"/>
          <w:highlight w:val="none"/>
        </w:rPr>
        <w:t>投标人提供虚假材料投标的（包括但不限于以下情节）；</w:t>
      </w:r>
    </w:p>
    <w:p w14:paraId="15402B6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.1使用伪造、变造的许可证件；</w:t>
      </w:r>
    </w:p>
    <w:p w14:paraId="680DCFD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.2提供虚假的财务状况或者业绩；</w:t>
      </w:r>
    </w:p>
    <w:p w14:paraId="56FEEC2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.3提供虚假的项目负责人或者主要技术人员简历、劳动关系证明；</w:t>
      </w:r>
    </w:p>
    <w:p w14:paraId="4ACFF37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.4提供虚假的信用状况；</w:t>
      </w:r>
    </w:p>
    <w:p w14:paraId="6D262D9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.5其他弄虚作假的行为。</w:t>
      </w:r>
    </w:p>
    <w:p w14:paraId="5A983275">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0</w:t>
      </w:r>
      <w:r>
        <w:rPr>
          <w:rFonts w:hint="eastAsia" w:ascii="仿宋" w:hAnsi="仿宋" w:eastAsia="仿宋" w:cs="仿宋"/>
          <w:b/>
          <w:color w:val="auto"/>
          <w:sz w:val="24"/>
          <w:highlight w:val="none"/>
        </w:rPr>
        <w:t>下列情形之一的，视为投标人串通投标，其投标无效：</w:t>
      </w:r>
    </w:p>
    <w:p w14:paraId="438461E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.1不同投标人的投标文件由同一单位或者个人编制；</w:t>
      </w:r>
    </w:p>
    <w:p w14:paraId="071C729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.2不同投标人委托同一单位或者个人办理投标事宜；</w:t>
      </w:r>
    </w:p>
    <w:p w14:paraId="76F8964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.3不同投标人的投标文件载明的项目管理成员或者联系人员为同一人；</w:t>
      </w:r>
    </w:p>
    <w:p w14:paraId="268B764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.4不同投标人的投标文件异常一致或者投标报价呈规律性差异；</w:t>
      </w:r>
    </w:p>
    <w:p w14:paraId="3F0DA69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.5不同投标人的投标文件相互混装；</w:t>
      </w:r>
    </w:p>
    <w:p w14:paraId="64724BE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.6有二份及二份以上投标文件的相互之间有特别相同或相似之处，且经询标澄清投标人无令人信服的理由和可靠证据证明其合理性的，经评标委员会半数以上成员确认有串通投标嫌疑的；</w:t>
      </w:r>
    </w:p>
    <w:p w14:paraId="090F16D4">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有下列情形之一的，属于恶意串通，其投标无效：</w:t>
      </w:r>
    </w:p>
    <w:p w14:paraId="4B0AA1E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8.21</w:t>
      </w:r>
      <w:r>
        <w:rPr>
          <w:rFonts w:hint="eastAsia" w:ascii="仿宋" w:hAnsi="仿宋" w:eastAsia="仿宋" w:cs="仿宋"/>
          <w:color w:val="auto"/>
          <w:sz w:val="24"/>
          <w:highlight w:val="none"/>
        </w:rPr>
        <w:t>.1供应商直接或者间接从采购人或者采购机构处获得其他供应商的相关情况并修改其投标文件或者响应文件；</w:t>
      </w:r>
    </w:p>
    <w:p w14:paraId="4E35FD0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8.21</w:t>
      </w:r>
      <w:r>
        <w:rPr>
          <w:rFonts w:hint="eastAsia" w:ascii="仿宋" w:hAnsi="仿宋" w:eastAsia="仿宋" w:cs="仿宋"/>
          <w:color w:val="auto"/>
          <w:sz w:val="24"/>
          <w:highlight w:val="none"/>
        </w:rPr>
        <w:t>.2供应商按照采购人或者采购机构的授意撤换、修改投标文件或者响应文件；</w:t>
      </w:r>
    </w:p>
    <w:p w14:paraId="275863C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8.21</w:t>
      </w:r>
      <w:r>
        <w:rPr>
          <w:rFonts w:hint="eastAsia" w:ascii="仿宋" w:hAnsi="仿宋" w:eastAsia="仿宋" w:cs="仿宋"/>
          <w:color w:val="auto"/>
          <w:sz w:val="24"/>
          <w:highlight w:val="none"/>
        </w:rPr>
        <w:t>.3供应商之间协商报价、技术方案等投标文件或者响应文件的实质性内容；</w:t>
      </w:r>
    </w:p>
    <w:p w14:paraId="68CD8FB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8.21</w:t>
      </w:r>
      <w:r>
        <w:rPr>
          <w:rFonts w:hint="eastAsia" w:ascii="仿宋" w:hAnsi="仿宋" w:eastAsia="仿宋" w:cs="仿宋"/>
          <w:color w:val="auto"/>
          <w:sz w:val="24"/>
          <w:highlight w:val="none"/>
        </w:rPr>
        <w:t>.4属于同一集团、协会、商会等组织成员的供应商按照该组织要求协同参加政府采购活动；</w:t>
      </w:r>
    </w:p>
    <w:p w14:paraId="5E42ABB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8.21</w:t>
      </w:r>
      <w:r>
        <w:rPr>
          <w:rFonts w:hint="eastAsia" w:ascii="仿宋" w:hAnsi="仿宋" w:eastAsia="仿宋" w:cs="仿宋"/>
          <w:color w:val="auto"/>
          <w:sz w:val="24"/>
          <w:highlight w:val="none"/>
        </w:rPr>
        <w:t>.5供应商之间事先约定由某一特定供应商中标、成交；</w:t>
      </w:r>
    </w:p>
    <w:p w14:paraId="1847D5F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8.21</w:t>
      </w:r>
      <w:r>
        <w:rPr>
          <w:rFonts w:hint="eastAsia" w:ascii="仿宋" w:hAnsi="仿宋" w:eastAsia="仿宋" w:cs="仿宋"/>
          <w:color w:val="auto"/>
          <w:sz w:val="24"/>
          <w:highlight w:val="none"/>
        </w:rPr>
        <w:t>.6供应商之间商定部分供应商放弃参加政府采购活动或者放弃中标、成交；</w:t>
      </w:r>
    </w:p>
    <w:p w14:paraId="71B3D7A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8.21</w:t>
      </w:r>
      <w:r>
        <w:rPr>
          <w:rFonts w:hint="eastAsia" w:ascii="仿宋" w:hAnsi="仿宋" w:eastAsia="仿宋" w:cs="仿宋"/>
          <w:color w:val="auto"/>
          <w:sz w:val="24"/>
          <w:highlight w:val="none"/>
        </w:rPr>
        <w:t>.7供应商与采购人或者采购机构之间、供应商相互之间，为谋求特定供应商中标、成交或者排斥其他供应商的其他串通行为。</w:t>
      </w:r>
    </w:p>
    <w:p w14:paraId="382DA2AC">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评标委员会认定有重大偏差或实质性不响应招标文件要求的；</w:t>
      </w:r>
    </w:p>
    <w:p w14:paraId="37DB336B">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投标文件出现不是唯一的、有选择性投标报价的；</w:t>
      </w:r>
    </w:p>
    <w:p w14:paraId="7A011C24">
      <w:pPr>
        <w:keepNext w:val="0"/>
        <w:keepLines w:val="0"/>
        <w:pageBreakBefore w:val="0"/>
        <w:widowControl w:val="0"/>
        <w:kinsoku/>
        <w:wordWrap/>
        <w:overflowPunct/>
        <w:topLinePunct w:val="0"/>
        <w:autoSpaceDE/>
        <w:autoSpaceDN/>
        <w:bidi w:val="0"/>
        <w:adjustRightInd w:val="0"/>
        <w:snapToGrid w:val="0"/>
        <w:spacing w:line="46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其他违反法律、法规的情形。</w:t>
      </w:r>
    </w:p>
    <w:p w14:paraId="1E34F2E1">
      <w:pPr>
        <w:keepNext w:val="0"/>
        <w:keepLines w:val="0"/>
        <w:pageBreakBefore w:val="0"/>
        <w:kinsoku/>
        <w:wordWrap/>
        <w:overflowPunct/>
        <w:topLinePunct w:val="0"/>
        <w:autoSpaceDE/>
        <w:autoSpaceDN/>
        <w:bidi w:val="0"/>
        <w:snapToGrid w:val="0"/>
        <w:spacing w:line="460" w:lineRule="exact"/>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 评标过程保密</w:t>
      </w:r>
    </w:p>
    <w:p w14:paraId="79709B4C">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3A3E30A8">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bookmarkEnd w:id="19"/>
    <w:p w14:paraId="0A8BDD55">
      <w:pPr>
        <w:pStyle w:val="34"/>
        <w:keepNext w:val="0"/>
        <w:keepLines w:val="0"/>
        <w:pageBreakBefore w:val="0"/>
        <w:widowControl w:val="0"/>
        <w:kinsoku/>
        <w:wordWrap/>
        <w:overflowPunct/>
        <w:topLinePunct w:val="0"/>
        <w:autoSpaceDE/>
        <w:autoSpaceDN/>
        <w:bidi w:val="0"/>
        <w:adjustRightInd w:val="0"/>
        <w:spacing w:line="460" w:lineRule="exact"/>
        <w:ind w:firstLine="726"/>
        <w:jc w:val="center"/>
        <w:textAlignment w:val="auto"/>
        <w:rPr>
          <w:rFonts w:hint="eastAsia" w:ascii="仿宋" w:hAnsi="仿宋" w:eastAsia="仿宋" w:cs="仿宋"/>
          <w:b/>
          <w:color w:val="auto"/>
          <w:sz w:val="32"/>
          <w:szCs w:val="32"/>
          <w:highlight w:val="none"/>
        </w:rPr>
      </w:pPr>
      <w:bookmarkStart w:id="20" w:name="_Hlt68057669"/>
      <w:bookmarkEnd w:id="20"/>
      <w:bookmarkStart w:id="21" w:name="_Hlt75236290"/>
      <w:bookmarkEnd w:id="21"/>
      <w:bookmarkStart w:id="22" w:name="_Hlt74714665"/>
      <w:bookmarkEnd w:id="22"/>
      <w:bookmarkStart w:id="23" w:name="_Hlt68403820"/>
      <w:bookmarkEnd w:id="23"/>
      <w:bookmarkStart w:id="24" w:name="_Hlt74730295"/>
      <w:bookmarkEnd w:id="24"/>
      <w:bookmarkStart w:id="25" w:name="_Hlt75236101"/>
      <w:bookmarkEnd w:id="25"/>
      <w:bookmarkStart w:id="26" w:name="_Hlt74729768"/>
      <w:bookmarkEnd w:id="26"/>
      <w:bookmarkStart w:id="27" w:name="_Hlt74707468"/>
      <w:bookmarkEnd w:id="27"/>
      <w:bookmarkStart w:id="28" w:name="_Hlt68072990"/>
      <w:bookmarkEnd w:id="28"/>
      <w:bookmarkStart w:id="29" w:name="_Hlt68073093"/>
      <w:bookmarkEnd w:id="29"/>
      <w:bookmarkStart w:id="30" w:name="_Hlt75236011"/>
      <w:bookmarkEnd w:id="30"/>
      <w:bookmarkStart w:id="31" w:name="_Hlt68072998"/>
      <w:bookmarkEnd w:id="31"/>
      <w:bookmarkStart w:id="32" w:name="_Toc84325929"/>
      <w:bookmarkStart w:id="33" w:name="_Toc81372953"/>
      <w:bookmarkStart w:id="34" w:name="_Toc81372776"/>
      <w:r>
        <w:rPr>
          <w:rFonts w:hint="eastAsia" w:ascii="仿宋" w:hAnsi="仿宋" w:eastAsia="仿宋" w:cs="仿宋"/>
          <w:b/>
          <w:color w:val="auto"/>
          <w:sz w:val="32"/>
          <w:szCs w:val="32"/>
          <w:highlight w:val="none"/>
        </w:rPr>
        <w:t>五、授予合同</w:t>
      </w:r>
    </w:p>
    <w:bookmarkEnd w:id="32"/>
    <w:bookmarkEnd w:id="33"/>
    <w:bookmarkEnd w:id="34"/>
    <w:p w14:paraId="2FD197EF">
      <w:pPr>
        <w:pStyle w:val="17"/>
        <w:keepNext w:val="0"/>
        <w:keepLines w:val="0"/>
        <w:pageBreakBefore w:val="0"/>
        <w:tabs>
          <w:tab w:val="clear" w:pos="390"/>
          <w:tab w:val="clear" w:pos="454"/>
        </w:tabs>
        <w:kinsoku/>
        <w:wordWrap/>
        <w:overflowPunct/>
        <w:topLinePunct w:val="0"/>
        <w:autoSpaceDE/>
        <w:autoSpaceDN/>
        <w:bidi w:val="0"/>
        <w:snapToGrid/>
        <w:spacing w:after="0" w:afterLines="0" w:line="460" w:lineRule="exact"/>
        <w:ind w:left="0" w:firstLine="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3EE3B6FF">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1C11C059">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0CD4C8F9">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58F5BD73">
      <w:pPr>
        <w:keepNext w:val="0"/>
        <w:keepLines w:val="0"/>
        <w:pageBreakBefore w:val="0"/>
        <w:widowControl w:val="0"/>
        <w:tabs>
          <w:tab w:val="left" w:pos="7770"/>
        </w:tabs>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1.4投标人能够提供质量技术、商务经济占综合优势的系统及服务</w:t>
      </w:r>
      <w:r>
        <w:rPr>
          <w:rFonts w:hint="eastAsia" w:ascii="仿宋" w:hAnsi="仿宋" w:eastAsia="仿宋" w:cs="仿宋"/>
          <w:color w:val="auto"/>
          <w:sz w:val="24"/>
          <w:highlight w:val="none"/>
          <w:lang w:eastAsia="zh-CN"/>
        </w:rPr>
        <w:t>；</w:t>
      </w:r>
    </w:p>
    <w:p w14:paraId="59D2AD96">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562BCBE1">
      <w:pPr>
        <w:keepNext w:val="0"/>
        <w:keepLines w:val="0"/>
        <w:pageBreakBefore w:val="0"/>
        <w:kinsoku/>
        <w:wordWrap/>
        <w:overflowPunct/>
        <w:topLinePunct w:val="0"/>
        <w:autoSpaceDE/>
        <w:autoSpaceDN/>
        <w:bidi w:val="0"/>
        <w:snapToGrid/>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344D24BC">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5DC6E5A8">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6634A2C2">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32544B30">
      <w:pPr>
        <w:keepNext w:val="0"/>
        <w:keepLines w:val="0"/>
        <w:pageBreakBefore w:val="0"/>
        <w:kinsoku/>
        <w:wordWrap/>
        <w:overflowPunct/>
        <w:topLinePunct w:val="0"/>
        <w:autoSpaceDE/>
        <w:autoSpaceDN/>
        <w:bidi w:val="0"/>
        <w:snapToGrid/>
        <w:spacing w:line="46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2F17C3BA">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，中标公告期限为1个工作日。</w:t>
      </w:r>
    </w:p>
    <w:p w14:paraId="6545E97C">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0A66F155">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3491796D">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50AF5157">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4.1中标人在合同签订后7日内缴纳合同总金额1%的履约保证金。</w:t>
      </w:r>
    </w:p>
    <w:p w14:paraId="63F747E2">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4.2履约保证金以支票、汇票、本票或者金融机构、保险公司、担保机构出具的保函/保险等非现金形式提交。</w:t>
      </w:r>
    </w:p>
    <w:p w14:paraId="4D251651">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4.3履约保证金的退回：在履约期满后无息退还履约保证金。</w:t>
      </w:r>
    </w:p>
    <w:p w14:paraId="225AC0AE">
      <w:pPr>
        <w:keepNext w:val="0"/>
        <w:keepLines w:val="0"/>
        <w:pageBreakBefore w:val="0"/>
        <w:kinsoku/>
        <w:wordWrap/>
        <w:overflowPunct/>
        <w:topLinePunct w:val="0"/>
        <w:autoSpaceDE/>
        <w:autoSpaceDN/>
        <w:bidi w:val="0"/>
        <w:adjustRightInd w:val="0"/>
        <w:spacing w:line="46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w:t>
      </w:r>
    </w:p>
    <w:p w14:paraId="6D7278D1">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5.1中标人应当在中标通知书发出之日起30天内与采购人签订合同（如中标人为联合体的，由联合体成员各方法定代表人或其授权代表与招标人代表签订合同）。</w:t>
      </w:r>
    </w:p>
    <w:p w14:paraId="659807F8">
      <w:pPr>
        <w:keepNext w:val="0"/>
        <w:keepLines w:val="0"/>
        <w:pageBreakBefore w:val="0"/>
        <w:kinsoku/>
        <w:wordWrap/>
        <w:overflowPunct/>
        <w:topLinePunct w:val="0"/>
        <w:autoSpaceDE/>
        <w:autoSpaceDN/>
        <w:bidi w:val="0"/>
        <w:adjustRightInd w:val="0"/>
        <w:spacing w:line="46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46464122">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8C1B72C">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42FDD252">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7906FF14">
      <w:pPr>
        <w:keepNext w:val="0"/>
        <w:keepLines w:val="0"/>
        <w:pageBreakBefore w:val="0"/>
        <w:kinsoku/>
        <w:wordWrap/>
        <w:overflowPunct/>
        <w:topLinePunct w:val="0"/>
        <w:autoSpaceDE/>
        <w:autoSpaceDN/>
        <w:bidi w:val="0"/>
        <w:adjustRightInd w:val="0"/>
        <w:spacing w:line="46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7BA03B7E">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w:t>
      </w:r>
      <w:r>
        <w:rPr>
          <w:rFonts w:hint="eastAsia" w:ascii="仿宋" w:hAnsi="仿宋" w:eastAsia="仿宋" w:cs="仿宋"/>
          <w:color w:val="auto"/>
          <w:sz w:val="24"/>
          <w:highlight w:val="none"/>
          <w:lang w:eastAsia="zh-CN"/>
        </w:rPr>
        <w:t>商务技术</w:t>
      </w:r>
      <w:r>
        <w:rPr>
          <w:rFonts w:hint="eastAsia" w:ascii="仿宋" w:hAnsi="仿宋" w:eastAsia="仿宋" w:cs="仿宋"/>
          <w:color w:val="auto"/>
          <w:sz w:val="24"/>
          <w:highlight w:val="none"/>
        </w:rPr>
        <w:t>文件规定的，一经查实，由政府采购监督管理部门给予相应处罚。</w:t>
      </w:r>
    </w:p>
    <w:p w14:paraId="04E25A7B">
      <w:pPr>
        <w:keepNext w:val="0"/>
        <w:keepLines w:val="0"/>
        <w:pageBreakBefore w:val="0"/>
        <w:kinsoku/>
        <w:wordWrap/>
        <w:overflowPunct/>
        <w:topLinePunct w:val="0"/>
        <w:bidi w:val="0"/>
        <w:adjustRightInd/>
        <w:spacing w:line="460" w:lineRule="exact"/>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14:paraId="32D50812">
      <w:pPr>
        <w:keepNext w:val="0"/>
        <w:keepLines w:val="0"/>
        <w:pageBreakBefore w:val="0"/>
        <w:kinsoku/>
        <w:wordWrap/>
        <w:overflowPunct/>
        <w:topLinePunct w:val="0"/>
        <w:bidi w:val="0"/>
        <w:adjustRightInd w:val="0"/>
        <w:spacing w:line="460" w:lineRule="exact"/>
        <w:jc w:val="both"/>
        <w:textAlignment w:val="auto"/>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14:paraId="7CAC6447">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AE610B1">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color w:val="auto"/>
        </w:rPr>
      </w:pPr>
      <w:r>
        <w:rPr>
          <w:rFonts w:hint="eastAsia" w:ascii="仿宋" w:hAnsi="仿宋" w:eastAsia="仿宋" w:cs="仿宋"/>
          <w:b w:val="0"/>
          <w:bCs w:val="0"/>
          <w:i w:val="0"/>
          <w:iCs w:val="0"/>
          <w:color w:val="auto"/>
          <w:kern w:val="2"/>
          <w:sz w:val="24"/>
          <w:szCs w:val="20"/>
          <w:highlight w:val="none"/>
          <w:vertAlign w:val="baseline"/>
          <w:lang w:val="en-US" w:eastAsia="zh-CN" w:bidi="ar-SA"/>
        </w:rPr>
        <w:t>以联合体形式参加政府采购活动的，其询问、质疑、投诉应当由组成联合体的所有供应商共同提出。</w:t>
      </w:r>
    </w:p>
    <w:p w14:paraId="12EE725E">
      <w:pPr>
        <w:keepNext w:val="0"/>
        <w:keepLines w:val="0"/>
        <w:pageBreakBefore w:val="0"/>
        <w:kinsoku/>
        <w:wordWrap/>
        <w:overflowPunct/>
        <w:topLinePunct w:val="0"/>
        <w:bidi w:val="0"/>
        <w:adjustRightInd w:val="0"/>
        <w:spacing w:line="460" w:lineRule="exact"/>
        <w:jc w:val="both"/>
        <w:textAlignment w:val="auto"/>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2. 供应商询问</w:t>
      </w:r>
    </w:p>
    <w:p w14:paraId="1E670BB5">
      <w:pPr>
        <w:keepNext w:val="0"/>
        <w:keepLines w:val="0"/>
        <w:pageBreakBefore w:val="0"/>
        <w:kinsoku/>
        <w:wordWrap/>
        <w:overflowPunct/>
        <w:topLinePunct w:val="0"/>
        <w:autoSpaceDE w:val="0"/>
        <w:autoSpaceDN w:val="0"/>
        <w:bidi w:val="0"/>
        <w:adjustRightInd w:val="0"/>
        <w:spacing w:line="460" w:lineRule="exact"/>
        <w:ind w:firstLine="480" w:firstLineChars="200"/>
        <w:jc w:val="left"/>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5364AD9">
      <w:pPr>
        <w:keepNext w:val="0"/>
        <w:keepLines w:val="0"/>
        <w:pageBreakBefore w:val="0"/>
        <w:kinsoku/>
        <w:wordWrap/>
        <w:overflowPunct/>
        <w:topLinePunct w:val="0"/>
        <w:bidi w:val="0"/>
        <w:adjustRightInd w:val="0"/>
        <w:spacing w:line="460" w:lineRule="exact"/>
        <w:jc w:val="both"/>
        <w:textAlignment w:val="auto"/>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3. 供应商质疑</w:t>
      </w:r>
    </w:p>
    <w:p w14:paraId="330DE2BA">
      <w:pPr>
        <w:keepNext w:val="0"/>
        <w:keepLines w:val="0"/>
        <w:pageBreakBefore w:val="0"/>
        <w:kinsoku/>
        <w:wordWrap/>
        <w:overflowPunct/>
        <w:topLinePunct w:val="0"/>
        <w:bidi w:val="0"/>
        <w:adjustRightInd w:val="0"/>
        <w:spacing w:line="460" w:lineRule="exact"/>
        <w:ind w:firstLine="482"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14:paraId="79297F3C">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69FFCCAE">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D685F71">
      <w:pPr>
        <w:keepNext w:val="0"/>
        <w:keepLines w:val="0"/>
        <w:pageBreakBefore w:val="0"/>
        <w:widowControl/>
        <w:kinsoku/>
        <w:wordWrap/>
        <w:overflowPunct/>
        <w:topLinePunct w:val="0"/>
        <w:bidi w:val="0"/>
        <w:adjustRightInd w:val="0"/>
        <w:snapToGrid w:val="0"/>
        <w:spacing w:line="460" w:lineRule="exact"/>
        <w:ind w:firstLine="434" w:firstLineChars="181"/>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7B6A96E1">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0164361C">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ADB48DF">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00867DBB">
      <w:pPr>
        <w:keepNext w:val="0"/>
        <w:keepLines w:val="0"/>
        <w:pageBreakBefore w:val="0"/>
        <w:kinsoku/>
        <w:wordWrap/>
        <w:overflowPunct/>
        <w:topLinePunct w:val="0"/>
        <w:bidi w:val="0"/>
        <w:adjustRightInd w:val="0"/>
        <w:spacing w:line="460" w:lineRule="exact"/>
        <w:ind w:firstLine="482"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14:paraId="27E18D56">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13583D04">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0EDE7EB9">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5CCF3A72">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5B126286">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14:paraId="5CAE3A85">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14:paraId="34A98500">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14:paraId="0594FF03">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2C652E4C">
      <w:pPr>
        <w:keepNext w:val="0"/>
        <w:keepLines w:val="0"/>
        <w:pageBreakBefore w:val="0"/>
        <w:kinsoku/>
        <w:wordWrap/>
        <w:overflowPunct/>
        <w:topLinePunct w:val="0"/>
        <w:bidi w:val="0"/>
        <w:adjustRightInd w:val="0"/>
        <w:spacing w:line="460" w:lineRule="exact"/>
        <w:ind w:firstLine="482"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16D9D806">
      <w:pPr>
        <w:keepNext w:val="0"/>
        <w:keepLines w:val="0"/>
        <w:pageBreakBefore w:val="0"/>
        <w:kinsoku/>
        <w:wordWrap/>
        <w:overflowPunct/>
        <w:topLinePunct w:val="0"/>
        <w:bidi w:val="0"/>
        <w:adjustRightInd w:val="0"/>
        <w:spacing w:line="460" w:lineRule="exact"/>
        <w:jc w:val="both"/>
        <w:textAlignment w:val="auto"/>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14:paraId="09223D1C">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4BF83FED">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27DAEB03">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52282443">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3187441A">
      <w:pPr>
        <w:keepNext w:val="0"/>
        <w:keepLines w:val="0"/>
        <w:pageBreakBefore w:val="0"/>
        <w:widowControl w:val="0"/>
        <w:kinsoku/>
        <w:wordWrap/>
        <w:overflowPunct/>
        <w:topLinePunct w:val="0"/>
        <w:autoSpaceDE/>
        <w:autoSpaceDN/>
        <w:bidi w:val="0"/>
        <w:adjustRightInd w:val="0"/>
        <w:snapToGrid w:val="0"/>
        <w:spacing w:line="460" w:lineRule="exact"/>
        <w:ind w:firstLine="482" w:firstLineChars="200"/>
        <w:jc w:val="left"/>
        <w:textAlignment w:val="auto"/>
        <w:outlineLvl w:val="0"/>
        <w:rPr>
          <w:rFonts w:hint="eastAsia" w:ascii="仿宋" w:hAnsi="仿宋" w:eastAsia="仿宋" w:cs="仿宋"/>
          <w:b/>
          <w:bCs/>
          <w:i w:val="0"/>
          <w:iCs w:val="0"/>
          <w:color w:val="auto"/>
          <w:kern w:val="2"/>
          <w:sz w:val="24"/>
          <w:szCs w:val="20"/>
          <w:highlight w:val="none"/>
          <w:vertAlign w:val="baseline"/>
          <w:lang w:val="en-US" w:eastAsia="zh-CN" w:bidi="ar-SA"/>
        </w:rPr>
      </w:pPr>
      <w:r>
        <w:rPr>
          <w:rFonts w:hint="eastAsia"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2332E9E9">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5C8DDB37">
      <w:pPr>
        <w:pStyle w:val="262"/>
        <w:numPr>
          <w:ilvl w:val="0"/>
          <w:numId w:val="0"/>
        </w:numPr>
        <w:autoSpaceDE w:val="0"/>
        <w:spacing w:line="560" w:lineRule="exact"/>
        <w:ind w:left="0" w:leftChars="0" w:firstLine="0" w:firstLineChars="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bookmarkEnd w:id="17"/>
    <w:bookmarkEnd w:id="18"/>
    <w:p w14:paraId="3E37FE4C">
      <w:pPr>
        <w:keepNext w:val="0"/>
        <w:keepLines w:val="0"/>
        <w:pageBreakBefore w:val="0"/>
        <w:widowControl/>
        <w:kinsoku/>
        <w:wordWrap/>
        <w:overflowPunct/>
        <w:topLinePunct w:val="0"/>
        <w:autoSpaceDE/>
        <w:autoSpaceDN/>
        <w:bidi w:val="0"/>
        <w:adjustRightInd w:val="0"/>
        <w:snapToGrid w:val="0"/>
        <w:spacing w:after="0" w:line="360" w:lineRule="auto"/>
        <w:ind w:firstLine="482" w:firstLineChars="200"/>
        <w:textAlignment w:val="auto"/>
        <w:rPr>
          <w:rFonts w:hint="eastAsia" w:ascii="仿宋" w:hAnsi="仿宋" w:eastAsia="仿宋" w:cs="仿宋"/>
          <w:b/>
          <w:bCs/>
          <w:color w:val="auto"/>
          <w:sz w:val="24"/>
          <w:szCs w:val="24"/>
          <w:highlight w:val="none"/>
          <w:lang w:val="en-US" w:eastAsia="zh-CN"/>
        </w:rPr>
      </w:pPr>
      <w:bookmarkStart w:id="35" w:name="_Toc114052559"/>
      <w:bookmarkStart w:id="36" w:name="第五部分"/>
      <w:bookmarkStart w:id="37" w:name="_Toc86217003"/>
    </w:p>
    <w:p w14:paraId="64EB0E90">
      <w:pPr>
        <w:keepNext w:val="0"/>
        <w:keepLines w:val="0"/>
        <w:pageBreakBefore w:val="0"/>
        <w:widowControl/>
        <w:kinsoku/>
        <w:wordWrap/>
        <w:overflowPunct/>
        <w:topLinePunct w:val="0"/>
        <w:autoSpaceDE/>
        <w:autoSpaceDN/>
        <w:bidi w:val="0"/>
        <w:adjustRightInd w:val="0"/>
        <w:snapToGrid w:val="0"/>
        <w:spacing w:after="0" w:line="360" w:lineRule="auto"/>
        <w:ind w:firstLine="482" w:firstLineChars="200"/>
        <w:textAlignment w:val="auto"/>
        <w:rPr>
          <w:rFonts w:hint="default" w:eastAsia="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一、项目背景</w:t>
      </w:r>
    </w:p>
    <w:p w14:paraId="422DCB84">
      <w:pPr>
        <w:keepNext w:val="0"/>
        <w:keepLines w:val="0"/>
        <w:pageBreakBefore w:val="0"/>
        <w:kinsoku/>
        <w:wordWrap/>
        <w:overflowPunct/>
        <w:topLinePunct w:val="0"/>
        <w:bidi w:val="0"/>
        <w:adjustRightInd w:val="0"/>
        <w:spacing w:line="460" w:lineRule="exact"/>
        <w:ind w:firstLine="480" w:firstLineChars="200"/>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auto"/>
          <w:kern w:val="2"/>
          <w:sz w:val="24"/>
          <w:szCs w:val="20"/>
          <w:highlight w:val="none"/>
          <w:vertAlign w:val="baseline"/>
          <w:lang w:val="en-US" w:eastAsia="zh-CN" w:bidi="ar-SA"/>
        </w:rPr>
        <w:t>为满足老年人基本生活需求，保障老年人安全，营造尊老敬老的社会氛围，促进和谐与稳定，实施衢州市柯城区白云街道社区居家养老服务照料中心建设项目。</w:t>
      </w:r>
    </w:p>
    <w:p w14:paraId="2B038655">
      <w:pPr>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color w:val="auto"/>
          <w:sz w:val="24"/>
          <w:szCs w:val="24"/>
          <w:highlight w:val="none"/>
          <w:lang w:val="en-US" w:eastAsia="zh-CN"/>
        </w:rPr>
      </w:pPr>
    </w:p>
    <w:p w14:paraId="2965C07B">
      <w:pPr>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b/>
          <w:bCs/>
          <w:color w:val="auto"/>
          <w:sz w:val="24"/>
          <w:szCs w:val="24"/>
          <w:highlight w:val="none"/>
          <w:lang w:val="en-US" w:eastAsia="zh-CN"/>
        </w:rPr>
        <w:t>、项目清单内容</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543"/>
        <w:gridCol w:w="1110"/>
        <w:gridCol w:w="4110"/>
        <w:gridCol w:w="640"/>
        <w:gridCol w:w="936"/>
        <w:gridCol w:w="1835"/>
      </w:tblGrid>
      <w:tr w14:paraId="61267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69EE58C7">
            <w:pPr>
              <w:keepNext w:val="0"/>
              <w:keepLines w:val="0"/>
              <w:widowControl/>
              <w:suppressLineNumbers w:val="0"/>
              <w:jc w:val="center"/>
              <w:textAlignment w:val="center"/>
              <w:rPr>
                <w:rFonts w:hint="eastAsia" w:ascii="仿宋" w:hAnsi="仿宋" w:eastAsia="仿宋" w:cs="仿宋"/>
                <w:b/>
                <w:bCs/>
                <w:color w:val="auto"/>
                <w:kern w:val="0"/>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bidi="ar-SA"/>
              </w:rPr>
              <w:t>序号</w:t>
            </w:r>
          </w:p>
        </w:tc>
        <w:tc>
          <w:tcPr>
            <w:tcW w:w="1110" w:type="dxa"/>
            <w:shd w:val="clear" w:color="auto" w:fill="auto"/>
            <w:vAlign w:val="center"/>
          </w:tcPr>
          <w:p w14:paraId="35ADAAFF">
            <w:pPr>
              <w:keepNext w:val="0"/>
              <w:keepLines w:val="0"/>
              <w:widowControl/>
              <w:suppressLineNumbers w:val="0"/>
              <w:jc w:val="center"/>
              <w:textAlignment w:val="center"/>
              <w:rPr>
                <w:rFonts w:hint="eastAsia" w:ascii="仿宋" w:hAnsi="仿宋" w:eastAsia="仿宋" w:cs="仿宋"/>
                <w:b/>
                <w:bCs/>
                <w:color w:val="auto"/>
                <w:kern w:val="0"/>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bidi="ar-SA"/>
              </w:rPr>
              <w:t>名称</w:t>
            </w:r>
          </w:p>
        </w:tc>
        <w:tc>
          <w:tcPr>
            <w:tcW w:w="4110" w:type="dxa"/>
            <w:shd w:val="clear" w:color="auto" w:fill="auto"/>
            <w:vAlign w:val="center"/>
          </w:tcPr>
          <w:p w14:paraId="2B3BB29E">
            <w:pPr>
              <w:keepNext w:val="0"/>
              <w:keepLines w:val="0"/>
              <w:widowControl/>
              <w:suppressLineNumbers w:val="0"/>
              <w:jc w:val="center"/>
              <w:textAlignment w:val="center"/>
              <w:rPr>
                <w:rFonts w:hint="default" w:ascii="仿宋" w:hAnsi="仿宋" w:eastAsia="仿宋" w:cs="仿宋"/>
                <w:b/>
                <w:bCs/>
                <w:color w:val="auto"/>
                <w:kern w:val="0"/>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bidi="ar-SA"/>
              </w:rPr>
              <w:t>规格及参数</w:t>
            </w:r>
          </w:p>
        </w:tc>
        <w:tc>
          <w:tcPr>
            <w:tcW w:w="640" w:type="dxa"/>
            <w:shd w:val="clear" w:color="auto" w:fill="auto"/>
            <w:vAlign w:val="center"/>
          </w:tcPr>
          <w:p w14:paraId="492570AC">
            <w:pPr>
              <w:keepNext w:val="0"/>
              <w:keepLines w:val="0"/>
              <w:widowControl/>
              <w:suppressLineNumbers w:val="0"/>
              <w:jc w:val="center"/>
              <w:textAlignment w:val="center"/>
              <w:rPr>
                <w:rFonts w:hint="eastAsia" w:ascii="仿宋" w:hAnsi="仿宋" w:eastAsia="仿宋" w:cs="仿宋"/>
                <w:b/>
                <w:bCs/>
                <w:color w:val="auto"/>
                <w:kern w:val="0"/>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bidi="ar-SA"/>
              </w:rPr>
              <w:t>计量</w:t>
            </w:r>
          </w:p>
          <w:p w14:paraId="425C5B84">
            <w:pPr>
              <w:keepNext w:val="0"/>
              <w:keepLines w:val="0"/>
              <w:widowControl/>
              <w:suppressLineNumbers w:val="0"/>
              <w:jc w:val="center"/>
              <w:textAlignment w:val="center"/>
              <w:rPr>
                <w:rFonts w:hint="eastAsia" w:ascii="仿宋" w:hAnsi="仿宋" w:eastAsia="仿宋" w:cs="仿宋"/>
                <w:b/>
                <w:bCs/>
                <w:color w:val="auto"/>
                <w:kern w:val="0"/>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bidi="ar-SA"/>
              </w:rPr>
              <w:t>单位</w:t>
            </w:r>
          </w:p>
        </w:tc>
        <w:tc>
          <w:tcPr>
            <w:tcW w:w="936" w:type="dxa"/>
            <w:shd w:val="clear" w:color="auto" w:fill="auto"/>
            <w:vAlign w:val="center"/>
          </w:tcPr>
          <w:p w14:paraId="77861DD1">
            <w:pPr>
              <w:keepNext w:val="0"/>
              <w:keepLines w:val="0"/>
              <w:widowControl/>
              <w:suppressLineNumbers w:val="0"/>
              <w:jc w:val="center"/>
              <w:textAlignment w:val="center"/>
              <w:rPr>
                <w:rFonts w:hint="eastAsia" w:ascii="仿宋" w:hAnsi="仿宋" w:eastAsia="仿宋" w:cs="仿宋"/>
                <w:b/>
                <w:bCs/>
                <w:color w:val="auto"/>
                <w:kern w:val="0"/>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bidi="ar-SA"/>
              </w:rPr>
              <w:t>工程量</w:t>
            </w:r>
          </w:p>
        </w:tc>
        <w:tc>
          <w:tcPr>
            <w:tcW w:w="1835" w:type="dxa"/>
            <w:shd w:val="clear" w:color="auto" w:fill="auto"/>
            <w:vAlign w:val="center"/>
          </w:tcPr>
          <w:p w14:paraId="42F23364">
            <w:pPr>
              <w:keepNext w:val="0"/>
              <w:keepLines w:val="0"/>
              <w:widowControl/>
              <w:suppressLineNumbers w:val="0"/>
              <w:jc w:val="center"/>
              <w:textAlignment w:val="center"/>
              <w:rPr>
                <w:rFonts w:hint="eastAsia" w:ascii="仿宋" w:hAnsi="仿宋" w:eastAsia="仿宋" w:cs="仿宋"/>
                <w:b/>
                <w:bCs/>
                <w:color w:val="auto"/>
                <w:kern w:val="0"/>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bidi="ar-SA"/>
              </w:rPr>
              <w:t>参考图片</w:t>
            </w:r>
          </w:p>
        </w:tc>
      </w:tr>
      <w:tr w14:paraId="61BD8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33CB91F7">
            <w:pPr>
              <w:pStyle w:val="60"/>
              <w:jc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w:t>
            </w:r>
          </w:p>
        </w:tc>
        <w:tc>
          <w:tcPr>
            <w:tcW w:w="1110" w:type="dxa"/>
            <w:shd w:val="clear" w:color="auto" w:fill="auto"/>
            <w:vAlign w:val="center"/>
          </w:tcPr>
          <w:p w14:paraId="0BB3846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i w:val="0"/>
                <w:iCs w:val="0"/>
                <w:color w:val="auto"/>
                <w:kern w:val="0"/>
                <w:sz w:val="21"/>
                <w:szCs w:val="21"/>
                <w:highlight w:val="none"/>
                <w:u w:val="none"/>
                <w:lang w:val="en-US" w:eastAsia="zh-CN" w:bidi="ar"/>
              </w:rPr>
              <w:t>适老化活动桌子</w:t>
            </w:r>
          </w:p>
        </w:tc>
        <w:tc>
          <w:tcPr>
            <w:tcW w:w="4110" w:type="dxa"/>
            <w:shd w:val="clear" w:color="auto" w:fill="auto"/>
            <w:vAlign w:val="center"/>
          </w:tcPr>
          <w:p w14:paraId="1252DCB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 xml:space="preserve">1.尺寸：长120cm宽60cm高75cm </w:t>
            </w:r>
          </w:p>
          <w:p w14:paraId="2B6570B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2.面材：优质耐磨三聚氰胺浸渍饰面，覆面拼贴严密、平整、无脱胶、鼓泡，无裂纹、压痕和划伤；</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3.基材：三聚氰胺板通过GB 18580-2017《室内装饰装修材料 人造板及其制品中甲醛释放限量》、GB/T 15102-2017《浸渍胶膜饰面纤维板和刨花板》、HJ 571-2010《环境标志产品认证技术要求 人造板及其制品》标准；</w:t>
            </w:r>
          </w:p>
          <w:p w14:paraId="6390474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i w:val="0"/>
                <w:iCs w:val="0"/>
                <w:color w:val="auto"/>
                <w:kern w:val="0"/>
                <w:sz w:val="21"/>
                <w:szCs w:val="21"/>
                <w:highlight w:val="none"/>
                <w:u w:val="none"/>
                <w:lang w:val="en-US" w:eastAsia="zh-CN" w:bidi="ar"/>
              </w:rPr>
              <w:t>4.封边：优质同色加厚PVC封边条。</w:t>
            </w:r>
          </w:p>
        </w:tc>
        <w:tc>
          <w:tcPr>
            <w:tcW w:w="640" w:type="dxa"/>
            <w:shd w:val="clear" w:color="auto" w:fill="auto"/>
            <w:vAlign w:val="center"/>
          </w:tcPr>
          <w:p w14:paraId="4EBDA08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3BDE11C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i w:val="0"/>
                <w:iCs w:val="0"/>
                <w:color w:val="auto"/>
                <w:kern w:val="0"/>
                <w:sz w:val="21"/>
                <w:szCs w:val="21"/>
                <w:highlight w:val="none"/>
                <w:u w:val="none"/>
                <w:lang w:val="en-US" w:eastAsia="zh-CN" w:bidi="ar"/>
              </w:rPr>
              <w:t>34</w:t>
            </w:r>
          </w:p>
        </w:tc>
        <w:tc>
          <w:tcPr>
            <w:tcW w:w="1835" w:type="dxa"/>
            <w:shd w:val="clear" w:color="auto" w:fill="auto"/>
          </w:tcPr>
          <w:p w14:paraId="1E8747C6">
            <w:pPr>
              <w:pStyle w:val="60"/>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i w:val="0"/>
                <w:iCs w:val="0"/>
                <w:color w:val="auto"/>
                <w:kern w:val="0"/>
                <w:sz w:val="24"/>
                <w:szCs w:val="24"/>
                <w:highlight w:val="none"/>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-8890</wp:posOffset>
                  </wp:positionH>
                  <wp:positionV relativeFrom="paragraph">
                    <wp:posOffset>480695</wp:posOffset>
                  </wp:positionV>
                  <wp:extent cx="1092200" cy="1111250"/>
                  <wp:effectExtent l="0" t="0" r="0" b="0"/>
                  <wp:wrapNone/>
                  <wp:docPr id="59" name="图片_1"/>
                  <wp:cNvGraphicFramePr/>
                  <a:graphic xmlns:a="http://schemas.openxmlformats.org/drawingml/2006/main">
                    <a:graphicData uri="http://schemas.openxmlformats.org/drawingml/2006/picture">
                      <pic:pic xmlns:pic="http://schemas.openxmlformats.org/drawingml/2006/picture">
                        <pic:nvPicPr>
                          <pic:cNvPr id="59" name="图片_1"/>
                          <pic:cNvPicPr/>
                        </pic:nvPicPr>
                        <pic:blipFill>
                          <a:blip r:embed="rId15"/>
                          <a:srcRect r="3479" b="12935"/>
                          <a:stretch>
                            <a:fillRect/>
                          </a:stretch>
                        </pic:blipFill>
                        <pic:spPr>
                          <a:xfrm>
                            <a:off x="0" y="0"/>
                            <a:ext cx="1092200" cy="1111250"/>
                          </a:xfrm>
                          <a:prstGeom prst="rect">
                            <a:avLst/>
                          </a:prstGeom>
                          <a:noFill/>
                          <a:ln>
                            <a:noFill/>
                          </a:ln>
                        </pic:spPr>
                      </pic:pic>
                    </a:graphicData>
                  </a:graphic>
                </wp:anchor>
              </w:drawing>
            </w:r>
          </w:p>
        </w:tc>
      </w:tr>
      <w:tr w14:paraId="33F39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62DBACE6">
            <w:pPr>
              <w:pStyle w:val="60"/>
              <w:jc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w:t>
            </w:r>
          </w:p>
        </w:tc>
        <w:tc>
          <w:tcPr>
            <w:tcW w:w="1110" w:type="dxa"/>
            <w:shd w:val="clear" w:color="auto" w:fill="auto"/>
            <w:vAlign w:val="center"/>
          </w:tcPr>
          <w:p w14:paraId="12B1A94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适老化椅子</w:t>
            </w:r>
          </w:p>
        </w:tc>
        <w:tc>
          <w:tcPr>
            <w:tcW w:w="4110" w:type="dxa"/>
            <w:shd w:val="clear" w:color="auto" w:fill="auto"/>
            <w:vAlign w:val="center"/>
          </w:tcPr>
          <w:p w14:paraId="614EF155">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 xml:space="preserve">1.尺寸：57*52*88cm；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color w:val="auto"/>
                <w:highlight w:val="none"/>
              </w:rPr>
              <w:drawing>
                <wp:anchor distT="0" distB="0" distL="114300" distR="114300" simplePos="0" relativeHeight="251662336" behindDoc="0" locked="0" layoutInCell="1" allowOverlap="1">
                  <wp:simplePos x="0" y="0"/>
                  <wp:positionH relativeFrom="column">
                    <wp:posOffset>3711575</wp:posOffset>
                  </wp:positionH>
                  <wp:positionV relativeFrom="paragraph">
                    <wp:posOffset>66675</wp:posOffset>
                  </wp:positionV>
                  <wp:extent cx="708660" cy="809625"/>
                  <wp:effectExtent l="0" t="0" r="15240" b="952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6"/>
                          <a:stretch>
                            <a:fillRect/>
                          </a:stretch>
                        </pic:blipFill>
                        <pic:spPr>
                          <a:xfrm>
                            <a:off x="0" y="0"/>
                            <a:ext cx="708660" cy="809625"/>
                          </a:xfrm>
                          <a:prstGeom prst="rect">
                            <a:avLst/>
                          </a:prstGeom>
                          <a:noFill/>
                          <a:ln>
                            <a:noFill/>
                          </a:ln>
                        </pic:spPr>
                      </pic:pic>
                    </a:graphicData>
                  </a:graphic>
                </wp:anchor>
              </w:drawing>
            </w:r>
            <w:r>
              <w:rPr>
                <w:rFonts w:hint="eastAsia" w:ascii="仿宋" w:hAnsi="仿宋" w:eastAsia="仿宋" w:cs="仿宋"/>
                <w:i w:val="0"/>
                <w:iCs w:val="0"/>
                <w:color w:val="auto"/>
                <w:kern w:val="0"/>
                <w:sz w:val="21"/>
                <w:szCs w:val="21"/>
                <w:highlight w:val="none"/>
                <w:u w:val="none"/>
                <w:lang w:val="en-US" w:eastAsia="zh-CN" w:bidi="ar"/>
              </w:rPr>
              <w:t xml:space="preserve">2.材料：采用曲木支架，高频热压、经防潮、 防腐、防虫化学处理；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3.品牌环保油漆：底漆面漆均采用环保油漆，健康环保；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4.品牌高回弹海绵，柔软舒适有支撑力，采用优质布纹皮。</w:t>
            </w:r>
          </w:p>
        </w:tc>
        <w:tc>
          <w:tcPr>
            <w:tcW w:w="640" w:type="dxa"/>
            <w:shd w:val="clear" w:color="auto" w:fill="auto"/>
            <w:vAlign w:val="center"/>
          </w:tcPr>
          <w:p w14:paraId="3298FC3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条</w:t>
            </w:r>
          </w:p>
        </w:tc>
        <w:tc>
          <w:tcPr>
            <w:tcW w:w="936" w:type="dxa"/>
            <w:shd w:val="clear" w:color="auto" w:fill="auto"/>
            <w:vAlign w:val="center"/>
          </w:tcPr>
          <w:p w14:paraId="32BE37E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220</w:t>
            </w:r>
          </w:p>
        </w:tc>
        <w:tc>
          <w:tcPr>
            <w:tcW w:w="1835" w:type="dxa"/>
            <w:shd w:val="clear" w:color="auto" w:fill="auto"/>
          </w:tcPr>
          <w:p w14:paraId="625F32DC">
            <w:pPr>
              <w:pStyle w:val="60"/>
              <w:rPr>
                <w:rFonts w:hint="eastAsia" w:ascii="仿宋" w:hAnsi="仿宋" w:eastAsia="仿宋" w:cs="仿宋"/>
                <w:b w:val="0"/>
                <w:color w:val="auto"/>
                <w:kern w:val="0"/>
                <w:sz w:val="21"/>
                <w:szCs w:val="21"/>
                <w:highlight w:val="none"/>
                <w:lang w:val="en-US" w:eastAsia="zh-CN" w:bidi="ar-SA"/>
              </w:rPr>
            </w:pPr>
          </w:p>
        </w:tc>
      </w:tr>
      <w:tr w14:paraId="229B4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0FA99FE6">
            <w:pPr>
              <w:pStyle w:val="60"/>
              <w:jc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w:t>
            </w:r>
          </w:p>
        </w:tc>
        <w:tc>
          <w:tcPr>
            <w:tcW w:w="1110" w:type="dxa"/>
            <w:shd w:val="clear" w:color="auto" w:fill="auto"/>
            <w:vAlign w:val="center"/>
          </w:tcPr>
          <w:p w14:paraId="6814D41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适老化圆桌</w:t>
            </w:r>
          </w:p>
        </w:tc>
        <w:tc>
          <w:tcPr>
            <w:tcW w:w="4110" w:type="dxa"/>
            <w:shd w:val="clear" w:color="auto" w:fill="auto"/>
            <w:vAlign w:val="center"/>
          </w:tcPr>
          <w:p w14:paraId="7C0671A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1.实木框架尺寸：直径120cm高75cm；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2.实木框架：采用优质橡胶木实木，木质细腻、硬度高，具有较良好的总体强度性能，良好的抗震力；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3.台面：实木多层板贴水曲柳实木木皮，设计安全角，无缝拼接边角处采用倒圆工艺；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21D2F94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493C727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w:t>
            </w:r>
          </w:p>
        </w:tc>
        <w:tc>
          <w:tcPr>
            <w:tcW w:w="1835" w:type="dxa"/>
            <w:shd w:val="clear" w:color="auto" w:fill="auto"/>
          </w:tcPr>
          <w:p w14:paraId="16B9F07D">
            <w:pPr>
              <w:pStyle w:val="60"/>
              <w:rPr>
                <w:rFonts w:hint="eastAsia" w:ascii="仿宋" w:hAnsi="仿宋" w:eastAsia="仿宋" w:cs="仿宋"/>
                <w:b w:val="0"/>
                <w:color w:val="auto"/>
                <w:kern w:val="0"/>
                <w:sz w:val="21"/>
                <w:szCs w:val="21"/>
                <w:highlight w:val="none"/>
                <w:lang w:val="en-US" w:eastAsia="zh-CN" w:bidi="ar-SA"/>
              </w:rPr>
            </w:pPr>
            <w:r>
              <w:rPr>
                <w:rFonts w:hint="eastAsia" w:ascii="宋体" w:hAnsi="宋体" w:eastAsia="宋体" w:cs="宋体"/>
                <w:i w:val="0"/>
                <w:iCs w:val="0"/>
                <w:color w:val="auto"/>
                <w:kern w:val="0"/>
                <w:sz w:val="24"/>
                <w:szCs w:val="24"/>
                <w:highlight w:val="none"/>
                <w:u w:val="none"/>
                <w:bdr w:val="single" w:color="000000" w:sz="4" w:space="0"/>
                <w:shd w:val="clear" w:fill="FFFFFF"/>
                <w:lang w:val="en-US" w:eastAsia="zh-CN" w:bidi="ar"/>
              </w:rPr>
              <w:drawing>
                <wp:anchor distT="0" distB="0" distL="114300" distR="114300" simplePos="0" relativeHeight="251663360" behindDoc="0" locked="0" layoutInCell="1" allowOverlap="1">
                  <wp:simplePos x="0" y="0"/>
                  <wp:positionH relativeFrom="column">
                    <wp:posOffset>-49530</wp:posOffset>
                  </wp:positionH>
                  <wp:positionV relativeFrom="paragraph">
                    <wp:posOffset>450850</wp:posOffset>
                  </wp:positionV>
                  <wp:extent cx="939800" cy="723900"/>
                  <wp:effectExtent l="0" t="0" r="12700" b="0"/>
                  <wp:wrapNone/>
                  <wp:docPr id="53" name="图片_3"/>
                  <wp:cNvGraphicFramePr/>
                  <a:graphic xmlns:a="http://schemas.openxmlformats.org/drawingml/2006/main">
                    <a:graphicData uri="http://schemas.openxmlformats.org/drawingml/2006/picture">
                      <pic:pic xmlns:pic="http://schemas.openxmlformats.org/drawingml/2006/picture">
                        <pic:nvPicPr>
                          <pic:cNvPr id="53" name="图片_3"/>
                          <pic:cNvPicPr/>
                        </pic:nvPicPr>
                        <pic:blipFill>
                          <a:blip r:embed="rId17"/>
                          <a:srcRect b="14941"/>
                          <a:stretch>
                            <a:fillRect/>
                          </a:stretch>
                        </pic:blipFill>
                        <pic:spPr>
                          <a:xfrm>
                            <a:off x="0" y="0"/>
                            <a:ext cx="939800" cy="723900"/>
                          </a:xfrm>
                          <a:prstGeom prst="rect">
                            <a:avLst/>
                          </a:prstGeom>
                          <a:noFill/>
                          <a:ln>
                            <a:noFill/>
                          </a:ln>
                        </pic:spPr>
                      </pic:pic>
                    </a:graphicData>
                  </a:graphic>
                </wp:anchor>
              </w:drawing>
            </w:r>
          </w:p>
        </w:tc>
      </w:tr>
      <w:tr w14:paraId="4A897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55B453CA">
            <w:pPr>
              <w:pStyle w:val="60"/>
              <w:jc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w:t>
            </w:r>
          </w:p>
        </w:tc>
        <w:tc>
          <w:tcPr>
            <w:tcW w:w="1110" w:type="dxa"/>
            <w:shd w:val="clear" w:color="auto" w:fill="auto"/>
            <w:vAlign w:val="center"/>
          </w:tcPr>
          <w:p w14:paraId="2EF47F9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适老化自理床</w:t>
            </w:r>
          </w:p>
        </w:tc>
        <w:tc>
          <w:tcPr>
            <w:tcW w:w="4110" w:type="dxa"/>
            <w:shd w:val="clear" w:color="auto" w:fill="auto"/>
            <w:vAlign w:val="center"/>
          </w:tcPr>
          <w:p w14:paraId="7A18601F">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1.尺寸：长2000cm宽120cm；</w:t>
            </w:r>
          </w:p>
          <w:p w14:paraId="27DCCD5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2.实木多层板床头、床尾，床尾皮革软包，实木多层板护帮，更具家居风格；</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3.五柱推到式铝合金养老专用护栏，操作方便，安全美观。背部减压式设计，减小背部升高时床面对背部的挤压；</w:t>
            </w:r>
          </w:p>
          <w:p w14:paraId="5B5F003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4.床面网状设计，增强透气性；</w:t>
            </w:r>
          </w:p>
          <w:p w14:paraId="30FC8B2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5.轮各具备独立刹车功能；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6.最大承重：240kg。</w:t>
            </w:r>
          </w:p>
        </w:tc>
        <w:tc>
          <w:tcPr>
            <w:tcW w:w="640" w:type="dxa"/>
            <w:shd w:val="clear" w:color="auto" w:fill="auto"/>
            <w:vAlign w:val="center"/>
          </w:tcPr>
          <w:p w14:paraId="2B31864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254A283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10</w:t>
            </w:r>
          </w:p>
        </w:tc>
        <w:tc>
          <w:tcPr>
            <w:tcW w:w="1835" w:type="dxa"/>
            <w:shd w:val="clear" w:color="auto" w:fill="auto"/>
          </w:tcPr>
          <w:p w14:paraId="05246B1C">
            <w:pPr>
              <w:pStyle w:val="60"/>
              <w:rPr>
                <w:rFonts w:hint="eastAsia" w:ascii="仿宋" w:hAnsi="仿宋" w:eastAsia="仿宋" w:cs="仿宋"/>
                <w:b w:val="0"/>
                <w:color w:val="auto"/>
                <w:kern w:val="0"/>
                <w:sz w:val="21"/>
                <w:szCs w:val="21"/>
                <w:highlight w:val="none"/>
                <w:lang w:val="en-US" w:eastAsia="zh-CN" w:bidi="ar-SA"/>
              </w:rPr>
            </w:pPr>
            <w:r>
              <w:rPr>
                <w:rFonts w:hint="eastAsia" w:ascii="宋体" w:hAnsi="宋体" w:eastAsia="宋体" w:cs="宋体"/>
                <w:i w:val="0"/>
                <w:iCs w:val="0"/>
                <w:color w:val="auto"/>
                <w:kern w:val="0"/>
                <w:sz w:val="24"/>
                <w:szCs w:val="24"/>
                <w:highlight w:val="none"/>
                <w:u w:val="none"/>
                <w:bdr w:val="single" w:color="000000" w:sz="4" w:space="0"/>
                <w:shd w:val="clear" w:fill="FFFFFF"/>
                <w:lang w:val="en-US" w:eastAsia="zh-CN" w:bidi="ar"/>
              </w:rPr>
              <w:drawing>
                <wp:anchor distT="0" distB="0" distL="114300" distR="114300" simplePos="0" relativeHeight="251664384" behindDoc="0" locked="0" layoutInCell="1" allowOverlap="1">
                  <wp:simplePos x="0" y="0"/>
                  <wp:positionH relativeFrom="column">
                    <wp:posOffset>-18415</wp:posOffset>
                  </wp:positionH>
                  <wp:positionV relativeFrom="paragraph">
                    <wp:posOffset>356235</wp:posOffset>
                  </wp:positionV>
                  <wp:extent cx="1077595" cy="500380"/>
                  <wp:effectExtent l="0" t="0" r="8255" b="13970"/>
                  <wp:wrapNone/>
                  <wp:docPr id="60" name="图片_4"/>
                  <wp:cNvGraphicFramePr/>
                  <a:graphic xmlns:a="http://schemas.openxmlformats.org/drawingml/2006/main">
                    <a:graphicData uri="http://schemas.openxmlformats.org/drawingml/2006/picture">
                      <pic:pic xmlns:pic="http://schemas.openxmlformats.org/drawingml/2006/picture">
                        <pic:nvPicPr>
                          <pic:cNvPr id="60" name="图片_4"/>
                          <pic:cNvPicPr/>
                        </pic:nvPicPr>
                        <pic:blipFill>
                          <a:blip r:embed="rId18"/>
                          <a:srcRect r="1579" b="15124"/>
                          <a:stretch>
                            <a:fillRect/>
                          </a:stretch>
                        </pic:blipFill>
                        <pic:spPr>
                          <a:xfrm>
                            <a:off x="0" y="0"/>
                            <a:ext cx="1077595" cy="500380"/>
                          </a:xfrm>
                          <a:prstGeom prst="rect">
                            <a:avLst/>
                          </a:prstGeom>
                          <a:noFill/>
                          <a:ln>
                            <a:noFill/>
                          </a:ln>
                        </pic:spPr>
                      </pic:pic>
                    </a:graphicData>
                  </a:graphic>
                </wp:anchor>
              </w:drawing>
            </w:r>
          </w:p>
        </w:tc>
      </w:tr>
      <w:tr w14:paraId="59688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6CB274D7">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5</w:t>
            </w:r>
          </w:p>
        </w:tc>
        <w:tc>
          <w:tcPr>
            <w:tcW w:w="1110" w:type="dxa"/>
            <w:shd w:val="clear" w:color="auto" w:fill="auto"/>
            <w:vAlign w:val="center"/>
          </w:tcPr>
          <w:p w14:paraId="1B41988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终端显示器</w:t>
            </w:r>
          </w:p>
        </w:tc>
        <w:tc>
          <w:tcPr>
            <w:tcW w:w="4110" w:type="dxa"/>
            <w:shd w:val="clear" w:color="auto" w:fill="auto"/>
            <w:vAlign w:val="center"/>
          </w:tcPr>
          <w:p w14:paraId="65F1408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1.尺寸:32英寸；</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2.主体颜色:黑色；</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3.分辨率:1366×768；</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4.能效等级:≥二级；</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5.屏幕类型:全面屏；</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6.网络连接方式:有线/无线；</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7.存储:运行内存≥1G，存储≥8G；</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8.屏显比例:16:9；</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9.USB2.0接口≥1个，HDMI接口≥1个；</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10.整机额定功率：≤45W；</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11.待机功耗：≤0.3W；</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12.使用要求：电视要求无开机广告，无限制安装APK程序，支持用户自行更换开机画面/视频，U盘克隆功能。</w:t>
            </w:r>
          </w:p>
        </w:tc>
        <w:tc>
          <w:tcPr>
            <w:tcW w:w="640" w:type="dxa"/>
            <w:shd w:val="clear" w:color="auto" w:fill="auto"/>
            <w:vAlign w:val="center"/>
          </w:tcPr>
          <w:p w14:paraId="61786CD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485C466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w:t>
            </w:r>
          </w:p>
        </w:tc>
        <w:tc>
          <w:tcPr>
            <w:tcW w:w="1835" w:type="dxa"/>
            <w:shd w:val="clear" w:color="auto" w:fill="auto"/>
          </w:tcPr>
          <w:p w14:paraId="0E467ACE">
            <w:pPr>
              <w:pStyle w:val="60"/>
              <w:rPr>
                <w:rFonts w:hint="eastAsia" w:ascii="宋体" w:hAnsi="宋体" w:eastAsia="宋体" w:cs="宋体"/>
                <w:i w:val="0"/>
                <w:iCs w:val="0"/>
                <w:color w:val="auto"/>
                <w:kern w:val="0"/>
                <w:sz w:val="24"/>
                <w:szCs w:val="24"/>
                <w:highlight w:val="none"/>
                <w:u w:val="none"/>
                <w:bdr w:val="single" w:color="000000" w:sz="4" w:space="0"/>
                <w:shd w:val="clear" w:fill="FFFFFF"/>
                <w:lang w:val="en-US" w:eastAsia="zh-CN" w:bidi="ar"/>
              </w:rPr>
            </w:pPr>
            <w:bookmarkStart w:id="44" w:name="_GoBack"/>
            <w:bookmarkEnd w:id="44"/>
            <w:r>
              <w:rPr>
                <w:color w:val="auto"/>
                <w:highlight w:val="none"/>
              </w:rPr>
              <w:drawing>
                <wp:anchor distT="0" distB="0" distL="114300" distR="114300" simplePos="0" relativeHeight="251665408" behindDoc="0" locked="0" layoutInCell="1" allowOverlap="1">
                  <wp:simplePos x="0" y="0"/>
                  <wp:positionH relativeFrom="column">
                    <wp:posOffset>-8255</wp:posOffset>
                  </wp:positionH>
                  <wp:positionV relativeFrom="paragraph">
                    <wp:posOffset>793115</wp:posOffset>
                  </wp:positionV>
                  <wp:extent cx="1092835" cy="866140"/>
                  <wp:effectExtent l="0" t="0" r="12065" b="10160"/>
                  <wp:wrapNone/>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9"/>
                          <a:stretch>
                            <a:fillRect/>
                          </a:stretch>
                        </pic:blipFill>
                        <pic:spPr>
                          <a:xfrm>
                            <a:off x="0" y="0"/>
                            <a:ext cx="1092835" cy="866140"/>
                          </a:xfrm>
                          <a:prstGeom prst="rect">
                            <a:avLst/>
                          </a:prstGeom>
                          <a:noFill/>
                          <a:ln>
                            <a:noFill/>
                          </a:ln>
                        </pic:spPr>
                      </pic:pic>
                    </a:graphicData>
                  </a:graphic>
                </wp:anchor>
              </w:drawing>
            </w:r>
          </w:p>
        </w:tc>
      </w:tr>
      <w:tr w14:paraId="57522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27C8046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w:t>
            </w:r>
          </w:p>
        </w:tc>
        <w:tc>
          <w:tcPr>
            <w:tcW w:w="1110" w:type="dxa"/>
            <w:shd w:val="clear" w:color="auto" w:fill="auto"/>
            <w:vAlign w:val="center"/>
          </w:tcPr>
          <w:p w14:paraId="63C70EE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适老化床头柜</w:t>
            </w:r>
          </w:p>
        </w:tc>
        <w:tc>
          <w:tcPr>
            <w:tcW w:w="4110" w:type="dxa"/>
            <w:shd w:val="clear" w:color="auto" w:fill="auto"/>
            <w:vAlign w:val="center"/>
          </w:tcPr>
          <w:p w14:paraId="47BE5D4F">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1.尺寸：长45宽40高60（cm）；</w:t>
            </w:r>
          </w:p>
          <w:p w14:paraId="28C436A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2.面材：优质耐磨三聚氰胺浸渍饰面，覆面拼贴严密、平整、无脱胶、鼓泡，无裂纹、压痕和划伤；</w:t>
            </w:r>
          </w:p>
          <w:p w14:paraId="1CD3D83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3.基材：三聚氰胺板通过GB 18580-2017《室内装饰装修材料 人造板及其制品中甲醛释放限量》、GB/T 15102-2017《浸渍胶膜饰面纤维板和刨花板》、HJ 571-2010《环境标志产品认证技术要求 人造板及其制品》标准；</w:t>
            </w:r>
          </w:p>
          <w:p w14:paraId="61EDC6A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4.封边：优质同色加厚PVC封边条。</w:t>
            </w:r>
          </w:p>
        </w:tc>
        <w:tc>
          <w:tcPr>
            <w:tcW w:w="640" w:type="dxa"/>
            <w:shd w:val="clear" w:color="auto" w:fill="auto"/>
            <w:vAlign w:val="center"/>
          </w:tcPr>
          <w:p w14:paraId="50357E0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6CD8D01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12</w:t>
            </w:r>
          </w:p>
        </w:tc>
        <w:tc>
          <w:tcPr>
            <w:tcW w:w="1835" w:type="dxa"/>
            <w:shd w:val="clear" w:color="auto" w:fill="auto"/>
          </w:tcPr>
          <w:p w14:paraId="1CD39EE9">
            <w:pPr>
              <w:pStyle w:val="60"/>
              <w:rPr>
                <w:rFonts w:hint="eastAsia" w:ascii="宋体" w:hAnsi="宋体" w:eastAsia="宋体" w:cs="宋体"/>
                <w:i w:val="0"/>
                <w:iCs w:val="0"/>
                <w:color w:val="auto"/>
                <w:kern w:val="0"/>
                <w:sz w:val="24"/>
                <w:szCs w:val="24"/>
                <w:highlight w:val="none"/>
                <w:u w:val="none"/>
                <w:bdr w:val="single" w:color="000000" w:sz="4" w:space="0"/>
                <w:shd w:val="clear" w:fill="FFFFFF"/>
                <w:lang w:val="en-US" w:eastAsia="zh-CN" w:bidi="ar"/>
              </w:rPr>
            </w:pPr>
            <w:r>
              <w:rPr>
                <w:color w:val="auto"/>
                <w:highlight w:val="none"/>
              </w:rPr>
              <w:drawing>
                <wp:anchor distT="0" distB="0" distL="114300" distR="114300" simplePos="0" relativeHeight="251666432" behindDoc="0" locked="0" layoutInCell="1" allowOverlap="1">
                  <wp:simplePos x="0" y="0"/>
                  <wp:positionH relativeFrom="column">
                    <wp:posOffset>5715</wp:posOffset>
                  </wp:positionH>
                  <wp:positionV relativeFrom="paragraph">
                    <wp:posOffset>379730</wp:posOffset>
                  </wp:positionV>
                  <wp:extent cx="1012190" cy="1061085"/>
                  <wp:effectExtent l="0" t="0" r="16510" b="5715"/>
                  <wp:wrapNone/>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20"/>
                          <a:stretch>
                            <a:fillRect/>
                          </a:stretch>
                        </pic:blipFill>
                        <pic:spPr>
                          <a:xfrm>
                            <a:off x="0" y="0"/>
                            <a:ext cx="1012190" cy="1061085"/>
                          </a:xfrm>
                          <a:prstGeom prst="rect">
                            <a:avLst/>
                          </a:prstGeom>
                          <a:noFill/>
                          <a:ln>
                            <a:noFill/>
                          </a:ln>
                        </pic:spPr>
                      </pic:pic>
                    </a:graphicData>
                  </a:graphic>
                </wp:anchor>
              </w:drawing>
            </w:r>
          </w:p>
        </w:tc>
      </w:tr>
      <w:tr w14:paraId="620FA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6757D664">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7</w:t>
            </w:r>
          </w:p>
        </w:tc>
        <w:tc>
          <w:tcPr>
            <w:tcW w:w="1110" w:type="dxa"/>
            <w:shd w:val="clear" w:color="auto" w:fill="auto"/>
            <w:vAlign w:val="center"/>
          </w:tcPr>
          <w:p w14:paraId="7F62056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适老化茶几</w:t>
            </w:r>
          </w:p>
        </w:tc>
        <w:tc>
          <w:tcPr>
            <w:tcW w:w="4110" w:type="dxa"/>
            <w:shd w:val="clear" w:color="auto" w:fill="auto"/>
            <w:vAlign w:val="center"/>
          </w:tcPr>
          <w:p w14:paraId="0565771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1.实木框架尺寸：长120cm宽60（cm）；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2.实木框架材质：采用橡胶木，木质细腻、硬度高，具有较良好的总体强度性能，良好的抗震力；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3.台面：多层板贴白蜡木皮，设计安全角，无缝拼接边角处采用倒圆工艺；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6455D3E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条</w:t>
            </w:r>
          </w:p>
        </w:tc>
        <w:tc>
          <w:tcPr>
            <w:tcW w:w="936" w:type="dxa"/>
            <w:shd w:val="clear" w:color="auto" w:fill="auto"/>
            <w:vAlign w:val="center"/>
          </w:tcPr>
          <w:p w14:paraId="0EC40EE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w:t>
            </w:r>
          </w:p>
        </w:tc>
        <w:tc>
          <w:tcPr>
            <w:tcW w:w="1835" w:type="dxa"/>
            <w:shd w:val="clear" w:color="auto" w:fill="auto"/>
          </w:tcPr>
          <w:p w14:paraId="1A4F0018">
            <w:pPr>
              <w:pStyle w:val="60"/>
              <w:rPr>
                <w:rFonts w:hint="eastAsia" w:ascii="宋体" w:hAnsi="宋体" w:eastAsia="宋体" w:cs="宋体"/>
                <w:i w:val="0"/>
                <w:iCs w:val="0"/>
                <w:color w:val="auto"/>
                <w:kern w:val="0"/>
                <w:sz w:val="24"/>
                <w:szCs w:val="24"/>
                <w:highlight w:val="none"/>
                <w:u w:val="none"/>
                <w:bdr w:val="single" w:color="000000" w:sz="4" w:space="0"/>
                <w:shd w:val="clear" w:fill="FFFFFF"/>
                <w:lang w:val="en-US" w:eastAsia="zh-CN" w:bidi="ar"/>
              </w:rPr>
            </w:pPr>
            <w:r>
              <w:rPr>
                <w:color w:val="auto"/>
                <w:highlight w:val="none"/>
              </w:rPr>
              <w:drawing>
                <wp:anchor distT="0" distB="0" distL="114300" distR="114300" simplePos="0" relativeHeight="251705344" behindDoc="0" locked="0" layoutInCell="1" allowOverlap="1">
                  <wp:simplePos x="0" y="0"/>
                  <wp:positionH relativeFrom="column">
                    <wp:posOffset>17780</wp:posOffset>
                  </wp:positionH>
                  <wp:positionV relativeFrom="paragraph">
                    <wp:posOffset>528320</wp:posOffset>
                  </wp:positionV>
                  <wp:extent cx="1003300" cy="639445"/>
                  <wp:effectExtent l="0" t="0" r="6350" b="8255"/>
                  <wp:wrapNone/>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pic:cNvPicPr>
                            <a:picLocks noChangeAspect="1"/>
                          </pic:cNvPicPr>
                        </pic:nvPicPr>
                        <pic:blipFill>
                          <a:blip r:embed="rId21"/>
                          <a:stretch>
                            <a:fillRect/>
                          </a:stretch>
                        </pic:blipFill>
                        <pic:spPr>
                          <a:xfrm>
                            <a:off x="0" y="0"/>
                            <a:ext cx="1003300" cy="639445"/>
                          </a:xfrm>
                          <a:prstGeom prst="rect">
                            <a:avLst/>
                          </a:prstGeom>
                          <a:noFill/>
                          <a:ln>
                            <a:noFill/>
                          </a:ln>
                        </pic:spPr>
                      </pic:pic>
                    </a:graphicData>
                  </a:graphic>
                </wp:anchor>
              </w:drawing>
            </w:r>
          </w:p>
        </w:tc>
      </w:tr>
      <w:tr w14:paraId="0D46A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25707AEE">
            <w:pPr>
              <w:pStyle w:val="60"/>
              <w:jc w:val="center"/>
              <w:rPr>
                <w:rFonts w:hint="eastAsia"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8</w:t>
            </w:r>
          </w:p>
        </w:tc>
        <w:tc>
          <w:tcPr>
            <w:tcW w:w="1110" w:type="dxa"/>
            <w:shd w:val="clear" w:color="auto" w:fill="auto"/>
            <w:vAlign w:val="center"/>
          </w:tcPr>
          <w:p w14:paraId="517C0E2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适老化长桌</w:t>
            </w:r>
          </w:p>
        </w:tc>
        <w:tc>
          <w:tcPr>
            <w:tcW w:w="4110" w:type="dxa"/>
            <w:shd w:val="clear" w:color="auto" w:fill="auto"/>
            <w:vAlign w:val="center"/>
          </w:tcPr>
          <w:p w14:paraId="2ED0DD8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1.尺寸：长140宽80高75（cm）；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2.实木框架：采用橡胶木，木质细腻、硬度高，具有较良好的总体强度性能，良好的抗震力；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3.台面：多层板贴白蜡木皮，设计安全角，无缝拼接边角处采用倒圆工艺；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551B179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3D87B68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10</w:t>
            </w:r>
          </w:p>
        </w:tc>
        <w:tc>
          <w:tcPr>
            <w:tcW w:w="1835" w:type="dxa"/>
            <w:shd w:val="clear" w:color="auto" w:fill="auto"/>
          </w:tcPr>
          <w:p w14:paraId="04859754">
            <w:pPr>
              <w:pStyle w:val="60"/>
              <w:rPr>
                <w:color w:val="auto"/>
                <w:highlight w:val="none"/>
              </w:rPr>
            </w:pPr>
            <w:r>
              <w:rPr>
                <w:color w:val="auto"/>
                <w:highlight w:val="none"/>
              </w:rPr>
              <w:drawing>
                <wp:anchor distT="0" distB="0" distL="114300" distR="114300" simplePos="0" relativeHeight="251667456" behindDoc="0" locked="0" layoutInCell="1" allowOverlap="1">
                  <wp:simplePos x="0" y="0"/>
                  <wp:positionH relativeFrom="column">
                    <wp:posOffset>-12065</wp:posOffset>
                  </wp:positionH>
                  <wp:positionV relativeFrom="paragraph">
                    <wp:posOffset>436245</wp:posOffset>
                  </wp:positionV>
                  <wp:extent cx="1022985" cy="798830"/>
                  <wp:effectExtent l="0" t="0" r="5715" b="1270"/>
                  <wp:wrapNone/>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22"/>
                          <a:stretch>
                            <a:fillRect/>
                          </a:stretch>
                        </pic:blipFill>
                        <pic:spPr>
                          <a:xfrm>
                            <a:off x="0" y="0"/>
                            <a:ext cx="1022985" cy="798830"/>
                          </a:xfrm>
                          <a:prstGeom prst="rect">
                            <a:avLst/>
                          </a:prstGeom>
                          <a:noFill/>
                          <a:ln>
                            <a:noFill/>
                          </a:ln>
                        </pic:spPr>
                      </pic:pic>
                    </a:graphicData>
                  </a:graphic>
                </wp:anchor>
              </w:drawing>
            </w:r>
          </w:p>
        </w:tc>
      </w:tr>
      <w:tr w14:paraId="49F50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650C8DBD">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9</w:t>
            </w:r>
          </w:p>
        </w:tc>
        <w:tc>
          <w:tcPr>
            <w:tcW w:w="1110" w:type="dxa"/>
            <w:shd w:val="clear" w:color="auto" w:fill="auto"/>
            <w:vAlign w:val="center"/>
          </w:tcPr>
          <w:p w14:paraId="643ADCE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适老护理床</w:t>
            </w:r>
          </w:p>
        </w:tc>
        <w:tc>
          <w:tcPr>
            <w:tcW w:w="4110" w:type="dxa"/>
            <w:shd w:val="clear" w:color="auto" w:fill="auto"/>
            <w:vAlign w:val="center"/>
          </w:tcPr>
          <w:p w14:paraId="5DC7280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一、基本参数</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1.规格：2060*1000*500mm（±20mm)。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2.起背角度0-75度。</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3.抬腿角度0-40度。</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二、床头、床尾板：</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1.采用E1级刨花板。</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2.可兼做CPR板应急使用，床头锁紧件全部采用优质五金件，对称式快速挂座，可快速</w:t>
            </w:r>
            <w:r>
              <w:rPr>
                <w:color w:val="auto"/>
                <w:highlight w:val="none"/>
              </w:rPr>
              <w:drawing>
                <wp:anchor distT="0" distB="0" distL="114300" distR="114300" simplePos="0" relativeHeight="251706368" behindDoc="0" locked="0" layoutInCell="1" allowOverlap="1">
                  <wp:simplePos x="0" y="0"/>
                  <wp:positionH relativeFrom="column">
                    <wp:posOffset>3564255</wp:posOffset>
                  </wp:positionH>
                  <wp:positionV relativeFrom="paragraph">
                    <wp:posOffset>714375</wp:posOffset>
                  </wp:positionV>
                  <wp:extent cx="1101725" cy="753110"/>
                  <wp:effectExtent l="0" t="0" r="3175" b="8890"/>
                  <wp:wrapNone/>
                  <wp:docPr id="20" name="图片 9" descr="自理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9" descr="自理床"/>
                          <pic:cNvPicPr>
                            <a:picLocks noChangeAspect="1"/>
                          </pic:cNvPicPr>
                        </pic:nvPicPr>
                        <pic:blipFill>
                          <a:blip r:embed="rId23"/>
                          <a:srcRect b="14404"/>
                          <a:stretch>
                            <a:fillRect/>
                          </a:stretch>
                        </pic:blipFill>
                        <pic:spPr>
                          <a:xfrm>
                            <a:off x="0" y="0"/>
                            <a:ext cx="1101725" cy="753110"/>
                          </a:xfrm>
                          <a:prstGeom prst="rect">
                            <a:avLst/>
                          </a:prstGeom>
                          <a:noFill/>
                          <a:ln w="9525">
                            <a:noFill/>
                          </a:ln>
                        </pic:spPr>
                      </pic:pic>
                    </a:graphicData>
                  </a:graphic>
                </wp:anchor>
              </w:drawing>
            </w:r>
            <w:r>
              <w:rPr>
                <w:rFonts w:hint="eastAsia" w:ascii="仿宋" w:hAnsi="仿宋" w:eastAsia="仿宋" w:cs="仿宋"/>
                <w:i w:val="0"/>
                <w:iCs w:val="0"/>
                <w:color w:val="auto"/>
                <w:kern w:val="0"/>
                <w:sz w:val="21"/>
                <w:szCs w:val="21"/>
                <w:highlight w:val="none"/>
                <w:u w:val="none"/>
                <w:lang w:val="en-US" w:eastAsia="zh-CN" w:bidi="ar"/>
              </w:rPr>
              <w:t>拆卸，满足临床急救需求。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三、床体：为双摇（起背，抬腿功能），床面采用优质钢板冲压成型，表面静电喷塑处理，耐锈蚀。</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四、摇杆：为钢制可折叠。</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五、护栏：采用5档铝合金材质，易折叠；</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六、脚轮：配有四个静音脚轮，方便移动，带锁死功能。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七、配套床垫：一面海绵一面棕垫，床垫套为防水透气材料，表面经过经过防污，防霉，防虫等抗菌处理。床垫外套可水洗，防水透气，床垫甲醛含量≤0.05mg/㎡h。</w:t>
            </w:r>
          </w:p>
        </w:tc>
        <w:tc>
          <w:tcPr>
            <w:tcW w:w="640" w:type="dxa"/>
            <w:shd w:val="clear" w:color="auto" w:fill="auto"/>
            <w:vAlign w:val="center"/>
          </w:tcPr>
          <w:p w14:paraId="5754DBE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24BDA0B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0E60D812">
            <w:pPr>
              <w:pStyle w:val="60"/>
              <w:rPr>
                <w:rFonts w:hint="eastAsia" w:ascii="宋体" w:hAnsi="宋体" w:eastAsia="宋体" w:cs="宋体"/>
                <w:i w:val="0"/>
                <w:iCs w:val="0"/>
                <w:color w:val="auto"/>
                <w:kern w:val="0"/>
                <w:sz w:val="24"/>
                <w:szCs w:val="24"/>
                <w:highlight w:val="none"/>
                <w:u w:val="none"/>
                <w:bdr w:val="single" w:color="000000" w:sz="4" w:space="0"/>
                <w:shd w:val="clear" w:fill="FFFFFF"/>
                <w:lang w:val="en-US" w:eastAsia="zh-CN" w:bidi="ar"/>
              </w:rPr>
            </w:pPr>
            <w:r>
              <w:rPr>
                <w:color w:val="auto"/>
                <w:highlight w:val="none"/>
              </w:rPr>
              <w:drawing>
                <wp:anchor distT="0" distB="0" distL="114300" distR="114300" simplePos="0" relativeHeight="251668480" behindDoc="0" locked="0" layoutInCell="1" allowOverlap="1">
                  <wp:simplePos x="0" y="0"/>
                  <wp:positionH relativeFrom="column">
                    <wp:posOffset>9525</wp:posOffset>
                  </wp:positionH>
                  <wp:positionV relativeFrom="paragraph">
                    <wp:posOffset>20955</wp:posOffset>
                  </wp:positionV>
                  <wp:extent cx="948690" cy="642620"/>
                  <wp:effectExtent l="0" t="0" r="3810" b="5080"/>
                  <wp:wrapNone/>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pic:cNvPicPr>
                        </pic:nvPicPr>
                        <pic:blipFill>
                          <a:blip r:embed="rId24"/>
                          <a:stretch>
                            <a:fillRect/>
                          </a:stretch>
                        </pic:blipFill>
                        <pic:spPr>
                          <a:xfrm>
                            <a:off x="0" y="0"/>
                            <a:ext cx="948690" cy="642620"/>
                          </a:xfrm>
                          <a:prstGeom prst="rect">
                            <a:avLst/>
                          </a:prstGeom>
                          <a:noFill/>
                          <a:ln>
                            <a:noFill/>
                          </a:ln>
                        </pic:spPr>
                      </pic:pic>
                    </a:graphicData>
                  </a:graphic>
                </wp:anchor>
              </w:drawing>
            </w:r>
          </w:p>
        </w:tc>
      </w:tr>
      <w:tr w14:paraId="741BB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3" w:type="dxa"/>
            <w:shd w:val="clear" w:color="auto" w:fill="auto"/>
            <w:vAlign w:val="center"/>
          </w:tcPr>
          <w:p w14:paraId="6CC543F7">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10</w:t>
            </w:r>
          </w:p>
        </w:tc>
        <w:tc>
          <w:tcPr>
            <w:tcW w:w="1110" w:type="dxa"/>
            <w:shd w:val="clear" w:color="auto" w:fill="auto"/>
            <w:vAlign w:val="center"/>
          </w:tcPr>
          <w:p w14:paraId="26398C3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适老化沙发</w:t>
            </w:r>
          </w:p>
        </w:tc>
        <w:tc>
          <w:tcPr>
            <w:tcW w:w="4110" w:type="dxa"/>
            <w:shd w:val="clear" w:color="auto" w:fill="auto"/>
            <w:vAlign w:val="center"/>
          </w:tcPr>
          <w:p w14:paraId="7DEA7F7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 xml:space="preserve">1.三人沙发尺寸:长148cm宽83cm高88cm。2.面料：选用优质透气棉麻布料。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3.海绵：采用优质高密度阻燃海绵，用抽纱或丝绒覆面，表面有防腐化和防变型保护膜，回弹性高，耐用度高，防碎，防氧化，密度≥35kg/m。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4.回弹率≥35%，压缩永久变形≤10.0%，抗疲劳力强，坐感舒适，质量符合国家标准QB/T 1952.1-2012《软体家具沙发》。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5.框架：选用实木橡木材质框架，符合人体工程学。</w:t>
            </w:r>
          </w:p>
        </w:tc>
        <w:tc>
          <w:tcPr>
            <w:tcW w:w="640" w:type="dxa"/>
            <w:shd w:val="clear" w:color="auto" w:fill="auto"/>
            <w:vAlign w:val="center"/>
          </w:tcPr>
          <w:p w14:paraId="6791678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6AD5B25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w:t>
            </w:r>
          </w:p>
        </w:tc>
        <w:tc>
          <w:tcPr>
            <w:tcW w:w="1835" w:type="dxa"/>
            <w:shd w:val="clear" w:color="auto" w:fill="auto"/>
          </w:tcPr>
          <w:p w14:paraId="3FDAFAC9">
            <w:pPr>
              <w:pStyle w:val="60"/>
              <w:rPr>
                <w:rFonts w:hint="eastAsia" w:ascii="宋体" w:hAnsi="宋体" w:eastAsia="宋体" w:cs="宋体"/>
                <w:i w:val="0"/>
                <w:iCs w:val="0"/>
                <w:color w:val="auto"/>
                <w:kern w:val="0"/>
                <w:sz w:val="24"/>
                <w:szCs w:val="24"/>
                <w:highlight w:val="none"/>
                <w:u w:val="none"/>
                <w:bdr w:val="single" w:color="000000" w:sz="4" w:space="0"/>
                <w:shd w:val="clear" w:fill="FFFFFF"/>
                <w:lang w:val="en-US" w:eastAsia="zh-CN" w:bidi="ar"/>
              </w:rPr>
            </w:pPr>
            <w:r>
              <w:rPr>
                <w:color w:val="auto"/>
                <w:highlight w:val="none"/>
              </w:rPr>
              <w:drawing>
                <wp:anchor distT="0" distB="0" distL="114300" distR="114300" simplePos="0" relativeHeight="251707392" behindDoc="0" locked="0" layoutInCell="1" allowOverlap="1">
                  <wp:simplePos x="0" y="0"/>
                  <wp:positionH relativeFrom="column">
                    <wp:posOffset>-8890</wp:posOffset>
                  </wp:positionH>
                  <wp:positionV relativeFrom="paragraph">
                    <wp:posOffset>666750</wp:posOffset>
                  </wp:positionV>
                  <wp:extent cx="986155" cy="607060"/>
                  <wp:effectExtent l="0" t="0" r="4445" b="2540"/>
                  <wp:wrapNone/>
                  <wp:docPr id="10" name="图片 10" descr="适老化沙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适老化沙发"/>
                          <pic:cNvPicPr>
                            <a:picLocks noChangeAspect="1"/>
                          </pic:cNvPicPr>
                        </pic:nvPicPr>
                        <pic:blipFill>
                          <a:blip r:embed="rId25"/>
                          <a:stretch>
                            <a:fillRect/>
                          </a:stretch>
                        </pic:blipFill>
                        <pic:spPr>
                          <a:xfrm>
                            <a:off x="0" y="0"/>
                            <a:ext cx="986155" cy="607060"/>
                          </a:xfrm>
                          <a:prstGeom prst="rect">
                            <a:avLst/>
                          </a:prstGeom>
                          <a:noFill/>
                          <a:ln w="9525">
                            <a:noFill/>
                          </a:ln>
                        </pic:spPr>
                      </pic:pic>
                    </a:graphicData>
                  </a:graphic>
                </wp:anchor>
              </w:drawing>
            </w:r>
          </w:p>
        </w:tc>
      </w:tr>
      <w:tr w14:paraId="43F69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0AF7BCA2">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11</w:t>
            </w:r>
          </w:p>
        </w:tc>
        <w:tc>
          <w:tcPr>
            <w:tcW w:w="1110" w:type="dxa"/>
            <w:shd w:val="clear" w:color="auto" w:fill="auto"/>
            <w:vAlign w:val="center"/>
          </w:tcPr>
          <w:p w14:paraId="0B2A4DE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冰箱（冷冻室类冰箱）</w:t>
            </w:r>
          </w:p>
        </w:tc>
        <w:tc>
          <w:tcPr>
            <w:tcW w:w="4110" w:type="dxa"/>
            <w:shd w:val="clear" w:color="auto" w:fill="auto"/>
            <w:vAlign w:val="center"/>
          </w:tcPr>
          <w:p w14:paraId="543F230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1.能效等级：一级。</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strike w:val="0"/>
                <w:dstrike w:val="0"/>
                <w:color w:val="auto"/>
                <w:kern w:val="0"/>
                <w:sz w:val="21"/>
                <w:szCs w:val="21"/>
                <w:highlight w:val="none"/>
                <w:u w:val="none"/>
                <w:lang w:val="en-US" w:eastAsia="zh-CN" w:bidi="ar"/>
              </w:rPr>
              <w:t>2.</w:t>
            </w:r>
            <w:r>
              <w:rPr>
                <w:rFonts w:hint="eastAsia" w:ascii="仿宋" w:hAnsi="仿宋" w:eastAsia="仿宋" w:cs="仿宋"/>
                <w:i w:val="0"/>
                <w:iCs w:val="0"/>
                <w:color w:val="auto"/>
                <w:kern w:val="0"/>
                <w:sz w:val="21"/>
                <w:szCs w:val="21"/>
                <w:highlight w:val="none"/>
                <w:u w:val="none"/>
                <w:lang w:val="en-US" w:eastAsia="zh-CN" w:bidi="ar"/>
              </w:rPr>
              <w:t>总容量不小于237L。</w:t>
            </w:r>
          </w:p>
          <w:p w14:paraId="52A695D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3.智能类型：不支持智能。</w:t>
            </w:r>
          </w:p>
          <w:p w14:paraId="5E903FE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4.箱门结构三门式。</w:t>
            </w:r>
          </w:p>
          <w:p w14:paraId="4B649C4F">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5.冷藏室容积不小于114L。</w:t>
            </w:r>
          </w:p>
          <w:p w14:paraId="6227632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6.堆码层数极限3层。</w:t>
            </w:r>
          </w:p>
        </w:tc>
        <w:tc>
          <w:tcPr>
            <w:tcW w:w="640" w:type="dxa"/>
            <w:shd w:val="clear" w:color="auto" w:fill="auto"/>
            <w:vAlign w:val="center"/>
          </w:tcPr>
          <w:p w14:paraId="6C2BD52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582508B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66015AAB">
            <w:pPr>
              <w:pStyle w:val="60"/>
              <w:rPr>
                <w:color w:val="auto"/>
                <w:highlight w:val="none"/>
              </w:rPr>
            </w:pPr>
            <w:r>
              <w:rPr>
                <w:color w:val="auto"/>
                <w:highlight w:val="none"/>
              </w:rPr>
              <w:drawing>
                <wp:anchor distT="0" distB="0" distL="114300" distR="114300" simplePos="0" relativeHeight="251669504" behindDoc="0" locked="0" layoutInCell="1" allowOverlap="1">
                  <wp:simplePos x="0" y="0"/>
                  <wp:positionH relativeFrom="column">
                    <wp:posOffset>31115</wp:posOffset>
                  </wp:positionH>
                  <wp:positionV relativeFrom="paragraph">
                    <wp:posOffset>125730</wp:posOffset>
                  </wp:positionV>
                  <wp:extent cx="813435" cy="916305"/>
                  <wp:effectExtent l="0" t="0" r="5715" b="17145"/>
                  <wp:wrapNone/>
                  <wp:docPr id="1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7"/>
                          <pic:cNvPicPr>
                            <a:picLocks noChangeAspect="1"/>
                          </pic:cNvPicPr>
                        </pic:nvPicPr>
                        <pic:blipFill>
                          <a:blip r:embed="rId26"/>
                          <a:stretch>
                            <a:fillRect/>
                          </a:stretch>
                        </pic:blipFill>
                        <pic:spPr>
                          <a:xfrm>
                            <a:off x="0" y="0"/>
                            <a:ext cx="813435" cy="916305"/>
                          </a:xfrm>
                          <a:prstGeom prst="rect">
                            <a:avLst/>
                          </a:prstGeom>
                          <a:noFill/>
                          <a:ln>
                            <a:noFill/>
                          </a:ln>
                        </pic:spPr>
                      </pic:pic>
                    </a:graphicData>
                  </a:graphic>
                </wp:anchor>
              </w:drawing>
            </w:r>
          </w:p>
        </w:tc>
      </w:tr>
      <w:tr w14:paraId="5400E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73F61F23">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12</w:t>
            </w:r>
          </w:p>
        </w:tc>
        <w:tc>
          <w:tcPr>
            <w:tcW w:w="1110" w:type="dxa"/>
            <w:shd w:val="clear" w:color="auto" w:fill="auto"/>
            <w:vAlign w:val="center"/>
          </w:tcPr>
          <w:p w14:paraId="2F55D0E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商用消毒柜</w:t>
            </w:r>
          </w:p>
        </w:tc>
        <w:tc>
          <w:tcPr>
            <w:tcW w:w="4110" w:type="dxa"/>
            <w:shd w:val="clear" w:color="auto" w:fill="auto"/>
            <w:vAlign w:val="center"/>
          </w:tcPr>
          <w:p w14:paraId="08A13F06">
            <w:pPr>
              <w:keepNext w:val="0"/>
              <w:keepLines w:val="0"/>
              <w:pageBreakBefore w:val="0"/>
              <w:widowControl/>
              <w:numPr>
                <w:ilvl w:val="0"/>
                <w:numId w:val="0"/>
              </w:numPr>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1.尺寸：立式。</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2.外观单门智能类型，不支持智能。</w:t>
            </w:r>
          </w:p>
          <w:p w14:paraId="3FEA30F6">
            <w:pPr>
              <w:keepNext w:val="0"/>
              <w:keepLines w:val="0"/>
              <w:pageBreakBefore w:val="0"/>
              <w:widowControl/>
              <w:numPr>
                <w:ilvl w:val="0"/>
                <w:numId w:val="0"/>
              </w:numPr>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3.消毒温度75℃。</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4.堆码层数极限2层。</w:t>
            </w:r>
          </w:p>
          <w:p w14:paraId="23AC9F87">
            <w:pPr>
              <w:keepNext w:val="0"/>
              <w:keepLines w:val="0"/>
              <w:pageBreakBefore w:val="0"/>
              <w:widowControl/>
              <w:numPr>
                <w:ilvl w:val="0"/>
                <w:numId w:val="0"/>
              </w:numPr>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5.材质304不锈钢。</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6.消毒时间60分钟。</w:t>
            </w:r>
          </w:p>
          <w:p w14:paraId="564FAE23">
            <w:pPr>
              <w:keepNext w:val="0"/>
              <w:keepLines w:val="0"/>
              <w:pageBreakBefore w:val="0"/>
              <w:widowControl/>
              <w:numPr>
                <w:ilvl w:val="0"/>
                <w:numId w:val="0"/>
              </w:numPr>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7.容量不小于380L。</w:t>
            </w:r>
          </w:p>
        </w:tc>
        <w:tc>
          <w:tcPr>
            <w:tcW w:w="640" w:type="dxa"/>
            <w:shd w:val="clear" w:color="auto" w:fill="auto"/>
            <w:vAlign w:val="center"/>
          </w:tcPr>
          <w:p w14:paraId="466A16B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30112E5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45F76208">
            <w:pPr>
              <w:pStyle w:val="60"/>
              <w:rPr>
                <w:color w:val="auto"/>
                <w:highlight w:val="none"/>
              </w:rPr>
            </w:pPr>
            <w:r>
              <w:rPr>
                <w:color w:val="auto"/>
                <w:highlight w:val="none"/>
              </w:rPr>
              <w:drawing>
                <wp:anchor distT="0" distB="0" distL="114300" distR="114300" simplePos="0" relativeHeight="251670528" behindDoc="0" locked="0" layoutInCell="1" allowOverlap="1">
                  <wp:simplePos x="0" y="0"/>
                  <wp:positionH relativeFrom="column">
                    <wp:posOffset>81280</wp:posOffset>
                  </wp:positionH>
                  <wp:positionV relativeFrom="paragraph">
                    <wp:posOffset>105410</wp:posOffset>
                  </wp:positionV>
                  <wp:extent cx="848360" cy="944880"/>
                  <wp:effectExtent l="0" t="0" r="8890" b="7620"/>
                  <wp:wrapNone/>
                  <wp:docPr id="1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
                          <pic:cNvPicPr>
                            <a:picLocks noChangeAspect="1"/>
                          </pic:cNvPicPr>
                        </pic:nvPicPr>
                        <pic:blipFill>
                          <a:blip r:embed="rId27"/>
                          <a:stretch>
                            <a:fillRect/>
                          </a:stretch>
                        </pic:blipFill>
                        <pic:spPr>
                          <a:xfrm>
                            <a:off x="0" y="0"/>
                            <a:ext cx="848360" cy="944880"/>
                          </a:xfrm>
                          <a:prstGeom prst="rect">
                            <a:avLst/>
                          </a:prstGeom>
                          <a:noFill/>
                          <a:ln>
                            <a:noFill/>
                          </a:ln>
                        </pic:spPr>
                      </pic:pic>
                    </a:graphicData>
                  </a:graphic>
                </wp:anchor>
              </w:drawing>
            </w:r>
          </w:p>
        </w:tc>
      </w:tr>
      <w:tr w14:paraId="38E7F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898" w:hRule="atLeast"/>
        </w:trPr>
        <w:tc>
          <w:tcPr>
            <w:tcW w:w="543" w:type="dxa"/>
            <w:shd w:val="clear" w:color="auto" w:fill="auto"/>
            <w:vAlign w:val="center"/>
          </w:tcPr>
          <w:p w14:paraId="2764CBB9">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13</w:t>
            </w:r>
          </w:p>
        </w:tc>
        <w:tc>
          <w:tcPr>
            <w:tcW w:w="1110" w:type="dxa"/>
            <w:shd w:val="clear" w:color="auto" w:fill="auto"/>
            <w:vAlign w:val="center"/>
          </w:tcPr>
          <w:p w14:paraId="4712E12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吧台</w:t>
            </w:r>
          </w:p>
        </w:tc>
        <w:tc>
          <w:tcPr>
            <w:tcW w:w="4110" w:type="dxa"/>
            <w:shd w:val="clear" w:color="auto" w:fill="auto"/>
            <w:vAlign w:val="center"/>
          </w:tcPr>
          <w:p w14:paraId="5492770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1.尺寸：长1.78m*高1.4m，进深0.6m。</w:t>
            </w:r>
          </w:p>
          <w:p w14:paraId="46036D47">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2.面材：优质耐磨三聚氰胺浸渍饰面，覆面拼贴严密、平整、无脱胶、鼓泡，无裂纹、压痕和划伤。</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3.基材：三聚氰胺板通过GB 18580-2017《室内装饰装修材料 人造板及其制品中甲醛释放限量》、GB/T 15102-2017《浸渍胶膜饰面纤维板和刨花板》、HJ 571-2010《环境标志产品认证技术要求 人造板及其制品》标准。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4.封边：优质同色加厚PVC封边条。</w:t>
            </w:r>
          </w:p>
          <w:p w14:paraId="4CDDA79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5.做法：按采购人要求定制。</w:t>
            </w:r>
          </w:p>
        </w:tc>
        <w:tc>
          <w:tcPr>
            <w:tcW w:w="640" w:type="dxa"/>
            <w:shd w:val="clear" w:color="auto" w:fill="auto"/>
            <w:vAlign w:val="center"/>
          </w:tcPr>
          <w:p w14:paraId="5F58317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7B5135F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79BD8258">
            <w:pPr>
              <w:pStyle w:val="60"/>
              <w:rPr>
                <w:color w:val="auto"/>
                <w:highlight w:val="none"/>
              </w:rPr>
            </w:pPr>
            <w:r>
              <w:rPr>
                <w:color w:val="auto"/>
                <w:highlight w:val="none"/>
              </w:rPr>
              <w:drawing>
                <wp:anchor distT="0" distB="0" distL="114300" distR="114300" simplePos="0" relativeHeight="251671552" behindDoc="0" locked="0" layoutInCell="1" allowOverlap="1">
                  <wp:simplePos x="0" y="0"/>
                  <wp:positionH relativeFrom="column">
                    <wp:posOffset>30480</wp:posOffset>
                  </wp:positionH>
                  <wp:positionV relativeFrom="paragraph">
                    <wp:posOffset>612775</wp:posOffset>
                  </wp:positionV>
                  <wp:extent cx="1000760" cy="668655"/>
                  <wp:effectExtent l="0" t="0" r="8890" b="17145"/>
                  <wp:wrapNone/>
                  <wp:docPr id="1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9"/>
                          <pic:cNvPicPr>
                            <a:picLocks noChangeAspect="1"/>
                          </pic:cNvPicPr>
                        </pic:nvPicPr>
                        <pic:blipFill>
                          <a:blip r:embed="rId28"/>
                          <a:stretch>
                            <a:fillRect/>
                          </a:stretch>
                        </pic:blipFill>
                        <pic:spPr>
                          <a:xfrm>
                            <a:off x="0" y="0"/>
                            <a:ext cx="1000760" cy="668655"/>
                          </a:xfrm>
                          <a:prstGeom prst="rect">
                            <a:avLst/>
                          </a:prstGeom>
                          <a:noFill/>
                          <a:ln>
                            <a:noFill/>
                          </a:ln>
                        </pic:spPr>
                      </pic:pic>
                    </a:graphicData>
                  </a:graphic>
                </wp:anchor>
              </w:drawing>
            </w:r>
          </w:p>
        </w:tc>
      </w:tr>
      <w:tr w14:paraId="38DD5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10245629">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14</w:t>
            </w:r>
          </w:p>
        </w:tc>
        <w:tc>
          <w:tcPr>
            <w:tcW w:w="1110" w:type="dxa"/>
            <w:shd w:val="clear" w:color="auto" w:fill="auto"/>
            <w:vAlign w:val="center"/>
          </w:tcPr>
          <w:p w14:paraId="046529A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微型消防站</w:t>
            </w:r>
          </w:p>
        </w:tc>
        <w:tc>
          <w:tcPr>
            <w:tcW w:w="4110" w:type="dxa"/>
            <w:shd w:val="clear" w:color="auto" w:fill="auto"/>
            <w:vAlign w:val="center"/>
          </w:tcPr>
          <w:p w14:paraId="715C835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1.尺寸:160*120*250（cm）。</w:t>
            </w:r>
          </w:p>
          <w:p w14:paraId="25AF84C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2.里面配有一个防毒面具、两条灭火毯、2个强光照明灯及消防桶、灭火器、铁锹、消防斧、消防腰带、消防手套、自救呼吸器各四个。</w:t>
            </w:r>
          </w:p>
        </w:tc>
        <w:tc>
          <w:tcPr>
            <w:tcW w:w="640" w:type="dxa"/>
            <w:shd w:val="clear" w:color="auto" w:fill="auto"/>
            <w:vAlign w:val="center"/>
          </w:tcPr>
          <w:p w14:paraId="1594830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套</w:t>
            </w:r>
          </w:p>
        </w:tc>
        <w:tc>
          <w:tcPr>
            <w:tcW w:w="936" w:type="dxa"/>
            <w:shd w:val="clear" w:color="auto" w:fill="auto"/>
            <w:vAlign w:val="center"/>
          </w:tcPr>
          <w:p w14:paraId="55C20A1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0833F7A6">
            <w:pPr>
              <w:pStyle w:val="60"/>
              <w:rPr>
                <w:color w:val="auto"/>
                <w:highlight w:val="none"/>
              </w:rPr>
            </w:pPr>
            <w:r>
              <w:rPr>
                <w:color w:val="auto"/>
                <w:highlight w:val="none"/>
              </w:rPr>
              <w:drawing>
                <wp:anchor distT="0" distB="0" distL="114300" distR="114300" simplePos="0" relativeHeight="251672576" behindDoc="0" locked="0" layoutInCell="1" allowOverlap="1">
                  <wp:simplePos x="0" y="0"/>
                  <wp:positionH relativeFrom="column">
                    <wp:posOffset>154305</wp:posOffset>
                  </wp:positionH>
                  <wp:positionV relativeFrom="paragraph">
                    <wp:posOffset>38735</wp:posOffset>
                  </wp:positionV>
                  <wp:extent cx="674370" cy="812800"/>
                  <wp:effectExtent l="0" t="0" r="11430" b="6350"/>
                  <wp:wrapNone/>
                  <wp:docPr id="1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0"/>
                          <pic:cNvPicPr>
                            <a:picLocks noChangeAspect="1"/>
                          </pic:cNvPicPr>
                        </pic:nvPicPr>
                        <pic:blipFill>
                          <a:blip r:embed="rId29"/>
                          <a:stretch>
                            <a:fillRect/>
                          </a:stretch>
                        </pic:blipFill>
                        <pic:spPr>
                          <a:xfrm>
                            <a:off x="0" y="0"/>
                            <a:ext cx="674370" cy="812800"/>
                          </a:xfrm>
                          <a:prstGeom prst="rect">
                            <a:avLst/>
                          </a:prstGeom>
                          <a:noFill/>
                          <a:ln>
                            <a:noFill/>
                          </a:ln>
                        </pic:spPr>
                      </pic:pic>
                    </a:graphicData>
                  </a:graphic>
                </wp:anchor>
              </w:drawing>
            </w:r>
          </w:p>
        </w:tc>
      </w:tr>
      <w:tr w14:paraId="6D0AC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42" w:hRule="atLeast"/>
        </w:trPr>
        <w:tc>
          <w:tcPr>
            <w:tcW w:w="543" w:type="dxa"/>
            <w:shd w:val="clear" w:color="auto" w:fill="auto"/>
            <w:vAlign w:val="center"/>
          </w:tcPr>
          <w:p w14:paraId="7882F0AE">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15</w:t>
            </w:r>
          </w:p>
        </w:tc>
        <w:tc>
          <w:tcPr>
            <w:tcW w:w="1110" w:type="dxa"/>
            <w:shd w:val="clear" w:color="auto" w:fill="auto"/>
            <w:vAlign w:val="center"/>
          </w:tcPr>
          <w:p w14:paraId="4C87F89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热水器</w:t>
            </w:r>
          </w:p>
        </w:tc>
        <w:tc>
          <w:tcPr>
            <w:tcW w:w="4110" w:type="dxa"/>
            <w:shd w:val="clear" w:color="auto" w:fill="auto"/>
            <w:vAlign w:val="center"/>
          </w:tcPr>
          <w:p w14:paraId="59E5F3F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strike/>
                <w:dstrike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1.能效等级：一级。</w:t>
            </w:r>
          </w:p>
          <w:p w14:paraId="7015ABE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2.款式：横式。</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3.加热功率2200W。</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4.堆码层数极限4层。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5.最大容积60L。</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6.控制方式：微电脑式。</w:t>
            </w:r>
          </w:p>
        </w:tc>
        <w:tc>
          <w:tcPr>
            <w:tcW w:w="640" w:type="dxa"/>
            <w:shd w:val="clear" w:color="auto" w:fill="auto"/>
            <w:vAlign w:val="center"/>
          </w:tcPr>
          <w:p w14:paraId="71607B9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6352AB7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17FAB69D">
            <w:pPr>
              <w:pStyle w:val="60"/>
              <w:rPr>
                <w:color w:val="auto"/>
                <w:highlight w:val="none"/>
              </w:rPr>
            </w:pPr>
            <w:r>
              <w:rPr>
                <w:color w:val="auto"/>
                <w:highlight w:val="none"/>
              </w:rPr>
              <w:drawing>
                <wp:anchor distT="0" distB="0" distL="114300" distR="114300" simplePos="0" relativeHeight="251673600" behindDoc="0" locked="0" layoutInCell="1" allowOverlap="1">
                  <wp:simplePos x="0" y="0"/>
                  <wp:positionH relativeFrom="column">
                    <wp:posOffset>-30480</wp:posOffset>
                  </wp:positionH>
                  <wp:positionV relativeFrom="paragraph">
                    <wp:posOffset>450215</wp:posOffset>
                  </wp:positionV>
                  <wp:extent cx="997585" cy="591820"/>
                  <wp:effectExtent l="0" t="0" r="12065" b="17780"/>
                  <wp:wrapNone/>
                  <wp:docPr id="15"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1"/>
                          <pic:cNvPicPr>
                            <a:picLocks noChangeAspect="1"/>
                          </pic:cNvPicPr>
                        </pic:nvPicPr>
                        <pic:blipFill>
                          <a:blip r:embed="rId30"/>
                          <a:stretch>
                            <a:fillRect/>
                          </a:stretch>
                        </pic:blipFill>
                        <pic:spPr>
                          <a:xfrm>
                            <a:off x="0" y="0"/>
                            <a:ext cx="997585" cy="591820"/>
                          </a:xfrm>
                          <a:prstGeom prst="rect">
                            <a:avLst/>
                          </a:prstGeom>
                          <a:noFill/>
                          <a:ln>
                            <a:noFill/>
                          </a:ln>
                        </pic:spPr>
                      </pic:pic>
                    </a:graphicData>
                  </a:graphic>
                </wp:anchor>
              </w:drawing>
            </w:r>
          </w:p>
        </w:tc>
      </w:tr>
      <w:tr w14:paraId="47AFF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89" w:hRule="atLeast"/>
        </w:trPr>
        <w:tc>
          <w:tcPr>
            <w:tcW w:w="543" w:type="dxa"/>
            <w:shd w:val="clear" w:color="auto" w:fill="auto"/>
            <w:vAlign w:val="center"/>
          </w:tcPr>
          <w:p w14:paraId="5DB7E5BD">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16</w:t>
            </w:r>
          </w:p>
        </w:tc>
        <w:tc>
          <w:tcPr>
            <w:tcW w:w="1110" w:type="dxa"/>
            <w:shd w:val="clear" w:color="auto" w:fill="auto"/>
            <w:vAlign w:val="center"/>
          </w:tcPr>
          <w:p w14:paraId="529D818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洗衣机（波轮洗衣机）</w:t>
            </w:r>
          </w:p>
        </w:tc>
        <w:tc>
          <w:tcPr>
            <w:tcW w:w="4110" w:type="dxa"/>
            <w:shd w:val="clear" w:color="auto" w:fill="auto"/>
            <w:vAlign w:val="center"/>
          </w:tcPr>
          <w:p w14:paraId="543E4340">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1.显示屏类型：LED。</w:t>
            </w:r>
          </w:p>
          <w:p w14:paraId="67B28FB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2.使用方式：全自动。</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3.最高转速700转/分钟。</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4.排水方式：下排水。</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5.脱水功率：500W。</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6.能效等级：一级。</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7.附加功能：除菌，自动断电。</w:t>
            </w:r>
          </w:p>
        </w:tc>
        <w:tc>
          <w:tcPr>
            <w:tcW w:w="640" w:type="dxa"/>
            <w:shd w:val="clear" w:color="auto" w:fill="auto"/>
            <w:vAlign w:val="center"/>
          </w:tcPr>
          <w:p w14:paraId="69218A3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4B31B7F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485EF792">
            <w:pPr>
              <w:pStyle w:val="60"/>
              <w:rPr>
                <w:color w:val="auto"/>
                <w:highlight w:val="none"/>
              </w:rPr>
            </w:pPr>
            <w:r>
              <w:rPr>
                <w:color w:val="auto"/>
                <w:highlight w:val="none"/>
              </w:rPr>
              <w:drawing>
                <wp:anchor distT="0" distB="0" distL="114300" distR="114300" simplePos="0" relativeHeight="251674624" behindDoc="0" locked="0" layoutInCell="1" allowOverlap="1">
                  <wp:simplePos x="0" y="0"/>
                  <wp:positionH relativeFrom="column">
                    <wp:posOffset>89535</wp:posOffset>
                  </wp:positionH>
                  <wp:positionV relativeFrom="paragraph">
                    <wp:posOffset>164465</wp:posOffset>
                  </wp:positionV>
                  <wp:extent cx="855980" cy="941070"/>
                  <wp:effectExtent l="0" t="0" r="1270" b="11430"/>
                  <wp:wrapNone/>
                  <wp:docPr id="16"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2"/>
                          <pic:cNvPicPr>
                            <a:picLocks noChangeAspect="1"/>
                          </pic:cNvPicPr>
                        </pic:nvPicPr>
                        <pic:blipFill>
                          <a:blip r:embed="rId31"/>
                          <a:stretch>
                            <a:fillRect/>
                          </a:stretch>
                        </pic:blipFill>
                        <pic:spPr>
                          <a:xfrm>
                            <a:off x="0" y="0"/>
                            <a:ext cx="855980" cy="941070"/>
                          </a:xfrm>
                          <a:prstGeom prst="rect">
                            <a:avLst/>
                          </a:prstGeom>
                          <a:noFill/>
                          <a:ln>
                            <a:noFill/>
                          </a:ln>
                        </pic:spPr>
                      </pic:pic>
                    </a:graphicData>
                  </a:graphic>
                </wp:anchor>
              </w:drawing>
            </w:r>
          </w:p>
        </w:tc>
      </w:tr>
      <w:tr w14:paraId="1F551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25" w:hRule="atLeast"/>
        </w:trPr>
        <w:tc>
          <w:tcPr>
            <w:tcW w:w="543" w:type="dxa"/>
            <w:shd w:val="clear" w:color="auto" w:fill="auto"/>
            <w:vAlign w:val="center"/>
          </w:tcPr>
          <w:p w14:paraId="1F7EC1C6">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17</w:t>
            </w:r>
          </w:p>
        </w:tc>
        <w:tc>
          <w:tcPr>
            <w:tcW w:w="1110" w:type="dxa"/>
            <w:shd w:val="clear" w:color="auto" w:fill="auto"/>
            <w:vAlign w:val="center"/>
          </w:tcPr>
          <w:p w14:paraId="724E303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适老化沙发</w:t>
            </w:r>
          </w:p>
        </w:tc>
        <w:tc>
          <w:tcPr>
            <w:tcW w:w="4110" w:type="dxa"/>
            <w:shd w:val="clear" w:color="auto" w:fill="auto"/>
            <w:vAlign w:val="center"/>
          </w:tcPr>
          <w:p w14:paraId="6688CFA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 xml:space="preserve">1.四人沙发，尺寸：长212m宽83cm高88cm。2.面料：选用优质透气棉麻布料。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3.海绵：采用优质高密度阻燃海绵，用抽纱或丝绒覆面，表面有防腐化和防变型保护膜，回弹性高，耐用度高，防碎，防氧化，密度≥35kg/m3，回弹率≥35%，压缩永久变形≤10.0%，抗疲劳力强，坐感舒适，质量符合国家标准QB/T 1952.1-2012《软体家具 沙发》。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4.框架：选用实木橡木材质框架，符合人体工程学。</w:t>
            </w:r>
          </w:p>
        </w:tc>
        <w:tc>
          <w:tcPr>
            <w:tcW w:w="640" w:type="dxa"/>
            <w:shd w:val="clear" w:color="auto" w:fill="auto"/>
            <w:vAlign w:val="center"/>
          </w:tcPr>
          <w:p w14:paraId="78F4371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6DB3782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4A2E097D">
            <w:pPr>
              <w:pStyle w:val="60"/>
              <w:rPr>
                <w:color w:val="auto"/>
                <w:highlight w:val="none"/>
              </w:rPr>
            </w:pPr>
            <w:r>
              <w:rPr>
                <w:rFonts w:hint="eastAsia" w:ascii="仿宋" w:hAnsi="仿宋" w:eastAsia="仿宋" w:cs="仿宋"/>
                <w:i w:val="0"/>
                <w:iCs w:val="0"/>
                <w:color w:val="auto"/>
                <w:kern w:val="0"/>
                <w:sz w:val="21"/>
                <w:szCs w:val="21"/>
                <w:highlight w:val="none"/>
                <w:u w:val="none"/>
                <w:lang w:val="en-US" w:eastAsia="zh-CN" w:bidi="ar"/>
              </w:rPr>
              <w:drawing>
                <wp:anchor distT="0" distB="0" distL="114300" distR="114300" simplePos="0" relativeHeight="251708416" behindDoc="0" locked="0" layoutInCell="1" allowOverlap="1">
                  <wp:simplePos x="0" y="0"/>
                  <wp:positionH relativeFrom="column">
                    <wp:posOffset>7620</wp:posOffset>
                  </wp:positionH>
                  <wp:positionV relativeFrom="paragraph">
                    <wp:posOffset>756285</wp:posOffset>
                  </wp:positionV>
                  <wp:extent cx="1018540" cy="602615"/>
                  <wp:effectExtent l="0" t="0" r="10160" b="6985"/>
                  <wp:wrapNone/>
                  <wp:docPr id="2" name="图片 2" descr="02295bc97b046ddf05b48ded95b725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02295bc97b046ddf05b48ded95b725e"/>
                          <pic:cNvPicPr>
                            <a:picLocks noChangeAspect="1"/>
                          </pic:cNvPicPr>
                        </pic:nvPicPr>
                        <pic:blipFill>
                          <a:blip r:embed="rId32"/>
                          <a:stretch>
                            <a:fillRect/>
                          </a:stretch>
                        </pic:blipFill>
                        <pic:spPr>
                          <a:xfrm>
                            <a:off x="0" y="0"/>
                            <a:ext cx="1018540" cy="602615"/>
                          </a:xfrm>
                          <a:prstGeom prst="rect">
                            <a:avLst/>
                          </a:prstGeom>
                        </pic:spPr>
                      </pic:pic>
                    </a:graphicData>
                  </a:graphic>
                </wp:anchor>
              </w:drawing>
            </w:r>
          </w:p>
        </w:tc>
      </w:tr>
      <w:tr w14:paraId="392B3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186" w:hRule="atLeast"/>
        </w:trPr>
        <w:tc>
          <w:tcPr>
            <w:tcW w:w="543" w:type="dxa"/>
            <w:shd w:val="clear" w:color="auto" w:fill="auto"/>
            <w:vAlign w:val="center"/>
          </w:tcPr>
          <w:p w14:paraId="0AC57604">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18</w:t>
            </w:r>
          </w:p>
        </w:tc>
        <w:tc>
          <w:tcPr>
            <w:tcW w:w="1110" w:type="dxa"/>
            <w:shd w:val="clear" w:color="auto" w:fill="auto"/>
            <w:vAlign w:val="center"/>
          </w:tcPr>
          <w:p w14:paraId="5065552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适老化办公桌</w:t>
            </w:r>
          </w:p>
        </w:tc>
        <w:tc>
          <w:tcPr>
            <w:tcW w:w="4110" w:type="dxa"/>
            <w:shd w:val="clear" w:color="auto" w:fill="auto"/>
            <w:vAlign w:val="center"/>
          </w:tcPr>
          <w:p w14:paraId="16BECDC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1.尺寸：长120宽60高75（cm）。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2.面材：优质耐磨三聚氰胺浸渍饰面，覆面拼贴严密、平整、无脱胶、鼓泡，无裂纹、压痕和划伤。</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3.基材：三聚氰胺板通过GB 18580-2017《室内装饰装修材料 人造板及其制品中甲醛释放限量》、GB/T 15102-2017《浸渍胶膜饰面纤维板和刨花板》、HJ 571-2010《环境标志产品认证技术要求 人造板及其制品》标准。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4.封边：优质同色加厚PVC封边条。</w:t>
            </w:r>
          </w:p>
        </w:tc>
        <w:tc>
          <w:tcPr>
            <w:tcW w:w="640" w:type="dxa"/>
            <w:shd w:val="clear" w:color="auto" w:fill="auto"/>
            <w:vAlign w:val="center"/>
          </w:tcPr>
          <w:p w14:paraId="75B2B02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14A2DD3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33824E3E">
            <w:pPr>
              <w:pStyle w:val="60"/>
              <w:rPr>
                <w:color w:val="auto"/>
                <w:highlight w:val="none"/>
              </w:rPr>
            </w:pPr>
            <w:r>
              <w:rPr>
                <w:color w:val="auto"/>
                <w:highlight w:val="none"/>
              </w:rPr>
              <w:drawing>
                <wp:anchor distT="0" distB="0" distL="114300" distR="114300" simplePos="0" relativeHeight="251675648" behindDoc="0" locked="0" layoutInCell="1" allowOverlap="1">
                  <wp:simplePos x="0" y="0"/>
                  <wp:positionH relativeFrom="column">
                    <wp:posOffset>136525</wp:posOffset>
                  </wp:positionH>
                  <wp:positionV relativeFrom="paragraph">
                    <wp:posOffset>558800</wp:posOffset>
                  </wp:positionV>
                  <wp:extent cx="880745" cy="872490"/>
                  <wp:effectExtent l="0" t="0" r="14605" b="3810"/>
                  <wp:wrapNone/>
                  <wp:docPr id="18"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4"/>
                          <pic:cNvPicPr>
                            <a:picLocks noChangeAspect="1"/>
                          </pic:cNvPicPr>
                        </pic:nvPicPr>
                        <pic:blipFill>
                          <a:blip r:embed="rId33"/>
                          <a:stretch>
                            <a:fillRect/>
                          </a:stretch>
                        </pic:blipFill>
                        <pic:spPr>
                          <a:xfrm>
                            <a:off x="0" y="0"/>
                            <a:ext cx="880745" cy="872490"/>
                          </a:xfrm>
                          <a:prstGeom prst="rect">
                            <a:avLst/>
                          </a:prstGeom>
                          <a:noFill/>
                          <a:ln>
                            <a:noFill/>
                          </a:ln>
                        </pic:spPr>
                      </pic:pic>
                    </a:graphicData>
                  </a:graphic>
                </wp:anchor>
              </w:drawing>
            </w:r>
          </w:p>
        </w:tc>
      </w:tr>
      <w:tr w14:paraId="703F4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3D769E81">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19</w:t>
            </w:r>
          </w:p>
        </w:tc>
        <w:tc>
          <w:tcPr>
            <w:tcW w:w="1110" w:type="dxa"/>
            <w:shd w:val="clear" w:color="auto" w:fill="auto"/>
            <w:vAlign w:val="center"/>
          </w:tcPr>
          <w:p w14:paraId="682775F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适老化茶几</w:t>
            </w:r>
          </w:p>
        </w:tc>
        <w:tc>
          <w:tcPr>
            <w:tcW w:w="4110" w:type="dxa"/>
            <w:shd w:val="clear" w:color="auto" w:fill="auto"/>
            <w:vAlign w:val="center"/>
          </w:tcPr>
          <w:p w14:paraId="1FAD5A1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1.实木框架：尺寸长120宽60高50（cm）。</w:t>
            </w:r>
          </w:p>
          <w:p w14:paraId="48777AE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3.台面：多层板贴白蜡木皮，设计安全角，无缝拼接边角处采用倒圆工艺。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5A5C884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条</w:t>
            </w:r>
          </w:p>
        </w:tc>
        <w:tc>
          <w:tcPr>
            <w:tcW w:w="936" w:type="dxa"/>
            <w:shd w:val="clear" w:color="auto" w:fill="auto"/>
            <w:vAlign w:val="center"/>
          </w:tcPr>
          <w:p w14:paraId="77C4093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7B647BDD">
            <w:pPr>
              <w:pStyle w:val="60"/>
              <w:rPr>
                <w:color w:val="auto"/>
                <w:highlight w:val="none"/>
              </w:rPr>
            </w:pPr>
            <w:r>
              <w:rPr>
                <w:color w:val="auto"/>
                <w:highlight w:val="none"/>
              </w:rPr>
              <w:drawing>
                <wp:anchor distT="0" distB="0" distL="114300" distR="114300" simplePos="0" relativeHeight="251676672" behindDoc="0" locked="0" layoutInCell="1" allowOverlap="1">
                  <wp:simplePos x="0" y="0"/>
                  <wp:positionH relativeFrom="column">
                    <wp:posOffset>2540</wp:posOffset>
                  </wp:positionH>
                  <wp:positionV relativeFrom="paragraph">
                    <wp:posOffset>33655</wp:posOffset>
                  </wp:positionV>
                  <wp:extent cx="996950" cy="963930"/>
                  <wp:effectExtent l="0" t="0" r="12700" b="7620"/>
                  <wp:wrapNone/>
                  <wp:docPr id="19"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5"/>
                          <pic:cNvPicPr>
                            <a:picLocks noChangeAspect="1"/>
                          </pic:cNvPicPr>
                        </pic:nvPicPr>
                        <pic:blipFill>
                          <a:blip r:embed="rId34"/>
                          <a:stretch>
                            <a:fillRect/>
                          </a:stretch>
                        </pic:blipFill>
                        <pic:spPr>
                          <a:xfrm>
                            <a:off x="0" y="0"/>
                            <a:ext cx="996950" cy="963930"/>
                          </a:xfrm>
                          <a:prstGeom prst="rect">
                            <a:avLst/>
                          </a:prstGeom>
                          <a:noFill/>
                          <a:ln>
                            <a:noFill/>
                          </a:ln>
                        </pic:spPr>
                      </pic:pic>
                    </a:graphicData>
                  </a:graphic>
                </wp:anchor>
              </w:drawing>
            </w:r>
          </w:p>
        </w:tc>
      </w:tr>
      <w:tr w14:paraId="2BFE0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121201F7">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20</w:t>
            </w:r>
          </w:p>
        </w:tc>
        <w:tc>
          <w:tcPr>
            <w:tcW w:w="1110" w:type="dxa"/>
            <w:shd w:val="clear" w:color="auto" w:fill="auto"/>
            <w:vAlign w:val="center"/>
          </w:tcPr>
          <w:p w14:paraId="55E07F2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适老化长桌1</w:t>
            </w:r>
          </w:p>
        </w:tc>
        <w:tc>
          <w:tcPr>
            <w:tcW w:w="4110" w:type="dxa"/>
            <w:shd w:val="clear" w:color="auto" w:fill="auto"/>
            <w:vAlign w:val="center"/>
          </w:tcPr>
          <w:p w14:paraId="080F3D8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1.尺寸：长180cm宽80cm高75cm。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2.实木框架：采用橡胶木，木质细腻、硬度高，具有较良好的总体强度性能，良好的抗震力。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3.台面：多层板贴白蜡木皮，设计安全角，无缝拼接边角处采用倒圆工艺。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1F8D8BF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06AB084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w:t>
            </w:r>
          </w:p>
        </w:tc>
        <w:tc>
          <w:tcPr>
            <w:tcW w:w="1835" w:type="dxa"/>
            <w:shd w:val="clear" w:color="auto" w:fill="auto"/>
          </w:tcPr>
          <w:p w14:paraId="607F895F">
            <w:pPr>
              <w:pStyle w:val="60"/>
              <w:rPr>
                <w:color w:val="auto"/>
                <w:highlight w:val="none"/>
              </w:rPr>
            </w:pPr>
            <w:r>
              <w:rPr>
                <w:color w:val="auto"/>
                <w:highlight w:val="none"/>
              </w:rPr>
              <w:drawing>
                <wp:anchor distT="0" distB="0" distL="114300" distR="114300" simplePos="0" relativeHeight="251677696" behindDoc="0" locked="0" layoutInCell="1" allowOverlap="1">
                  <wp:simplePos x="0" y="0"/>
                  <wp:positionH relativeFrom="column">
                    <wp:posOffset>-40005</wp:posOffset>
                  </wp:positionH>
                  <wp:positionV relativeFrom="paragraph">
                    <wp:posOffset>281940</wp:posOffset>
                  </wp:positionV>
                  <wp:extent cx="1038860" cy="800100"/>
                  <wp:effectExtent l="0" t="0" r="8890" b="0"/>
                  <wp:wrapNone/>
                  <wp:docPr id="21"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7"/>
                          <pic:cNvPicPr>
                            <a:picLocks noChangeAspect="1"/>
                          </pic:cNvPicPr>
                        </pic:nvPicPr>
                        <pic:blipFill>
                          <a:blip r:embed="rId35"/>
                          <a:stretch>
                            <a:fillRect/>
                          </a:stretch>
                        </pic:blipFill>
                        <pic:spPr>
                          <a:xfrm>
                            <a:off x="0" y="0"/>
                            <a:ext cx="1038860" cy="800100"/>
                          </a:xfrm>
                          <a:prstGeom prst="rect">
                            <a:avLst/>
                          </a:prstGeom>
                          <a:noFill/>
                          <a:ln>
                            <a:noFill/>
                          </a:ln>
                        </pic:spPr>
                      </pic:pic>
                    </a:graphicData>
                  </a:graphic>
                </wp:anchor>
              </w:drawing>
            </w:r>
          </w:p>
        </w:tc>
      </w:tr>
      <w:tr w14:paraId="09CDC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532" w:hRule="atLeast"/>
        </w:trPr>
        <w:tc>
          <w:tcPr>
            <w:tcW w:w="543" w:type="dxa"/>
            <w:shd w:val="clear" w:color="auto" w:fill="auto"/>
            <w:vAlign w:val="center"/>
          </w:tcPr>
          <w:p w14:paraId="7E53707F">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21</w:t>
            </w:r>
          </w:p>
        </w:tc>
        <w:tc>
          <w:tcPr>
            <w:tcW w:w="1110" w:type="dxa"/>
            <w:shd w:val="clear" w:color="auto" w:fill="auto"/>
            <w:vAlign w:val="center"/>
          </w:tcPr>
          <w:p w14:paraId="78A7D84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适老化长桌2</w:t>
            </w:r>
          </w:p>
        </w:tc>
        <w:tc>
          <w:tcPr>
            <w:tcW w:w="4110" w:type="dxa"/>
            <w:shd w:val="clear" w:color="auto" w:fill="auto"/>
            <w:vAlign w:val="center"/>
          </w:tcPr>
          <w:p w14:paraId="56BA046F">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1.尺寸：长120cm宽80cm高75cm。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2.实木框架：采用橡胶木，木质细腻、硬度高，具有较良好的总体强度性能，良好的抗震力。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3.台面：多层板贴白蜡木皮，设计安全角，无缝拼接边角处采用倒圆工艺。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203E308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25CDE24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736EECBF">
            <w:pPr>
              <w:pStyle w:val="60"/>
              <w:rPr>
                <w:color w:val="auto"/>
                <w:highlight w:val="none"/>
              </w:rPr>
            </w:pPr>
            <w:r>
              <w:rPr>
                <w:color w:val="auto"/>
                <w:highlight w:val="none"/>
              </w:rPr>
              <w:drawing>
                <wp:anchor distT="0" distB="0" distL="114300" distR="114300" simplePos="0" relativeHeight="251678720" behindDoc="0" locked="0" layoutInCell="1" allowOverlap="1">
                  <wp:simplePos x="0" y="0"/>
                  <wp:positionH relativeFrom="column">
                    <wp:posOffset>12065</wp:posOffset>
                  </wp:positionH>
                  <wp:positionV relativeFrom="paragraph">
                    <wp:posOffset>510540</wp:posOffset>
                  </wp:positionV>
                  <wp:extent cx="1038860" cy="800100"/>
                  <wp:effectExtent l="0" t="0" r="8890" b="0"/>
                  <wp:wrapNone/>
                  <wp:docPr id="22"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7"/>
                          <pic:cNvPicPr>
                            <a:picLocks noChangeAspect="1"/>
                          </pic:cNvPicPr>
                        </pic:nvPicPr>
                        <pic:blipFill>
                          <a:blip r:embed="rId35"/>
                          <a:stretch>
                            <a:fillRect/>
                          </a:stretch>
                        </pic:blipFill>
                        <pic:spPr>
                          <a:xfrm>
                            <a:off x="0" y="0"/>
                            <a:ext cx="1038860" cy="800100"/>
                          </a:xfrm>
                          <a:prstGeom prst="rect">
                            <a:avLst/>
                          </a:prstGeom>
                          <a:noFill/>
                          <a:ln>
                            <a:noFill/>
                          </a:ln>
                        </pic:spPr>
                      </pic:pic>
                    </a:graphicData>
                  </a:graphic>
                </wp:anchor>
              </w:drawing>
            </w:r>
          </w:p>
        </w:tc>
      </w:tr>
      <w:tr w14:paraId="5021D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56" w:hRule="atLeast"/>
        </w:trPr>
        <w:tc>
          <w:tcPr>
            <w:tcW w:w="543" w:type="dxa"/>
            <w:shd w:val="clear" w:color="auto" w:fill="auto"/>
            <w:vAlign w:val="center"/>
          </w:tcPr>
          <w:p w14:paraId="6DC43A74">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22</w:t>
            </w:r>
          </w:p>
        </w:tc>
        <w:tc>
          <w:tcPr>
            <w:tcW w:w="1110" w:type="dxa"/>
            <w:shd w:val="clear" w:color="auto" w:fill="auto"/>
            <w:vAlign w:val="center"/>
          </w:tcPr>
          <w:p w14:paraId="0E9D90E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适老化书柜</w:t>
            </w:r>
          </w:p>
        </w:tc>
        <w:tc>
          <w:tcPr>
            <w:tcW w:w="4110" w:type="dxa"/>
            <w:shd w:val="clear" w:color="auto" w:fill="auto"/>
            <w:vAlign w:val="center"/>
          </w:tcPr>
          <w:p w14:paraId="60D9D08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1.尺寸：长80cm宽30cm高200cm。</w:t>
            </w:r>
          </w:p>
          <w:p w14:paraId="38FA0B5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2.优质耐磨三聚氰胺浸渍饰面，覆面拼贴严密、平整、无脱胶、鼓泡，无裂纹、压痕和划伤。</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3.基材：三聚氰胺板通过GB 18580-2017《室内装饰装修材料 人造板及其制品中甲醛释放限量》、GB/T 15102-2017《浸渍胶膜饰面纤维板和刨花板》、HJ 571-2010《环境标志产品认证技术要求 人造板及其制品》标准。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4.封边：优质同色加厚PVC封边条。</w:t>
            </w:r>
          </w:p>
        </w:tc>
        <w:tc>
          <w:tcPr>
            <w:tcW w:w="640" w:type="dxa"/>
            <w:shd w:val="clear" w:color="auto" w:fill="auto"/>
            <w:vAlign w:val="center"/>
          </w:tcPr>
          <w:p w14:paraId="0390A27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47C74EC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w:t>
            </w:r>
          </w:p>
        </w:tc>
        <w:tc>
          <w:tcPr>
            <w:tcW w:w="1835" w:type="dxa"/>
            <w:shd w:val="clear" w:color="auto" w:fill="auto"/>
          </w:tcPr>
          <w:p w14:paraId="6032A220">
            <w:pPr>
              <w:pStyle w:val="60"/>
              <w:rPr>
                <w:color w:val="auto"/>
                <w:highlight w:val="none"/>
              </w:rPr>
            </w:pPr>
            <w:r>
              <w:rPr>
                <w:color w:val="auto"/>
                <w:highlight w:val="none"/>
              </w:rPr>
              <w:drawing>
                <wp:anchor distT="0" distB="0" distL="114300" distR="114300" simplePos="0" relativeHeight="251679744" behindDoc="0" locked="0" layoutInCell="1" allowOverlap="1">
                  <wp:simplePos x="0" y="0"/>
                  <wp:positionH relativeFrom="column">
                    <wp:posOffset>12700</wp:posOffset>
                  </wp:positionH>
                  <wp:positionV relativeFrom="paragraph">
                    <wp:posOffset>906145</wp:posOffset>
                  </wp:positionV>
                  <wp:extent cx="1018540" cy="845820"/>
                  <wp:effectExtent l="0" t="0" r="10160" b="11430"/>
                  <wp:wrapNone/>
                  <wp:docPr id="23"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8"/>
                          <pic:cNvPicPr>
                            <a:picLocks noChangeAspect="1"/>
                          </pic:cNvPicPr>
                        </pic:nvPicPr>
                        <pic:blipFill>
                          <a:blip r:embed="rId36"/>
                          <a:stretch>
                            <a:fillRect/>
                          </a:stretch>
                        </pic:blipFill>
                        <pic:spPr>
                          <a:xfrm>
                            <a:off x="0" y="0"/>
                            <a:ext cx="1018540" cy="845820"/>
                          </a:xfrm>
                          <a:prstGeom prst="rect">
                            <a:avLst/>
                          </a:prstGeom>
                          <a:noFill/>
                          <a:ln>
                            <a:noFill/>
                          </a:ln>
                        </pic:spPr>
                      </pic:pic>
                    </a:graphicData>
                  </a:graphic>
                </wp:anchor>
              </w:drawing>
            </w:r>
          </w:p>
        </w:tc>
      </w:tr>
      <w:tr w14:paraId="33FA2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681" w:hRule="atLeast"/>
        </w:trPr>
        <w:tc>
          <w:tcPr>
            <w:tcW w:w="543" w:type="dxa"/>
            <w:shd w:val="clear" w:color="auto" w:fill="auto"/>
            <w:vAlign w:val="center"/>
          </w:tcPr>
          <w:p w14:paraId="7F51E664">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23</w:t>
            </w:r>
          </w:p>
        </w:tc>
        <w:tc>
          <w:tcPr>
            <w:tcW w:w="1110" w:type="dxa"/>
            <w:shd w:val="clear" w:color="auto" w:fill="auto"/>
            <w:vAlign w:val="center"/>
          </w:tcPr>
          <w:p w14:paraId="5DDC958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适老棋牌桌</w:t>
            </w:r>
          </w:p>
        </w:tc>
        <w:tc>
          <w:tcPr>
            <w:tcW w:w="4110" w:type="dxa"/>
            <w:shd w:val="clear" w:color="auto" w:fill="auto"/>
            <w:vAlign w:val="center"/>
          </w:tcPr>
          <w:p w14:paraId="534DA49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1.尺寸：长90cm宽90cm高70cm。</w:t>
            </w:r>
          </w:p>
          <w:p w14:paraId="66DF4D5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2.实木框架：采用橡胶木，木质细腻、硬度高，具有较良好的总体强度性能，良好的抗震力。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3.台面：多层板贴白蜡木皮，设计安全角，无缝拼接边角处采用倒圆工艺。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6D75D77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套</w:t>
            </w:r>
          </w:p>
        </w:tc>
        <w:tc>
          <w:tcPr>
            <w:tcW w:w="936" w:type="dxa"/>
            <w:shd w:val="clear" w:color="auto" w:fill="auto"/>
            <w:vAlign w:val="center"/>
          </w:tcPr>
          <w:p w14:paraId="001A1D5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w:t>
            </w:r>
          </w:p>
        </w:tc>
        <w:tc>
          <w:tcPr>
            <w:tcW w:w="1835" w:type="dxa"/>
            <w:shd w:val="clear" w:color="auto" w:fill="auto"/>
          </w:tcPr>
          <w:p w14:paraId="3A5CF91D">
            <w:pPr>
              <w:pStyle w:val="60"/>
              <w:rPr>
                <w:color w:val="auto"/>
                <w:highlight w:val="none"/>
              </w:rPr>
            </w:pPr>
            <w:r>
              <w:rPr>
                <w:color w:val="auto"/>
                <w:highlight w:val="none"/>
              </w:rPr>
              <w:drawing>
                <wp:anchor distT="0" distB="0" distL="114300" distR="114300" simplePos="0" relativeHeight="251680768" behindDoc="0" locked="0" layoutInCell="1" allowOverlap="1">
                  <wp:simplePos x="0" y="0"/>
                  <wp:positionH relativeFrom="column">
                    <wp:posOffset>-8255</wp:posOffset>
                  </wp:positionH>
                  <wp:positionV relativeFrom="paragraph">
                    <wp:posOffset>346075</wp:posOffset>
                  </wp:positionV>
                  <wp:extent cx="1082675" cy="887730"/>
                  <wp:effectExtent l="0" t="0" r="3175" b="7620"/>
                  <wp:wrapNone/>
                  <wp:docPr id="24"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9"/>
                          <pic:cNvPicPr>
                            <a:picLocks noChangeAspect="1"/>
                          </pic:cNvPicPr>
                        </pic:nvPicPr>
                        <pic:blipFill>
                          <a:blip r:embed="rId37"/>
                          <a:stretch>
                            <a:fillRect/>
                          </a:stretch>
                        </pic:blipFill>
                        <pic:spPr>
                          <a:xfrm>
                            <a:off x="0" y="0"/>
                            <a:ext cx="1082675" cy="887730"/>
                          </a:xfrm>
                          <a:prstGeom prst="rect">
                            <a:avLst/>
                          </a:prstGeom>
                          <a:noFill/>
                          <a:ln>
                            <a:noFill/>
                          </a:ln>
                        </pic:spPr>
                      </pic:pic>
                    </a:graphicData>
                  </a:graphic>
                </wp:anchor>
              </w:drawing>
            </w:r>
          </w:p>
        </w:tc>
      </w:tr>
      <w:tr w14:paraId="1754B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133BDF46">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24</w:t>
            </w:r>
          </w:p>
        </w:tc>
        <w:tc>
          <w:tcPr>
            <w:tcW w:w="1110" w:type="dxa"/>
            <w:shd w:val="clear" w:color="auto" w:fill="auto"/>
            <w:vAlign w:val="center"/>
          </w:tcPr>
          <w:p w14:paraId="49A707C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拉门五格保温台</w:t>
            </w:r>
          </w:p>
        </w:tc>
        <w:tc>
          <w:tcPr>
            <w:tcW w:w="4110" w:type="dxa"/>
            <w:shd w:val="clear" w:color="auto" w:fill="auto"/>
            <w:vAlign w:val="center"/>
          </w:tcPr>
          <w:p w14:paraId="1D1EB42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1.尺寸：长1800mm*宽700mm*高800mm。</w:t>
            </w:r>
          </w:p>
          <w:p w14:paraId="3B9E623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2.采用优质不锈钢板制作,台面板为δ，支架、通脚为Φ38不锈钢管，配可调子弹脚，配食品级1/1份数盘5只。</w:t>
            </w:r>
          </w:p>
          <w:p w14:paraId="02BE0D0C">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3.附加功能：带电加热。</w:t>
            </w:r>
          </w:p>
        </w:tc>
        <w:tc>
          <w:tcPr>
            <w:tcW w:w="640" w:type="dxa"/>
            <w:shd w:val="clear" w:color="auto" w:fill="auto"/>
            <w:vAlign w:val="center"/>
          </w:tcPr>
          <w:p w14:paraId="74BD6CC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40FAF6B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0660674E">
            <w:pPr>
              <w:pStyle w:val="60"/>
              <w:rPr>
                <w:color w:val="auto"/>
                <w:highlight w:val="none"/>
              </w:rPr>
            </w:pPr>
            <w:r>
              <w:rPr>
                <w:color w:val="auto"/>
                <w:highlight w:val="none"/>
              </w:rPr>
              <w:drawing>
                <wp:anchor distT="0" distB="0" distL="114300" distR="114300" simplePos="0" relativeHeight="251681792" behindDoc="0" locked="0" layoutInCell="1" allowOverlap="1">
                  <wp:simplePos x="0" y="0"/>
                  <wp:positionH relativeFrom="column">
                    <wp:posOffset>-30480</wp:posOffset>
                  </wp:positionH>
                  <wp:positionV relativeFrom="paragraph">
                    <wp:posOffset>19685</wp:posOffset>
                  </wp:positionV>
                  <wp:extent cx="977900" cy="643890"/>
                  <wp:effectExtent l="0" t="0" r="12700" b="3810"/>
                  <wp:wrapNone/>
                  <wp:docPr id="25"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0"/>
                          <pic:cNvPicPr>
                            <a:picLocks noChangeAspect="1"/>
                          </pic:cNvPicPr>
                        </pic:nvPicPr>
                        <pic:blipFill>
                          <a:blip r:embed="rId38"/>
                          <a:stretch>
                            <a:fillRect/>
                          </a:stretch>
                        </pic:blipFill>
                        <pic:spPr>
                          <a:xfrm>
                            <a:off x="0" y="0"/>
                            <a:ext cx="977900" cy="643890"/>
                          </a:xfrm>
                          <a:prstGeom prst="rect">
                            <a:avLst/>
                          </a:prstGeom>
                          <a:noFill/>
                          <a:ln>
                            <a:noFill/>
                          </a:ln>
                        </pic:spPr>
                      </pic:pic>
                    </a:graphicData>
                  </a:graphic>
                </wp:anchor>
              </w:drawing>
            </w:r>
          </w:p>
        </w:tc>
      </w:tr>
      <w:tr w14:paraId="6A8C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21" w:hRule="atLeast"/>
        </w:trPr>
        <w:tc>
          <w:tcPr>
            <w:tcW w:w="543" w:type="dxa"/>
            <w:shd w:val="clear" w:color="auto" w:fill="auto"/>
            <w:vAlign w:val="center"/>
          </w:tcPr>
          <w:p w14:paraId="05DB1266">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25</w:t>
            </w:r>
          </w:p>
        </w:tc>
        <w:tc>
          <w:tcPr>
            <w:tcW w:w="1110" w:type="dxa"/>
            <w:shd w:val="clear" w:color="auto" w:fill="auto"/>
            <w:vAlign w:val="center"/>
          </w:tcPr>
          <w:p w14:paraId="48F1049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适老化方桌</w:t>
            </w:r>
          </w:p>
        </w:tc>
        <w:tc>
          <w:tcPr>
            <w:tcW w:w="4110" w:type="dxa"/>
            <w:shd w:val="clear" w:color="auto" w:fill="auto"/>
            <w:vAlign w:val="center"/>
          </w:tcPr>
          <w:p w14:paraId="2C9A3A7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1.尺寸：长80cm*宽80cm*高75cm。</w:t>
            </w:r>
          </w:p>
          <w:p w14:paraId="31CD31C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2.实木框架：采用橡胶木，木质细腻、硬度高，具有较良好的总体强度性能，良好的抗震力。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3.台面：多层板贴白蜡木皮，设计安全角，无缝拼接边角处采用倒圆工艺。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4.油漆：成品纹理清晰、表层饱满、光泽润亮。涂装要求无桔皮、发白、流挂、泪油现象。结实耐用，耐磨损，耐腐蚀。</w:t>
            </w:r>
          </w:p>
        </w:tc>
        <w:tc>
          <w:tcPr>
            <w:tcW w:w="640" w:type="dxa"/>
            <w:shd w:val="clear" w:color="auto" w:fill="auto"/>
            <w:vAlign w:val="center"/>
          </w:tcPr>
          <w:p w14:paraId="5738767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33C1AC6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w:t>
            </w:r>
          </w:p>
        </w:tc>
        <w:tc>
          <w:tcPr>
            <w:tcW w:w="1835" w:type="dxa"/>
            <w:shd w:val="clear" w:color="auto" w:fill="auto"/>
          </w:tcPr>
          <w:p w14:paraId="2A8513C1">
            <w:pPr>
              <w:pStyle w:val="60"/>
              <w:rPr>
                <w:color w:val="auto"/>
                <w:highlight w:val="none"/>
              </w:rPr>
            </w:pPr>
            <w:r>
              <w:rPr>
                <w:color w:val="auto"/>
                <w:highlight w:val="none"/>
              </w:rPr>
              <w:drawing>
                <wp:anchor distT="0" distB="0" distL="114300" distR="114300" simplePos="0" relativeHeight="251682816" behindDoc="0" locked="0" layoutInCell="1" allowOverlap="1">
                  <wp:simplePos x="0" y="0"/>
                  <wp:positionH relativeFrom="column">
                    <wp:posOffset>8255</wp:posOffset>
                  </wp:positionH>
                  <wp:positionV relativeFrom="paragraph">
                    <wp:posOffset>237490</wp:posOffset>
                  </wp:positionV>
                  <wp:extent cx="1010285" cy="831215"/>
                  <wp:effectExtent l="0" t="0" r="18415" b="6985"/>
                  <wp:wrapNone/>
                  <wp:docPr id="26"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1"/>
                          <pic:cNvPicPr>
                            <a:picLocks noChangeAspect="1"/>
                          </pic:cNvPicPr>
                        </pic:nvPicPr>
                        <pic:blipFill>
                          <a:blip r:embed="rId39"/>
                          <a:stretch>
                            <a:fillRect/>
                          </a:stretch>
                        </pic:blipFill>
                        <pic:spPr>
                          <a:xfrm>
                            <a:off x="0" y="0"/>
                            <a:ext cx="1010285" cy="831215"/>
                          </a:xfrm>
                          <a:prstGeom prst="rect">
                            <a:avLst/>
                          </a:prstGeom>
                          <a:noFill/>
                          <a:ln>
                            <a:noFill/>
                          </a:ln>
                        </pic:spPr>
                      </pic:pic>
                    </a:graphicData>
                  </a:graphic>
                </wp:anchor>
              </w:drawing>
            </w:r>
          </w:p>
        </w:tc>
      </w:tr>
      <w:tr w14:paraId="00095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39" w:hRule="atLeast"/>
        </w:trPr>
        <w:tc>
          <w:tcPr>
            <w:tcW w:w="543" w:type="dxa"/>
            <w:shd w:val="clear" w:color="auto" w:fill="auto"/>
            <w:vAlign w:val="center"/>
          </w:tcPr>
          <w:p w14:paraId="354FC7B6">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26</w:t>
            </w:r>
          </w:p>
        </w:tc>
        <w:tc>
          <w:tcPr>
            <w:tcW w:w="1110" w:type="dxa"/>
            <w:shd w:val="clear" w:color="auto" w:fill="auto"/>
            <w:vAlign w:val="center"/>
          </w:tcPr>
          <w:p w14:paraId="387ABAA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电动肢体康复器</w:t>
            </w:r>
          </w:p>
        </w:tc>
        <w:tc>
          <w:tcPr>
            <w:tcW w:w="4110" w:type="dxa"/>
            <w:shd w:val="clear" w:color="auto" w:fill="auto"/>
            <w:vAlign w:val="center"/>
          </w:tcPr>
          <w:p w14:paraId="62EF021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1.外形尺寸:49*40*28.5cm。</w:t>
            </w:r>
          </w:p>
          <w:p w14:paraId="70B0E86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2.阻力可调。</w:t>
            </w:r>
          </w:p>
          <w:p w14:paraId="17A61CA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3.用途:具有6大训练模式，可作臂力训练，也可舒缓腰椎压力。</w:t>
            </w:r>
          </w:p>
        </w:tc>
        <w:tc>
          <w:tcPr>
            <w:tcW w:w="640" w:type="dxa"/>
            <w:shd w:val="clear" w:color="auto" w:fill="auto"/>
            <w:vAlign w:val="center"/>
          </w:tcPr>
          <w:p w14:paraId="58EC2A9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099C171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7FDED76E">
            <w:pPr>
              <w:pStyle w:val="60"/>
              <w:rPr>
                <w:color w:val="auto"/>
                <w:highlight w:val="none"/>
              </w:rPr>
            </w:pPr>
            <w:r>
              <w:rPr>
                <w:color w:val="auto"/>
                <w:highlight w:val="none"/>
              </w:rPr>
              <w:drawing>
                <wp:anchor distT="0" distB="0" distL="114300" distR="114300" simplePos="0" relativeHeight="251683840" behindDoc="0" locked="0" layoutInCell="1" allowOverlap="1">
                  <wp:simplePos x="0" y="0"/>
                  <wp:positionH relativeFrom="column">
                    <wp:posOffset>0</wp:posOffset>
                  </wp:positionH>
                  <wp:positionV relativeFrom="paragraph">
                    <wp:posOffset>149860</wp:posOffset>
                  </wp:positionV>
                  <wp:extent cx="976630" cy="598805"/>
                  <wp:effectExtent l="0" t="0" r="13970" b="10795"/>
                  <wp:wrapNone/>
                  <wp:docPr id="27"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2"/>
                          <pic:cNvPicPr>
                            <a:picLocks noChangeAspect="1"/>
                          </pic:cNvPicPr>
                        </pic:nvPicPr>
                        <pic:blipFill>
                          <a:blip r:embed="rId40"/>
                          <a:stretch>
                            <a:fillRect/>
                          </a:stretch>
                        </pic:blipFill>
                        <pic:spPr>
                          <a:xfrm>
                            <a:off x="0" y="0"/>
                            <a:ext cx="976630" cy="598805"/>
                          </a:xfrm>
                          <a:prstGeom prst="rect">
                            <a:avLst/>
                          </a:prstGeom>
                          <a:noFill/>
                          <a:ln>
                            <a:noFill/>
                          </a:ln>
                        </pic:spPr>
                      </pic:pic>
                    </a:graphicData>
                  </a:graphic>
                </wp:anchor>
              </w:drawing>
            </w:r>
          </w:p>
        </w:tc>
      </w:tr>
      <w:tr w14:paraId="750A4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76" w:hRule="atLeast"/>
        </w:trPr>
        <w:tc>
          <w:tcPr>
            <w:tcW w:w="543" w:type="dxa"/>
            <w:shd w:val="clear" w:color="auto" w:fill="auto"/>
            <w:vAlign w:val="center"/>
          </w:tcPr>
          <w:p w14:paraId="2A720AE4">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27</w:t>
            </w:r>
          </w:p>
        </w:tc>
        <w:tc>
          <w:tcPr>
            <w:tcW w:w="1110" w:type="dxa"/>
            <w:shd w:val="clear" w:color="auto" w:fill="auto"/>
            <w:vAlign w:val="center"/>
          </w:tcPr>
          <w:p w14:paraId="2DBDAB9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颈椎牵引按摩器</w:t>
            </w:r>
          </w:p>
        </w:tc>
        <w:tc>
          <w:tcPr>
            <w:tcW w:w="4110" w:type="dxa"/>
            <w:shd w:val="clear" w:color="auto" w:fill="auto"/>
            <w:vAlign w:val="center"/>
          </w:tcPr>
          <w:p w14:paraId="3AA84BD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1.外形尺寸：100*107*200cm。</w:t>
            </w:r>
          </w:p>
          <w:p w14:paraId="165ABA1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strike w:val="0"/>
                <w:dstrike w:val="0"/>
                <w:color w:val="auto"/>
                <w:kern w:val="0"/>
                <w:sz w:val="21"/>
                <w:szCs w:val="21"/>
                <w:highlight w:val="none"/>
                <w:u w:val="none"/>
                <w:lang w:val="en-US" w:eastAsia="zh-CN" w:bidi="ar"/>
              </w:rPr>
              <w:t>2.</w:t>
            </w:r>
            <w:r>
              <w:rPr>
                <w:rFonts w:hint="eastAsia" w:ascii="仿宋" w:hAnsi="仿宋" w:eastAsia="仿宋" w:cs="仿宋"/>
                <w:i w:val="0"/>
                <w:iCs w:val="0"/>
                <w:color w:val="auto"/>
                <w:kern w:val="0"/>
                <w:sz w:val="21"/>
                <w:szCs w:val="21"/>
                <w:highlight w:val="none"/>
                <w:u w:val="none"/>
                <w:lang w:val="en-US" w:eastAsia="zh-CN" w:bidi="ar"/>
              </w:rPr>
              <w:t>配颈托一个,配4块重块,每块4磅,带扭腰盘,背部、足部起按摩作用, 颈椎牵引，腰部肌肉训练、背部、脚部按摩增进血液循环。</w:t>
            </w:r>
          </w:p>
        </w:tc>
        <w:tc>
          <w:tcPr>
            <w:tcW w:w="640" w:type="dxa"/>
            <w:shd w:val="clear" w:color="auto" w:fill="auto"/>
            <w:vAlign w:val="center"/>
          </w:tcPr>
          <w:p w14:paraId="7EC5321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6138144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3ED36B31">
            <w:pPr>
              <w:pStyle w:val="60"/>
              <w:rPr>
                <w:color w:val="auto"/>
                <w:highlight w:val="none"/>
              </w:rPr>
            </w:pPr>
            <w:r>
              <w:rPr>
                <w:color w:val="auto"/>
                <w:highlight w:val="none"/>
              </w:rPr>
              <w:drawing>
                <wp:anchor distT="0" distB="0" distL="114300" distR="114300" simplePos="0" relativeHeight="251684864" behindDoc="0" locked="0" layoutInCell="1" allowOverlap="1">
                  <wp:simplePos x="0" y="0"/>
                  <wp:positionH relativeFrom="column">
                    <wp:posOffset>161925</wp:posOffset>
                  </wp:positionH>
                  <wp:positionV relativeFrom="paragraph">
                    <wp:posOffset>38100</wp:posOffset>
                  </wp:positionV>
                  <wp:extent cx="635000" cy="941705"/>
                  <wp:effectExtent l="0" t="0" r="12700" b="10795"/>
                  <wp:wrapNone/>
                  <wp:docPr id="28"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3"/>
                          <pic:cNvPicPr>
                            <a:picLocks noChangeAspect="1"/>
                          </pic:cNvPicPr>
                        </pic:nvPicPr>
                        <pic:blipFill>
                          <a:blip r:embed="rId41"/>
                          <a:stretch>
                            <a:fillRect/>
                          </a:stretch>
                        </pic:blipFill>
                        <pic:spPr>
                          <a:xfrm>
                            <a:off x="0" y="0"/>
                            <a:ext cx="635000" cy="941705"/>
                          </a:xfrm>
                          <a:prstGeom prst="rect">
                            <a:avLst/>
                          </a:prstGeom>
                          <a:noFill/>
                          <a:ln>
                            <a:noFill/>
                          </a:ln>
                        </pic:spPr>
                      </pic:pic>
                    </a:graphicData>
                  </a:graphic>
                </wp:anchor>
              </w:drawing>
            </w:r>
          </w:p>
        </w:tc>
      </w:tr>
      <w:tr w14:paraId="7E1EB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3D15EBE6">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28</w:t>
            </w:r>
          </w:p>
        </w:tc>
        <w:tc>
          <w:tcPr>
            <w:tcW w:w="1110" w:type="dxa"/>
            <w:shd w:val="clear" w:color="auto" w:fill="auto"/>
            <w:vAlign w:val="center"/>
          </w:tcPr>
          <w:p w14:paraId="4008B43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下肢功率车</w:t>
            </w:r>
          </w:p>
        </w:tc>
        <w:tc>
          <w:tcPr>
            <w:tcW w:w="4110" w:type="dxa"/>
            <w:shd w:val="clear" w:color="auto" w:fill="auto"/>
            <w:vAlign w:val="center"/>
          </w:tcPr>
          <w:p w14:paraId="0EA66027">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1.外形尺寸：长105㎝*宽49㎝*高123㎝。</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2.坐垫前后调节范围：0~23cm。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3.阻尼调节档数：8档。</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4.双向内磁重量：6kg。</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5.座垫额定承载: 2000N。</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6.材质：主要采用优质钢材，ABS工程塑料，钢架静电喷涂。</w:t>
            </w:r>
          </w:p>
        </w:tc>
        <w:tc>
          <w:tcPr>
            <w:tcW w:w="640" w:type="dxa"/>
            <w:shd w:val="clear" w:color="auto" w:fill="auto"/>
            <w:vAlign w:val="center"/>
          </w:tcPr>
          <w:p w14:paraId="1C274E8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7932EDE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4626C50A">
            <w:pPr>
              <w:pStyle w:val="60"/>
              <w:rPr>
                <w:color w:val="auto"/>
                <w:highlight w:val="none"/>
              </w:rPr>
            </w:pPr>
            <w:r>
              <w:rPr>
                <w:color w:val="auto"/>
                <w:highlight w:val="none"/>
              </w:rPr>
              <w:drawing>
                <wp:anchor distT="0" distB="0" distL="114300" distR="114300" simplePos="0" relativeHeight="251685888" behindDoc="0" locked="0" layoutInCell="1" allowOverlap="1">
                  <wp:simplePos x="0" y="0"/>
                  <wp:positionH relativeFrom="column">
                    <wp:posOffset>158115</wp:posOffset>
                  </wp:positionH>
                  <wp:positionV relativeFrom="paragraph">
                    <wp:posOffset>240665</wp:posOffset>
                  </wp:positionV>
                  <wp:extent cx="703580" cy="748030"/>
                  <wp:effectExtent l="0" t="0" r="1270" b="13970"/>
                  <wp:wrapNone/>
                  <wp:docPr id="29"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4"/>
                          <pic:cNvPicPr>
                            <a:picLocks noChangeAspect="1"/>
                          </pic:cNvPicPr>
                        </pic:nvPicPr>
                        <pic:blipFill>
                          <a:blip r:embed="rId42"/>
                          <a:stretch>
                            <a:fillRect/>
                          </a:stretch>
                        </pic:blipFill>
                        <pic:spPr>
                          <a:xfrm>
                            <a:off x="0" y="0"/>
                            <a:ext cx="703580" cy="748030"/>
                          </a:xfrm>
                          <a:prstGeom prst="rect">
                            <a:avLst/>
                          </a:prstGeom>
                          <a:noFill/>
                          <a:ln>
                            <a:noFill/>
                          </a:ln>
                        </pic:spPr>
                      </pic:pic>
                    </a:graphicData>
                  </a:graphic>
                </wp:anchor>
              </w:drawing>
            </w:r>
          </w:p>
        </w:tc>
      </w:tr>
      <w:tr w14:paraId="69659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147F98FF">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29</w:t>
            </w:r>
          </w:p>
        </w:tc>
        <w:tc>
          <w:tcPr>
            <w:tcW w:w="1110" w:type="dxa"/>
            <w:shd w:val="clear" w:color="auto" w:fill="auto"/>
            <w:vAlign w:val="center"/>
          </w:tcPr>
          <w:p w14:paraId="1E02D72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适老轮椅</w:t>
            </w:r>
          </w:p>
        </w:tc>
        <w:tc>
          <w:tcPr>
            <w:tcW w:w="4110" w:type="dxa"/>
            <w:shd w:val="clear" w:color="auto" w:fill="auto"/>
            <w:vAlign w:val="center"/>
          </w:tcPr>
          <w:p w14:paraId="5161BC1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1.尺寸：展开83*51*87㎝，折叠51*28*72㎝。</w:t>
            </w:r>
            <w:r>
              <w:rPr>
                <w:rFonts w:hint="eastAsia" w:ascii="仿宋" w:hAnsi="仿宋" w:eastAsia="仿宋" w:cs="仿宋"/>
                <w:color w:val="auto"/>
                <w:kern w:val="0"/>
                <w:szCs w:val="21"/>
                <w:lang w:bidi="ar"/>
              </w:rPr>
              <w:t>（±</w:t>
            </w:r>
            <w:r>
              <w:rPr>
                <w:rFonts w:hint="eastAsia" w:ascii="仿宋" w:hAnsi="仿宋" w:eastAsia="仿宋" w:cs="仿宋"/>
                <w:color w:val="auto"/>
                <w:kern w:val="0"/>
                <w:szCs w:val="21"/>
                <w:lang w:val="en-US" w:eastAsia="zh-CN" w:bidi="ar"/>
              </w:rPr>
              <w:t>5</w:t>
            </w:r>
            <w:r>
              <w:rPr>
                <w:rFonts w:hint="eastAsia" w:ascii="仿宋" w:hAnsi="仿宋" w:eastAsia="仿宋" w:cs="仿宋"/>
                <w:color w:val="auto"/>
                <w:kern w:val="0"/>
                <w:szCs w:val="21"/>
                <w:lang w:bidi="ar"/>
              </w:rPr>
              <w:t>cm)</w:t>
            </w:r>
          </w:p>
          <w:p w14:paraId="48D8E1E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2.座宽：40㎝。</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3.车架材质:碳钢。</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4.加密牛津布坐垫，坐垫不可拆洗。</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5.英寸PVC万向前轮，英寸PVC后轮。</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6.折叠后可站立。</w:t>
            </w:r>
          </w:p>
        </w:tc>
        <w:tc>
          <w:tcPr>
            <w:tcW w:w="640" w:type="dxa"/>
            <w:shd w:val="clear" w:color="auto" w:fill="auto"/>
            <w:vAlign w:val="center"/>
          </w:tcPr>
          <w:p w14:paraId="0003B2A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把</w:t>
            </w:r>
          </w:p>
        </w:tc>
        <w:tc>
          <w:tcPr>
            <w:tcW w:w="936" w:type="dxa"/>
            <w:shd w:val="clear" w:color="auto" w:fill="auto"/>
            <w:vAlign w:val="center"/>
          </w:tcPr>
          <w:p w14:paraId="60D9847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11824157">
            <w:pPr>
              <w:pStyle w:val="60"/>
              <w:rPr>
                <w:color w:val="auto"/>
                <w:highlight w:val="none"/>
              </w:rPr>
            </w:pPr>
            <w:r>
              <w:rPr>
                <w:color w:val="auto"/>
                <w:highlight w:val="none"/>
              </w:rPr>
              <w:drawing>
                <wp:anchor distT="0" distB="0" distL="114300" distR="114300" simplePos="0" relativeHeight="251686912" behindDoc="0" locked="0" layoutInCell="1" allowOverlap="1">
                  <wp:simplePos x="0" y="0"/>
                  <wp:positionH relativeFrom="column">
                    <wp:posOffset>104140</wp:posOffset>
                  </wp:positionH>
                  <wp:positionV relativeFrom="paragraph">
                    <wp:posOffset>71755</wp:posOffset>
                  </wp:positionV>
                  <wp:extent cx="800100" cy="774700"/>
                  <wp:effectExtent l="0" t="0" r="0" b="6350"/>
                  <wp:wrapNone/>
                  <wp:docPr id="30"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5"/>
                          <pic:cNvPicPr>
                            <a:picLocks noChangeAspect="1"/>
                          </pic:cNvPicPr>
                        </pic:nvPicPr>
                        <pic:blipFill>
                          <a:blip r:embed="rId43"/>
                          <a:stretch>
                            <a:fillRect/>
                          </a:stretch>
                        </pic:blipFill>
                        <pic:spPr>
                          <a:xfrm>
                            <a:off x="0" y="0"/>
                            <a:ext cx="800100" cy="774700"/>
                          </a:xfrm>
                          <a:prstGeom prst="rect">
                            <a:avLst/>
                          </a:prstGeom>
                          <a:noFill/>
                          <a:ln>
                            <a:noFill/>
                          </a:ln>
                        </pic:spPr>
                      </pic:pic>
                    </a:graphicData>
                  </a:graphic>
                </wp:anchor>
              </w:drawing>
            </w:r>
          </w:p>
        </w:tc>
      </w:tr>
      <w:tr w14:paraId="150E6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9" w:hRule="atLeast"/>
        </w:trPr>
        <w:tc>
          <w:tcPr>
            <w:tcW w:w="543" w:type="dxa"/>
            <w:shd w:val="clear" w:color="auto" w:fill="auto"/>
            <w:vAlign w:val="center"/>
          </w:tcPr>
          <w:p w14:paraId="6B71A8F1">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30</w:t>
            </w:r>
          </w:p>
        </w:tc>
        <w:tc>
          <w:tcPr>
            <w:tcW w:w="1110" w:type="dxa"/>
            <w:shd w:val="clear" w:color="auto" w:fill="auto"/>
            <w:vAlign w:val="center"/>
          </w:tcPr>
          <w:p w14:paraId="03B4B31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拐杖</w:t>
            </w:r>
          </w:p>
        </w:tc>
        <w:tc>
          <w:tcPr>
            <w:tcW w:w="4110" w:type="dxa"/>
            <w:shd w:val="clear" w:color="auto" w:fill="auto"/>
            <w:vAlign w:val="center"/>
          </w:tcPr>
          <w:p w14:paraId="1D80A43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1.尺寸：15.7*（74~97）cm。</w:t>
            </w:r>
          </w:p>
          <w:p w14:paraId="56E679C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2.材质：铝合金+塑胶适。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3.灯头45°可调节。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4.适合使用身高145~190cm 。</w:t>
            </w:r>
          </w:p>
        </w:tc>
        <w:tc>
          <w:tcPr>
            <w:tcW w:w="640" w:type="dxa"/>
            <w:shd w:val="clear" w:color="auto" w:fill="auto"/>
            <w:vAlign w:val="center"/>
          </w:tcPr>
          <w:p w14:paraId="3748340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38CCBA5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0D5B90DE">
            <w:pPr>
              <w:pStyle w:val="60"/>
              <w:rPr>
                <w:color w:val="auto"/>
                <w:highlight w:val="none"/>
              </w:rPr>
            </w:pPr>
            <w:r>
              <w:rPr>
                <w:color w:val="auto"/>
                <w:highlight w:val="none"/>
              </w:rPr>
              <w:drawing>
                <wp:anchor distT="0" distB="0" distL="114300" distR="114300" simplePos="0" relativeHeight="251687936" behindDoc="0" locked="0" layoutInCell="1" allowOverlap="1">
                  <wp:simplePos x="0" y="0"/>
                  <wp:positionH relativeFrom="column">
                    <wp:posOffset>168275</wp:posOffset>
                  </wp:positionH>
                  <wp:positionV relativeFrom="paragraph">
                    <wp:posOffset>51435</wp:posOffset>
                  </wp:positionV>
                  <wp:extent cx="684530" cy="721995"/>
                  <wp:effectExtent l="0" t="0" r="1270" b="1905"/>
                  <wp:wrapNone/>
                  <wp:docPr id="31"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6"/>
                          <pic:cNvPicPr>
                            <a:picLocks noChangeAspect="1"/>
                          </pic:cNvPicPr>
                        </pic:nvPicPr>
                        <pic:blipFill>
                          <a:blip r:embed="rId44"/>
                          <a:stretch>
                            <a:fillRect/>
                          </a:stretch>
                        </pic:blipFill>
                        <pic:spPr>
                          <a:xfrm>
                            <a:off x="0" y="0"/>
                            <a:ext cx="684530" cy="721995"/>
                          </a:xfrm>
                          <a:prstGeom prst="rect">
                            <a:avLst/>
                          </a:prstGeom>
                          <a:noFill/>
                          <a:ln>
                            <a:noFill/>
                          </a:ln>
                        </pic:spPr>
                      </pic:pic>
                    </a:graphicData>
                  </a:graphic>
                </wp:anchor>
              </w:drawing>
            </w:r>
          </w:p>
        </w:tc>
      </w:tr>
      <w:tr w14:paraId="06115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2F9DCB43">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31</w:t>
            </w:r>
          </w:p>
        </w:tc>
        <w:tc>
          <w:tcPr>
            <w:tcW w:w="1110" w:type="dxa"/>
            <w:shd w:val="clear" w:color="auto" w:fill="auto"/>
            <w:vAlign w:val="center"/>
          </w:tcPr>
          <w:p w14:paraId="1D5F713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双阶助行器</w:t>
            </w:r>
          </w:p>
        </w:tc>
        <w:tc>
          <w:tcPr>
            <w:tcW w:w="4110" w:type="dxa"/>
            <w:shd w:val="clear" w:color="auto" w:fill="auto"/>
            <w:vAlign w:val="center"/>
          </w:tcPr>
          <w:p w14:paraId="12D3885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1.尺寸：长49CM：宽52CM；高74～92CM；折叠后尺寸：52*10*（74-92）CM，承重：大于等于100KG；</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 以GB/T 14728.1-2006《双臂操作助行器要求和试验方法 第1部分：框式助行架》国家标准作为设计生产执行标准，其结构特点如下：</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2.1）主架：采用6061F高强度加粗铝合金材质，管直径大于等于25.4mm，厚度大于等于1.2MM，表面采用阳极氧化处理，可折叠式结构，不占空间。脚管管直径大于等于28.6mm，厚度大于等于1.2mm，前杆加宽加厚设计；主架高度8档可调，交互式和固定式两种使用方式，通过弹珠实现一键式的切换和折叠。</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2.2）握把：采用PVC软质握把，表面有花纹防滑性好，手感舒适，不吸汗，使用时间寿命长；采用上下两级扶手设计，增加了辅助起身的功能。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2.3）垫材质为耐用，耐磨，有弹性，表面摩擦系数较高的防滑橡胶材料。</w:t>
            </w:r>
          </w:p>
        </w:tc>
        <w:tc>
          <w:tcPr>
            <w:tcW w:w="640" w:type="dxa"/>
            <w:shd w:val="clear" w:color="auto" w:fill="auto"/>
            <w:vAlign w:val="center"/>
          </w:tcPr>
          <w:p w14:paraId="0EC5DD4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46CA3C2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64E4B3A6">
            <w:pPr>
              <w:pStyle w:val="60"/>
              <w:rPr>
                <w:color w:val="auto"/>
                <w:highlight w:val="none"/>
              </w:rPr>
            </w:pPr>
            <w:r>
              <w:rPr>
                <w:color w:val="auto"/>
                <w:highlight w:val="none"/>
              </w:rPr>
              <w:drawing>
                <wp:anchor distT="0" distB="0" distL="114300" distR="114300" simplePos="0" relativeHeight="251688960" behindDoc="0" locked="0" layoutInCell="1" allowOverlap="1">
                  <wp:simplePos x="0" y="0"/>
                  <wp:positionH relativeFrom="column">
                    <wp:posOffset>-9525</wp:posOffset>
                  </wp:positionH>
                  <wp:positionV relativeFrom="paragraph">
                    <wp:posOffset>195580</wp:posOffset>
                  </wp:positionV>
                  <wp:extent cx="946785" cy="951230"/>
                  <wp:effectExtent l="0" t="0" r="5715" b="1270"/>
                  <wp:wrapNone/>
                  <wp:docPr id="32"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7"/>
                          <pic:cNvPicPr>
                            <a:picLocks noChangeAspect="1"/>
                          </pic:cNvPicPr>
                        </pic:nvPicPr>
                        <pic:blipFill>
                          <a:blip r:embed="rId45"/>
                          <a:stretch>
                            <a:fillRect/>
                          </a:stretch>
                        </pic:blipFill>
                        <pic:spPr>
                          <a:xfrm>
                            <a:off x="0" y="0"/>
                            <a:ext cx="946785" cy="951230"/>
                          </a:xfrm>
                          <a:prstGeom prst="rect">
                            <a:avLst/>
                          </a:prstGeom>
                          <a:noFill/>
                          <a:ln>
                            <a:noFill/>
                          </a:ln>
                        </pic:spPr>
                      </pic:pic>
                    </a:graphicData>
                  </a:graphic>
                </wp:anchor>
              </w:drawing>
            </w:r>
          </w:p>
        </w:tc>
      </w:tr>
      <w:tr w14:paraId="76461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04" w:hRule="atLeast"/>
        </w:trPr>
        <w:tc>
          <w:tcPr>
            <w:tcW w:w="543" w:type="dxa"/>
            <w:shd w:val="clear" w:color="auto" w:fill="auto"/>
            <w:vAlign w:val="center"/>
          </w:tcPr>
          <w:p w14:paraId="5FD659A9">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32</w:t>
            </w:r>
          </w:p>
        </w:tc>
        <w:tc>
          <w:tcPr>
            <w:tcW w:w="1110" w:type="dxa"/>
            <w:shd w:val="clear" w:color="auto" w:fill="auto"/>
            <w:vAlign w:val="center"/>
          </w:tcPr>
          <w:p w14:paraId="1787F3B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血压仪</w:t>
            </w:r>
          </w:p>
        </w:tc>
        <w:tc>
          <w:tcPr>
            <w:tcW w:w="4110" w:type="dxa"/>
            <w:shd w:val="clear" w:color="auto" w:fill="auto"/>
            <w:vAlign w:val="center"/>
          </w:tcPr>
          <w:p w14:paraId="23CDEF7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1.血压仪器种类臂筒式电子血压计款式，适用人：成人。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2.疾病高血压症状。</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3.臂筒式电子血压计。</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4.电池+电源+保修至少2年。</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5.带筒样式可动式臂筒。</w:t>
            </w:r>
          </w:p>
        </w:tc>
        <w:tc>
          <w:tcPr>
            <w:tcW w:w="640" w:type="dxa"/>
            <w:shd w:val="clear" w:color="auto" w:fill="auto"/>
            <w:vAlign w:val="center"/>
          </w:tcPr>
          <w:p w14:paraId="65891DD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4F0F7E1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w:t>
            </w:r>
          </w:p>
        </w:tc>
        <w:tc>
          <w:tcPr>
            <w:tcW w:w="1835" w:type="dxa"/>
            <w:shd w:val="clear" w:color="auto" w:fill="auto"/>
          </w:tcPr>
          <w:p w14:paraId="5313BBC0">
            <w:pPr>
              <w:pStyle w:val="60"/>
              <w:rPr>
                <w:color w:val="auto"/>
                <w:highlight w:val="none"/>
              </w:rPr>
            </w:pPr>
            <w:r>
              <w:rPr>
                <w:color w:val="auto"/>
                <w:highlight w:val="none"/>
              </w:rPr>
              <w:drawing>
                <wp:anchor distT="0" distB="0" distL="114300" distR="114300" simplePos="0" relativeHeight="251689984" behindDoc="0" locked="0" layoutInCell="1" allowOverlap="1">
                  <wp:simplePos x="0" y="0"/>
                  <wp:positionH relativeFrom="column">
                    <wp:posOffset>59690</wp:posOffset>
                  </wp:positionH>
                  <wp:positionV relativeFrom="paragraph">
                    <wp:posOffset>119380</wp:posOffset>
                  </wp:positionV>
                  <wp:extent cx="911860" cy="930275"/>
                  <wp:effectExtent l="0" t="0" r="2540" b="3175"/>
                  <wp:wrapNone/>
                  <wp:docPr id="33"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8"/>
                          <pic:cNvPicPr>
                            <a:picLocks noChangeAspect="1"/>
                          </pic:cNvPicPr>
                        </pic:nvPicPr>
                        <pic:blipFill>
                          <a:blip r:embed="rId46"/>
                          <a:stretch>
                            <a:fillRect/>
                          </a:stretch>
                        </pic:blipFill>
                        <pic:spPr>
                          <a:xfrm>
                            <a:off x="0" y="0"/>
                            <a:ext cx="911860" cy="930275"/>
                          </a:xfrm>
                          <a:prstGeom prst="rect">
                            <a:avLst/>
                          </a:prstGeom>
                          <a:noFill/>
                          <a:ln>
                            <a:noFill/>
                          </a:ln>
                        </pic:spPr>
                      </pic:pic>
                    </a:graphicData>
                  </a:graphic>
                </wp:anchor>
              </w:drawing>
            </w:r>
          </w:p>
        </w:tc>
      </w:tr>
      <w:tr w14:paraId="6EAE6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19050C9E">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33</w:t>
            </w:r>
          </w:p>
        </w:tc>
        <w:tc>
          <w:tcPr>
            <w:tcW w:w="1110" w:type="dxa"/>
            <w:shd w:val="clear" w:color="auto" w:fill="auto"/>
            <w:vAlign w:val="center"/>
          </w:tcPr>
          <w:p w14:paraId="3D87BE8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饮水机</w:t>
            </w:r>
          </w:p>
        </w:tc>
        <w:tc>
          <w:tcPr>
            <w:tcW w:w="4110" w:type="dxa"/>
            <w:shd w:val="clear" w:color="auto" w:fill="auto"/>
            <w:vAlign w:val="center"/>
          </w:tcPr>
          <w:p w14:paraId="097DA01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一、基础参数</w:t>
            </w:r>
          </w:p>
          <w:p w14:paraId="2CC4B67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1.步进式开水器水胆容量：≥30L。</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2.电源功率：220V/3KW。</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3.外型尺寸：600×460×1760mm(±1%)。</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4.出水咀：两开水或一开一直饮。</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5.供水量：开水90L/H、直饮水60L/H。</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6.出水方式：光感触摸按钮取水。</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二、功能要求：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7.蒸汽热能回收技术：特设蒸汽热能回收装置，即蒸汽经热能交换器冷却，被凝成水，其汽化的热能被自来水吸收，并加热进水，使进水温度快速提升。</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8.材质：箱体不锈钢黑钛板双色搭配，厚度≧0.6mm；内胆（六面加厚50mm新型阻燃保温层）、水槽材质为304不锈钢板，厚度≧1.0mm。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9.过滤要求：RO400 + 6G压力桶，第1级：PP棉滤芯。第2级：颗粒活性炭滤芯。第3级：压缩活性炭棒滤芯。第4级：反渗透RO膜。第5级：后置活性炭滤芯。</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10.出水水质：符合《生活饮用水水质处理器卫生安全与功能评价规范一反渗渗处理装置》（2001）的要求。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11.水电分离：电气部份须设有独立的电控箱，电控箱材质为ABS工程塑料制作，模具注塑成型，电控箱置于箱体左侧面，且在外部通过工具可拆开检修。</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12.安全配置：有连续出水保护功能；防漏电、防干烧、防超温、防蒸气烫伤等全面防护；主电路带有防爆电路装置，箱体转角处采用人性化圆弧设计，防止不小心撞伤，安全可靠。</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13.防触电类型I类。</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14.涉水部件波纹管、电磁阀、加热管、水龙头、出水嘴、内胆符合《食品安全国家标准 食品接触用金属材料及制品》GB 4806.9-2016标准。</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15.智能技术：采用微电脑智能控制系统，横式液晶显示，带有时间、温度、进水状态、可饮用状态显示、滤芯显示、具有定时开关机功能等一体化控制功能，带遥控功能；开水出水水温可在35℃—85℃范围内任意选择；采用步进式加热技术，逐层加热逐层补水，进水时具有水电联动控制。</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16.排水配置：排水漏斗下水口连接的排水管须为 PVC一体成型可伸缩调节环保健康给水管，无法轻易取下或脱落，确保排水系统耐高温不漏水、不易损坏、防蒸汽泄漏箱体。</w:t>
            </w:r>
          </w:p>
          <w:p w14:paraId="4D8DCE6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17.进出水电磁阀须采用12V低压电磁阀控制。</w:t>
            </w:r>
          </w:p>
        </w:tc>
        <w:tc>
          <w:tcPr>
            <w:tcW w:w="640" w:type="dxa"/>
            <w:shd w:val="clear" w:color="auto" w:fill="auto"/>
            <w:vAlign w:val="center"/>
          </w:tcPr>
          <w:p w14:paraId="0D41137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35EA835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521D72F6">
            <w:pPr>
              <w:pStyle w:val="60"/>
              <w:rPr>
                <w:color w:val="auto"/>
                <w:highlight w:val="none"/>
              </w:rPr>
            </w:pPr>
            <w:r>
              <w:rPr>
                <w:color w:val="auto"/>
                <w:highlight w:val="none"/>
              </w:rPr>
              <w:drawing>
                <wp:anchor distT="0" distB="0" distL="114300" distR="114300" simplePos="0" relativeHeight="251691008" behindDoc="0" locked="0" layoutInCell="1" allowOverlap="1">
                  <wp:simplePos x="0" y="0"/>
                  <wp:positionH relativeFrom="column">
                    <wp:posOffset>76200</wp:posOffset>
                  </wp:positionH>
                  <wp:positionV relativeFrom="paragraph">
                    <wp:posOffset>2865755</wp:posOffset>
                  </wp:positionV>
                  <wp:extent cx="908050" cy="1584325"/>
                  <wp:effectExtent l="0" t="0" r="6350" b="15875"/>
                  <wp:wrapNone/>
                  <wp:docPr id="34"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9"/>
                          <pic:cNvPicPr>
                            <a:picLocks noChangeAspect="1"/>
                          </pic:cNvPicPr>
                        </pic:nvPicPr>
                        <pic:blipFill>
                          <a:blip r:embed="rId47"/>
                          <a:stretch>
                            <a:fillRect/>
                          </a:stretch>
                        </pic:blipFill>
                        <pic:spPr>
                          <a:xfrm>
                            <a:off x="0" y="0"/>
                            <a:ext cx="908050" cy="1584325"/>
                          </a:xfrm>
                          <a:prstGeom prst="rect">
                            <a:avLst/>
                          </a:prstGeom>
                          <a:noFill/>
                          <a:ln>
                            <a:noFill/>
                          </a:ln>
                        </pic:spPr>
                      </pic:pic>
                    </a:graphicData>
                  </a:graphic>
                </wp:anchor>
              </w:drawing>
            </w:r>
          </w:p>
        </w:tc>
      </w:tr>
      <w:tr w14:paraId="145BA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73" w:hRule="atLeast"/>
        </w:trPr>
        <w:tc>
          <w:tcPr>
            <w:tcW w:w="543" w:type="dxa"/>
            <w:shd w:val="clear" w:color="auto" w:fill="auto"/>
            <w:vAlign w:val="center"/>
          </w:tcPr>
          <w:p w14:paraId="6676D9D3">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34</w:t>
            </w:r>
          </w:p>
        </w:tc>
        <w:tc>
          <w:tcPr>
            <w:tcW w:w="1110" w:type="dxa"/>
            <w:shd w:val="clear" w:color="auto" w:fill="auto"/>
            <w:vAlign w:val="center"/>
          </w:tcPr>
          <w:p w14:paraId="5DD4A74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等待沙发</w:t>
            </w:r>
          </w:p>
        </w:tc>
        <w:tc>
          <w:tcPr>
            <w:tcW w:w="4110" w:type="dxa"/>
            <w:shd w:val="clear" w:color="auto" w:fill="auto"/>
            <w:vAlign w:val="center"/>
          </w:tcPr>
          <w:p w14:paraId="2F9AEE5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1.尺寸：长1180mm*宽530mm*高450mm。</w:t>
            </w:r>
          </w:p>
          <w:p w14:paraId="1CE1D3A0">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2.材质：优质加厚耐磨西皮+高泡海绵。</w:t>
            </w:r>
          </w:p>
        </w:tc>
        <w:tc>
          <w:tcPr>
            <w:tcW w:w="640" w:type="dxa"/>
            <w:shd w:val="clear" w:color="auto" w:fill="auto"/>
            <w:vAlign w:val="center"/>
          </w:tcPr>
          <w:p w14:paraId="12AE12C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张</w:t>
            </w:r>
          </w:p>
        </w:tc>
        <w:tc>
          <w:tcPr>
            <w:tcW w:w="936" w:type="dxa"/>
            <w:shd w:val="clear" w:color="auto" w:fill="auto"/>
            <w:vAlign w:val="center"/>
          </w:tcPr>
          <w:p w14:paraId="72E8F96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8</w:t>
            </w:r>
          </w:p>
        </w:tc>
        <w:tc>
          <w:tcPr>
            <w:tcW w:w="1835" w:type="dxa"/>
            <w:shd w:val="clear" w:color="auto" w:fill="auto"/>
          </w:tcPr>
          <w:p w14:paraId="1E2DCE1F">
            <w:pPr>
              <w:pStyle w:val="60"/>
              <w:rPr>
                <w:color w:val="auto"/>
                <w:highlight w:val="none"/>
              </w:rPr>
            </w:pPr>
            <w:r>
              <w:rPr>
                <w:color w:val="auto"/>
                <w:highlight w:val="none"/>
              </w:rPr>
              <w:drawing>
                <wp:anchor distT="0" distB="0" distL="114300" distR="114300" simplePos="0" relativeHeight="251693056" behindDoc="0" locked="0" layoutInCell="1" allowOverlap="1">
                  <wp:simplePos x="0" y="0"/>
                  <wp:positionH relativeFrom="column">
                    <wp:posOffset>106045</wp:posOffset>
                  </wp:positionH>
                  <wp:positionV relativeFrom="paragraph">
                    <wp:posOffset>34925</wp:posOffset>
                  </wp:positionV>
                  <wp:extent cx="764540" cy="669290"/>
                  <wp:effectExtent l="0" t="0" r="16510" b="16510"/>
                  <wp:wrapNone/>
                  <wp:docPr id="35"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0"/>
                          <pic:cNvPicPr>
                            <a:picLocks noChangeAspect="1"/>
                          </pic:cNvPicPr>
                        </pic:nvPicPr>
                        <pic:blipFill>
                          <a:blip r:embed="rId48"/>
                          <a:stretch>
                            <a:fillRect/>
                          </a:stretch>
                        </pic:blipFill>
                        <pic:spPr>
                          <a:xfrm>
                            <a:off x="0" y="0"/>
                            <a:ext cx="764540" cy="669290"/>
                          </a:xfrm>
                          <a:prstGeom prst="rect">
                            <a:avLst/>
                          </a:prstGeom>
                          <a:noFill/>
                          <a:ln>
                            <a:noFill/>
                          </a:ln>
                        </pic:spPr>
                      </pic:pic>
                    </a:graphicData>
                  </a:graphic>
                </wp:anchor>
              </w:drawing>
            </w:r>
          </w:p>
        </w:tc>
      </w:tr>
      <w:tr w14:paraId="2F801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4739E110">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35</w:t>
            </w:r>
          </w:p>
        </w:tc>
        <w:tc>
          <w:tcPr>
            <w:tcW w:w="1110" w:type="dxa"/>
            <w:shd w:val="clear" w:color="auto" w:fill="auto"/>
            <w:vAlign w:val="center"/>
          </w:tcPr>
          <w:p w14:paraId="4C65BC6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舞蹈杆子</w:t>
            </w:r>
          </w:p>
        </w:tc>
        <w:tc>
          <w:tcPr>
            <w:tcW w:w="4110" w:type="dxa"/>
            <w:shd w:val="clear" w:color="auto" w:fill="auto"/>
            <w:vAlign w:val="center"/>
          </w:tcPr>
          <w:p w14:paraId="1644233C">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1.室内壁挂式。高度80cm宽度80cm</w:t>
            </w:r>
          </w:p>
          <w:p w14:paraId="7F5B2CB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2.单双层体操把杆、压腿训练松木杆、舞蹈压腿练习杆。</w:t>
            </w:r>
          </w:p>
          <w:p w14:paraId="09782CD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3.材质：水曲木材质的舞蹈把杆带有弹性，适用于儿童和成年人，能够减少金属辐射带来的伤害，避免粘肉和凉感。内嵌的优质锰钢使得把杆具有适中的弹性，底座支架为电镀钢管，防锈耐用。</w:t>
            </w:r>
          </w:p>
        </w:tc>
        <w:tc>
          <w:tcPr>
            <w:tcW w:w="640" w:type="dxa"/>
            <w:shd w:val="clear" w:color="auto" w:fill="auto"/>
            <w:vAlign w:val="center"/>
          </w:tcPr>
          <w:p w14:paraId="00F2B09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米</w:t>
            </w:r>
          </w:p>
        </w:tc>
        <w:tc>
          <w:tcPr>
            <w:tcW w:w="936" w:type="dxa"/>
            <w:shd w:val="clear" w:color="auto" w:fill="auto"/>
            <w:vAlign w:val="center"/>
          </w:tcPr>
          <w:p w14:paraId="2BE7E84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15</w:t>
            </w:r>
          </w:p>
        </w:tc>
        <w:tc>
          <w:tcPr>
            <w:tcW w:w="1835" w:type="dxa"/>
            <w:shd w:val="clear" w:color="auto" w:fill="auto"/>
          </w:tcPr>
          <w:p w14:paraId="195E9CA2">
            <w:pPr>
              <w:pStyle w:val="60"/>
              <w:rPr>
                <w:color w:val="auto"/>
                <w:highlight w:val="none"/>
              </w:rPr>
            </w:pPr>
            <w:r>
              <w:rPr>
                <w:color w:val="auto"/>
                <w:highlight w:val="none"/>
              </w:rPr>
              <w:drawing>
                <wp:anchor distT="0" distB="0" distL="114300" distR="114300" simplePos="0" relativeHeight="251692032" behindDoc="0" locked="0" layoutInCell="1" allowOverlap="1">
                  <wp:simplePos x="0" y="0"/>
                  <wp:positionH relativeFrom="column">
                    <wp:posOffset>59055</wp:posOffset>
                  </wp:positionH>
                  <wp:positionV relativeFrom="paragraph">
                    <wp:posOffset>654685</wp:posOffset>
                  </wp:positionV>
                  <wp:extent cx="860425" cy="350520"/>
                  <wp:effectExtent l="0" t="0" r="15875" b="11430"/>
                  <wp:wrapNone/>
                  <wp:docPr id="36"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1"/>
                          <pic:cNvPicPr>
                            <a:picLocks noChangeAspect="1"/>
                          </pic:cNvPicPr>
                        </pic:nvPicPr>
                        <pic:blipFill>
                          <a:blip r:embed="rId49"/>
                          <a:stretch>
                            <a:fillRect/>
                          </a:stretch>
                        </pic:blipFill>
                        <pic:spPr>
                          <a:xfrm>
                            <a:off x="0" y="0"/>
                            <a:ext cx="860425" cy="350520"/>
                          </a:xfrm>
                          <a:prstGeom prst="rect">
                            <a:avLst/>
                          </a:prstGeom>
                          <a:noFill/>
                          <a:ln>
                            <a:noFill/>
                          </a:ln>
                        </pic:spPr>
                      </pic:pic>
                    </a:graphicData>
                  </a:graphic>
                </wp:anchor>
              </w:drawing>
            </w:r>
          </w:p>
        </w:tc>
      </w:tr>
      <w:tr w14:paraId="0A738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7B647806">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36</w:t>
            </w:r>
          </w:p>
        </w:tc>
        <w:tc>
          <w:tcPr>
            <w:tcW w:w="1110" w:type="dxa"/>
            <w:shd w:val="clear" w:color="auto" w:fill="auto"/>
            <w:vAlign w:val="center"/>
          </w:tcPr>
          <w:p w14:paraId="29DF4F8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适老化换鞋凳</w:t>
            </w:r>
          </w:p>
        </w:tc>
        <w:tc>
          <w:tcPr>
            <w:tcW w:w="4110" w:type="dxa"/>
            <w:shd w:val="clear" w:color="auto" w:fill="auto"/>
            <w:vAlign w:val="center"/>
          </w:tcPr>
          <w:p w14:paraId="7AB566E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1.尺寸：长60宽30高60（cm）。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2.油实木框架：采用橡胶木，木质细腻、硬度高，具有较良好的总体强度性能，良好的抗震力。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3.坐垫：仿布纹科技皮软包，高回弹性海绵。4.漆：成品纹理清晰、表层饱满、光泽润亮。涂装要求无桔皮、发白、流挂、泪油现象。结实耐用，耐磨损，耐腐蚀。</w:t>
            </w:r>
          </w:p>
        </w:tc>
        <w:tc>
          <w:tcPr>
            <w:tcW w:w="640" w:type="dxa"/>
            <w:shd w:val="clear" w:color="auto" w:fill="auto"/>
            <w:vAlign w:val="center"/>
          </w:tcPr>
          <w:p w14:paraId="36D9723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059DCA0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w:t>
            </w:r>
          </w:p>
        </w:tc>
        <w:tc>
          <w:tcPr>
            <w:tcW w:w="1835" w:type="dxa"/>
            <w:shd w:val="clear" w:color="auto" w:fill="auto"/>
          </w:tcPr>
          <w:p w14:paraId="3BDAA8E3">
            <w:pPr>
              <w:pStyle w:val="60"/>
              <w:rPr>
                <w:color w:val="auto"/>
                <w:highlight w:val="none"/>
              </w:rPr>
            </w:pPr>
            <w:r>
              <w:rPr>
                <w:color w:val="auto"/>
                <w:highlight w:val="none"/>
              </w:rPr>
              <w:drawing>
                <wp:anchor distT="0" distB="0" distL="114300" distR="114300" simplePos="0" relativeHeight="251694080" behindDoc="0" locked="0" layoutInCell="1" allowOverlap="1">
                  <wp:simplePos x="0" y="0"/>
                  <wp:positionH relativeFrom="column">
                    <wp:posOffset>46355</wp:posOffset>
                  </wp:positionH>
                  <wp:positionV relativeFrom="paragraph">
                    <wp:posOffset>317500</wp:posOffset>
                  </wp:positionV>
                  <wp:extent cx="866775" cy="768350"/>
                  <wp:effectExtent l="0" t="0" r="9525" b="12700"/>
                  <wp:wrapNone/>
                  <wp:docPr id="37"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2"/>
                          <pic:cNvPicPr>
                            <a:picLocks noChangeAspect="1"/>
                          </pic:cNvPicPr>
                        </pic:nvPicPr>
                        <pic:blipFill>
                          <a:blip r:embed="rId50"/>
                          <a:stretch>
                            <a:fillRect/>
                          </a:stretch>
                        </pic:blipFill>
                        <pic:spPr>
                          <a:xfrm>
                            <a:off x="0" y="0"/>
                            <a:ext cx="866775" cy="768350"/>
                          </a:xfrm>
                          <a:prstGeom prst="rect">
                            <a:avLst/>
                          </a:prstGeom>
                          <a:noFill/>
                          <a:ln>
                            <a:noFill/>
                          </a:ln>
                        </pic:spPr>
                      </pic:pic>
                    </a:graphicData>
                  </a:graphic>
                </wp:anchor>
              </w:drawing>
            </w:r>
          </w:p>
        </w:tc>
      </w:tr>
      <w:tr w14:paraId="3241C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60" w:hRule="atLeast"/>
        </w:trPr>
        <w:tc>
          <w:tcPr>
            <w:tcW w:w="543" w:type="dxa"/>
            <w:shd w:val="clear" w:color="auto" w:fill="auto"/>
            <w:vAlign w:val="center"/>
          </w:tcPr>
          <w:p w14:paraId="6DC0F93B">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37</w:t>
            </w:r>
          </w:p>
        </w:tc>
        <w:tc>
          <w:tcPr>
            <w:tcW w:w="1110" w:type="dxa"/>
            <w:shd w:val="clear" w:color="auto" w:fill="auto"/>
            <w:vAlign w:val="center"/>
          </w:tcPr>
          <w:p w14:paraId="6A099E8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瑜伽垫</w:t>
            </w:r>
          </w:p>
        </w:tc>
        <w:tc>
          <w:tcPr>
            <w:tcW w:w="4110" w:type="dxa"/>
            <w:shd w:val="clear" w:color="auto" w:fill="auto"/>
            <w:vAlign w:val="center"/>
          </w:tcPr>
          <w:p w14:paraId="7ADEEA6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‌1.材质‌：天然橡胶/PU。</w:t>
            </w:r>
          </w:p>
          <w:p w14:paraId="093B953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2.尺寸73cm‌，厚度8mm。</w:t>
            </w:r>
          </w:p>
          <w:p w14:paraId="48339CCD">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3.提供缓冲和保护，适合需要高弹性且柔软的人群。‌</w:t>
            </w:r>
          </w:p>
        </w:tc>
        <w:tc>
          <w:tcPr>
            <w:tcW w:w="640" w:type="dxa"/>
            <w:shd w:val="clear" w:color="auto" w:fill="auto"/>
            <w:vAlign w:val="center"/>
          </w:tcPr>
          <w:p w14:paraId="6180386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794D1D6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16</w:t>
            </w:r>
          </w:p>
        </w:tc>
        <w:tc>
          <w:tcPr>
            <w:tcW w:w="1835" w:type="dxa"/>
            <w:shd w:val="clear" w:color="auto" w:fill="auto"/>
          </w:tcPr>
          <w:p w14:paraId="43D5BD50">
            <w:pPr>
              <w:pStyle w:val="60"/>
              <w:rPr>
                <w:color w:val="auto"/>
                <w:highlight w:val="none"/>
              </w:rPr>
            </w:pPr>
            <w:r>
              <w:rPr>
                <w:color w:val="auto"/>
                <w:highlight w:val="none"/>
              </w:rPr>
              <w:drawing>
                <wp:anchor distT="0" distB="0" distL="114300" distR="114300" simplePos="0" relativeHeight="251695104" behindDoc="0" locked="0" layoutInCell="1" allowOverlap="1">
                  <wp:simplePos x="0" y="0"/>
                  <wp:positionH relativeFrom="column">
                    <wp:posOffset>56515</wp:posOffset>
                  </wp:positionH>
                  <wp:positionV relativeFrom="paragraph">
                    <wp:posOffset>27940</wp:posOffset>
                  </wp:positionV>
                  <wp:extent cx="894715" cy="654685"/>
                  <wp:effectExtent l="0" t="0" r="635" b="12065"/>
                  <wp:wrapNone/>
                  <wp:docPr id="38"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3"/>
                          <pic:cNvPicPr>
                            <a:picLocks noChangeAspect="1"/>
                          </pic:cNvPicPr>
                        </pic:nvPicPr>
                        <pic:blipFill>
                          <a:blip r:embed="rId51"/>
                          <a:stretch>
                            <a:fillRect/>
                          </a:stretch>
                        </pic:blipFill>
                        <pic:spPr>
                          <a:xfrm>
                            <a:off x="0" y="0"/>
                            <a:ext cx="894715" cy="654685"/>
                          </a:xfrm>
                          <a:prstGeom prst="rect">
                            <a:avLst/>
                          </a:prstGeom>
                          <a:noFill/>
                          <a:ln>
                            <a:noFill/>
                          </a:ln>
                        </pic:spPr>
                      </pic:pic>
                    </a:graphicData>
                  </a:graphic>
                </wp:anchor>
              </w:drawing>
            </w:r>
          </w:p>
        </w:tc>
      </w:tr>
      <w:tr w14:paraId="0CE58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0A35121A">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38</w:t>
            </w:r>
          </w:p>
        </w:tc>
        <w:tc>
          <w:tcPr>
            <w:tcW w:w="1110" w:type="dxa"/>
            <w:shd w:val="clear" w:color="auto" w:fill="auto"/>
            <w:vAlign w:val="center"/>
          </w:tcPr>
          <w:p w14:paraId="26FDE89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舞蹈房专业音响</w:t>
            </w:r>
          </w:p>
        </w:tc>
        <w:tc>
          <w:tcPr>
            <w:tcW w:w="4110" w:type="dxa"/>
            <w:shd w:val="clear" w:color="auto" w:fill="auto"/>
            <w:vAlign w:val="center"/>
          </w:tcPr>
          <w:p w14:paraId="51F5DB0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1.10英寸轻量化大功率、长冲程Ferrite低音驱动单元。</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2.2*3寸纸盆高音单元。</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3.90°*90°覆盖角设计，具有均匀且平滑的轴向和偏轴向的响应；使声音的音场更为开阔、结像清晰，可以真实再现音乐现场的效果</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4.分频器具有高频保护电路；精确设计的分频器优化了频率响应，提升了中频人声表现力。</w:t>
            </w:r>
            <w:r>
              <w:rPr>
                <w:rFonts w:hint="eastAsia" w:ascii="仿宋" w:hAnsi="仿宋" w:eastAsia="仿宋" w:cs="仿宋"/>
                <w:i w:val="0"/>
                <w:iCs w:val="0"/>
                <w:color w:val="auto"/>
                <w:kern w:val="0"/>
                <w:sz w:val="21"/>
                <w:szCs w:val="21"/>
                <w:highlight w:val="none"/>
                <w:u w:val="none"/>
                <w:lang w:val="en-US" w:eastAsia="zh-CN" w:bidi="ar"/>
              </w:rPr>
              <w:br w:type="textWrapping"/>
            </w:r>
            <w:r>
              <w:rPr>
                <w:color w:val="auto"/>
                <w:highlight w:val="none"/>
              </w:rPr>
              <w:drawing>
                <wp:anchor distT="0" distB="0" distL="114300" distR="114300" simplePos="0" relativeHeight="251696128" behindDoc="0" locked="0" layoutInCell="1" allowOverlap="1">
                  <wp:simplePos x="0" y="0"/>
                  <wp:positionH relativeFrom="column">
                    <wp:posOffset>3651250</wp:posOffset>
                  </wp:positionH>
                  <wp:positionV relativeFrom="paragraph">
                    <wp:posOffset>972185</wp:posOffset>
                  </wp:positionV>
                  <wp:extent cx="1008380" cy="1431290"/>
                  <wp:effectExtent l="0" t="0" r="1270" b="16510"/>
                  <wp:wrapNone/>
                  <wp:docPr id="39"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4"/>
                          <pic:cNvPicPr>
                            <a:picLocks noChangeAspect="1"/>
                          </pic:cNvPicPr>
                        </pic:nvPicPr>
                        <pic:blipFill>
                          <a:blip r:embed="rId52"/>
                          <a:stretch>
                            <a:fillRect/>
                          </a:stretch>
                        </pic:blipFill>
                        <pic:spPr>
                          <a:xfrm>
                            <a:off x="0" y="0"/>
                            <a:ext cx="1008380" cy="1431290"/>
                          </a:xfrm>
                          <a:prstGeom prst="rect">
                            <a:avLst/>
                          </a:prstGeom>
                          <a:noFill/>
                          <a:ln>
                            <a:noFill/>
                          </a:ln>
                        </pic:spPr>
                      </pic:pic>
                    </a:graphicData>
                  </a:graphic>
                </wp:anchor>
              </w:drawing>
            </w:r>
            <w:r>
              <w:rPr>
                <w:rFonts w:hint="eastAsia" w:ascii="仿宋" w:hAnsi="仿宋" w:eastAsia="仿宋" w:cs="仿宋"/>
                <w:i w:val="0"/>
                <w:iCs w:val="0"/>
                <w:color w:val="auto"/>
                <w:kern w:val="0"/>
                <w:sz w:val="21"/>
                <w:szCs w:val="21"/>
                <w:highlight w:val="none"/>
                <w:u w:val="none"/>
                <w:lang w:val="en-US" w:eastAsia="zh-CN" w:bidi="ar"/>
              </w:rPr>
              <w:t>5.箱体采用12 mm优质中密度纤维板，强度高、密度大，可以有效的减少箱体谐振。</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6.箱体表面采用环保水性漆，防滑、耐磨。7.采用钢质防护网，内衬专业声学透声网。</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8.专业多功能吊装方式：多点M8 螺丝吊装孔位；音箱底部Φ35mm支撑座。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9.可配专业吊挂支架，方便音箱多角度旋转。</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10.专业四芯接插。</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11.额定/峰值功率：100W/400W。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12.额定阻抗：8Ω。</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13.特性灵敏度：95dB/W/m。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14.输出声压级：115 dB/W/m(Continues)  121 dB/W/m(Peak)。</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15.额定频率范围：60Hz～20000Hz。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16.覆盖角度H×V： 90 °*90 °。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17.扬声器单元：LF:1*10英寸，HF:2* 3寸纸盆。</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18.输入接口：NL4MP×1。</w:t>
            </w:r>
          </w:p>
        </w:tc>
        <w:tc>
          <w:tcPr>
            <w:tcW w:w="640" w:type="dxa"/>
            <w:shd w:val="clear" w:color="auto" w:fill="auto"/>
            <w:vAlign w:val="center"/>
          </w:tcPr>
          <w:p w14:paraId="505CFAE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055B891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w:t>
            </w:r>
          </w:p>
        </w:tc>
        <w:tc>
          <w:tcPr>
            <w:tcW w:w="1835" w:type="dxa"/>
            <w:shd w:val="clear" w:color="auto" w:fill="auto"/>
          </w:tcPr>
          <w:p w14:paraId="4A7578DB">
            <w:pPr>
              <w:pStyle w:val="60"/>
              <w:rPr>
                <w:color w:val="auto"/>
                <w:highlight w:val="none"/>
              </w:rPr>
            </w:pPr>
          </w:p>
        </w:tc>
      </w:tr>
      <w:tr w14:paraId="4BBDB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9" w:hRule="atLeast"/>
        </w:trPr>
        <w:tc>
          <w:tcPr>
            <w:tcW w:w="543" w:type="dxa"/>
            <w:shd w:val="clear" w:color="auto" w:fill="auto"/>
            <w:vAlign w:val="center"/>
          </w:tcPr>
          <w:p w14:paraId="7377EB29">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39</w:t>
            </w:r>
          </w:p>
        </w:tc>
        <w:tc>
          <w:tcPr>
            <w:tcW w:w="1110" w:type="dxa"/>
            <w:shd w:val="clear" w:color="auto" w:fill="auto"/>
            <w:vAlign w:val="center"/>
          </w:tcPr>
          <w:p w14:paraId="2DD8AE7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舞蹈房专业功放</w:t>
            </w:r>
          </w:p>
        </w:tc>
        <w:tc>
          <w:tcPr>
            <w:tcW w:w="4110" w:type="dxa"/>
            <w:shd w:val="clear" w:color="auto" w:fill="auto"/>
            <w:vAlign w:val="center"/>
          </w:tcPr>
          <w:p w14:paraId="54F9E9E7">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1.功放类型：D类或TD类，电源工作范围：AC 100-240V 50Hz。</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2.具备超高开环增益及双重负反馈技术，保证功放稳定可靠的同时，还具有超低失真度。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3.保护功能：开机电源软启动，过热、过流、短路和DC漂移等多重检测保护性能；为保证项目质量、技术性能真实性。</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4.工作模式：立体声、并接、桥接。</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5.额定功率：2×200W/8Ω，2×300W/4Ω，1×600W/8Ω。</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6.频率响应：20Hz～20kHz（(±1dB)）。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7.总谐波失真≤0.1%。</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8.串音衰减≥70dB。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9.信噪比(A计权)≥100dB。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10.阻尼系数（8Ω 20Hz-200Hz）≥250。</w:t>
            </w:r>
          </w:p>
        </w:tc>
        <w:tc>
          <w:tcPr>
            <w:tcW w:w="640" w:type="dxa"/>
            <w:shd w:val="clear" w:color="auto" w:fill="auto"/>
            <w:vAlign w:val="center"/>
          </w:tcPr>
          <w:p w14:paraId="3A45FE9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个</w:t>
            </w:r>
          </w:p>
        </w:tc>
        <w:tc>
          <w:tcPr>
            <w:tcW w:w="936" w:type="dxa"/>
            <w:shd w:val="clear" w:color="auto" w:fill="auto"/>
            <w:vAlign w:val="center"/>
          </w:tcPr>
          <w:p w14:paraId="2A516B9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316DD954">
            <w:pPr>
              <w:pStyle w:val="60"/>
              <w:rPr>
                <w:color w:val="auto"/>
                <w:highlight w:val="none"/>
              </w:rPr>
            </w:pPr>
            <w:r>
              <w:rPr>
                <w:color w:val="auto"/>
                <w:highlight w:val="none"/>
              </w:rPr>
              <w:drawing>
                <wp:anchor distT="0" distB="0" distL="114300" distR="114300" simplePos="0" relativeHeight="251697152" behindDoc="0" locked="0" layoutInCell="1" allowOverlap="1">
                  <wp:simplePos x="0" y="0"/>
                  <wp:positionH relativeFrom="column">
                    <wp:posOffset>-13970</wp:posOffset>
                  </wp:positionH>
                  <wp:positionV relativeFrom="paragraph">
                    <wp:posOffset>827405</wp:posOffset>
                  </wp:positionV>
                  <wp:extent cx="1078230" cy="351155"/>
                  <wp:effectExtent l="0" t="0" r="7620" b="10795"/>
                  <wp:wrapNone/>
                  <wp:docPr id="40"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5"/>
                          <pic:cNvPicPr>
                            <a:picLocks noChangeAspect="1"/>
                          </pic:cNvPicPr>
                        </pic:nvPicPr>
                        <pic:blipFill>
                          <a:blip r:embed="rId53"/>
                          <a:stretch>
                            <a:fillRect/>
                          </a:stretch>
                        </pic:blipFill>
                        <pic:spPr>
                          <a:xfrm>
                            <a:off x="0" y="0"/>
                            <a:ext cx="1078230" cy="351155"/>
                          </a:xfrm>
                          <a:prstGeom prst="rect">
                            <a:avLst/>
                          </a:prstGeom>
                          <a:noFill/>
                          <a:ln>
                            <a:noFill/>
                          </a:ln>
                        </pic:spPr>
                      </pic:pic>
                    </a:graphicData>
                  </a:graphic>
                </wp:anchor>
              </w:drawing>
            </w:r>
          </w:p>
        </w:tc>
      </w:tr>
      <w:tr w14:paraId="78668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1B42574B">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40</w:t>
            </w:r>
          </w:p>
        </w:tc>
        <w:tc>
          <w:tcPr>
            <w:tcW w:w="1110" w:type="dxa"/>
            <w:shd w:val="clear" w:color="auto" w:fill="auto"/>
            <w:vAlign w:val="center"/>
          </w:tcPr>
          <w:p w14:paraId="71C06D7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调音台</w:t>
            </w:r>
          </w:p>
        </w:tc>
        <w:tc>
          <w:tcPr>
            <w:tcW w:w="4110" w:type="dxa"/>
            <w:shd w:val="clear" w:color="auto" w:fill="auto"/>
            <w:vAlign w:val="center"/>
          </w:tcPr>
          <w:p w14:paraId="14B3B9E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1.（XLR接口），1组立体声RCA输入，1组返回输入（2路 6.35接口）1路USB输入；</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2.8路插入点（6.35接口）；</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3.两组立体声输出，2路编组输出，2路辅助输出，1路立体声监听输出，1路立体声耳机输出，1组立体声录音输出；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4.效果可以发送至辅助输出，编组输出与立体声输出；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5.多媒体输入可以发送至辅助输出、编组输出与立体声输出；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6.每路话放带低切功能；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7.支持蓝牙接收功能；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8.内置99种DSP效果器；</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10.主输出7段图示均衡器；</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11.14个60mm行程推子；</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12.支持通道监听；</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13.支持声音控制（话筒优先）；</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14.频率响应：20Hz～20kHz（±1dB）；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15.总谐波失真：≤0.05%@0dBu，1kHz；</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16.信噪比≥95dB；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17.话筒增益≥70dB；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18.线路增益≥58dB；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19.最大输入电平≥18dBu；</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20.最大输出电平≥18dBu。</w:t>
            </w:r>
          </w:p>
        </w:tc>
        <w:tc>
          <w:tcPr>
            <w:tcW w:w="640" w:type="dxa"/>
            <w:shd w:val="clear" w:color="auto" w:fill="auto"/>
            <w:vAlign w:val="center"/>
          </w:tcPr>
          <w:p w14:paraId="2D98DAD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27DE530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14DF0548">
            <w:pPr>
              <w:pStyle w:val="60"/>
              <w:rPr>
                <w:color w:val="auto"/>
                <w:highlight w:val="none"/>
              </w:rPr>
            </w:pPr>
            <w:r>
              <w:rPr>
                <w:color w:val="auto"/>
                <w:highlight w:val="none"/>
              </w:rPr>
              <w:drawing>
                <wp:anchor distT="0" distB="0" distL="114300" distR="114300" simplePos="0" relativeHeight="251698176" behindDoc="0" locked="0" layoutInCell="1" allowOverlap="1">
                  <wp:simplePos x="0" y="0"/>
                  <wp:positionH relativeFrom="column">
                    <wp:posOffset>13970</wp:posOffset>
                  </wp:positionH>
                  <wp:positionV relativeFrom="paragraph">
                    <wp:posOffset>374015</wp:posOffset>
                  </wp:positionV>
                  <wp:extent cx="1014730" cy="1104265"/>
                  <wp:effectExtent l="0" t="0" r="13970" b="635"/>
                  <wp:wrapNone/>
                  <wp:docPr id="41"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6"/>
                          <pic:cNvPicPr>
                            <a:picLocks noChangeAspect="1"/>
                          </pic:cNvPicPr>
                        </pic:nvPicPr>
                        <pic:blipFill>
                          <a:blip r:embed="rId54"/>
                          <a:stretch>
                            <a:fillRect/>
                          </a:stretch>
                        </pic:blipFill>
                        <pic:spPr>
                          <a:xfrm>
                            <a:off x="0" y="0"/>
                            <a:ext cx="1014730" cy="1104265"/>
                          </a:xfrm>
                          <a:prstGeom prst="rect">
                            <a:avLst/>
                          </a:prstGeom>
                          <a:noFill/>
                          <a:ln>
                            <a:noFill/>
                          </a:ln>
                        </pic:spPr>
                      </pic:pic>
                    </a:graphicData>
                  </a:graphic>
                </wp:anchor>
              </w:drawing>
            </w:r>
          </w:p>
        </w:tc>
      </w:tr>
      <w:tr w14:paraId="204E0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3BE64BDB">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41</w:t>
            </w:r>
          </w:p>
        </w:tc>
        <w:tc>
          <w:tcPr>
            <w:tcW w:w="1110" w:type="dxa"/>
            <w:shd w:val="clear" w:color="auto" w:fill="auto"/>
            <w:vAlign w:val="center"/>
          </w:tcPr>
          <w:p w14:paraId="412FDCD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一拖二无线手持话筒</w:t>
            </w:r>
          </w:p>
        </w:tc>
        <w:tc>
          <w:tcPr>
            <w:tcW w:w="4110" w:type="dxa"/>
            <w:shd w:val="clear" w:color="auto" w:fill="auto"/>
            <w:vAlign w:val="center"/>
          </w:tcPr>
          <w:p w14:paraId="2E19AC7C">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1.EIA 标准 1U，双通道分集式接；</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2.黑色金属面板，LED 段码显示器，可同时显示群组、频率、电池电量、静音位准、电</w:t>
            </w:r>
            <w:r>
              <w:rPr>
                <w:color w:val="auto"/>
                <w:highlight w:val="none"/>
              </w:rPr>
              <w:drawing>
                <wp:anchor distT="0" distB="0" distL="114300" distR="114300" simplePos="0" relativeHeight="251699200" behindDoc="0" locked="0" layoutInCell="1" allowOverlap="1">
                  <wp:simplePos x="0" y="0"/>
                  <wp:positionH relativeFrom="column">
                    <wp:posOffset>3615055</wp:posOffset>
                  </wp:positionH>
                  <wp:positionV relativeFrom="paragraph">
                    <wp:posOffset>215900</wp:posOffset>
                  </wp:positionV>
                  <wp:extent cx="1036320" cy="790575"/>
                  <wp:effectExtent l="0" t="0" r="11430" b="9525"/>
                  <wp:wrapNone/>
                  <wp:docPr id="42"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7"/>
                          <pic:cNvPicPr>
                            <a:picLocks noChangeAspect="1"/>
                          </pic:cNvPicPr>
                        </pic:nvPicPr>
                        <pic:blipFill>
                          <a:blip r:embed="rId55"/>
                          <a:stretch>
                            <a:fillRect/>
                          </a:stretch>
                        </pic:blipFill>
                        <pic:spPr>
                          <a:xfrm>
                            <a:off x="0" y="0"/>
                            <a:ext cx="1036320" cy="790575"/>
                          </a:xfrm>
                          <a:prstGeom prst="rect">
                            <a:avLst/>
                          </a:prstGeom>
                          <a:noFill/>
                          <a:ln>
                            <a:noFill/>
                          </a:ln>
                        </pic:spPr>
                      </pic:pic>
                    </a:graphicData>
                  </a:graphic>
                </wp:anchor>
              </w:drawing>
            </w:r>
            <w:r>
              <w:rPr>
                <w:rFonts w:hint="eastAsia" w:ascii="仿宋" w:hAnsi="仿宋" w:eastAsia="仿宋" w:cs="仿宋"/>
                <w:i w:val="0"/>
                <w:iCs w:val="0"/>
                <w:color w:val="auto"/>
                <w:kern w:val="0"/>
                <w:sz w:val="21"/>
                <w:szCs w:val="21"/>
                <w:highlight w:val="none"/>
                <w:u w:val="none"/>
                <w:lang w:val="en-US" w:eastAsia="zh-CN" w:bidi="ar"/>
              </w:rPr>
              <w:t>子音量等相关信息；LED 灯柱显示 RF/AF 强度；</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3.载波频段:UHF530～690.000MHZ； 单机频道数量：2000个；</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4.频率间隔：25KHz；</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5.音频灵敏度: -48±3dB；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6.综合 S/N 比：&gt;100dB(A)；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7.频率响应: 70Hz～15kHz；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8.指向性频响曲线:300～2000Hz≤-8dB；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9.支持AC电源环路输出和射频天线环路输出。</w:t>
            </w:r>
          </w:p>
        </w:tc>
        <w:tc>
          <w:tcPr>
            <w:tcW w:w="640" w:type="dxa"/>
            <w:shd w:val="clear" w:color="auto" w:fill="auto"/>
            <w:vAlign w:val="center"/>
          </w:tcPr>
          <w:p w14:paraId="27AEB91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24DAE5F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3681407E">
            <w:pPr>
              <w:pStyle w:val="60"/>
              <w:rPr>
                <w:color w:val="auto"/>
                <w:highlight w:val="none"/>
              </w:rPr>
            </w:pPr>
          </w:p>
        </w:tc>
      </w:tr>
      <w:tr w14:paraId="66E4E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43" w:type="dxa"/>
            <w:shd w:val="clear" w:color="auto" w:fill="auto"/>
            <w:vAlign w:val="center"/>
          </w:tcPr>
          <w:p w14:paraId="52742F14">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42</w:t>
            </w:r>
          </w:p>
        </w:tc>
        <w:tc>
          <w:tcPr>
            <w:tcW w:w="1110" w:type="dxa"/>
            <w:shd w:val="clear" w:color="auto" w:fill="auto"/>
            <w:vAlign w:val="center"/>
          </w:tcPr>
          <w:p w14:paraId="37BC7ED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反馈抑制器</w:t>
            </w:r>
          </w:p>
        </w:tc>
        <w:tc>
          <w:tcPr>
            <w:tcW w:w="4110" w:type="dxa"/>
            <w:shd w:val="clear" w:color="auto" w:fill="auto"/>
            <w:vAlign w:val="center"/>
          </w:tcPr>
          <w:p w14:paraId="08EA7E0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1.不少于18段双通道滤波器，支持同时自动移相移频功能；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2.不少于双12段参量均衡，支持高低通分频；</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3.配备12个场景保存调用功能，开关机自动记忆功能；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4.频率响应不低于30Hz-18KHz；</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5.陷波点数：18x2静动态可设；</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6.支持密码锁定/解锁；</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7.语言选择：中英文；</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8.保护：开关机防冲击设计；</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9.电源：AC 110V-AC 220V 50-60Hz。</w:t>
            </w:r>
          </w:p>
        </w:tc>
        <w:tc>
          <w:tcPr>
            <w:tcW w:w="640" w:type="dxa"/>
            <w:shd w:val="clear" w:color="auto" w:fill="auto"/>
            <w:vAlign w:val="center"/>
          </w:tcPr>
          <w:p w14:paraId="654DB36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4A8DBE3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6EA311C5">
            <w:pPr>
              <w:pStyle w:val="60"/>
              <w:rPr>
                <w:color w:val="auto"/>
                <w:highlight w:val="none"/>
              </w:rPr>
            </w:pPr>
            <w:r>
              <w:rPr>
                <w:color w:val="auto"/>
                <w:highlight w:val="none"/>
              </w:rPr>
              <w:drawing>
                <wp:anchor distT="0" distB="0" distL="114300" distR="114300" simplePos="0" relativeHeight="251700224" behindDoc="0" locked="0" layoutInCell="1" allowOverlap="1">
                  <wp:simplePos x="0" y="0"/>
                  <wp:positionH relativeFrom="column">
                    <wp:posOffset>-5080</wp:posOffset>
                  </wp:positionH>
                  <wp:positionV relativeFrom="paragraph">
                    <wp:posOffset>832485</wp:posOffset>
                  </wp:positionV>
                  <wp:extent cx="1069340" cy="474980"/>
                  <wp:effectExtent l="0" t="0" r="16510" b="1270"/>
                  <wp:wrapNone/>
                  <wp:docPr id="43"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8"/>
                          <pic:cNvPicPr>
                            <a:picLocks noChangeAspect="1"/>
                          </pic:cNvPicPr>
                        </pic:nvPicPr>
                        <pic:blipFill>
                          <a:blip r:embed="rId56"/>
                          <a:stretch>
                            <a:fillRect/>
                          </a:stretch>
                        </pic:blipFill>
                        <pic:spPr>
                          <a:xfrm>
                            <a:off x="0" y="0"/>
                            <a:ext cx="1069340" cy="474980"/>
                          </a:xfrm>
                          <a:prstGeom prst="rect">
                            <a:avLst/>
                          </a:prstGeom>
                          <a:noFill/>
                          <a:ln>
                            <a:noFill/>
                          </a:ln>
                        </pic:spPr>
                      </pic:pic>
                    </a:graphicData>
                  </a:graphic>
                </wp:anchor>
              </w:drawing>
            </w:r>
          </w:p>
        </w:tc>
      </w:tr>
      <w:tr w14:paraId="21BCC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2" w:hRule="atLeast"/>
        </w:trPr>
        <w:tc>
          <w:tcPr>
            <w:tcW w:w="543" w:type="dxa"/>
            <w:shd w:val="clear" w:color="auto" w:fill="auto"/>
            <w:vAlign w:val="center"/>
          </w:tcPr>
          <w:p w14:paraId="7A8733B3">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43</w:t>
            </w:r>
          </w:p>
        </w:tc>
        <w:tc>
          <w:tcPr>
            <w:tcW w:w="1110" w:type="dxa"/>
            <w:shd w:val="clear" w:color="auto" w:fill="auto"/>
            <w:vAlign w:val="center"/>
          </w:tcPr>
          <w:p w14:paraId="5F55498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数字效果器</w:t>
            </w:r>
          </w:p>
        </w:tc>
        <w:tc>
          <w:tcPr>
            <w:tcW w:w="4110" w:type="dxa"/>
            <w:shd w:val="clear" w:color="auto" w:fill="auto"/>
            <w:vAlign w:val="center"/>
          </w:tcPr>
          <w:p w14:paraId="4ED7E999">
            <w:pPr>
              <w:keepNext w:val="0"/>
              <w:keepLines w:val="0"/>
              <w:pageBreakBefore w:val="0"/>
              <w:widowControl/>
              <w:suppressLineNumbers w:val="0"/>
              <w:kinsoku/>
              <w:wordWrap/>
              <w:overflowPunct/>
              <w:topLinePunct w:val="0"/>
              <w:autoSpaceDE/>
              <w:autoSpaceDN/>
              <w:bidi w:val="0"/>
              <w:adjustRightInd w:val="0"/>
              <w:snapToGrid/>
              <w:spacing w:line="260" w:lineRule="exact"/>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一、基础参数</w:t>
            </w:r>
          </w:p>
          <w:p w14:paraId="48AE03E7">
            <w:pPr>
              <w:keepNext w:val="0"/>
              <w:keepLines w:val="0"/>
              <w:pageBreakBefore w:val="0"/>
              <w:widowControl/>
              <w:suppressLineNumbers w:val="0"/>
              <w:kinsoku/>
              <w:wordWrap/>
              <w:overflowPunct/>
              <w:topLinePunct w:val="0"/>
              <w:autoSpaceDE/>
              <w:autoSpaceDN/>
              <w:bidi w:val="0"/>
              <w:adjustRightInd w:val="0"/>
              <w:snapToGrid/>
              <w:spacing w:line="260" w:lineRule="exact"/>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1.2寸LCD彩色液晶屏，全中文显示；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2.2组立体声输入，支持模拟或者光纤同轴/蓝牙数字输入；</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3.2路麦克风输入，带独立增益调节；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4.音乐15段PEQ，麦克风双路独立15段PEQ，外加高低通调节;</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5.效果回声、混响独立设有高、低通/5段PEQ,混响3种模式可选择；</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6.所有输出通道分别设12段参量均衡(PEQ),高低通，输入选择及混合比例极性、增益、压限、延时、静音功能；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7.采用专业级第四代SHARC高速450 MHZ DSP处理器，32bit/768kHz D/A转换器及24位线性PCM/216kHz采样率的A/D转换器；</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8.配有专业PC设备管理控制软件来操作，提供USB免驱接口可连接电脑:支持RS485中控端口；</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9.可保存21组场景，支持数据导入导出功能；</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二、技术指标：</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10.频率响应：20Hz-20kHz；</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11.总谐波失真：≤0.01%；</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12.信噪比（A计权）：≥90dB；</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13.最大输入电平：18dBu；</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14.最大输出电平：17dBu。</w:t>
            </w:r>
          </w:p>
        </w:tc>
        <w:tc>
          <w:tcPr>
            <w:tcW w:w="640" w:type="dxa"/>
            <w:shd w:val="clear" w:color="auto" w:fill="auto"/>
            <w:vAlign w:val="center"/>
          </w:tcPr>
          <w:p w14:paraId="3CB0D9C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4AA530C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5DE31C39">
            <w:pPr>
              <w:pStyle w:val="60"/>
              <w:rPr>
                <w:color w:val="auto"/>
                <w:highlight w:val="none"/>
              </w:rPr>
            </w:pPr>
            <w:r>
              <w:rPr>
                <w:color w:val="auto"/>
                <w:highlight w:val="none"/>
              </w:rPr>
              <w:drawing>
                <wp:anchor distT="0" distB="0" distL="114300" distR="114300" simplePos="0" relativeHeight="251701248" behindDoc="0" locked="0" layoutInCell="1" allowOverlap="1">
                  <wp:simplePos x="0" y="0"/>
                  <wp:positionH relativeFrom="column">
                    <wp:posOffset>57785</wp:posOffset>
                  </wp:positionH>
                  <wp:positionV relativeFrom="paragraph">
                    <wp:posOffset>806450</wp:posOffset>
                  </wp:positionV>
                  <wp:extent cx="1033145" cy="356235"/>
                  <wp:effectExtent l="0" t="0" r="14605" b="5715"/>
                  <wp:wrapNone/>
                  <wp:docPr id="44"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39"/>
                          <pic:cNvPicPr>
                            <a:picLocks noChangeAspect="1"/>
                          </pic:cNvPicPr>
                        </pic:nvPicPr>
                        <pic:blipFill>
                          <a:blip r:embed="rId57"/>
                          <a:stretch>
                            <a:fillRect/>
                          </a:stretch>
                        </pic:blipFill>
                        <pic:spPr>
                          <a:xfrm>
                            <a:off x="0" y="0"/>
                            <a:ext cx="1033145" cy="356235"/>
                          </a:xfrm>
                          <a:prstGeom prst="rect">
                            <a:avLst/>
                          </a:prstGeom>
                          <a:noFill/>
                          <a:ln>
                            <a:noFill/>
                          </a:ln>
                        </pic:spPr>
                      </pic:pic>
                    </a:graphicData>
                  </a:graphic>
                </wp:anchor>
              </w:drawing>
            </w:r>
          </w:p>
        </w:tc>
      </w:tr>
      <w:tr w14:paraId="51F79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43" w:type="dxa"/>
            <w:shd w:val="clear" w:color="auto" w:fill="auto"/>
            <w:vAlign w:val="center"/>
          </w:tcPr>
          <w:p w14:paraId="05785049">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44</w:t>
            </w:r>
          </w:p>
        </w:tc>
        <w:tc>
          <w:tcPr>
            <w:tcW w:w="1110" w:type="dxa"/>
            <w:shd w:val="clear" w:color="auto" w:fill="auto"/>
            <w:vAlign w:val="center"/>
          </w:tcPr>
          <w:p w14:paraId="2A2AC47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电源时序器</w:t>
            </w:r>
          </w:p>
        </w:tc>
        <w:tc>
          <w:tcPr>
            <w:tcW w:w="4110" w:type="dxa"/>
            <w:shd w:val="clear" w:color="auto" w:fill="auto"/>
            <w:vAlign w:val="center"/>
          </w:tcPr>
          <w:p w14:paraId="359075C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1.不少于8路可控电源（国标五孔插座）</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2.单通道最大输出电流不小于10A；</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3.额定总输出电源不小于25A；内置25A电源滤波器；总电源带空气开关；</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4.针对不同设备启动时间，每路电源开关时间支持不小于60秒设定；</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5.前面板带市电电压显示；</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6.不少于24组用户存储模式；</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7.设备支持手动、PC、安卓移动端控制；</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8.控制接口不少于1路RS232、1路RJ45。</w:t>
            </w:r>
          </w:p>
        </w:tc>
        <w:tc>
          <w:tcPr>
            <w:tcW w:w="640" w:type="dxa"/>
            <w:shd w:val="clear" w:color="auto" w:fill="auto"/>
            <w:vAlign w:val="center"/>
          </w:tcPr>
          <w:p w14:paraId="5741CB4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25A4C08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4D6E8D01">
            <w:pPr>
              <w:pStyle w:val="60"/>
              <w:rPr>
                <w:color w:val="auto"/>
                <w:highlight w:val="none"/>
              </w:rPr>
            </w:pPr>
            <w:r>
              <w:rPr>
                <w:color w:val="auto"/>
                <w:highlight w:val="none"/>
              </w:rPr>
              <w:drawing>
                <wp:anchor distT="0" distB="0" distL="114300" distR="114300" simplePos="0" relativeHeight="251702272" behindDoc="0" locked="0" layoutInCell="1" allowOverlap="1">
                  <wp:simplePos x="0" y="0"/>
                  <wp:positionH relativeFrom="column">
                    <wp:posOffset>-34925</wp:posOffset>
                  </wp:positionH>
                  <wp:positionV relativeFrom="paragraph">
                    <wp:posOffset>772160</wp:posOffset>
                  </wp:positionV>
                  <wp:extent cx="1045845" cy="417830"/>
                  <wp:effectExtent l="0" t="0" r="1905" b="1270"/>
                  <wp:wrapNone/>
                  <wp:docPr id="45"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0"/>
                          <pic:cNvPicPr>
                            <a:picLocks noChangeAspect="1"/>
                          </pic:cNvPicPr>
                        </pic:nvPicPr>
                        <pic:blipFill>
                          <a:blip r:embed="rId58"/>
                          <a:stretch>
                            <a:fillRect/>
                          </a:stretch>
                        </pic:blipFill>
                        <pic:spPr>
                          <a:xfrm>
                            <a:off x="0" y="0"/>
                            <a:ext cx="1045845" cy="417830"/>
                          </a:xfrm>
                          <a:prstGeom prst="rect">
                            <a:avLst/>
                          </a:prstGeom>
                          <a:noFill/>
                          <a:ln>
                            <a:noFill/>
                          </a:ln>
                        </pic:spPr>
                      </pic:pic>
                    </a:graphicData>
                  </a:graphic>
                </wp:anchor>
              </w:drawing>
            </w:r>
          </w:p>
        </w:tc>
      </w:tr>
      <w:tr w14:paraId="46D5E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27" w:hRule="atLeast"/>
        </w:trPr>
        <w:tc>
          <w:tcPr>
            <w:tcW w:w="543" w:type="dxa"/>
            <w:shd w:val="clear" w:color="auto" w:fill="auto"/>
            <w:vAlign w:val="center"/>
          </w:tcPr>
          <w:p w14:paraId="39A23AFB">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45</w:t>
            </w:r>
          </w:p>
        </w:tc>
        <w:tc>
          <w:tcPr>
            <w:tcW w:w="1110" w:type="dxa"/>
            <w:shd w:val="clear" w:color="auto" w:fill="auto"/>
            <w:vAlign w:val="center"/>
          </w:tcPr>
          <w:p w14:paraId="6BCB3F8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机柜</w:t>
            </w:r>
          </w:p>
        </w:tc>
        <w:tc>
          <w:tcPr>
            <w:tcW w:w="4110" w:type="dxa"/>
            <w:shd w:val="clear" w:color="auto" w:fill="auto"/>
            <w:vAlign w:val="center"/>
          </w:tcPr>
          <w:p w14:paraId="5941B76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1.容量</w:t>
            </w:r>
            <w:r>
              <w:rPr>
                <w:rFonts w:hint="default" w:ascii="仿宋" w:hAnsi="仿宋" w:eastAsia="仿宋" w:cs="仿宋"/>
                <w:i w:val="0"/>
                <w:iCs w:val="0"/>
                <w:color w:val="auto"/>
                <w:kern w:val="0"/>
                <w:sz w:val="21"/>
                <w:szCs w:val="21"/>
                <w:highlight w:val="none"/>
                <w:u w:val="none"/>
                <w:lang w:val="en-US" w:eastAsia="zh-CN" w:bidi="ar"/>
              </w:rPr>
              <w:t>‌：18U</w:t>
            </w:r>
            <w:r>
              <w:rPr>
                <w:rFonts w:hint="eastAsia" w:ascii="仿宋" w:hAnsi="仿宋" w:eastAsia="仿宋" w:cs="仿宋"/>
                <w:i w:val="0"/>
                <w:iCs w:val="0"/>
                <w:color w:val="auto"/>
                <w:kern w:val="0"/>
                <w:sz w:val="21"/>
                <w:szCs w:val="21"/>
                <w:highlight w:val="none"/>
                <w:u w:val="none"/>
                <w:lang w:val="en-US" w:eastAsia="zh-CN" w:bidi="ar"/>
              </w:rPr>
              <w:t>；</w:t>
            </w:r>
          </w:p>
          <w:p w14:paraId="73927CF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r>
              <w:rPr>
                <w:rFonts w:hint="default" w:ascii="仿宋" w:hAnsi="仿宋" w:eastAsia="仿宋" w:cs="仿宋"/>
                <w:i w:val="0"/>
                <w:iCs w:val="0"/>
                <w:color w:val="auto"/>
                <w:kern w:val="0"/>
                <w:sz w:val="21"/>
                <w:szCs w:val="21"/>
                <w:highlight w:val="none"/>
                <w:u w:val="none"/>
                <w:lang w:val="en-US" w:eastAsia="zh-CN" w:bidi="ar"/>
              </w:rPr>
              <w:t>‌门及门锁‌：玻璃门</w:t>
            </w:r>
            <w:r>
              <w:rPr>
                <w:rFonts w:hint="eastAsia" w:ascii="仿宋" w:hAnsi="仿宋" w:eastAsia="仿宋" w:cs="仿宋"/>
                <w:i w:val="0"/>
                <w:iCs w:val="0"/>
                <w:color w:val="auto"/>
                <w:kern w:val="0"/>
                <w:sz w:val="21"/>
                <w:szCs w:val="21"/>
                <w:highlight w:val="none"/>
                <w:u w:val="none"/>
                <w:lang w:val="en-US" w:eastAsia="zh-CN" w:bidi="ar"/>
              </w:rPr>
              <w:t>；</w:t>
            </w:r>
          </w:p>
          <w:p w14:paraId="011F279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w:t>
            </w:r>
            <w:r>
              <w:rPr>
                <w:rFonts w:hint="default" w:ascii="仿宋" w:hAnsi="仿宋" w:eastAsia="仿宋" w:cs="仿宋"/>
                <w:i w:val="0"/>
                <w:iCs w:val="0"/>
                <w:color w:val="auto"/>
                <w:kern w:val="0"/>
                <w:sz w:val="21"/>
                <w:szCs w:val="21"/>
                <w:highlight w:val="none"/>
                <w:u w:val="none"/>
                <w:lang w:val="en-US" w:eastAsia="zh-CN" w:bidi="ar"/>
              </w:rPr>
              <w:t>‌尺寸‌：600mm（宽）x 600mm（深）x 988mm（高）</w:t>
            </w:r>
            <w:r>
              <w:rPr>
                <w:rFonts w:hint="eastAsia" w:ascii="仿宋" w:hAnsi="仿宋" w:eastAsia="仿宋" w:cs="仿宋"/>
                <w:i w:val="0"/>
                <w:iCs w:val="0"/>
                <w:color w:val="auto"/>
                <w:kern w:val="0"/>
                <w:sz w:val="21"/>
                <w:szCs w:val="21"/>
                <w:highlight w:val="none"/>
                <w:u w:val="none"/>
                <w:lang w:val="en-US" w:eastAsia="zh-CN" w:bidi="ar"/>
              </w:rPr>
              <w:t>；</w:t>
            </w:r>
          </w:p>
          <w:p w14:paraId="066E1F31">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w:t>
            </w:r>
            <w:r>
              <w:rPr>
                <w:rFonts w:hint="default" w:ascii="仿宋" w:hAnsi="仿宋" w:eastAsia="仿宋" w:cs="仿宋"/>
                <w:i w:val="0"/>
                <w:iCs w:val="0"/>
                <w:color w:val="auto"/>
                <w:kern w:val="0"/>
                <w:sz w:val="21"/>
                <w:szCs w:val="21"/>
                <w:highlight w:val="none"/>
                <w:u w:val="none"/>
                <w:lang w:val="en-US" w:eastAsia="zh-CN" w:bidi="ar"/>
              </w:rPr>
              <w:t>‌附加功能‌：固定板一块、风扇部件1组（4只两寸重型脚轮）、M6方螺母钉20套、内六角扳手一只</w:t>
            </w:r>
            <w:r>
              <w:rPr>
                <w:rFonts w:hint="eastAsia" w:ascii="仿宋" w:hAnsi="仿宋" w:eastAsia="仿宋" w:cs="仿宋"/>
                <w:i w:val="0"/>
                <w:iCs w:val="0"/>
                <w:color w:val="auto"/>
                <w:kern w:val="0"/>
                <w:sz w:val="21"/>
                <w:szCs w:val="21"/>
                <w:highlight w:val="none"/>
                <w:u w:val="none"/>
                <w:lang w:val="en-US" w:eastAsia="zh-CN" w:bidi="ar"/>
              </w:rPr>
              <w:t>。</w:t>
            </w:r>
          </w:p>
        </w:tc>
        <w:tc>
          <w:tcPr>
            <w:tcW w:w="640" w:type="dxa"/>
            <w:shd w:val="clear" w:color="auto" w:fill="auto"/>
            <w:vAlign w:val="center"/>
          </w:tcPr>
          <w:p w14:paraId="0E19B43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003EF4E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073CCBC9">
            <w:pPr>
              <w:pStyle w:val="60"/>
              <w:rPr>
                <w:color w:val="auto"/>
                <w:highlight w:val="none"/>
              </w:rPr>
            </w:pPr>
            <w:r>
              <w:rPr>
                <w:color w:val="auto"/>
                <w:highlight w:val="none"/>
              </w:rPr>
              <w:drawing>
                <wp:anchor distT="0" distB="0" distL="114300" distR="114300" simplePos="0" relativeHeight="251703296" behindDoc="0" locked="0" layoutInCell="1" allowOverlap="1">
                  <wp:simplePos x="0" y="0"/>
                  <wp:positionH relativeFrom="column">
                    <wp:posOffset>128270</wp:posOffset>
                  </wp:positionH>
                  <wp:positionV relativeFrom="paragraph">
                    <wp:posOffset>84455</wp:posOffset>
                  </wp:positionV>
                  <wp:extent cx="702945" cy="795655"/>
                  <wp:effectExtent l="0" t="0" r="1905" b="4445"/>
                  <wp:wrapNone/>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pic:cNvPicPr>
                        </pic:nvPicPr>
                        <pic:blipFill>
                          <a:blip r:embed="rId59"/>
                          <a:stretch>
                            <a:fillRect/>
                          </a:stretch>
                        </pic:blipFill>
                        <pic:spPr>
                          <a:xfrm>
                            <a:off x="0" y="0"/>
                            <a:ext cx="702945" cy="795655"/>
                          </a:xfrm>
                          <a:prstGeom prst="rect">
                            <a:avLst/>
                          </a:prstGeom>
                          <a:noFill/>
                          <a:ln>
                            <a:noFill/>
                          </a:ln>
                        </pic:spPr>
                      </pic:pic>
                    </a:graphicData>
                  </a:graphic>
                </wp:anchor>
              </w:drawing>
            </w:r>
          </w:p>
        </w:tc>
      </w:tr>
      <w:tr w14:paraId="7A125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34" w:hRule="atLeast"/>
        </w:trPr>
        <w:tc>
          <w:tcPr>
            <w:tcW w:w="543" w:type="dxa"/>
            <w:shd w:val="clear" w:color="auto" w:fill="auto"/>
            <w:vAlign w:val="center"/>
          </w:tcPr>
          <w:p w14:paraId="64EC2321">
            <w:pPr>
              <w:pStyle w:val="60"/>
              <w:jc w:val="center"/>
              <w:rPr>
                <w:rFonts w:hint="default" w:ascii="仿宋" w:hAnsi="仿宋" w:eastAsia="仿宋" w:cs="仿宋"/>
                <w:b w:val="0"/>
                <w:color w:val="auto"/>
                <w:kern w:val="0"/>
                <w:sz w:val="21"/>
                <w:szCs w:val="21"/>
                <w:highlight w:val="none"/>
                <w:lang w:val="en-US" w:eastAsia="zh-CN" w:bidi="ar-SA"/>
              </w:rPr>
            </w:pPr>
            <w:r>
              <w:rPr>
                <w:rFonts w:hint="eastAsia" w:ascii="仿宋" w:hAnsi="仿宋" w:eastAsia="仿宋" w:cs="仿宋"/>
                <w:b w:val="0"/>
                <w:color w:val="auto"/>
                <w:kern w:val="0"/>
                <w:sz w:val="21"/>
                <w:szCs w:val="21"/>
                <w:highlight w:val="none"/>
                <w:lang w:val="en-US" w:eastAsia="zh-CN" w:bidi="ar-SA"/>
              </w:rPr>
              <w:t>46</w:t>
            </w:r>
          </w:p>
        </w:tc>
        <w:tc>
          <w:tcPr>
            <w:tcW w:w="1110" w:type="dxa"/>
            <w:shd w:val="clear" w:color="auto" w:fill="auto"/>
            <w:vAlign w:val="center"/>
          </w:tcPr>
          <w:p w14:paraId="0E7FFC6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中医按摩椅</w:t>
            </w:r>
          </w:p>
        </w:tc>
        <w:tc>
          <w:tcPr>
            <w:tcW w:w="4110" w:type="dxa"/>
            <w:shd w:val="clear" w:color="auto" w:fill="auto"/>
            <w:vAlign w:val="center"/>
          </w:tcPr>
          <w:p w14:paraId="2743CDA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1.机芯类型：机械手；</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2.尺寸：140*74*105cm；</w:t>
            </w:r>
          </w:p>
          <w:p w14:paraId="3A86B05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 xml:space="preserve">3.加热温度：35℃-45℃；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4.进门尺寸：裸机进门74cm；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5.伸缩尺寸：腿部伸缩长度14cm；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6.零重力尺寸：长度165cm；</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7.导轨类型：SL 加长导轨；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 xml:space="preserve">8.额定频率：50Hz； </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9.额定电压：220V；</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10额定功率：120W；</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11.额定时间：15min；</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12.产品材质：PU皮革/精钢结构/ABS/PP注塑。</w:t>
            </w:r>
          </w:p>
          <w:p w14:paraId="1808E10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13.产品配置：大屏液晶触控面板、智能语音声控、快捷按键板、USB手机充电口、优质蓝牙音箱、腰部加热、小腿加热、全身13组气囊、脚底4组滚轮推拿揉捏、氛围灯两对、一体免安装、20种自动按摩程序</w:t>
            </w:r>
          </w:p>
          <w:p w14:paraId="0A0177B0">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6种手动按摩手法、开机自动体型检测、按摩宽度可自由调节、定点、区间、全程按摩设置、一键零重力太空舱、腿部自适应伸缩</w:t>
            </w:r>
          </w:p>
          <w:p w14:paraId="1F4DA3E0">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脚底滚轮力度调节、按摩力度三档调节、气囊力度三档调节。</w:t>
            </w:r>
          </w:p>
        </w:tc>
        <w:tc>
          <w:tcPr>
            <w:tcW w:w="640" w:type="dxa"/>
            <w:shd w:val="clear" w:color="auto" w:fill="auto"/>
            <w:vAlign w:val="center"/>
          </w:tcPr>
          <w:p w14:paraId="04FF51F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台</w:t>
            </w:r>
          </w:p>
        </w:tc>
        <w:tc>
          <w:tcPr>
            <w:tcW w:w="936" w:type="dxa"/>
            <w:shd w:val="clear" w:color="auto" w:fill="auto"/>
            <w:vAlign w:val="center"/>
          </w:tcPr>
          <w:p w14:paraId="1B16406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1835" w:type="dxa"/>
            <w:shd w:val="clear" w:color="auto" w:fill="auto"/>
          </w:tcPr>
          <w:p w14:paraId="6C3E4548">
            <w:pPr>
              <w:pStyle w:val="60"/>
              <w:rPr>
                <w:color w:val="auto"/>
                <w:highlight w:val="none"/>
              </w:rPr>
            </w:pPr>
            <w:r>
              <w:rPr>
                <w:color w:val="auto"/>
                <w:highlight w:val="none"/>
              </w:rPr>
              <w:drawing>
                <wp:anchor distT="0" distB="0" distL="114300" distR="114300" simplePos="0" relativeHeight="251704320" behindDoc="0" locked="0" layoutInCell="1" allowOverlap="1">
                  <wp:simplePos x="0" y="0"/>
                  <wp:positionH relativeFrom="column">
                    <wp:posOffset>66675</wp:posOffset>
                  </wp:positionH>
                  <wp:positionV relativeFrom="paragraph">
                    <wp:posOffset>1294765</wp:posOffset>
                  </wp:positionV>
                  <wp:extent cx="887095" cy="812165"/>
                  <wp:effectExtent l="0" t="0" r="8255" b="6985"/>
                  <wp:wrapNone/>
                  <wp:docPr id="47"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pic:cNvPicPr>
                            <a:picLocks noChangeAspect="1"/>
                          </pic:cNvPicPr>
                        </pic:nvPicPr>
                        <pic:blipFill>
                          <a:blip r:embed="rId60"/>
                          <a:stretch>
                            <a:fillRect/>
                          </a:stretch>
                        </pic:blipFill>
                        <pic:spPr>
                          <a:xfrm>
                            <a:off x="0" y="0"/>
                            <a:ext cx="887095" cy="812165"/>
                          </a:xfrm>
                          <a:prstGeom prst="rect">
                            <a:avLst/>
                          </a:prstGeom>
                          <a:noFill/>
                          <a:ln>
                            <a:noFill/>
                          </a:ln>
                        </pic:spPr>
                      </pic:pic>
                    </a:graphicData>
                  </a:graphic>
                </wp:anchor>
              </w:drawing>
            </w:r>
          </w:p>
        </w:tc>
      </w:tr>
    </w:tbl>
    <w:p w14:paraId="21E82E2D">
      <w:pPr>
        <w:pStyle w:val="60"/>
        <w:rPr>
          <w:rFonts w:hint="eastAsia"/>
          <w:color w:val="auto"/>
          <w:highlight w:val="none"/>
        </w:rPr>
      </w:pPr>
    </w:p>
    <w:bookmarkEnd w:id="35"/>
    <w:p w14:paraId="341C2A6D">
      <w:pPr>
        <w:pStyle w:val="881"/>
        <w:keepNext w:val="0"/>
        <w:keepLines w:val="0"/>
        <w:pageBreakBefore w:val="0"/>
        <w:widowControl w:val="0"/>
        <w:kinsoku/>
        <w:wordWrap/>
        <w:overflowPunct/>
        <w:topLinePunct w:val="0"/>
        <w:autoSpaceDE/>
        <w:autoSpaceDN/>
        <w:bidi w:val="0"/>
        <w:adjustRightInd/>
        <w:snapToGrid/>
        <w:spacing w:line="336" w:lineRule="auto"/>
        <w:ind w:left="0" w:firstLine="480" w:firstLineChars="200"/>
        <w:textAlignment w:val="auto"/>
        <w:rPr>
          <w:rFonts w:hint="eastAsia" w:ascii="仿宋" w:hAnsi="仿宋" w:eastAsia="仿宋" w:cs="仿宋"/>
          <w:color w:val="auto"/>
          <w:sz w:val="24"/>
          <w:szCs w:val="24"/>
          <w:highlight w:val="none"/>
          <w:lang w:val="en-US" w:eastAsia="zh-CN"/>
        </w:rPr>
      </w:pPr>
    </w:p>
    <w:p w14:paraId="7BA95C54">
      <w:pPr>
        <w:pStyle w:val="881"/>
        <w:keepNext w:val="0"/>
        <w:keepLines w:val="0"/>
        <w:pageBreakBefore w:val="0"/>
        <w:widowControl w:val="0"/>
        <w:kinsoku/>
        <w:wordWrap/>
        <w:overflowPunct/>
        <w:topLinePunct w:val="0"/>
        <w:autoSpaceDE/>
        <w:autoSpaceDN/>
        <w:bidi w:val="0"/>
        <w:adjustRightInd/>
        <w:snapToGrid/>
        <w:spacing w:line="336" w:lineRule="auto"/>
        <w:ind w:left="0" w:firstLine="480" w:firstLineChars="200"/>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w:t>
      </w:r>
      <w:r>
        <w:rPr>
          <w:rFonts w:hint="eastAsia" w:ascii="仿宋" w:hAnsi="仿宋" w:eastAsia="仿宋" w:cs="仿宋"/>
          <w:b/>
          <w:bCs/>
          <w:color w:val="auto"/>
          <w:sz w:val="24"/>
          <w:szCs w:val="24"/>
          <w:highlight w:val="none"/>
          <w:lang w:val="en-US" w:eastAsia="zh-CN"/>
        </w:rPr>
        <w:t>、商务要求</w:t>
      </w:r>
    </w:p>
    <w:tbl>
      <w:tblPr>
        <w:tblStyle w:val="62"/>
        <w:tblW w:w="495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4"/>
        <w:gridCol w:w="7666"/>
      </w:tblGrid>
      <w:tr w14:paraId="0A369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783" w:type="pct"/>
            <w:noWrap w:val="0"/>
            <w:vAlign w:val="center"/>
          </w:tcPr>
          <w:p w14:paraId="67F25C08">
            <w:pPr>
              <w:pStyle w:val="97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交付时间及地点</w:t>
            </w:r>
          </w:p>
        </w:tc>
        <w:tc>
          <w:tcPr>
            <w:tcW w:w="4216" w:type="pct"/>
            <w:noWrap w:val="0"/>
            <w:vAlign w:val="center"/>
          </w:tcPr>
          <w:p w14:paraId="6A05BBB6">
            <w:pPr>
              <w:pStyle w:val="976"/>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交付时间：</w:t>
            </w:r>
            <w:r>
              <w:rPr>
                <w:rFonts w:hint="eastAsia" w:ascii="仿宋" w:hAnsi="仿宋" w:eastAsia="仿宋" w:cs="仿宋"/>
                <w:color w:val="auto"/>
                <w:sz w:val="24"/>
                <w:szCs w:val="24"/>
                <w:highlight w:val="none"/>
                <w:lang w:val="en-US" w:eastAsia="zh-CN"/>
              </w:rPr>
              <w:t>合同签订后40日内完成及验收合格交付使用</w:t>
            </w:r>
            <w:r>
              <w:rPr>
                <w:rFonts w:hint="eastAsia" w:ascii="仿宋" w:hAnsi="仿宋" w:eastAsia="仿宋" w:cs="仿宋"/>
                <w:color w:val="auto"/>
                <w:sz w:val="24"/>
                <w:szCs w:val="24"/>
                <w:highlight w:val="none"/>
              </w:rPr>
              <w:t>。</w:t>
            </w:r>
          </w:p>
          <w:p w14:paraId="65D30FC1">
            <w:pPr>
              <w:pStyle w:val="976"/>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交付地点：甲方指定地点。</w:t>
            </w:r>
          </w:p>
        </w:tc>
      </w:tr>
      <w:tr w14:paraId="2CCDC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83" w:type="pct"/>
            <w:noWrap w:val="0"/>
            <w:vAlign w:val="center"/>
          </w:tcPr>
          <w:p w14:paraId="78F14D1C">
            <w:pPr>
              <w:pStyle w:val="97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付款方式</w:t>
            </w:r>
          </w:p>
        </w:tc>
        <w:tc>
          <w:tcPr>
            <w:tcW w:w="4216" w:type="pct"/>
            <w:noWrap w:val="0"/>
            <w:vAlign w:val="top"/>
          </w:tcPr>
          <w:p w14:paraId="77721986">
            <w:pPr>
              <w:pStyle w:val="976"/>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（1）合同签订后7天内，支付合同总价款的40%作为预付款；</w:t>
            </w:r>
          </w:p>
          <w:p w14:paraId="67AD19A5">
            <w:pPr>
              <w:pStyle w:val="976"/>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（2）货到工地、开箱验收合格后7天内，支付至合同金额的70%；</w:t>
            </w:r>
          </w:p>
          <w:p w14:paraId="1AEADBFE">
            <w:pPr>
              <w:pStyle w:val="976"/>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（3）全部货物安装结束、调试完成、验收合格后7天内支付至实际供货总价的100%。</w:t>
            </w:r>
          </w:p>
        </w:tc>
      </w:tr>
      <w:tr w14:paraId="5F92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83" w:type="pct"/>
            <w:noWrap w:val="0"/>
            <w:vAlign w:val="center"/>
          </w:tcPr>
          <w:p w14:paraId="1B63D763">
            <w:pPr>
              <w:pStyle w:val="976"/>
              <w:bidi w:val="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质保期</w:t>
            </w:r>
          </w:p>
        </w:tc>
        <w:tc>
          <w:tcPr>
            <w:tcW w:w="4216" w:type="pct"/>
            <w:noWrap w:val="0"/>
            <w:vAlign w:val="center"/>
          </w:tcPr>
          <w:p w14:paraId="51CA869E">
            <w:pPr>
              <w:pStyle w:val="976"/>
              <w:bidi w:val="0"/>
              <w:jc w:val="both"/>
              <w:rPr>
                <w:rFonts w:hint="eastAsia" w:ascii="仿宋" w:hAnsi="仿宋" w:eastAsia="宋体"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自通过验收之日起不少于1年（其中电池+电源保修至少2年）。</w:t>
            </w:r>
          </w:p>
        </w:tc>
      </w:tr>
      <w:tr w14:paraId="2B6C0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83" w:type="pct"/>
            <w:noWrap w:val="0"/>
            <w:vAlign w:val="center"/>
          </w:tcPr>
          <w:p w14:paraId="73692398">
            <w:pPr>
              <w:pStyle w:val="976"/>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售后（技术）服务要求</w:t>
            </w:r>
          </w:p>
        </w:tc>
        <w:tc>
          <w:tcPr>
            <w:tcW w:w="4216" w:type="pct"/>
            <w:noWrap w:val="0"/>
            <w:vAlign w:val="top"/>
          </w:tcPr>
          <w:p w14:paraId="16308FB1">
            <w:pPr>
              <w:pStyle w:val="976"/>
              <w:bidi w:val="0"/>
              <w:rPr>
                <w:rFonts w:hint="eastAsia" w:ascii="仿宋" w:hAnsi="仿宋" w:eastAsia="仿宋" w:cs="仿宋"/>
                <w:bCs/>
                <w:color w:val="auto"/>
                <w:sz w:val="24"/>
                <w:szCs w:val="24"/>
                <w:highlight w:val="none"/>
                <w:u w:val="none"/>
                <w:lang w:val="en-US" w:eastAsia="zh-CN"/>
              </w:rPr>
            </w:pPr>
            <w:r>
              <w:rPr>
                <w:rFonts w:hint="eastAsia" w:ascii="仿宋" w:hAnsi="仿宋" w:eastAsia="仿宋" w:cs="仿宋"/>
                <w:bCs/>
                <w:color w:val="auto"/>
                <w:sz w:val="24"/>
                <w:szCs w:val="24"/>
                <w:highlight w:val="none"/>
                <w:u w:val="none"/>
                <w:lang w:val="en-US" w:eastAsia="zh-CN"/>
              </w:rPr>
              <w:t>1、质保期内非人为有意损坏实行包修、包换，时间自最终验收合格并交付使用之日起计算。在质保期内，如货物发生非人为的质量问题，成交人保证在接到电话通知后，立即响应，8小时内赶到现场修理、更换部件，3个工作日内不能修复的，必须采取提供备品备件等措施，以保证采购单位的正常使用；费用包含在项目总价中。</w:t>
            </w:r>
          </w:p>
          <w:p w14:paraId="5B44A18F">
            <w:pPr>
              <w:pStyle w:val="976"/>
              <w:bidi w:val="0"/>
              <w:rPr>
                <w:rFonts w:hint="eastAsia" w:ascii="仿宋" w:hAnsi="仿宋" w:eastAsia="仿宋" w:cs="仿宋"/>
                <w:bCs/>
                <w:color w:val="auto"/>
                <w:sz w:val="24"/>
                <w:szCs w:val="24"/>
                <w:highlight w:val="none"/>
                <w:u w:val="none"/>
                <w:lang w:val="en-US" w:eastAsia="zh-CN"/>
              </w:rPr>
            </w:pPr>
            <w:r>
              <w:rPr>
                <w:rFonts w:hint="eastAsia" w:ascii="仿宋" w:hAnsi="仿宋" w:eastAsia="仿宋" w:cs="仿宋"/>
                <w:bCs/>
                <w:color w:val="auto"/>
                <w:sz w:val="24"/>
                <w:szCs w:val="24"/>
                <w:highlight w:val="none"/>
                <w:u w:val="none"/>
                <w:lang w:val="en-US" w:eastAsia="zh-CN"/>
              </w:rPr>
              <w:t>2、在合同货物质保期满后，成交人保证继续为采购方提供货物的维修服务，成交人须以不高于市场零售价格的配件价格向采购方提供零备件。</w:t>
            </w:r>
          </w:p>
          <w:p w14:paraId="04EFA2A9">
            <w:pPr>
              <w:pStyle w:val="976"/>
              <w:bidi w:val="0"/>
              <w:rPr>
                <w:rFonts w:hint="eastAsia" w:ascii="仿宋" w:hAnsi="仿宋" w:eastAsia="仿宋" w:cs="仿宋"/>
                <w:bCs/>
                <w:color w:val="auto"/>
                <w:sz w:val="24"/>
                <w:szCs w:val="24"/>
                <w:highlight w:val="none"/>
                <w:u w:val="none"/>
                <w:lang w:val="en-US" w:eastAsia="zh-CN"/>
              </w:rPr>
            </w:pPr>
            <w:r>
              <w:rPr>
                <w:rFonts w:hint="eastAsia" w:ascii="仿宋" w:hAnsi="仿宋" w:eastAsia="仿宋" w:cs="仿宋"/>
                <w:bCs/>
                <w:color w:val="auto"/>
                <w:sz w:val="24"/>
                <w:szCs w:val="24"/>
                <w:highlight w:val="none"/>
                <w:u w:val="none"/>
                <w:lang w:val="en-US" w:eastAsia="zh-CN"/>
              </w:rPr>
              <w:t xml:space="preserve">3、成交人应按响应文件中的承诺,进行其他售后服务工作。 </w:t>
            </w:r>
          </w:p>
        </w:tc>
      </w:tr>
      <w:tr w14:paraId="1301F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pct"/>
            <w:noWrap w:val="0"/>
            <w:vAlign w:val="center"/>
          </w:tcPr>
          <w:p w14:paraId="43B0C7A4">
            <w:pPr>
              <w:pStyle w:val="97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产品及服务质量保证</w:t>
            </w:r>
          </w:p>
        </w:tc>
        <w:tc>
          <w:tcPr>
            <w:tcW w:w="4216" w:type="pct"/>
            <w:noWrap w:val="0"/>
            <w:vAlign w:val="center"/>
          </w:tcPr>
          <w:p w14:paraId="24C99F58">
            <w:pPr>
              <w:pStyle w:val="976"/>
              <w:bidi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投标人保证所供的商品必须是出厂原装合格产品</w:t>
            </w:r>
            <w:r>
              <w:rPr>
                <w:rFonts w:hint="eastAsia" w:ascii="仿宋" w:hAnsi="仿宋" w:cs="仿宋"/>
                <w:color w:val="auto"/>
                <w:sz w:val="24"/>
                <w:szCs w:val="24"/>
                <w:highlight w:val="none"/>
                <w:lang w:val="zh-CN"/>
              </w:rPr>
              <w:t>，</w:t>
            </w:r>
            <w:r>
              <w:rPr>
                <w:rFonts w:hint="eastAsia" w:ascii="仿宋" w:hAnsi="仿宋" w:eastAsia="仿宋" w:cs="仿宋"/>
                <w:color w:val="auto"/>
                <w:sz w:val="24"/>
                <w:szCs w:val="24"/>
                <w:highlight w:val="none"/>
                <w:lang w:val="zh-CN"/>
              </w:rPr>
              <w:t>如发生所供的商品与合同不符</w:t>
            </w:r>
            <w:r>
              <w:rPr>
                <w:rFonts w:hint="eastAsia" w:ascii="仿宋" w:hAnsi="仿宋" w:cs="仿宋"/>
                <w:color w:val="auto"/>
                <w:sz w:val="24"/>
                <w:szCs w:val="24"/>
                <w:highlight w:val="none"/>
                <w:lang w:val="zh-CN"/>
              </w:rPr>
              <w:t>，</w:t>
            </w:r>
            <w:r>
              <w:rPr>
                <w:rFonts w:hint="eastAsia" w:ascii="仿宋" w:hAnsi="仿宋" w:eastAsia="仿宋" w:cs="仿宋"/>
                <w:color w:val="auto"/>
                <w:sz w:val="24"/>
                <w:szCs w:val="24"/>
                <w:highlight w:val="none"/>
                <w:lang w:val="zh-CN"/>
              </w:rPr>
              <w:t>招标人有权拒收或退货</w:t>
            </w:r>
            <w:r>
              <w:rPr>
                <w:rFonts w:hint="eastAsia" w:ascii="仿宋" w:hAnsi="仿宋" w:cs="仿宋"/>
                <w:color w:val="auto"/>
                <w:sz w:val="24"/>
                <w:szCs w:val="24"/>
                <w:highlight w:val="none"/>
                <w:lang w:val="zh-CN"/>
              </w:rPr>
              <w:t>，</w:t>
            </w:r>
            <w:r>
              <w:rPr>
                <w:rFonts w:hint="eastAsia" w:ascii="仿宋" w:hAnsi="仿宋" w:eastAsia="仿宋" w:cs="仿宋"/>
                <w:color w:val="auto"/>
                <w:sz w:val="24"/>
                <w:szCs w:val="24"/>
                <w:highlight w:val="none"/>
                <w:lang w:val="zh-CN"/>
              </w:rPr>
              <w:t>由此产生的一切责任和后果由投标人承担。</w:t>
            </w:r>
          </w:p>
          <w:p w14:paraId="01148E41">
            <w:pPr>
              <w:pStyle w:val="976"/>
              <w:bidi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rPr>
              <w:t>所供商品交付时，投标人必须向招标人提供产品说明书、质量保证书、保修卡等必须具备的相关资料和必备附件。</w:t>
            </w:r>
          </w:p>
        </w:tc>
      </w:tr>
      <w:tr w14:paraId="3DD87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8" w:hRule="atLeast"/>
          <w:jc w:val="center"/>
        </w:trPr>
        <w:tc>
          <w:tcPr>
            <w:tcW w:w="783" w:type="pct"/>
            <w:noWrap w:val="0"/>
            <w:vAlign w:val="center"/>
          </w:tcPr>
          <w:p w14:paraId="75B4A9E6">
            <w:pPr>
              <w:pStyle w:val="97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培训要求</w:t>
            </w:r>
          </w:p>
        </w:tc>
        <w:tc>
          <w:tcPr>
            <w:tcW w:w="4216" w:type="pct"/>
            <w:noWrap w:val="0"/>
            <w:vAlign w:val="center"/>
          </w:tcPr>
          <w:p w14:paraId="1D849EBD">
            <w:pPr>
              <w:pStyle w:val="976"/>
              <w:bidi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1.投标人有义务对招标人本次采购设备</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lang w:val="zh-CN"/>
              </w:rPr>
              <w:t>正常使用和维护提供必要的培训；</w:t>
            </w:r>
          </w:p>
          <w:p w14:paraId="39A33A88">
            <w:pPr>
              <w:pStyle w:val="976"/>
              <w:bidi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2.培训的内容包括主要设备的使用、配置管理、性能优化以及相关基本维护知识；</w:t>
            </w:r>
          </w:p>
          <w:p w14:paraId="6D04B31F">
            <w:pPr>
              <w:pStyle w:val="976"/>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3.投标人应当在投标文件中明确给出培训时间安排、人数、授课内容、教材等。培训对象分为使用人员和管理人员的培训。培训有关费用包含在报价总价中。</w:t>
            </w:r>
          </w:p>
        </w:tc>
      </w:tr>
      <w:tr w14:paraId="2F53D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783" w:type="pct"/>
            <w:noWrap w:val="0"/>
            <w:vAlign w:val="center"/>
          </w:tcPr>
          <w:p w14:paraId="5397E4D4">
            <w:pPr>
              <w:pStyle w:val="97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验收</w:t>
            </w:r>
          </w:p>
        </w:tc>
        <w:tc>
          <w:tcPr>
            <w:tcW w:w="4216" w:type="pct"/>
            <w:noWrap w:val="0"/>
            <w:vAlign w:val="center"/>
          </w:tcPr>
          <w:p w14:paraId="6D0B3A56">
            <w:pPr>
              <w:pStyle w:val="976"/>
              <w:bidi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验收按国家有关规范标准（国家无验收规范标准的按双方合同规定的要求）进行。</w:t>
            </w:r>
          </w:p>
        </w:tc>
      </w:tr>
    </w:tbl>
    <w:p w14:paraId="378F60C0">
      <w:pPr>
        <w:pStyle w:val="881"/>
        <w:keepNext w:val="0"/>
        <w:keepLines w:val="0"/>
        <w:pageBreakBefore w:val="0"/>
        <w:widowControl w:val="0"/>
        <w:kinsoku/>
        <w:wordWrap/>
        <w:overflowPunct/>
        <w:topLinePunct w:val="0"/>
        <w:autoSpaceDE/>
        <w:autoSpaceDN/>
        <w:bidi w:val="0"/>
        <w:adjustRightInd/>
        <w:snapToGrid/>
        <w:spacing w:line="336" w:lineRule="auto"/>
        <w:ind w:left="0" w:firstLine="480" w:firstLineChars="200"/>
        <w:textAlignment w:val="auto"/>
        <w:rPr>
          <w:rFonts w:hint="eastAsia" w:ascii="仿宋" w:hAnsi="仿宋" w:eastAsia="仿宋" w:cs="仿宋"/>
          <w:b w:val="0"/>
          <w:bCs w:val="0"/>
          <w:color w:val="auto"/>
          <w:sz w:val="24"/>
          <w:szCs w:val="24"/>
          <w:highlight w:val="none"/>
          <w:lang w:val="en-US" w:eastAsia="zh-CN"/>
        </w:rPr>
      </w:pPr>
    </w:p>
    <w:p w14:paraId="39408E0E">
      <w:pPr>
        <w:pStyle w:val="881"/>
        <w:keepNext w:val="0"/>
        <w:keepLines w:val="0"/>
        <w:pageBreakBefore w:val="0"/>
        <w:widowControl w:val="0"/>
        <w:kinsoku/>
        <w:wordWrap/>
        <w:overflowPunct/>
        <w:topLinePunct w:val="0"/>
        <w:autoSpaceDE/>
        <w:autoSpaceDN/>
        <w:bidi w:val="0"/>
        <w:adjustRightInd/>
        <w:snapToGrid/>
        <w:spacing w:line="336" w:lineRule="auto"/>
        <w:ind w:left="0" w:firstLine="480" w:firstLineChars="200"/>
        <w:textAlignment w:val="auto"/>
        <w:rPr>
          <w:rFonts w:hint="eastAsia" w:ascii="仿宋" w:hAnsi="仿宋" w:eastAsia="仿宋" w:cs="仿宋"/>
          <w:b w:val="0"/>
          <w:bCs w:val="0"/>
          <w:color w:val="auto"/>
          <w:sz w:val="24"/>
          <w:szCs w:val="24"/>
          <w:highlight w:val="none"/>
          <w:lang w:val="en-US" w:eastAsia="zh-CN"/>
        </w:rPr>
      </w:pPr>
    </w:p>
    <w:p w14:paraId="62BDD7FA">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215249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eastAsia="zh-CN"/>
        </w:rPr>
        <w:t>四</w:t>
      </w:r>
      <w:r>
        <w:rPr>
          <w:rFonts w:hint="eastAsia" w:ascii="仿宋" w:hAnsi="仿宋" w:eastAsia="仿宋" w:cs="仿宋"/>
          <w:b/>
          <w:color w:val="auto"/>
          <w:sz w:val="36"/>
          <w:szCs w:val="36"/>
          <w:highlight w:val="none"/>
        </w:rPr>
        <w:t>部分 拟签订的合同文本</w:t>
      </w:r>
    </w:p>
    <w:p w14:paraId="11644658">
      <w:pPr>
        <w:spacing w:line="360" w:lineRule="auto"/>
        <w:ind w:left="-420" w:leftChars="-200" w:right="-420" w:rightChars="-200" w:firstLine="480" w:firstLineChars="200"/>
        <w:jc w:val="center"/>
        <w:rPr>
          <w:rFonts w:hint="eastAsia" w:ascii="仿宋" w:hAnsi="仿宋" w:eastAsia="仿宋" w:cs="仿宋"/>
          <w:color w:val="auto"/>
          <w:sz w:val="32"/>
          <w:szCs w:val="32"/>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最终以双方实际签订合同为准</w:t>
      </w:r>
      <w:r>
        <w:rPr>
          <w:rFonts w:hint="eastAsia" w:ascii="仿宋" w:hAnsi="仿宋" w:eastAsia="仿宋" w:cs="仿宋"/>
          <w:color w:val="auto"/>
          <w:sz w:val="24"/>
          <w:highlight w:val="none"/>
          <w:lang w:eastAsia="zh-CN"/>
        </w:rPr>
        <w:t>）</w:t>
      </w:r>
    </w:p>
    <w:p w14:paraId="32826605">
      <w:pPr>
        <w:pStyle w:val="980"/>
        <w:spacing w:before="0" w:beforeAutospacing="0" w:after="0" w:afterAutospacing="0" w:line="360" w:lineRule="auto"/>
        <w:ind w:right="960"/>
        <w:jc w:val="right"/>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合同编号：</w:t>
      </w:r>
    </w:p>
    <w:p w14:paraId="3E0DF752">
      <w:pPr>
        <w:pStyle w:val="980"/>
        <w:spacing w:before="0" w:beforeAutospacing="0" w:after="0" w:afterAutospacing="0"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采购人：（以下称</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w:t>
      </w:r>
    </w:p>
    <w:p w14:paraId="383F0F90">
      <w:pPr>
        <w:pStyle w:val="980"/>
        <w:spacing w:before="0" w:beforeAutospacing="0" w:after="0" w:afterAutospacing="0"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中标人：（以下称</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w:t>
      </w:r>
    </w:p>
    <w:p w14:paraId="12A60C00">
      <w:pPr>
        <w:pStyle w:val="980"/>
        <w:spacing w:before="0" w:beforeAutospacing="0" w:after="0" w:afterAutospacing="0" w:line="360" w:lineRule="auto"/>
        <w:ind w:firstLine="480" w:firstLineChars="20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根据《中华人民共和国政府采购法》、《中华人民共和国合同法》等相关法律法规和招标文件的要求，</w:t>
      </w:r>
      <w:r>
        <w:rPr>
          <w:rFonts w:hint="eastAsia" w:ascii="仿宋" w:hAnsi="仿宋" w:eastAsia="仿宋" w:cs="仿宋"/>
          <w:color w:val="auto"/>
          <w:szCs w:val="24"/>
          <w:highlight w:val="none"/>
          <w:lang w:val="zh-CN"/>
        </w:rPr>
        <w:t>按照平等、自愿、公平和诚实信用的原则，</w:t>
      </w:r>
      <w:r>
        <w:rPr>
          <w:rFonts w:hint="eastAsia" w:ascii="仿宋" w:hAnsi="仿宋" w:eastAsia="仿宋" w:cs="仿宋"/>
          <w:color w:val="auto"/>
          <w:szCs w:val="24"/>
          <w:highlight w:val="none"/>
          <w:lang w:val="en-US" w:eastAsia="zh-CN"/>
        </w:rPr>
        <w:t>就</w:t>
      </w:r>
      <w:r>
        <w:rPr>
          <w:rFonts w:hint="eastAsia" w:ascii="仿宋" w:hAnsi="仿宋" w:eastAsia="仿宋" w:cs="仿宋"/>
          <w:color w:val="auto"/>
          <w:szCs w:val="24"/>
          <w:highlight w:val="none"/>
          <w:u w:val="single"/>
          <w:lang w:val="en-US" w:eastAsia="zh-CN"/>
        </w:rPr>
        <w:t xml:space="preserve">          项目</w:t>
      </w:r>
      <w:r>
        <w:rPr>
          <w:rFonts w:hint="eastAsia" w:ascii="仿宋" w:hAnsi="仿宋" w:eastAsia="仿宋" w:cs="仿宋"/>
          <w:color w:val="auto"/>
          <w:szCs w:val="24"/>
          <w:highlight w:val="none"/>
          <w:lang w:val="zh-CN"/>
        </w:rPr>
        <w:t>经</w:t>
      </w:r>
      <w:r>
        <w:rPr>
          <w:rFonts w:hint="eastAsia" w:ascii="仿宋" w:hAnsi="仿宋" w:eastAsia="仿宋" w:cs="仿宋"/>
          <w:color w:val="auto"/>
          <w:szCs w:val="24"/>
          <w:highlight w:val="none"/>
          <w:lang w:val="en-US" w:eastAsia="zh-CN"/>
        </w:rPr>
        <w:t>甲、乙双方</w:t>
      </w:r>
      <w:r>
        <w:rPr>
          <w:rFonts w:hint="eastAsia" w:ascii="仿宋" w:hAnsi="仿宋" w:eastAsia="仿宋" w:cs="仿宋"/>
          <w:color w:val="auto"/>
          <w:szCs w:val="24"/>
          <w:highlight w:val="none"/>
          <w:lang w:val="zh-CN"/>
        </w:rPr>
        <w:t>协商一致</w:t>
      </w:r>
      <w:r>
        <w:rPr>
          <w:rFonts w:hint="eastAsia" w:ascii="仿宋" w:hAnsi="仿宋" w:eastAsia="仿宋" w:cs="仿宋"/>
          <w:color w:val="auto"/>
          <w:szCs w:val="24"/>
          <w:highlight w:val="none"/>
        </w:rPr>
        <w:t>，签署本合同</w:t>
      </w:r>
      <w:r>
        <w:rPr>
          <w:rFonts w:hint="eastAsia" w:ascii="仿宋" w:hAnsi="仿宋" w:eastAsia="仿宋" w:cs="仿宋"/>
          <w:color w:val="auto"/>
          <w:szCs w:val="24"/>
          <w:highlight w:val="none"/>
          <w:lang w:eastAsia="zh-CN"/>
        </w:rPr>
        <w:t>。</w:t>
      </w:r>
    </w:p>
    <w:p w14:paraId="4CDC50CB">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第一条　合同标的</w:t>
      </w:r>
    </w:p>
    <w:p w14:paraId="3F4E59E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1.1 </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根据</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需求提供下列货物：货物名称、规格及数量详见“货物一览表”。</w:t>
      </w:r>
    </w:p>
    <w:p w14:paraId="4A15785C">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第二条　合同总价款</w:t>
      </w:r>
    </w:p>
    <w:p w14:paraId="2F875228">
      <w:pPr>
        <w:pStyle w:val="980"/>
        <w:spacing w:before="0" w:beforeAutospacing="0" w:after="0" w:afterAutospacing="0" w:line="360" w:lineRule="auto"/>
        <w:ind w:firstLine="480" w:firstLineChars="20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2.1 本</w:t>
      </w:r>
      <w:r>
        <w:rPr>
          <w:rFonts w:hint="eastAsia" w:ascii="仿宋" w:hAnsi="仿宋" w:eastAsia="仿宋" w:cs="仿宋"/>
          <w:color w:val="auto"/>
          <w:szCs w:val="24"/>
          <w:highlight w:val="none"/>
          <w:lang w:val="en-US" w:eastAsia="zh-CN"/>
        </w:rPr>
        <w:t>合同</w:t>
      </w:r>
      <w:r>
        <w:rPr>
          <w:rFonts w:hint="eastAsia" w:ascii="仿宋" w:hAnsi="仿宋" w:eastAsia="仿宋" w:cs="仿宋"/>
          <w:color w:val="auto"/>
          <w:szCs w:val="24"/>
          <w:highlight w:val="none"/>
        </w:rPr>
        <w:t>项下货物总价款为人民币</w:t>
      </w:r>
      <w:r>
        <w:rPr>
          <w:rFonts w:hint="eastAsia" w:ascii="仿宋" w:hAnsi="仿宋" w:eastAsia="仿宋" w:cs="仿宋"/>
          <w:color w:val="auto"/>
          <w:szCs w:val="24"/>
          <w:highlight w:val="none"/>
          <w:u w:val="single"/>
        </w:rPr>
        <w:t>（大写）</w:t>
      </w:r>
      <w:r>
        <w:rPr>
          <w:rFonts w:hint="eastAsia" w:ascii="仿宋" w:hAnsi="仿宋" w:eastAsia="仿宋" w:cs="仿宋"/>
          <w:color w:val="auto"/>
          <w:szCs w:val="24"/>
          <w:highlight w:val="none"/>
          <w:u w:val="single"/>
          <w:lang w:val="en-US" w:eastAsia="zh-CN"/>
        </w:rPr>
        <w:t xml:space="preserve">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u w:val="single"/>
          <w:lang w:val="en-US" w:eastAsia="zh-CN"/>
        </w:rPr>
        <w:t xml:space="preserve">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u w:val="single"/>
          <w:lang w:val="en-US" w:eastAsia="zh-CN"/>
        </w:rPr>
        <w:t xml:space="preserve">   </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lang w:val="en-US" w:eastAsia="zh-CN"/>
        </w:rPr>
        <w:t>单价</w:t>
      </w:r>
      <w:r>
        <w:rPr>
          <w:rFonts w:hint="eastAsia" w:ascii="仿宋" w:hAnsi="仿宋" w:eastAsia="仿宋" w:cs="仿宋"/>
          <w:color w:val="auto"/>
          <w:szCs w:val="24"/>
          <w:highlight w:val="none"/>
        </w:rPr>
        <w:t>详见“</w:t>
      </w:r>
      <w:r>
        <w:rPr>
          <w:rFonts w:hint="eastAsia" w:ascii="仿宋" w:hAnsi="仿宋" w:eastAsia="仿宋" w:cs="仿宋"/>
          <w:color w:val="auto"/>
          <w:szCs w:val="24"/>
          <w:highlight w:val="none"/>
          <w:lang w:val="en-US" w:eastAsia="zh-CN"/>
        </w:rPr>
        <w:t>2.4产品清单</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w:t>
      </w:r>
    </w:p>
    <w:p w14:paraId="748BEEF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2.2 本合同总价款</w:t>
      </w:r>
      <w:r>
        <w:rPr>
          <w:rFonts w:hint="eastAsia" w:ascii="仿宋" w:hAnsi="仿宋" w:eastAsia="仿宋" w:cs="仿宋"/>
          <w:color w:val="auto"/>
          <w:szCs w:val="24"/>
          <w:highlight w:val="none"/>
          <w:lang w:val="en-US" w:eastAsia="zh-CN"/>
        </w:rPr>
        <w:t>包括完成本项目所需要的</w:t>
      </w:r>
      <w:r>
        <w:rPr>
          <w:rFonts w:hint="eastAsia" w:ascii="仿宋" w:hAnsi="仿宋" w:eastAsia="仿宋" w:cs="仿宋"/>
          <w:color w:val="auto"/>
          <w:szCs w:val="24"/>
          <w:highlight w:val="none"/>
        </w:rPr>
        <w:t>货物设计、制造、包装、仓储、运输、安装及验收合格之前及保修期内备品备件发生的所有含税费用。</w:t>
      </w:r>
    </w:p>
    <w:p w14:paraId="0C72FD42">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2.3 本合同总价款还包含</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应当提供的伴随服务/售后服务费用。</w:t>
      </w:r>
    </w:p>
    <w:p w14:paraId="49CC27B3">
      <w:pPr>
        <w:pStyle w:val="59"/>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2.4 产品清单</w:t>
      </w:r>
    </w:p>
    <w:tbl>
      <w:tblPr>
        <w:tblStyle w:val="62"/>
        <w:tblW w:w="81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092"/>
        <w:gridCol w:w="1634"/>
        <w:gridCol w:w="900"/>
        <w:gridCol w:w="1262"/>
        <w:gridCol w:w="1483"/>
      </w:tblGrid>
      <w:tr w14:paraId="26192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14:paraId="6C7AF567">
            <w:pPr>
              <w:pStyle w:val="59"/>
              <w:spacing w:before="0" w:beforeAutospacing="0" w:after="0" w:afterAutospacing="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序号</w:t>
            </w:r>
          </w:p>
        </w:tc>
        <w:tc>
          <w:tcPr>
            <w:tcW w:w="2092" w:type="dxa"/>
            <w:vAlign w:val="center"/>
          </w:tcPr>
          <w:p w14:paraId="6EC7E754">
            <w:pPr>
              <w:pStyle w:val="59"/>
              <w:spacing w:before="0" w:beforeAutospacing="0" w:after="0" w:afterAutospacing="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设备名称</w:t>
            </w:r>
          </w:p>
        </w:tc>
        <w:tc>
          <w:tcPr>
            <w:tcW w:w="1634" w:type="dxa"/>
            <w:vAlign w:val="center"/>
          </w:tcPr>
          <w:p w14:paraId="2DD0520D">
            <w:pPr>
              <w:pStyle w:val="59"/>
              <w:spacing w:before="0" w:beforeAutospacing="0" w:after="0" w:afterAutospacing="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规格型号</w:t>
            </w:r>
          </w:p>
        </w:tc>
        <w:tc>
          <w:tcPr>
            <w:tcW w:w="900" w:type="dxa"/>
            <w:vAlign w:val="center"/>
          </w:tcPr>
          <w:p w14:paraId="4B06F62F">
            <w:pPr>
              <w:pStyle w:val="59"/>
              <w:spacing w:before="0" w:after="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数量</w:t>
            </w:r>
          </w:p>
        </w:tc>
        <w:tc>
          <w:tcPr>
            <w:tcW w:w="1262" w:type="dxa"/>
            <w:vAlign w:val="center"/>
          </w:tcPr>
          <w:p w14:paraId="473D0D6C">
            <w:pPr>
              <w:pStyle w:val="59"/>
              <w:spacing w:before="0" w:beforeAutospacing="0" w:after="0" w:afterAutospacing="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单价</w:t>
            </w:r>
          </w:p>
        </w:tc>
        <w:tc>
          <w:tcPr>
            <w:tcW w:w="1483" w:type="dxa"/>
            <w:vAlign w:val="center"/>
          </w:tcPr>
          <w:p w14:paraId="395E2513">
            <w:pPr>
              <w:pStyle w:val="59"/>
              <w:spacing w:before="0" w:beforeAutospacing="0" w:after="0" w:afterAutospacing="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合价</w:t>
            </w:r>
          </w:p>
        </w:tc>
      </w:tr>
      <w:tr w14:paraId="57D4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14:paraId="03BB2CCE">
            <w:pPr>
              <w:pStyle w:val="59"/>
              <w:spacing w:before="0" w:beforeAutospacing="0" w:after="0" w:afterAutospacing="0"/>
              <w:jc w:val="center"/>
              <w:rPr>
                <w:rFonts w:hint="eastAsia" w:ascii="仿宋" w:hAnsi="仿宋" w:eastAsia="仿宋" w:cs="仿宋"/>
                <w:color w:val="auto"/>
                <w:szCs w:val="24"/>
                <w:highlight w:val="none"/>
              </w:rPr>
            </w:pPr>
          </w:p>
        </w:tc>
        <w:tc>
          <w:tcPr>
            <w:tcW w:w="2092" w:type="dxa"/>
            <w:vAlign w:val="center"/>
          </w:tcPr>
          <w:p w14:paraId="2785111F">
            <w:pPr>
              <w:pStyle w:val="59"/>
              <w:spacing w:before="0" w:beforeAutospacing="0" w:after="0" w:afterAutospacing="0"/>
              <w:jc w:val="center"/>
              <w:rPr>
                <w:rFonts w:hint="eastAsia" w:ascii="仿宋" w:hAnsi="仿宋" w:eastAsia="仿宋" w:cs="仿宋"/>
                <w:color w:val="auto"/>
                <w:szCs w:val="24"/>
                <w:highlight w:val="none"/>
              </w:rPr>
            </w:pPr>
          </w:p>
        </w:tc>
        <w:tc>
          <w:tcPr>
            <w:tcW w:w="1634" w:type="dxa"/>
            <w:vAlign w:val="center"/>
          </w:tcPr>
          <w:p w14:paraId="5803720D">
            <w:pPr>
              <w:pStyle w:val="59"/>
              <w:spacing w:before="0" w:beforeAutospacing="0" w:after="0" w:afterAutospacing="0"/>
              <w:jc w:val="center"/>
              <w:rPr>
                <w:rFonts w:hint="eastAsia" w:ascii="仿宋" w:hAnsi="仿宋" w:eastAsia="仿宋" w:cs="仿宋"/>
                <w:color w:val="auto"/>
                <w:szCs w:val="24"/>
                <w:highlight w:val="none"/>
              </w:rPr>
            </w:pPr>
          </w:p>
        </w:tc>
        <w:tc>
          <w:tcPr>
            <w:tcW w:w="900" w:type="dxa"/>
            <w:vAlign w:val="center"/>
          </w:tcPr>
          <w:p w14:paraId="45EA92A7">
            <w:pPr>
              <w:pStyle w:val="59"/>
              <w:spacing w:before="0" w:beforeAutospacing="0" w:after="0" w:afterAutospacing="0"/>
              <w:jc w:val="center"/>
              <w:rPr>
                <w:rFonts w:hint="eastAsia" w:ascii="仿宋" w:hAnsi="仿宋" w:eastAsia="仿宋" w:cs="仿宋"/>
                <w:color w:val="auto"/>
                <w:szCs w:val="24"/>
                <w:highlight w:val="none"/>
              </w:rPr>
            </w:pPr>
          </w:p>
        </w:tc>
        <w:tc>
          <w:tcPr>
            <w:tcW w:w="1262" w:type="dxa"/>
            <w:vAlign w:val="center"/>
          </w:tcPr>
          <w:p w14:paraId="18399B1C">
            <w:pPr>
              <w:pStyle w:val="59"/>
              <w:spacing w:before="0" w:beforeAutospacing="0" w:after="0" w:afterAutospacing="0"/>
              <w:jc w:val="center"/>
              <w:rPr>
                <w:rFonts w:hint="eastAsia" w:ascii="仿宋" w:hAnsi="仿宋" w:eastAsia="仿宋" w:cs="仿宋"/>
                <w:color w:val="auto"/>
                <w:szCs w:val="24"/>
                <w:highlight w:val="none"/>
              </w:rPr>
            </w:pPr>
          </w:p>
        </w:tc>
        <w:tc>
          <w:tcPr>
            <w:tcW w:w="1483" w:type="dxa"/>
            <w:vAlign w:val="center"/>
          </w:tcPr>
          <w:p w14:paraId="479E6E76">
            <w:pPr>
              <w:pStyle w:val="59"/>
              <w:spacing w:before="0" w:beforeAutospacing="0" w:after="0" w:afterAutospacing="0"/>
              <w:jc w:val="center"/>
              <w:rPr>
                <w:rFonts w:hint="eastAsia" w:ascii="仿宋" w:hAnsi="仿宋" w:eastAsia="仿宋" w:cs="仿宋"/>
                <w:color w:val="auto"/>
                <w:szCs w:val="24"/>
                <w:highlight w:val="none"/>
              </w:rPr>
            </w:pPr>
          </w:p>
        </w:tc>
      </w:tr>
      <w:tr w14:paraId="2B5F7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14:paraId="237EF323">
            <w:pPr>
              <w:pStyle w:val="59"/>
              <w:spacing w:before="0" w:beforeAutospacing="0" w:after="0" w:afterAutospacing="0"/>
              <w:jc w:val="center"/>
              <w:rPr>
                <w:rFonts w:hint="eastAsia" w:ascii="仿宋" w:hAnsi="仿宋" w:eastAsia="仿宋" w:cs="仿宋"/>
                <w:color w:val="auto"/>
                <w:szCs w:val="24"/>
                <w:highlight w:val="none"/>
              </w:rPr>
            </w:pPr>
          </w:p>
        </w:tc>
        <w:tc>
          <w:tcPr>
            <w:tcW w:w="2092" w:type="dxa"/>
            <w:vAlign w:val="center"/>
          </w:tcPr>
          <w:p w14:paraId="74D19336">
            <w:pPr>
              <w:pStyle w:val="59"/>
              <w:spacing w:before="0" w:beforeAutospacing="0" w:after="0" w:afterAutospacing="0"/>
              <w:jc w:val="center"/>
              <w:rPr>
                <w:rFonts w:hint="eastAsia" w:ascii="仿宋" w:hAnsi="仿宋" w:eastAsia="仿宋" w:cs="仿宋"/>
                <w:color w:val="auto"/>
                <w:szCs w:val="24"/>
                <w:highlight w:val="none"/>
              </w:rPr>
            </w:pPr>
          </w:p>
        </w:tc>
        <w:tc>
          <w:tcPr>
            <w:tcW w:w="1634" w:type="dxa"/>
            <w:vAlign w:val="center"/>
          </w:tcPr>
          <w:p w14:paraId="26A1BDEF">
            <w:pPr>
              <w:pStyle w:val="59"/>
              <w:spacing w:before="0" w:beforeAutospacing="0" w:after="0" w:afterAutospacing="0"/>
              <w:jc w:val="center"/>
              <w:rPr>
                <w:rFonts w:hint="eastAsia" w:ascii="仿宋" w:hAnsi="仿宋" w:eastAsia="仿宋" w:cs="仿宋"/>
                <w:color w:val="auto"/>
                <w:szCs w:val="24"/>
                <w:highlight w:val="none"/>
              </w:rPr>
            </w:pPr>
          </w:p>
        </w:tc>
        <w:tc>
          <w:tcPr>
            <w:tcW w:w="900" w:type="dxa"/>
            <w:vAlign w:val="center"/>
          </w:tcPr>
          <w:p w14:paraId="77672840">
            <w:pPr>
              <w:pStyle w:val="59"/>
              <w:spacing w:before="0" w:beforeAutospacing="0" w:after="0" w:afterAutospacing="0"/>
              <w:jc w:val="center"/>
              <w:rPr>
                <w:rFonts w:hint="eastAsia" w:ascii="仿宋" w:hAnsi="仿宋" w:eastAsia="仿宋" w:cs="仿宋"/>
                <w:color w:val="auto"/>
                <w:szCs w:val="24"/>
                <w:highlight w:val="none"/>
              </w:rPr>
            </w:pPr>
          </w:p>
        </w:tc>
        <w:tc>
          <w:tcPr>
            <w:tcW w:w="1262" w:type="dxa"/>
            <w:vAlign w:val="center"/>
          </w:tcPr>
          <w:p w14:paraId="7FF411E1">
            <w:pPr>
              <w:pStyle w:val="59"/>
              <w:spacing w:before="0" w:beforeAutospacing="0" w:after="0" w:afterAutospacing="0"/>
              <w:jc w:val="center"/>
              <w:rPr>
                <w:rFonts w:hint="eastAsia" w:ascii="仿宋" w:hAnsi="仿宋" w:eastAsia="仿宋" w:cs="仿宋"/>
                <w:color w:val="auto"/>
                <w:szCs w:val="24"/>
                <w:highlight w:val="none"/>
              </w:rPr>
            </w:pPr>
          </w:p>
        </w:tc>
        <w:tc>
          <w:tcPr>
            <w:tcW w:w="1483" w:type="dxa"/>
            <w:vAlign w:val="center"/>
          </w:tcPr>
          <w:p w14:paraId="562F33D7">
            <w:pPr>
              <w:pStyle w:val="59"/>
              <w:spacing w:before="0" w:beforeAutospacing="0" w:after="0" w:afterAutospacing="0"/>
              <w:jc w:val="center"/>
              <w:rPr>
                <w:rFonts w:hint="eastAsia" w:ascii="仿宋" w:hAnsi="仿宋" w:eastAsia="仿宋" w:cs="仿宋"/>
                <w:color w:val="auto"/>
                <w:szCs w:val="24"/>
                <w:highlight w:val="none"/>
              </w:rPr>
            </w:pPr>
          </w:p>
        </w:tc>
      </w:tr>
      <w:tr w14:paraId="60109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7" w:type="dxa"/>
            <w:vAlign w:val="center"/>
          </w:tcPr>
          <w:p w14:paraId="39E00E0A">
            <w:pPr>
              <w:pStyle w:val="59"/>
              <w:spacing w:before="0" w:beforeAutospacing="0" w:after="0" w:afterAutospacing="0"/>
              <w:jc w:val="center"/>
              <w:rPr>
                <w:rFonts w:hint="eastAsia" w:ascii="仿宋" w:hAnsi="仿宋" w:eastAsia="仿宋" w:cs="仿宋"/>
                <w:color w:val="auto"/>
                <w:szCs w:val="24"/>
                <w:highlight w:val="none"/>
              </w:rPr>
            </w:pPr>
          </w:p>
        </w:tc>
        <w:tc>
          <w:tcPr>
            <w:tcW w:w="2092" w:type="dxa"/>
            <w:vAlign w:val="center"/>
          </w:tcPr>
          <w:p w14:paraId="7B8F3B24">
            <w:pPr>
              <w:pStyle w:val="59"/>
              <w:spacing w:before="0" w:beforeAutospacing="0" w:after="0" w:afterAutospacing="0"/>
              <w:jc w:val="center"/>
              <w:rPr>
                <w:rFonts w:hint="eastAsia" w:ascii="仿宋" w:hAnsi="仿宋" w:eastAsia="仿宋" w:cs="仿宋"/>
                <w:color w:val="auto"/>
                <w:szCs w:val="24"/>
                <w:highlight w:val="none"/>
              </w:rPr>
            </w:pPr>
          </w:p>
        </w:tc>
        <w:tc>
          <w:tcPr>
            <w:tcW w:w="1634" w:type="dxa"/>
            <w:vAlign w:val="center"/>
          </w:tcPr>
          <w:p w14:paraId="570C5AF8">
            <w:pPr>
              <w:pStyle w:val="59"/>
              <w:spacing w:before="0" w:beforeAutospacing="0" w:after="0" w:afterAutospacing="0"/>
              <w:jc w:val="center"/>
              <w:rPr>
                <w:rFonts w:hint="eastAsia" w:ascii="仿宋" w:hAnsi="仿宋" w:eastAsia="仿宋" w:cs="仿宋"/>
                <w:color w:val="auto"/>
                <w:szCs w:val="24"/>
                <w:highlight w:val="none"/>
              </w:rPr>
            </w:pPr>
          </w:p>
        </w:tc>
        <w:tc>
          <w:tcPr>
            <w:tcW w:w="900" w:type="dxa"/>
            <w:vAlign w:val="center"/>
          </w:tcPr>
          <w:p w14:paraId="6DA4C87B">
            <w:pPr>
              <w:pStyle w:val="59"/>
              <w:spacing w:before="0" w:beforeAutospacing="0" w:after="0" w:afterAutospacing="0"/>
              <w:jc w:val="center"/>
              <w:rPr>
                <w:rFonts w:hint="eastAsia" w:ascii="仿宋" w:hAnsi="仿宋" w:eastAsia="仿宋" w:cs="仿宋"/>
                <w:color w:val="auto"/>
                <w:szCs w:val="24"/>
                <w:highlight w:val="none"/>
              </w:rPr>
            </w:pPr>
          </w:p>
        </w:tc>
        <w:tc>
          <w:tcPr>
            <w:tcW w:w="1262" w:type="dxa"/>
            <w:vAlign w:val="center"/>
          </w:tcPr>
          <w:p w14:paraId="758D3E06">
            <w:pPr>
              <w:pStyle w:val="59"/>
              <w:spacing w:before="0" w:beforeAutospacing="0" w:after="0" w:afterAutospacing="0"/>
              <w:jc w:val="center"/>
              <w:rPr>
                <w:rFonts w:hint="eastAsia" w:ascii="仿宋" w:hAnsi="仿宋" w:eastAsia="仿宋" w:cs="仿宋"/>
                <w:color w:val="auto"/>
                <w:szCs w:val="24"/>
                <w:highlight w:val="none"/>
              </w:rPr>
            </w:pPr>
          </w:p>
        </w:tc>
        <w:tc>
          <w:tcPr>
            <w:tcW w:w="1483" w:type="dxa"/>
            <w:vAlign w:val="center"/>
          </w:tcPr>
          <w:p w14:paraId="00F62E15">
            <w:pPr>
              <w:pStyle w:val="59"/>
              <w:spacing w:before="0" w:beforeAutospacing="0" w:after="0" w:afterAutospacing="0"/>
              <w:jc w:val="center"/>
              <w:rPr>
                <w:rFonts w:hint="eastAsia" w:ascii="仿宋" w:hAnsi="仿宋" w:eastAsia="仿宋" w:cs="仿宋"/>
                <w:color w:val="auto"/>
                <w:szCs w:val="24"/>
                <w:highlight w:val="none"/>
              </w:rPr>
            </w:pPr>
          </w:p>
        </w:tc>
      </w:tr>
      <w:tr w14:paraId="7B991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909" w:type="dxa"/>
            <w:gridSpan w:val="2"/>
            <w:vAlign w:val="center"/>
          </w:tcPr>
          <w:p w14:paraId="177582A8">
            <w:pPr>
              <w:pStyle w:val="59"/>
              <w:spacing w:before="0" w:beforeAutospacing="0" w:after="0" w:afterAutospacing="0"/>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合计</w:t>
            </w:r>
          </w:p>
        </w:tc>
        <w:tc>
          <w:tcPr>
            <w:tcW w:w="5279" w:type="dxa"/>
            <w:gridSpan w:val="4"/>
            <w:vAlign w:val="center"/>
          </w:tcPr>
          <w:p w14:paraId="2BD62ABE">
            <w:pPr>
              <w:pStyle w:val="59"/>
              <w:spacing w:before="0" w:beforeAutospacing="0" w:after="0" w:afterAutospacing="0"/>
              <w:rPr>
                <w:rFonts w:hint="eastAsia" w:ascii="仿宋" w:hAnsi="仿宋" w:eastAsia="仿宋" w:cs="仿宋"/>
                <w:color w:val="auto"/>
                <w:szCs w:val="24"/>
                <w:highlight w:val="none"/>
              </w:rPr>
            </w:pPr>
            <w:r>
              <w:rPr>
                <w:rFonts w:hint="eastAsia" w:ascii="仿宋" w:hAnsi="仿宋" w:eastAsia="仿宋" w:cs="仿宋"/>
                <w:color w:val="auto"/>
                <w:szCs w:val="24"/>
                <w:highlight w:val="none"/>
              </w:rPr>
              <w:t>（大写）（￥：</w:t>
            </w:r>
            <w:r>
              <w:rPr>
                <w:rFonts w:hint="eastAsia" w:ascii="仿宋" w:hAnsi="仿宋" w:eastAsia="仿宋" w:cs="仿宋"/>
                <w:color w:val="auto"/>
                <w:szCs w:val="24"/>
                <w:highlight w:val="none"/>
                <w:lang w:val="en-US" w:eastAsia="zh-CN"/>
              </w:rPr>
              <w:t xml:space="preserve">   </w:t>
            </w:r>
            <w:r>
              <w:rPr>
                <w:rFonts w:hint="eastAsia" w:ascii="仿宋" w:hAnsi="仿宋" w:eastAsia="仿宋" w:cs="仿宋"/>
                <w:color w:val="auto"/>
                <w:szCs w:val="24"/>
                <w:highlight w:val="none"/>
              </w:rPr>
              <w:t>）</w:t>
            </w:r>
          </w:p>
        </w:tc>
      </w:tr>
    </w:tbl>
    <w:p w14:paraId="36426E4B">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第三条　组成本合同的有关文件</w:t>
      </w:r>
    </w:p>
    <w:p w14:paraId="34B22A1F">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 下列文件构成本合同的组成部分，应该认为是一个整体，彼此相互解释，相互补充。组成合同的多个文件的优先支配地位的次序如下：</w:t>
      </w:r>
    </w:p>
    <w:p w14:paraId="4D72A6C0">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3.1.1 本合同书　</w:t>
      </w:r>
    </w:p>
    <w:p w14:paraId="52007638">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3.1.2 中标通知书</w:t>
      </w:r>
      <w:r>
        <w:rPr>
          <w:rFonts w:hint="eastAsia" w:ascii="仿宋" w:hAnsi="仿宋" w:eastAsia="仿宋" w:cs="仿宋"/>
          <w:color w:val="auto"/>
          <w:szCs w:val="24"/>
          <w:highlight w:val="none"/>
        </w:rPr>
        <w:tab/>
      </w:r>
    </w:p>
    <w:p w14:paraId="3FEDDDF9">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3.1.3 中标人澄清修改文件</w:t>
      </w:r>
    </w:p>
    <w:p w14:paraId="3AF783DF">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3.1.4 中标人投标文件</w:t>
      </w:r>
    </w:p>
    <w:p w14:paraId="5802DC58">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3.1.5 招标文件澄清修改文件</w:t>
      </w:r>
    </w:p>
    <w:p w14:paraId="213DA337">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3.1.6 招标文件</w:t>
      </w:r>
    </w:p>
    <w:p w14:paraId="4FF1594A">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第四条　权利保证</w:t>
      </w:r>
    </w:p>
    <w:p w14:paraId="64ADE39C">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保证提供的货物不存在对任何第三方侵权行为（包括商标、专利、版权、知识产权等）。若发生侵权行为，由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负全责，应承担由此发生的一切经济和法律责任，并赔偿</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30%的合同货款的。</w:t>
      </w:r>
    </w:p>
    <w:p w14:paraId="72596C12">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第五条　质量保证</w:t>
      </w:r>
    </w:p>
    <w:p w14:paraId="354F6E56">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5.1 </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须保证货物与投标文件相一致，货物是原厂生产的、全新、未使用过的；货物完全符合国家有关法律、法规、规章的规定，如：中国强制性产品认证制度；货物完全符合国家有关部门最新颁布强制性技术质量规范的；货物符合合同规定的质量、规格、性能和技术规范等的要求。</w:t>
      </w:r>
    </w:p>
    <w:p w14:paraId="4F47A3FA">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5.2 </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须保证所提供的货物经正确安装、正常运转和保养，在其使用寿命期内须具有符合质量要求和产品说明书的性能。在货物质量保证期之内，</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须对由于设计、工艺或材料的缺陷而发生的故障负责，由此引发的险和费用将由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承担。</w:t>
      </w:r>
    </w:p>
    <w:p w14:paraId="64B7D9D0">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5.3 根据</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应尽快以书面形式通知</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在收到通知后天内应维修或更换有缺陷的货物或部件。</w:t>
      </w:r>
    </w:p>
    <w:p w14:paraId="5ACA378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5.4 如果</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在收到通知后天内没有弥补缺陷，</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可采取必要的补救措施，但由此引发的险和费用将由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承担。</w:t>
      </w:r>
    </w:p>
    <w:p w14:paraId="5F3386F8">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第六条技术资料</w:t>
      </w:r>
    </w:p>
    <w:p w14:paraId="1B4D787A">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6.1 </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应将每台设备和仪器的中文技术资料完整一套，如目录索引、图纸、操作手册、使用指南、维修指南或服务手册和示意图等随同每批货物一起发运。</w:t>
      </w:r>
    </w:p>
    <w:p w14:paraId="75A7304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6.2 如果</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确认</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提供的技术资料不完整或在运输过程中丢失，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将在收到</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通知后天内将这些资料寄给</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w:t>
      </w:r>
    </w:p>
    <w:p w14:paraId="18E86EFB">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第七条　包装要求</w:t>
      </w:r>
    </w:p>
    <w:p w14:paraId="5A10C446">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7.1除合同另有规定外，</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提供的全部货物均应按标准保护措施进行包装。该包装应适应于远距离运输、防潮、防震、防锈和防野蛮装卸，以确保货物安全无损运抵指定地点。由于包装不善所引起的货物损失均由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承担。</w:t>
      </w:r>
    </w:p>
    <w:p w14:paraId="6951466A">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7.2每一包装单元内应附详细的装箱单和质量合格凭证。</w:t>
      </w:r>
    </w:p>
    <w:p w14:paraId="0FD4BE08">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第八条　交货时间、方式、地点</w:t>
      </w:r>
    </w:p>
    <w:p w14:paraId="3C00A6F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8.1 </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应按照本合同或招标文件规定的时间和方式向</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交付货物，交货地点为；</w:t>
      </w:r>
    </w:p>
    <w:p w14:paraId="6CD5FA92">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8.2 </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交付的货物应当完全符合本合同或者招标文件所规定的货物、数量和规格要求。</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不得少交或多交货物。</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提供的货物不符合招标文件和合同规定的，</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有权拒收货物，由此引起的险，由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承担。</w:t>
      </w:r>
    </w:p>
    <w:p w14:paraId="6A289549">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第九条检验和验收</w:t>
      </w:r>
    </w:p>
    <w:p w14:paraId="5090E045">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9.1 </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应将所提供货物的装箱清单、用户手册、原厂保修卡、随机资料及配件、随机工具等交付给</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不能完整交付货物及本款规定的单证和工具的，视为未按合同约定交货，</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负责补齐，因此导致逾期交付的，由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承担相关的违约责任。</w:t>
      </w:r>
    </w:p>
    <w:p w14:paraId="43399F2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9.2 货物的到货验收包括：型号、规格、数量、外观质量、及货物包装是否完好；</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须按照采购合同规定或招标文件的技术、服务等要求组织对投标人履约的验收，并出具验收书。验收方成员应当在验收书上签字，并承担相应的法律责任。</w:t>
      </w:r>
    </w:p>
    <w:p w14:paraId="5624F766">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9.3</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应当在到货后的个工作日内对货物进行验收；需要</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对货物或系统进行安装调试的，</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应在货物安装调试完毕后的个工作日内进行质量验收。验收合格的，由</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签署验收单并加盖单位公章。招标文件对检验期限另有规定的，从其规定。</w:t>
      </w:r>
    </w:p>
    <w:p w14:paraId="702B0A67">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9.4货物和系统调试验收的标准：按行业通行标准、厂方出厂标准和</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投标文件的承诺（详见合同附件载明的标准，并不低于国家相关标准）。</w:t>
      </w:r>
    </w:p>
    <w:p w14:paraId="04266474">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9.5制造厂对所供货物进行机械运转试验和性能试验时，</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必须提前通知</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w:t>
      </w:r>
    </w:p>
    <w:p w14:paraId="27A8F51E">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第十条　伴随服务／售后服务</w:t>
      </w:r>
    </w:p>
    <w:p w14:paraId="699E5D6B">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10.1</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应按照国家有关法律法规规章和“三包”规定以及合同所附的“服务承诺”提供服务。</w:t>
      </w:r>
    </w:p>
    <w:p w14:paraId="0543BB16">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10.2除前款规定外，</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还应提供下列服务：</w:t>
      </w:r>
    </w:p>
    <w:p w14:paraId="062D8925">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10.2.1货物的现场安装、调试和/或启动监督；</w:t>
      </w:r>
    </w:p>
    <w:p w14:paraId="0BEFE21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10.2.2就货物的安装、启动、运行及维护等对</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人员进行培训。</w:t>
      </w:r>
    </w:p>
    <w:p w14:paraId="3610E104">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10.2.3若招标文件中不包含有关伴随服务或售后服务的承诺，双方作如下约定：</w:t>
      </w:r>
    </w:p>
    <w:p w14:paraId="5CF57174">
      <w:pPr>
        <w:pStyle w:val="980"/>
        <w:spacing w:before="0" w:beforeAutospacing="0" w:after="0" w:afterAutospacing="0" w:line="360" w:lineRule="auto"/>
        <w:rPr>
          <w:rFonts w:hint="default" w:ascii="仿宋" w:hAnsi="仿宋" w:eastAsia="仿宋" w:cs="仿宋"/>
          <w:color w:val="auto"/>
          <w:szCs w:val="24"/>
          <w:highlight w:val="none"/>
          <w:lang w:val="en-US" w:eastAsia="zh-CN"/>
        </w:rPr>
      </w:pPr>
      <w:r>
        <w:rPr>
          <w:rFonts w:hint="eastAsia" w:ascii="仿宋" w:hAnsi="仿宋" w:eastAsia="仿宋" w:cs="仿宋"/>
          <w:color w:val="auto"/>
          <w:szCs w:val="24"/>
          <w:highlight w:val="none"/>
          <w:u w:val="single"/>
          <w:lang w:val="en-US" w:eastAsia="zh-CN"/>
        </w:rPr>
        <w:t xml:space="preserve">             。</w:t>
      </w:r>
    </w:p>
    <w:p w14:paraId="2C53D217">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10.3</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应为</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提供培训服务，并指派专人负责与</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联系售后服务事宜。主要培训内容为货物的基本结构、性能、主要部件的构造及处理，日常使用操作、保养与管理、常见故障的排除、紧急情况的处理等，如</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未使用过同类型货物，</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还需就货物的功能对</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人员进行相应的技术培训，培训地点主要在货物安装现场或由</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安排。</w:t>
      </w:r>
    </w:p>
    <w:p w14:paraId="22194F68">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10.4所购货物</w:t>
      </w:r>
      <w:r>
        <w:rPr>
          <w:rFonts w:hint="eastAsia" w:ascii="仿宋" w:hAnsi="仿宋" w:eastAsia="仿宋" w:cs="仿宋"/>
          <w:color w:val="auto"/>
          <w:szCs w:val="24"/>
          <w:highlight w:val="none"/>
          <w:lang w:val="en-US" w:eastAsia="zh-CN"/>
        </w:rPr>
        <w:t>质保期</w:t>
      </w:r>
      <w:r>
        <w:rPr>
          <w:rFonts w:hint="eastAsia" w:ascii="仿宋" w:hAnsi="仿宋" w:eastAsia="仿宋" w:cs="仿宋"/>
          <w:color w:val="auto"/>
          <w:szCs w:val="24"/>
          <w:highlight w:val="none"/>
          <w:u w:val="single"/>
          <w:lang w:val="en-US" w:eastAsia="zh-CN"/>
        </w:rPr>
        <w:t xml:space="preserve">     </w:t>
      </w:r>
      <w:r>
        <w:rPr>
          <w:rFonts w:hint="eastAsia" w:ascii="仿宋" w:hAnsi="仿宋" w:eastAsia="仿宋" w:cs="仿宋"/>
          <w:color w:val="auto"/>
          <w:szCs w:val="24"/>
          <w:highlight w:val="none"/>
        </w:rPr>
        <w:t>年；</w:t>
      </w:r>
    </w:p>
    <w:p w14:paraId="2F4E6560">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10.5保修期内，</w:t>
      </w:r>
      <w:r>
        <w:rPr>
          <w:rFonts w:hint="eastAsia" w:ascii="仿宋" w:hAnsi="仿宋" w:eastAsia="仿宋" w:cs="仿宋"/>
          <w:bCs/>
          <w:color w:val="auto"/>
          <w:sz w:val="24"/>
          <w:szCs w:val="24"/>
          <w:highlight w:val="none"/>
          <w:u w:val="none"/>
          <w:lang w:val="en-US" w:eastAsia="zh-CN"/>
        </w:rPr>
        <w:t>非人为有意损坏实行包修、包换，时间自最终验收合格并交付使用之日起计算。在质保期内，如货物发生非人为的质量问题，乙方保证在接到电话通知后，立即响应，8小时内赶到现场修理、更换部件，3个工作日内不能修复的，必须采取提供备品备件等措施，以保证甲方的正常使用；</w:t>
      </w:r>
    </w:p>
    <w:p w14:paraId="0808EEC6">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w:t>
      </w:r>
      <w:r>
        <w:rPr>
          <w:rFonts w:hint="eastAsia" w:ascii="仿宋" w:hAnsi="仿宋" w:eastAsia="仿宋" w:cs="仿宋"/>
          <w:color w:val="auto"/>
          <w:szCs w:val="24"/>
          <w:highlight w:val="none"/>
          <w:lang w:val="en-US" w:eastAsia="zh-CN"/>
        </w:rPr>
        <w:t>6</w:t>
      </w:r>
      <w:r>
        <w:rPr>
          <w:rFonts w:hint="eastAsia" w:ascii="仿宋" w:hAnsi="仿宋" w:eastAsia="仿宋" w:cs="仿宋"/>
          <w:color w:val="auto"/>
          <w:szCs w:val="24"/>
          <w:highlight w:val="none"/>
        </w:rPr>
        <w:t>所有货物保修服务方式均为</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上门保修，即由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派员到货物使用现场维修，由此产生的一切费用均由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承担。</w:t>
      </w:r>
    </w:p>
    <w:p w14:paraId="136EADEE">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10.</w:t>
      </w: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rPr>
        <w:t>保修期后的货物维护由双方协商再定。</w:t>
      </w:r>
    </w:p>
    <w:p w14:paraId="6078400D">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第十一条　履约保证金</w:t>
      </w:r>
    </w:p>
    <w:p w14:paraId="68796D80">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w:t>
      </w:r>
      <w:r>
        <w:rPr>
          <w:rFonts w:hint="eastAsia" w:ascii="仿宋" w:hAnsi="仿宋" w:eastAsia="仿宋" w:cs="仿宋"/>
          <w:color w:val="auto"/>
          <w:sz w:val="24"/>
          <w:szCs w:val="24"/>
          <w:highlight w:val="none"/>
        </w:rPr>
        <w:t>合同签订后7日内，</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向</w:t>
      </w: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rPr>
        <w:t>缴纳中标价</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%的履约保证金，</w:t>
      </w:r>
      <w:r>
        <w:rPr>
          <w:rFonts w:hint="eastAsia" w:ascii="仿宋" w:hAnsi="仿宋" w:eastAsia="仿宋" w:cs="仿宋"/>
          <w:color w:val="auto"/>
          <w:sz w:val="24"/>
          <w:szCs w:val="24"/>
          <w:highlight w:val="none"/>
          <w:lang w:val="en-US" w:eastAsia="zh-CN"/>
        </w:rPr>
        <w:t>即：</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履约保证金以</w:t>
      </w:r>
      <w:r>
        <w:rPr>
          <w:rFonts w:hint="eastAsia" w:ascii="仿宋" w:hAnsi="仿宋" w:eastAsia="仿宋" w:cs="仿宋"/>
          <w:color w:val="auto"/>
          <w:szCs w:val="24"/>
          <w:highlight w:val="none"/>
        </w:rPr>
        <w:t>支票、汇票、本票或者金融机构、保险公司、担保机构出具的保函/保险等非现金形式提交。</w:t>
      </w:r>
    </w:p>
    <w:p w14:paraId="6167D264">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2.签订合同后，如</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不按双方合同约定履约，违反有关法律法规的规定及合同约定的条款，</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将没收全部履约保证金。履约保证金不足以赔偿损失的，</w:t>
      </w:r>
      <w:r>
        <w:rPr>
          <w:rFonts w:hint="eastAsia" w:ascii="仿宋" w:hAnsi="仿宋" w:eastAsia="仿宋" w:cs="仿宋"/>
          <w:color w:val="auto"/>
          <w:szCs w:val="24"/>
          <w:highlight w:val="none"/>
          <w:lang w:val="en-US" w:eastAsia="zh-CN"/>
        </w:rPr>
        <w:t>超过部分应由乙方承担</w:t>
      </w:r>
      <w:r>
        <w:rPr>
          <w:rFonts w:hint="eastAsia" w:ascii="仿宋" w:hAnsi="仿宋" w:eastAsia="仿宋" w:cs="仿宋"/>
          <w:color w:val="auto"/>
          <w:szCs w:val="24"/>
          <w:highlight w:val="none"/>
        </w:rPr>
        <w:t>。</w:t>
      </w:r>
    </w:p>
    <w:p w14:paraId="735AC48B">
      <w:pPr>
        <w:pStyle w:val="980"/>
        <w:spacing w:before="0" w:beforeAutospacing="0" w:after="0" w:afterAutospacing="0" w:line="360" w:lineRule="auto"/>
        <w:ind w:firstLine="480" w:firstLineChars="200"/>
        <w:rPr>
          <w:rFonts w:hint="default" w:ascii="仿宋" w:hAnsi="仿宋" w:eastAsia="仿宋" w:cs="仿宋"/>
          <w:color w:val="auto"/>
          <w:szCs w:val="24"/>
          <w:highlight w:val="none"/>
          <w:lang w:val="en-US" w:eastAsia="zh-CN"/>
        </w:rPr>
      </w:pPr>
      <w:r>
        <w:rPr>
          <w:rFonts w:hint="eastAsia" w:ascii="仿宋" w:hAnsi="仿宋" w:eastAsia="仿宋" w:cs="仿宋"/>
          <w:color w:val="auto"/>
          <w:szCs w:val="24"/>
          <w:highlight w:val="none"/>
        </w:rPr>
        <w:t>3.甲方在</w:t>
      </w:r>
      <w:r>
        <w:rPr>
          <w:rFonts w:hint="eastAsia" w:ascii="仿宋" w:hAnsi="仿宋" w:eastAsia="仿宋" w:cs="仿宋"/>
          <w:color w:val="auto"/>
          <w:szCs w:val="24"/>
          <w:highlight w:val="none"/>
          <w:lang w:val="en-US" w:eastAsia="zh-CN"/>
        </w:rPr>
        <w:t>履约期满后无息</w:t>
      </w:r>
      <w:r>
        <w:rPr>
          <w:rFonts w:hint="eastAsia" w:ascii="仿宋" w:hAnsi="仿宋" w:eastAsia="仿宋" w:cs="仿宋"/>
          <w:color w:val="auto"/>
          <w:szCs w:val="24"/>
          <w:highlight w:val="none"/>
        </w:rPr>
        <w:t>退还履约保证金。</w:t>
      </w:r>
    </w:p>
    <w:p w14:paraId="2FF180BC">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第十二条　货款支付</w:t>
      </w:r>
    </w:p>
    <w:p w14:paraId="1539E929">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12.1本合同项下所有款项均以人民币支付。</w:t>
      </w:r>
    </w:p>
    <w:p w14:paraId="42D24CE0">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12.2货款支付方法：</w:t>
      </w:r>
    </w:p>
    <w:p w14:paraId="05E1ED2E">
      <w:pPr>
        <w:adjustRightInd w:val="0"/>
        <w:snapToGrid w:val="0"/>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3、付款方式：</w:t>
      </w:r>
    </w:p>
    <w:p w14:paraId="503ABF70">
      <w:pPr>
        <w:adjustRightInd w:val="0"/>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（1）合同签订后</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天内，支付合同总价款的</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0%作为预付款；</w:t>
      </w:r>
    </w:p>
    <w:p w14:paraId="0537F826">
      <w:pPr>
        <w:adjustRightInd w:val="0"/>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（2）货到工地、开箱验收合格后</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天内，支付</w:t>
      </w:r>
      <w:r>
        <w:rPr>
          <w:rFonts w:hint="eastAsia" w:ascii="仿宋" w:hAnsi="仿宋" w:eastAsia="仿宋" w:cs="仿宋"/>
          <w:color w:val="auto"/>
          <w:sz w:val="24"/>
          <w:highlight w:val="none"/>
          <w:lang w:val="en-US" w:eastAsia="zh-CN"/>
        </w:rPr>
        <w:t>至</w:t>
      </w:r>
      <w:r>
        <w:rPr>
          <w:rFonts w:hint="eastAsia" w:ascii="仿宋" w:hAnsi="仿宋" w:eastAsia="仿宋" w:cs="仿宋"/>
          <w:color w:val="auto"/>
          <w:sz w:val="24"/>
          <w:highlight w:val="none"/>
        </w:rPr>
        <w:t>合同金额的</w:t>
      </w:r>
      <w:r>
        <w:rPr>
          <w:rFonts w:hint="eastAsia" w:ascii="仿宋" w:hAnsi="仿宋" w:eastAsia="仿宋" w:cs="仿宋"/>
          <w:color w:val="auto"/>
          <w:sz w:val="24"/>
          <w:highlight w:val="none"/>
          <w:lang w:val="en-US" w:eastAsia="zh-CN"/>
        </w:rPr>
        <w:t>70</w:t>
      </w:r>
      <w:r>
        <w:rPr>
          <w:rFonts w:hint="eastAsia" w:ascii="仿宋" w:hAnsi="仿宋" w:eastAsia="仿宋" w:cs="仿宋"/>
          <w:color w:val="auto"/>
          <w:sz w:val="24"/>
          <w:highlight w:val="none"/>
        </w:rPr>
        <w:t>%；</w:t>
      </w:r>
    </w:p>
    <w:p w14:paraId="33FB3D82">
      <w:pPr>
        <w:adjustRightInd w:val="0"/>
        <w:snapToGrid w:val="0"/>
        <w:spacing w:line="360" w:lineRule="auto"/>
        <w:ind w:firstLine="388" w:firstLineChars="162"/>
        <w:rPr>
          <w:rFonts w:hint="eastAsia" w:ascii="仿宋" w:hAnsi="仿宋" w:eastAsia="仿宋" w:cs="仿宋"/>
          <w:color w:val="auto"/>
          <w:sz w:val="24"/>
          <w:highlight w:val="none"/>
        </w:rPr>
      </w:pPr>
      <w:r>
        <w:rPr>
          <w:rFonts w:hint="eastAsia" w:ascii="仿宋" w:hAnsi="仿宋" w:eastAsia="仿宋" w:cs="仿宋"/>
          <w:color w:val="auto"/>
          <w:sz w:val="24"/>
          <w:highlight w:val="none"/>
        </w:rPr>
        <w:t>（3）全部</w:t>
      </w:r>
      <w:r>
        <w:rPr>
          <w:rFonts w:hint="eastAsia" w:ascii="仿宋" w:hAnsi="仿宋" w:eastAsia="仿宋" w:cs="仿宋"/>
          <w:color w:val="auto"/>
          <w:spacing w:val="-6"/>
          <w:sz w:val="24"/>
          <w:highlight w:val="none"/>
        </w:rPr>
        <w:t>货物</w:t>
      </w:r>
      <w:r>
        <w:rPr>
          <w:rFonts w:hint="eastAsia" w:ascii="仿宋" w:hAnsi="仿宋" w:eastAsia="仿宋" w:cs="仿宋"/>
          <w:color w:val="auto"/>
          <w:sz w:val="24"/>
          <w:highlight w:val="none"/>
        </w:rPr>
        <w:t>安装结束、调试完成、验收合格后</w:t>
      </w:r>
      <w:r>
        <w:rPr>
          <w:rFonts w:hint="eastAsia" w:ascii="仿宋" w:hAnsi="仿宋" w:eastAsia="仿宋" w:cs="仿宋"/>
          <w:color w:val="auto"/>
          <w:sz w:val="24"/>
          <w:highlight w:val="none"/>
          <w:lang w:val="en-US" w:eastAsia="zh-CN"/>
        </w:rPr>
        <w:t>7天</w:t>
      </w:r>
      <w:r>
        <w:rPr>
          <w:rFonts w:hint="eastAsia" w:ascii="仿宋" w:hAnsi="仿宋" w:eastAsia="仿宋" w:cs="仿宋"/>
          <w:color w:val="auto"/>
          <w:sz w:val="24"/>
          <w:highlight w:val="none"/>
        </w:rPr>
        <w:t>内支付至</w:t>
      </w:r>
      <w:r>
        <w:rPr>
          <w:rFonts w:hint="eastAsia" w:ascii="仿宋" w:hAnsi="仿宋" w:eastAsia="仿宋" w:cs="仿宋"/>
          <w:color w:val="auto"/>
          <w:sz w:val="24"/>
          <w:highlight w:val="none"/>
          <w:lang w:val="en-US" w:eastAsia="zh-CN"/>
        </w:rPr>
        <w:t>实际供货总价的100</w:t>
      </w:r>
      <w:r>
        <w:rPr>
          <w:rFonts w:hint="eastAsia" w:ascii="仿宋" w:hAnsi="仿宋" w:eastAsia="仿宋" w:cs="仿宋"/>
          <w:color w:val="auto"/>
          <w:sz w:val="24"/>
          <w:highlight w:val="none"/>
        </w:rPr>
        <w:t>%；</w:t>
      </w:r>
    </w:p>
    <w:p w14:paraId="04CFB021">
      <w:pPr>
        <w:pStyle w:val="25"/>
        <w:tabs>
          <w:tab w:val="left" w:pos="208"/>
        </w:tabs>
        <w:ind w:firstLine="482" w:firstLineChars="200"/>
        <w:rPr>
          <w:rFonts w:hint="eastAsia" w:ascii="仿宋" w:hAnsi="仿宋" w:eastAsia="仿宋" w:cs="仿宋"/>
          <w:color w:val="auto"/>
          <w:szCs w:val="24"/>
          <w:highlight w:val="none"/>
        </w:rPr>
      </w:pPr>
      <w:r>
        <w:rPr>
          <w:rFonts w:hint="eastAsia" w:ascii="仿宋" w:hAnsi="仿宋" w:eastAsia="仿宋" w:cs="仿宋"/>
          <w:b/>
          <w:bCs/>
          <w:color w:val="auto"/>
          <w:sz w:val="24"/>
          <w:szCs w:val="24"/>
          <w:highlight w:val="none"/>
          <w:lang w:val="en-US" w:eastAsia="zh-CN"/>
        </w:rPr>
        <w:t>注：本项采购款项均由</w:t>
      </w:r>
      <w:r>
        <w:rPr>
          <w:rFonts w:hint="eastAsia" w:ascii="仿宋" w:hAnsi="仿宋" w:eastAsia="仿宋" w:cs="仿宋"/>
          <w:b/>
          <w:bCs/>
          <w:color w:val="auto"/>
          <w:sz w:val="24"/>
          <w:szCs w:val="24"/>
          <w:highlight w:val="none"/>
          <w:u w:val="single"/>
          <w:lang w:val="en-US" w:eastAsia="zh-CN"/>
        </w:rPr>
        <w:t xml:space="preserve">   甲方   </w:t>
      </w:r>
      <w:r>
        <w:rPr>
          <w:rFonts w:hint="eastAsia" w:ascii="仿宋" w:hAnsi="仿宋" w:eastAsia="仿宋" w:cs="仿宋"/>
          <w:b/>
          <w:bCs/>
          <w:color w:val="auto"/>
          <w:sz w:val="24"/>
          <w:szCs w:val="24"/>
          <w:highlight w:val="none"/>
          <w:lang w:val="en-US" w:eastAsia="zh-CN"/>
        </w:rPr>
        <w:t>进行支付</w:t>
      </w:r>
      <w:r>
        <w:rPr>
          <w:rFonts w:hint="eastAsia" w:ascii="仿宋" w:hAnsi="仿宋" w:eastAsia="仿宋" w:cs="仿宋"/>
          <w:b w:val="0"/>
          <w:bCs w:val="0"/>
          <w:color w:val="auto"/>
          <w:sz w:val="24"/>
          <w:szCs w:val="24"/>
          <w:highlight w:val="none"/>
        </w:rPr>
        <w:t xml:space="preserve">  </w:t>
      </w:r>
    </w:p>
    <w:p w14:paraId="15F6D7DD">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第十三条　违约责任</w:t>
      </w:r>
    </w:p>
    <w:p w14:paraId="1BAAF79E">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13.1</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无正当理由拒收货物、拒付货物款的，由</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向</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偿付合同总价的3%违约金。</w:t>
      </w:r>
    </w:p>
    <w:p w14:paraId="56D7C87A">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13.2</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未按合同规定的期限向</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支付货款的，每逾期1天</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向</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偿付欠款总额的5‰滞纳金，但累计滞纳金总额不超过欠款总额的3% 。</w:t>
      </w:r>
    </w:p>
    <w:p w14:paraId="054BCFD2">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13.3如</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不能交付货物，</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有权扣留全部履约保证金；同时</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应向</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支付合同总价3％的违约金。</w:t>
      </w:r>
    </w:p>
    <w:p w14:paraId="5D022995">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13.4</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逾期交付货物的，每逾期1天，</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向</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偿付逾期交货部分货款总额的5‰的滞纳金。如</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逾期交货达天，</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有权解除合同，解除合同的通知自到达</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时生效。</w:t>
      </w:r>
    </w:p>
    <w:p w14:paraId="72147F6C">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在履行合同过程中，如果</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遇到不能按时交货情况，应及时以书面形式将不能按时交货的理由、预期延误时间通知</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收到</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通知后，认为其理由正当的，可酌情延长交货时间；不认可</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不能按时交货理由的，按逾期交付货物处理。</w:t>
      </w:r>
    </w:p>
    <w:p w14:paraId="750A0174">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13.5</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所交付的货物品种、型号、规格、技术指标不符合合同规定的，</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有权拒收。</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拒收的，</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应向</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支付货款总额3%的违约金。</w:t>
      </w:r>
    </w:p>
    <w:p w14:paraId="5CB242B7">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13.6在</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承诺的或国家规定的质量保证期内（取两者中最长的期限），如经</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两次维修或更换，货物仍不能达到合同约定的质量标准，</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有权退货，</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应退回全部货款，并按第13.3款处理，同时，</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还须赔偿</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因此遭受的损失。</w:t>
      </w:r>
    </w:p>
    <w:p w14:paraId="437D01E6">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13.7</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未按本合同的规定和“服务承诺”提供伴随服务/售后服务的，应按合同总价款的</w:t>
      </w:r>
      <w:r>
        <w:rPr>
          <w:rFonts w:hint="eastAsia" w:ascii="仿宋" w:hAnsi="仿宋" w:eastAsia="仿宋" w:cs="仿宋"/>
          <w:color w:val="auto"/>
          <w:szCs w:val="24"/>
          <w:highlight w:val="none"/>
          <w:u w:val="single"/>
        </w:rPr>
        <w:t>5‰</w:t>
      </w:r>
      <w:r>
        <w:rPr>
          <w:rFonts w:hint="eastAsia" w:ascii="仿宋" w:hAnsi="仿宋" w:eastAsia="仿宋" w:cs="仿宋"/>
          <w:color w:val="auto"/>
          <w:szCs w:val="24"/>
          <w:highlight w:val="none"/>
        </w:rPr>
        <w:t>向</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承担违约责任。</w:t>
      </w:r>
    </w:p>
    <w:p w14:paraId="11F69659">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13.8</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在承担上述13.3～13.7款一项或多项违约责任后，仍应继续履行合同规定的义务（</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解除合同的除外）。</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未能及时追究</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的任何一项违约责任并不表明</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放弃追究</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该项或其他违约责任。</w:t>
      </w:r>
    </w:p>
    <w:p w14:paraId="25F1AB2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第十四条　合同的转让和分包</w:t>
      </w:r>
    </w:p>
    <w:p w14:paraId="2C8B0AAB">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不得擅自部分或全部转让其应履行的合同义务；</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不得擅自分包其应履行的合同义务。</w:t>
      </w:r>
    </w:p>
    <w:p w14:paraId="31070251">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第十五条　合同的变更和终止</w:t>
      </w:r>
    </w:p>
    <w:p w14:paraId="5EC17860">
      <w:pPr>
        <w:pStyle w:val="980"/>
        <w:widowControl w:val="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除《政府采购法》第50条第二款规定的情形外，本合同一经签订，双方不得擅自变更、中止或终止合同。</w:t>
      </w:r>
    </w:p>
    <w:p w14:paraId="5724C43C">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第十六条不可抗力</w:t>
      </w:r>
    </w:p>
    <w:p w14:paraId="2A08269C">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16.1如果双方中任何一方遭遇法律规定的不可抗力，致使合同履行受阻时，履行合同的期限应予延长，延长的期限应相当于不可抗力所影响的时间。</w:t>
      </w:r>
    </w:p>
    <w:p w14:paraId="74DEC70C">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16.2受事故影响的一方应在不可抗力的事故发生后尽快书面形式通知另一方，并尽快将有关部门出具的证明文件送达另一方。</w:t>
      </w:r>
    </w:p>
    <w:p w14:paraId="3665BF7D">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16.3不可抗力使合同的某些内容有变更必要的，双方应通过协商达成进一步履行合同的协议，因不可抗力致使合同不能履行的，合同终止。</w:t>
      </w:r>
    </w:p>
    <w:p w14:paraId="0B6567A6">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第十七条　争议的解决</w:t>
      </w:r>
    </w:p>
    <w:p w14:paraId="31FECC20">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17.1因货物的质量问题发生争议的，应当邀请国家认可的质量检测机构对货物质量进行鉴定。货物符合标准的，鉴定费由</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承担；货物不符合质量标准的，鉴定费由</w:t>
      </w:r>
      <w:r>
        <w:rPr>
          <w:rFonts w:hint="eastAsia" w:ascii="仿宋" w:hAnsi="仿宋" w:eastAsia="仿宋" w:cs="仿宋"/>
          <w:color w:val="auto"/>
          <w:szCs w:val="24"/>
          <w:highlight w:val="none"/>
          <w:lang w:eastAsia="zh-CN"/>
        </w:rPr>
        <w:t>乙方</w:t>
      </w:r>
      <w:r>
        <w:rPr>
          <w:rFonts w:hint="eastAsia" w:ascii="仿宋" w:hAnsi="仿宋" w:eastAsia="仿宋" w:cs="仿宋"/>
          <w:color w:val="auto"/>
          <w:szCs w:val="24"/>
          <w:highlight w:val="none"/>
        </w:rPr>
        <w:t>承担。</w:t>
      </w:r>
    </w:p>
    <w:p w14:paraId="0FA1D55D">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17.2因履行本合同引起的或与本合同有关的争议，买、卖双方应首先通过友好协商解决，如果协商不能解决争议，则采取以下第</w:t>
      </w:r>
      <w:r>
        <w:rPr>
          <w:rFonts w:hint="eastAsia" w:ascii="仿宋" w:hAnsi="仿宋" w:eastAsia="仿宋" w:cs="仿宋"/>
          <w:color w:val="auto"/>
          <w:szCs w:val="24"/>
          <w:highlight w:val="none"/>
          <w:u w:val="single"/>
          <w:lang w:val="en-US" w:eastAsia="zh-CN"/>
        </w:rPr>
        <w:t xml:space="preserve">  2 </w:t>
      </w:r>
      <w:r>
        <w:rPr>
          <w:rFonts w:hint="eastAsia" w:ascii="仿宋" w:hAnsi="仿宋" w:eastAsia="仿宋" w:cs="仿宋"/>
          <w:color w:val="auto"/>
          <w:szCs w:val="24"/>
          <w:highlight w:val="none"/>
          <w:lang w:val="en-US" w:eastAsia="zh-CN"/>
        </w:rPr>
        <w:t xml:space="preserve"> </w:t>
      </w:r>
      <w:r>
        <w:rPr>
          <w:rFonts w:hint="eastAsia" w:ascii="仿宋" w:hAnsi="仿宋" w:eastAsia="仿宋" w:cs="仿宋"/>
          <w:color w:val="auto"/>
          <w:szCs w:val="24"/>
          <w:highlight w:val="none"/>
        </w:rPr>
        <w:t>种方式解决争议：</w:t>
      </w:r>
    </w:p>
    <w:p w14:paraId="1C789492">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17.2.1向</w:t>
      </w:r>
      <w:r>
        <w:rPr>
          <w:rFonts w:hint="eastAsia" w:ascii="仿宋" w:hAnsi="仿宋" w:eastAsia="仿宋" w:cs="仿宋"/>
          <w:color w:val="auto"/>
          <w:szCs w:val="24"/>
          <w:highlight w:val="none"/>
          <w:lang w:eastAsia="zh-CN"/>
        </w:rPr>
        <w:t>甲方</w:t>
      </w:r>
      <w:r>
        <w:rPr>
          <w:rFonts w:hint="eastAsia" w:ascii="仿宋" w:hAnsi="仿宋" w:eastAsia="仿宋" w:cs="仿宋"/>
          <w:color w:val="auto"/>
          <w:szCs w:val="24"/>
          <w:highlight w:val="none"/>
        </w:rPr>
        <w:t>所在地有管辖权的人民法院提起诉讼；</w:t>
      </w:r>
    </w:p>
    <w:p w14:paraId="04FEC8E8">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17.2.2向</w:t>
      </w:r>
      <w:r>
        <w:rPr>
          <w:rFonts w:hint="eastAsia" w:ascii="仿宋" w:hAnsi="仿宋" w:eastAsia="仿宋" w:cs="仿宋"/>
          <w:color w:val="auto"/>
          <w:szCs w:val="24"/>
          <w:highlight w:val="none"/>
          <w:lang w:val="en-US" w:eastAsia="zh-CN"/>
        </w:rPr>
        <w:t>衢州</w:t>
      </w:r>
      <w:r>
        <w:rPr>
          <w:rFonts w:hint="eastAsia" w:ascii="仿宋" w:hAnsi="仿宋" w:eastAsia="仿宋" w:cs="仿宋"/>
          <w:color w:val="auto"/>
          <w:szCs w:val="24"/>
          <w:highlight w:val="none"/>
        </w:rPr>
        <w:t>仲裁委员会按其仲裁规则申请仲裁。</w:t>
      </w:r>
    </w:p>
    <w:p w14:paraId="254F311E">
      <w:pPr>
        <w:pStyle w:val="980"/>
        <w:spacing w:before="0" w:beforeAutospacing="0" w:after="0" w:afterAutospacing="0"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17.3</w:t>
      </w:r>
      <w:r>
        <w:rPr>
          <w:rFonts w:hint="eastAsia" w:ascii="仿宋" w:hAnsi="仿宋" w:eastAsia="仿宋" w:cs="仿宋"/>
          <w:color w:val="auto"/>
          <w:szCs w:val="24"/>
          <w:highlight w:val="none"/>
          <w:u w:val="single"/>
        </w:rPr>
        <w:t>在仲裁期间，本合同应继续履行</w:t>
      </w:r>
      <w:r>
        <w:rPr>
          <w:rFonts w:hint="eastAsia" w:ascii="仿宋" w:hAnsi="仿宋" w:eastAsia="仿宋" w:cs="仿宋"/>
          <w:color w:val="auto"/>
          <w:szCs w:val="24"/>
          <w:highlight w:val="none"/>
        </w:rPr>
        <w:t>。</w:t>
      </w:r>
    </w:p>
    <w:p w14:paraId="3B547EDA">
      <w:pPr>
        <w:pStyle w:val="980"/>
        <w:spacing w:before="0" w:beforeAutospacing="0" w:after="0" w:afterAutospacing="0" w:line="360" w:lineRule="auto"/>
        <w:ind w:firstLine="482"/>
        <w:rPr>
          <w:rFonts w:hint="eastAsia" w:ascii="仿宋" w:hAnsi="仿宋" w:eastAsia="仿宋" w:cs="仿宋"/>
          <w:color w:val="auto"/>
          <w:szCs w:val="24"/>
          <w:highlight w:val="none"/>
        </w:rPr>
      </w:pPr>
      <w:r>
        <w:rPr>
          <w:rFonts w:hint="eastAsia" w:ascii="仿宋" w:hAnsi="仿宋" w:eastAsia="仿宋" w:cs="仿宋"/>
          <w:color w:val="auto"/>
          <w:szCs w:val="24"/>
          <w:highlight w:val="none"/>
        </w:rPr>
        <w:t>第十八条　合同生效及其他</w:t>
      </w:r>
    </w:p>
    <w:p w14:paraId="25DE65AF">
      <w:pPr>
        <w:pStyle w:val="980"/>
        <w:spacing w:before="0" w:beforeAutospacing="0" w:after="0" w:afterAutospacing="0" w:line="360" w:lineRule="auto"/>
        <w:ind w:firstLine="482"/>
        <w:rPr>
          <w:rFonts w:hint="eastAsia" w:ascii="仿宋" w:hAnsi="仿宋" w:eastAsia="仿宋" w:cs="仿宋"/>
          <w:color w:val="auto"/>
          <w:szCs w:val="24"/>
          <w:highlight w:val="none"/>
        </w:rPr>
      </w:pPr>
      <w:r>
        <w:rPr>
          <w:rFonts w:hint="eastAsia" w:ascii="仿宋" w:hAnsi="仿宋" w:eastAsia="仿宋" w:cs="仿宋"/>
          <w:color w:val="auto"/>
          <w:szCs w:val="24"/>
          <w:highlight w:val="none"/>
        </w:rPr>
        <w:t>18.1合同经双方负责人或被委托人签字并加盖单位公章。</w:t>
      </w:r>
    </w:p>
    <w:p w14:paraId="198548E6">
      <w:pPr>
        <w:pStyle w:val="980"/>
        <w:spacing w:before="0" w:beforeAutospacing="0" w:after="0" w:afterAutospacing="0" w:line="360" w:lineRule="auto"/>
        <w:ind w:firstLine="482"/>
        <w:rPr>
          <w:rFonts w:hint="eastAsia" w:ascii="仿宋" w:hAnsi="仿宋" w:eastAsia="仿宋" w:cs="仿宋"/>
          <w:color w:val="auto"/>
          <w:szCs w:val="24"/>
          <w:highlight w:val="none"/>
        </w:rPr>
      </w:pPr>
      <w:r>
        <w:rPr>
          <w:rFonts w:hint="eastAsia" w:ascii="仿宋" w:hAnsi="仿宋" w:eastAsia="仿宋" w:cs="仿宋"/>
          <w:color w:val="auto"/>
          <w:szCs w:val="24"/>
          <w:highlight w:val="none"/>
        </w:rPr>
        <w:t>18.2合同执行中涉及采购资金和采购内容修改或补充的，须经</w:t>
      </w:r>
      <w:r>
        <w:rPr>
          <w:rFonts w:hint="eastAsia" w:ascii="仿宋" w:hAnsi="仿宋" w:eastAsia="仿宋" w:cs="仿宋"/>
          <w:color w:val="auto"/>
          <w:szCs w:val="24"/>
          <w:highlight w:val="none"/>
          <w:lang w:val="en-US" w:eastAsia="zh-CN"/>
        </w:rPr>
        <w:t>双方协商一致及财政</w:t>
      </w:r>
      <w:r>
        <w:rPr>
          <w:rFonts w:hint="eastAsia" w:ascii="仿宋" w:hAnsi="仿宋" w:eastAsia="仿宋" w:cs="仿宋"/>
          <w:color w:val="auto"/>
          <w:szCs w:val="24"/>
          <w:highlight w:val="none"/>
        </w:rPr>
        <w:t>部门批准，并签书面补充协议报</w:t>
      </w:r>
      <w:r>
        <w:rPr>
          <w:rFonts w:hint="eastAsia" w:ascii="仿宋" w:hAnsi="仿宋" w:eastAsia="仿宋" w:cs="仿宋"/>
          <w:color w:val="auto"/>
          <w:szCs w:val="24"/>
          <w:highlight w:val="none"/>
          <w:lang w:val="en-US" w:eastAsia="zh-CN"/>
        </w:rPr>
        <w:t>财政</w:t>
      </w:r>
      <w:r>
        <w:rPr>
          <w:rFonts w:hint="eastAsia" w:ascii="仿宋" w:hAnsi="仿宋" w:eastAsia="仿宋" w:cs="仿宋"/>
          <w:color w:val="auto"/>
          <w:szCs w:val="24"/>
          <w:highlight w:val="none"/>
        </w:rPr>
        <w:t>部门备案，方可作为合同不可分割的一部分。</w:t>
      </w:r>
    </w:p>
    <w:p w14:paraId="44E9FA38">
      <w:pPr>
        <w:pStyle w:val="980"/>
        <w:spacing w:before="0" w:beforeAutospacing="0" w:after="0" w:afterAutospacing="0" w:line="360" w:lineRule="auto"/>
        <w:ind w:firstLine="482"/>
        <w:rPr>
          <w:rFonts w:hint="eastAsia" w:ascii="仿宋" w:hAnsi="仿宋" w:eastAsia="仿宋" w:cs="仿宋"/>
          <w:color w:val="auto"/>
          <w:szCs w:val="24"/>
          <w:highlight w:val="none"/>
        </w:rPr>
      </w:pPr>
      <w:r>
        <w:rPr>
          <w:rFonts w:hint="eastAsia" w:ascii="仿宋" w:hAnsi="仿宋" w:eastAsia="仿宋" w:cs="仿宋"/>
          <w:color w:val="auto"/>
          <w:szCs w:val="24"/>
          <w:highlight w:val="none"/>
        </w:rPr>
        <w:t>18.3本合同自签订之日起生效。</w:t>
      </w:r>
    </w:p>
    <w:p w14:paraId="5FD04CA3">
      <w:pPr>
        <w:pStyle w:val="980"/>
        <w:spacing w:before="0" w:beforeAutospacing="0" w:after="0" w:afterAutospacing="0" w:line="360" w:lineRule="auto"/>
        <w:ind w:firstLine="482"/>
        <w:rPr>
          <w:rFonts w:hint="eastAsia" w:ascii="仿宋" w:hAnsi="仿宋" w:eastAsia="仿宋" w:cs="仿宋"/>
          <w:color w:val="auto"/>
          <w:szCs w:val="24"/>
          <w:highlight w:val="none"/>
        </w:rPr>
      </w:pPr>
      <w:r>
        <w:rPr>
          <w:rFonts w:hint="eastAsia" w:ascii="仿宋" w:hAnsi="仿宋" w:eastAsia="仿宋" w:cs="仿宋"/>
          <w:color w:val="auto"/>
          <w:szCs w:val="24"/>
          <w:highlight w:val="none"/>
        </w:rPr>
        <w:t>18.4本合同一式六份，买卖双方各执二份，一份交采购代理机构存档，一份报送</w:t>
      </w:r>
      <w:r>
        <w:rPr>
          <w:rFonts w:hint="eastAsia" w:ascii="仿宋" w:hAnsi="仿宋" w:eastAsia="仿宋" w:cs="仿宋"/>
          <w:color w:val="auto"/>
          <w:szCs w:val="24"/>
          <w:highlight w:val="none"/>
          <w:lang w:val="en-US" w:eastAsia="zh-CN"/>
        </w:rPr>
        <w:t>财政</w:t>
      </w:r>
      <w:r>
        <w:rPr>
          <w:rFonts w:hint="eastAsia" w:ascii="仿宋" w:hAnsi="仿宋" w:eastAsia="仿宋" w:cs="仿宋"/>
          <w:color w:val="auto"/>
          <w:szCs w:val="24"/>
          <w:highlight w:val="none"/>
        </w:rPr>
        <w:t>部门备案。</w:t>
      </w:r>
    </w:p>
    <w:p w14:paraId="670C1147">
      <w:pPr>
        <w:pStyle w:val="980"/>
        <w:spacing w:before="0" w:beforeAutospacing="0" w:after="0" w:afterAutospacing="0" w:line="360" w:lineRule="auto"/>
        <w:ind w:firstLine="482"/>
        <w:rPr>
          <w:rFonts w:hint="eastAsia" w:ascii="仿宋" w:hAnsi="仿宋" w:eastAsia="仿宋" w:cs="仿宋"/>
          <w:color w:val="auto"/>
          <w:szCs w:val="24"/>
          <w:highlight w:val="none"/>
        </w:rPr>
      </w:pPr>
      <w:r>
        <w:rPr>
          <w:rFonts w:hint="eastAsia" w:ascii="仿宋" w:hAnsi="仿宋" w:eastAsia="仿宋" w:cs="仿宋"/>
          <w:color w:val="auto"/>
          <w:szCs w:val="24"/>
          <w:highlight w:val="none"/>
        </w:rPr>
        <w:t>18.</w:t>
      </w:r>
      <w:r>
        <w:rPr>
          <w:rFonts w:hint="eastAsia" w:ascii="仿宋" w:hAnsi="仿宋" w:eastAsia="仿宋" w:cs="仿宋"/>
          <w:color w:val="auto"/>
          <w:szCs w:val="24"/>
          <w:highlight w:val="none"/>
          <w:lang w:val="en-US" w:eastAsia="zh-CN"/>
        </w:rPr>
        <w:t>5</w:t>
      </w:r>
      <w:r>
        <w:rPr>
          <w:rFonts w:hint="eastAsia" w:ascii="仿宋" w:hAnsi="仿宋" w:eastAsia="仿宋" w:cs="仿宋"/>
          <w:color w:val="auto"/>
          <w:szCs w:val="24"/>
          <w:highlight w:val="none"/>
        </w:rPr>
        <w:t>本合同应按照中华人民共和国的现行法律进行解释。</w:t>
      </w:r>
    </w:p>
    <w:p w14:paraId="5A964C79">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甲方（公章）：                      乙方（公章）：</w:t>
      </w:r>
    </w:p>
    <w:p w14:paraId="087E7645">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法定（授权）代表人（签字）：        法定（授权）代表人（签字）：</w:t>
      </w:r>
    </w:p>
    <w:p w14:paraId="6EEBE86F">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地址：                             </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z w:val="24"/>
          <w:szCs w:val="24"/>
          <w:highlight w:val="none"/>
        </w:rPr>
        <w:t>地址：</w:t>
      </w:r>
    </w:p>
    <w:p w14:paraId="22F7572A">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电话：                              电话：</w:t>
      </w:r>
    </w:p>
    <w:p w14:paraId="673772A7">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开户银行：                          开户银行：  </w:t>
      </w:r>
    </w:p>
    <w:p w14:paraId="07311B7D">
      <w:pPr>
        <w:keepNext w:val="0"/>
        <w:keepLines w:val="0"/>
        <w:pageBreakBefore w:val="0"/>
        <w:widowControl w:val="0"/>
        <w:kinsoku/>
        <w:wordWrap w:val="0"/>
        <w:overflowPunct/>
        <w:topLinePunct w:val="0"/>
        <w:autoSpaceDE/>
        <w:autoSpaceDN/>
        <w:bidi w:val="0"/>
        <w:adjustRightInd/>
        <w:snapToGrid/>
        <w:spacing w:line="50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账号：                              账号：</w:t>
      </w:r>
    </w:p>
    <w:p w14:paraId="08BD1BFD">
      <w:pPr>
        <w:keepNext w:val="0"/>
        <w:keepLines w:val="0"/>
        <w:pageBreakBefore w:val="0"/>
        <w:widowControl w:val="0"/>
        <w:kinsoku/>
        <w:wordWrap w:val="0"/>
        <w:overflowPunct/>
        <w:topLinePunct w:val="0"/>
        <w:autoSpaceDE/>
        <w:autoSpaceDN/>
        <w:bidi w:val="0"/>
        <w:adjustRightInd/>
        <w:snapToGrid/>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签订日期：  年    月    日</w:t>
      </w:r>
    </w:p>
    <w:p w14:paraId="33876CC8">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3D8BDFF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764523BF">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评标方法：</w:t>
      </w:r>
    </w:p>
    <w:p w14:paraId="570FA29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rPr>
        <w:t>本次评标采用综合评分法，投标文件满足招标文件全部实质性要求，且按照评审因素的量化指标评审确定综合得分最高的供应商为</w:t>
      </w:r>
      <w:r>
        <w:rPr>
          <w:rFonts w:hint="eastAsia" w:ascii="仿宋" w:hAnsi="仿宋" w:eastAsia="仿宋" w:cs="仿宋"/>
          <w:color w:val="auto"/>
          <w:sz w:val="24"/>
          <w:highlight w:val="none"/>
          <w:lang w:val="en-US" w:eastAsia="zh-CN"/>
        </w:rPr>
        <w:t>第一</w:t>
      </w:r>
      <w:r>
        <w:rPr>
          <w:rFonts w:hint="eastAsia" w:ascii="仿宋" w:hAnsi="仿宋" w:eastAsia="仿宋" w:cs="仿宋"/>
          <w:color w:val="auto"/>
          <w:sz w:val="24"/>
          <w:highlight w:val="none"/>
        </w:rPr>
        <w:t>中标</w:t>
      </w:r>
      <w:r>
        <w:rPr>
          <w:rFonts w:hint="eastAsia" w:ascii="仿宋" w:hAnsi="仿宋" w:eastAsia="仿宋" w:cs="仿宋"/>
          <w:color w:val="auto"/>
          <w:sz w:val="24"/>
          <w:highlight w:val="none"/>
          <w:lang w:val="en-US" w:eastAsia="zh-CN"/>
        </w:rPr>
        <w:t>候选</w:t>
      </w:r>
      <w:r>
        <w:rPr>
          <w:rFonts w:hint="eastAsia" w:ascii="仿宋" w:hAnsi="仿宋" w:eastAsia="仿宋" w:cs="仿宋"/>
          <w:color w:val="auto"/>
          <w:sz w:val="24"/>
          <w:highlight w:val="none"/>
        </w:rPr>
        <w:t>人</w:t>
      </w:r>
      <w:r>
        <w:rPr>
          <w:rFonts w:hint="eastAsia" w:ascii="仿宋" w:hAnsi="仿宋" w:eastAsia="仿宋" w:cs="仿宋"/>
          <w:color w:val="auto"/>
          <w:sz w:val="24"/>
          <w:highlight w:val="none"/>
          <w:lang w:eastAsia="zh-CN"/>
        </w:rPr>
        <w:t>，得分第二高者为第二中标候选人，得分第</w:t>
      </w:r>
      <w:r>
        <w:rPr>
          <w:rFonts w:hint="eastAsia" w:ascii="仿宋" w:hAnsi="仿宋" w:eastAsia="仿宋" w:cs="仿宋"/>
          <w:color w:val="auto"/>
          <w:sz w:val="24"/>
          <w:highlight w:val="none"/>
          <w:lang w:val="en-US" w:eastAsia="zh-CN"/>
        </w:rPr>
        <w:t>三</w:t>
      </w:r>
      <w:r>
        <w:rPr>
          <w:rFonts w:hint="eastAsia" w:ascii="仿宋" w:hAnsi="仿宋" w:eastAsia="仿宋" w:cs="仿宋"/>
          <w:color w:val="auto"/>
          <w:sz w:val="24"/>
          <w:highlight w:val="none"/>
          <w:lang w:eastAsia="zh-CN"/>
        </w:rPr>
        <w:t>高者为第</w:t>
      </w:r>
      <w:r>
        <w:rPr>
          <w:rFonts w:hint="eastAsia" w:ascii="仿宋" w:hAnsi="仿宋" w:eastAsia="仿宋" w:cs="仿宋"/>
          <w:color w:val="auto"/>
          <w:sz w:val="24"/>
          <w:highlight w:val="none"/>
          <w:lang w:val="en-US" w:eastAsia="zh-CN"/>
        </w:rPr>
        <w:t>三</w:t>
      </w:r>
      <w:r>
        <w:rPr>
          <w:rFonts w:hint="eastAsia" w:ascii="仿宋" w:hAnsi="仿宋" w:eastAsia="仿宋" w:cs="仿宋"/>
          <w:color w:val="auto"/>
          <w:sz w:val="24"/>
          <w:highlight w:val="none"/>
          <w:lang w:eastAsia="zh-CN"/>
        </w:rPr>
        <w:t>中标候选人</w:t>
      </w: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rPr>
        <w:t>如出现</w:t>
      </w:r>
      <w:r>
        <w:rPr>
          <w:rFonts w:hint="eastAsia" w:ascii="仿宋" w:hAnsi="仿宋" w:eastAsia="仿宋" w:cs="仿宋"/>
          <w:color w:val="auto"/>
          <w:sz w:val="24"/>
          <w:szCs w:val="24"/>
          <w:highlight w:val="none"/>
          <w:lang w:val="en-US" w:eastAsia="zh-CN"/>
        </w:rPr>
        <w:t>综合</w:t>
      </w:r>
      <w:r>
        <w:rPr>
          <w:rFonts w:hint="eastAsia" w:ascii="仿宋" w:hAnsi="仿宋" w:eastAsia="仿宋" w:cs="仿宋"/>
          <w:color w:val="auto"/>
          <w:sz w:val="24"/>
          <w:szCs w:val="24"/>
          <w:highlight w:val="none"/>
        </w:rPr>
        <w:t>得分相同时，</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报价低的优先；如综合得分和投标报价均相同，则现场抽签确定</w:t>
      </w:r>
      <w:r>
        <w:rPr>
          <w:rFonts w:hint="eastAsia" w:ascii="仿宋" w:hAnsi="仿宋" w:eastAsia="仿宋" w:cs="仿宋"/>
          <w:color w:val="auto"/>
          <w:sz w:val="24"/>
          <w:szCs w:val="24"/>
          <w:highlight w:val="none"/>
          <w:lang w:val="zh-CN"/>
        </w:rPr>
        <w:t>。</w:t>
      </w:r>
    </w:p>
    <w:p w14:paraId="531ADF83">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2.评分标准：</w:t>
      </w:r>
    </w:p>
    <w:p w14:paraId="3EFED00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70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rPr>
        <w:t>分。评分依下述所列为评标</w:t>
      </w:r>
      <w:r>
        <w:rPr>
          <w:rFonts w:hint="eastAsia" w:ascii="仿宋" w:hAnsi="仿宋" w:eastAsia="仿宋" w:cs="仿宋"/>
          <w:color w:val="auto"/>
          <w:sz w:val="24"/>
          <w:highlight w:val="none"/>
          <w:lang w:eastAsia="zh-CN"/>
        </w:rPr>
        <w:t>评分</w:t>
      </w:r>
      <w:r>
        <w:rPr>
          <w:rFonts w:hint="eastAsia" w:ascii="仿宋" w:hAnsi="仿宋" w:eastAsia="仿宋" w:cs="仿宋"/>
          <w:color w:val="auto"/>
          <w:sz w:val="24"/>
          <w:highlight w:val="none"/>
        </w:rPr>
        <w:t>依据，分值如下（计算分值时，按其算术平均值</w:t>
      </w:r>
      <w:r>
        <w:rPr>
          <w:rFonts w:hint="eastAsia" w:ascii="仿宋" w:hAnsi="仿宋" w:eastAsia="仿宋" w:cs="仿宋"/>
          <w:color w:val="auto"/>
          <w:sz w:val="24"/>
          <w:highlight w:val="none"/>
          <w:lang w:val="en-US" w:eastAsia="zh-CN"/>
        </w:rPr>
        <w:t>四舍五入</w:t>
      </w:r>
      <w:r>
        <w:rPr>
          <w:rFonts w:hint="eastAsia" w:ascii="仿宋" w:hAnsi="仿宋" w:eastAsia="仿宋" w:cs="仿宋"/>
          <w:color w:val="auto"/>
          <w:sz w:val="24"/>
          <w:highlight w:val="none"/>
        </w:rPr>
        <w:t>保留小数2位）。</w:t>
      </w:r>
    </w:p>
    <w:p w14:paraId="270A8EB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70</w:t>
      </w:r>
      <w:r>
        <w:rPr>
          <w:rFonts w:hint="eastAsia" w:ascii="仿宋" w:hAnsi="仿宋" w:eastAsia="仿宋" w:cs="仿宋"/>
          <w:b/>
          <w:bCs/>
          <w:iCs/>
          <w:color w:val="auto"/>
          <w:sz w:val="24"/>
          <w:highlight w:val="none"/>
        </w:rPr>
        <w:t>分）</w:t>
      </w:r>
    </w:p>
    <w:tbl>
      <w:tblPr>
        <w:tblStyle w:val="62"/>
        <w:tblW w:w="493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2"/>
        <w:gridCol w:w="6480"/>
        <w:gridCol w:w="984"/>
      </w:tblGrid>
      <w:tr w14:paraId="3D3D8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874" w:type="pct"/>
            <w:shd w:val="clear" w:color="auto" w:fill="auto"/>
            <w:noWrap w:val="0"/>
            <w:vAlign w:val="center"/>
          </w:tcPr>
          <w:p w14:paraId="7A289F81">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评审内容</w:t>
            </w:r>
          </w:p>
        </w:tc>
        <w:tc>
          <w:tcPr>
            <w:tcW w:w="3581" w:type="pct"/>
            <w:shd w:val="clear" w:color="auto" w:fill="auto"/>
            <w:noWrap w:val="0"/>
            <w:vAlign w:val="center"/>
          </w:tcPr>
          <w:p w14:paraId="7B6EB6D4">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评审因素</w:t>
            </w:r>
          </w:p>
        </w:tc>
        <w:tc>
          <w:tcPr>
            <w:tcW w:w="543" w:type="pct"/>
            <w:shd w:val="clear" w:color="auto" w:fill="auto"/>
            <w:noWrap w:val="0"/>
            <w:vAlign w:val="center"/>
          </w:tcPr>
          <w:p w14:paraId="0D565C84">
            <w:pPr>
              <w:widowControl/>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分值</w:t>
            </w:r>
          </w:p>
        </w:tc>
      </w:tr>
      <w:tr w14:paraId="19C0E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874" w:type="pct"/>
            <w:shd w:val="clear" w:color="auto" w:fill="auto"/>
            <w:noWrap w:val="0"/>
            <w:vAlign w:val="center"/>
          </w:tcPr>
          <w:p w14:paraId="48AE0054">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类似业绩</w:t>
            </w:r>
          </w:p>
          <w:p w14:paraId="35F8BDA8">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【客观分】</w:t>
            </w:r>
          </w:p>
        </w:tc>
        <w:tc>
          <w:tcPr>
            <w:tcW w:w="3581" w:type="pct"/>
            <w:shd w:val="clear" w:color="auto" w:fill="auto"/>
            <w:noWrap w:val="0"/>
            <w:vAlign w:val="center"/>
          </w:tcPr>
          <w:p w14:paraId="7367B705">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投标人提供2021年</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月1日以来</w:t>
            </w:r>
            <w:r>
              <w:rPr>
                <w:rFonts w:hint="eastAsia" w:ascii="仿宋" w:hAnsi="仿宋" w:eastAsia="仿宋" w:cs="仿宋"/>
                <w:color w:val="auto"/>
                <w:kern w:val="0"/>
                <w:sz w:val="21"/>
                <w:szCs w:val="21"/>
                <w:highlight w:val="none"/>
                <w:lang w:eastAsia="zh-CN" w:bidi="ar"/>
              </w:rPr>
              <w:t>（时间以合同签订时间为准）</w:t>
            </w:r>
            <w:r>
              <w:rPr>
                <w:rFonts w:hint="eastAsia" w:ascii="仿宋" w:hAnsi="仿宋" w:eastAsia="仿宋" w:cs="仿宋"/>
                <w:color w:val="auto"/>
                <w:kern w:val="0"/>
                <w:sz w:val="21"/>
                <w:szCs w:val="21"/>
                <w:highlight w:val="none"/>
                <w:lang w:bidi="ar"/>
              </w:rPr>
              <w:t>承接</w:t>
            </w:r>
            <w:r>
              <w:rPr>
                <w:rFonts w:hint="eastAsia" w:ascii="仿宋" w:hAnsi="仿宋" w:eastAsia="仿宋" w:cs="仿宋"/>
                <w:color w:val="auto"/>
                <w:kern w:val="0"/>
                <w:sz w:val="21"/>
                <w:szCs w:val="21"/>
                <w:highlight w:val="none"/>
                <w:lang w:val="en-US" w:eastAsia="zh-CN" w:bidi="ar"/>
              </w:rPr>
              <w:t>过类似</w:t>
            </w:r>
            <w:r>
              <w:rPr>
                <w:rFonts w:hint="eastAsia" w:ascii="仿宋" w:hAnsi="仿宋" w:eastAsia="仿宋" w:cs="仿宋"/>
                <w:color w:val="auto"/>
                <w:kern w:val="0"/>
                <w:sz w:val="21"/>
                <w:szCs w:val="21"/>
                <w:highlight w:val="none"/>
                <w:lang w:bidi="ar"/>
              </w:rPr>
              <w:t>项目</w:t>
            </w:r>
            <w:r>
              <w:rPr>
                <w:rFonts w:hint="eastAsia" w:ascii="仿宋" w:hAnsi="仿宋" w:eastAsia="仿宋" w:cs="仿宋"/>
                <w:color w:val="auto"/>
                <w:kern w:val="0"/>
                <w:sz w:val="21"/>
                <w:szCs w:val="21"/>
                <w:highlight w:val="none"/>
                <w:lang w:val="en-US" w:eastAsia="zh-CN" w:bidi="ar"/>
              </w:rPr>
              <w:t>业绩的，每个项目得1分，最高得3分。</w:t>
            </w:r>
          </w:p>
          <w:p w14:paraId="059EB5FB">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b/>
                <w:bCs/>
                <w:color w:val="auto"/>
                <w:kern w:val="0"/>
                <w:sz w:val="21"/>
                <w:szCs w:val="21"/>
                <w:highlight w:val="none"/>
                <w:lang w:val="en-US" w:eastAsia="zh-CN" w:bidi="ar"/>
              </w:rPr>
              <w:t>注：须</w:t>
            </w:r>
            <w:r>
              <w:rPr>
                <w:rFonts w:hint="eastAsia" w:ascii="仿宋" w:hAnsi="仿宋" w:eastAsia="仿宋" w:cs="仿宋"/>
                <w:b/>
                <w:bCs/>
                <w:color w:val="auto"/>
                <w:kern w:val="0"/>
                <w:sz w:val="21"/>
                <w:szCs w:val="21"/>
                <w:highlight w:val="none"/>
                <w:lang w:bidi="ar"/>
              </w:rPr>
              <w:t>同时提供中标</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val="en-US" w:eastAsia="zh-CN" w:bidi="ar"/>
              </w:rPr>
              <w:t>成交</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bidi="ar"/>
              </w:rPr>
              <w:t>通知书及合同</w:t>
            </w:r>
            <w:r>
              <w:rPr>
                <w:rFonts w:hint="eastAsia" w:ascii="仿宋" w:hAnsi="仿宋" w:eastAsia="仿宋" w:cs="仿宋"/>
                <w:b/>
                <w:bCs/>
                <w:color w:val="auto"/>
                <w:kern w:val="0"/>
                <w:sz w:val="21"/>
                <w:szCs w:val="21"/>
                <w:highlight w:val="none"/>
                <w:lang w:val="en-US" w:eastAsia="zh-CN" w:bidi="ar"/>
              </w:rPr>
              <w:t>扫描件加盖公章</w:t>
            </w:r>
            <w:r>
              <w:rPr>
                <w:rFonts w:hint="eastAsia" w:ascii="仿宋" w:hAnsi="仿宋" w:eastAsia="仿宋" w:cs="仿宋"/>
                <w:b/>
                <w:bCs/>
                <w:color w:val="auto"/>
                <w:kern w:val="0"/>
                <w:sz w:val="21"/>
                <w:szCs w:val="21"/>
                <w:highlight w:val="none"/>
                <w:lang w:bidi="ar"/>
              </w:rPr>
              <w:t>，否则不得分。</w:t>
            </w:r>
          </w:p>
        </w:tc>
        <w:tc>
          <w:tcPr>
            <w:tcW w:w="543" w:type="pct"/>
            <w:shd w:val="clear" w:color="auto" w:fill="auto"/>
            <w:noWrap w:val="0"/>
            <w:vAlign w:val="center"/>
          </w:tcPr>
          <w:p w14:paraId="64223700">
            <w:pPr>
              <w:widowControl/>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0-3分</w:t>
            </w:r>
          </w:p>
        </w:tc>
      </w:tr>
      <w:tr w14:paraId="692B5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874" w:type="pct"/>
            <w:shd w:val="clear" w:color="auto" w:fill="auto"/>
            <w:noWrap w:val="0"/>
            <w:vAlign w:val="center"/>
          </w:tcPr>
          <w:p w14:paraId="388A77C5">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采购需求响应情况</w:t>
            </w:r>
          </w:p>
          <w:p w14:paraId="6082A26E">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【客观分】</w:t>
            </w:r>
          </w:p>
        </w:tc>
        <w:tc>
          <w:tcPr>
            <w:tcW w:w="3581" w:type="pct"/>
            <w:shd w:val="clear" w:color="auto" w:fill="auto"/>
            <w:noWrap w:val="0"/>
            <w:vAlign w:val="center"/>
          </w:tcPr>
          <w:p w14:paraId="55687B04">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bookmarkStart w:id="38" w:name="OLE_LINK19"/>
            <w:r>
              <w:rPr>
                <w:rFonts w:hint="eastAsia" w:ascii="仿宋" w:hAnsi="仿宋" w:eastAsia="仿宋" w:cs="仿宋"/>
                <w:color w:val="auto"/>
                <w:kern w:val="0"/>
                <w:sz w:val="21"/>
                <w:szCs w:val="21"/>
                <w:highlight w:val="none"/>
                <w:lang w:eastAsia="zh-CN" w:bidi="ar"/>
              </w:rPr>
              <w:t>所投产品完全满足采购需求技术参数及要求的得</w:t>
            </w:r>
            <w:r>
              <w:rPr>
                <w:rFonts w:hint="eastAsia" w:ascii="仿宋" w:hAnsi="仿宋" w:eastAsia="仿宋" w:cs="仿宋"/>
                <w:color w:val="auto"/>
                <w:kern w:val="0"/>
                <w:sz w:val="21"/>
                <w:szCs w:val="21"/>
                <w:highlight w:val="none"/>
                <w:lang w:val="en-US" w:eastAsia="zh-CN" w:bidi="ar"/>
              </w:rPr>
              <w:t>23</w:t>
            </w:r>
            <w:r>
              <w:rPr>
                <w:rFonts w:hint="eastAsia" w:ascii="仿宋" w:hAnsi="仿宋" w:eastAsia="仿宋" w:cs="仿宋"/>
                <w:color w:val="auto"/>
                <w:kern w:val="0"/>
                <w:sz w:val="21"/>
                <w:szCs w:val="21"/>
                <w:highlight w:val="none"/>
                <w:lang w:eastAsia="zh-CN" w:bidi="ar"/>
              </w:rPr>
              <w:t>分，技术参数属负偏离或缺漏项的每项扣</w:t>
            </w:r>
            <w:r>
              <w:rPr>
                <w:rFonts w:hint="eastAsia" w:ascii="仿宋" w:hAnsi="仿宋" w:eastAsia="仿宋" w:cs="仿宋"/>
                <w:color w:val="auto"/>
                <w:kern w:val="0"/>
                <w:sz w:val="21"/>
                <w:szCs w:val="21"/>
                <w:highlight w:val="none"/>
                <w:lang w:val="en-US" w:eastAsia="zh-CN" w:bidi="ar"/>
              </w:rPr>
              <w:t>0.5</w:t>
            </w:r>
            <w:r>
              <w:rPr>
                <w:rFonts w:hint="eastAsia" w:ascii="仿宋" w:hAnsi="仿宋" w:eastAsia="仿宋" w:cs="仿宋"/>
                <w:color w:val="auto"/>
                <w:kern w:val="0"/>
                <w:sz w:val="21"/>
                <w:szCs w:val="21"/>
                <w:highlight w:val="none"/>
                <w:lang w:eastAsia="zh-CN" w:bidi="ar"/>
              </w:rPr>
              <w:t>分，</w:t>
            </w:r>
            <w:r>
              <w:rPr>
                <w:rFonts w:hint="eastAsia" w:ascii="仿宋" w:hAnsi="仿宋" w:eastAsia="仿宋" w:cs="仿宋"/>
                <w:color w:val="auto"/>
                <w:kern w:val="0"/>
                <w:sz w:val="21"/>
                <w:szCs w:val="21"/>
                <w:highlight w:val="none"/>
                <w:lang w:val="en-US" w:eastAsia="zh-CN" w:bidi="ar"/>
              </w:rPr>
              <w:t>扣完为止</w:t>
            </w:r>
            <w:r>
              <w:rPr>
                <w:rFonts w:hint="eastAsia" w:ascii="仿宋" w:hAnsi="仿宋" w:eastAsia="仿宋" w:cs="仿宋"/>
                <w:color w:val="auto"/>
                <w:kern w:val="0"/>
                <w:sz w:val="21"/>
                <w:szCs w:val="21"/>
                <w:highlight w:val="none"/>
                <w:lang w:eastAsia="zh-CN" w:bidi="ar"/>
              </w:rPr>
              <w:t>。</w:t>
            </w:r>
            <w:bookmarkEnd w:id="38"/>
          </w:p>
        </w:tc>
        <w:tc>
          <w:tcPr>
            <w:tcW w:w="543" w:type="pct"/>
            <w:shd w:val="clear" w:color="auto" w:fill="auto"/>
            <w:noWrap w:val="0"/>
            <w:vAlign w:val="center"/>
          </w:tcPr>
          <w:p w14:paraId="7C6093C8">
            <w:pPr>
              <w:widowControl/>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0-23分</w:t>
            </w:r>
          </w:p>
        </w:tc>
      </w:tr>
      <w:tr w14:paraId="6D609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874" w:type="pct"/>
            <w:shd w:val="clear" w:color="auto" w:fill="auto"/>
            <w:noWrap w:val="0"/>
            <w:vAlign w:val="center"/>
          </w:tcPr>
          <w:p w14:paraId="74668EBE">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供货服务方案【主观分】</w:t>
            </w:r>
          </w:p>
        </w:tc>
        <w:tc>
          <w:tcPr>
            <w:tcW w:w="3581" w:type="pct"/>
            <w:shd w:val="clear" w:color="auto" w:fill="auto"/>
            <w:noWrap w:val="0"/>
            <w:vAlign w:val="center"/>
          </w:tcPr>
          <w:p w14:paraId="272B23AB">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zh-CN" w:eastAsia="zh-CN" w:bidi="ar"/>
              </w:rPr>
            </w:pPr>
            <w:r>
              <w:rPr>
                <w:rFonts w:hint="eastAsia" w:ascii="仿宋" w:hAnsi="仿宋" w:eastAsia="仿宋" w:cs="仿宋"/>
                <w:color w:val="auto"/>
                <w:kern w:val="0"/>
                <w:sz w:val="21"/>
                <w:szCs w:val="21"/>
                <w:highlight w:val="none"/>
                <w:lang w:val="en-US" w:eastAsia="zh-CN" w:bidi="ar"/>
              </w:rPr>
              <w:t>（1）服务内容、实施流程：方案描述是否全面合理、是否科学可行，是否具有针对性，是否贴合采购需求。</w:t>
            </w:r>
            <w:r>
              <w:rPr>
                <w:rFonts w:hint="eastAsia" w:ascii="仿宋" w:hAnsi="仿宋" w:eastAsia="仿宋" w:cs="仿宋"/>
                <w:b/>
                <w:bCs/>
                <w:color w:val="auto"/>
                <w:kern w:val="0"/>
                <w:sz w:val="21"/>
                <w:szCs w:val="21"/>
                <w:highlight w:val="none"/>
                <w:lang w:val="en-US" w:eastAsia="zh-CN" w:bidi="ar"/>
              </w:rPr>
              <w:t>(评分范围：6,5,4,3,2,1,0)</w:t>
            </w:r>
          </w:p>
          <w:p w14:paraId="49AB2BF9">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（2）服务标准及实施方案：方案描述是否全面合理、是否科学可行，是否具有针对性，是否贴合采购需求。</w:t>
            </w:r>
            <w:r>
              <w:rPr>
                <w:rFonts w:hint="eastAsia" w:ascii="仿宋" w:hAnsi="仿宋" w:eastAsia="仿宋" w:cs="仿宋"/>
                <w:b/>
                <w:bCs/>
                <w:color w:val="auto"/>
                <w:kern w:val="0"/>
                <w:sz w:val="21"/>
                <w:szCs w:val="21"/>
                <w:highlight w:val="none"/>
                <w:lang w:val="en-US" w:eastAsia="zh-CN" w:bidi="ar"/>
              </w:rPr>
              <w:t>(评分范围：6,5,4,3,2,1,0)</w:t>
            </w:r>
          </w:p>
        </w:tc>
        <w:tc>
          <w:tcPr>
            <w:tcW w:w="543" w:type="pct"/>
            <w:shd w:val="clear" w:color="auto" w:fill="auto"/>
            <w:noWrap w:val="0"/>
            <w:vAlign w:val="center"/>
          </w:tcPr>
          <w:p w14:paraId="5CAD9BC7">
            <w:pPr>
              <w:keepNext w:val="0"/>
              <w:keepLines w:val="0"/>
              <w:pageBreakBefore w:val="0"/>
              <w:widowControl/>
              <w:kinsoku/>
              <w:wordWrap w:val="0"/>
              <w:overflowPunct/>
              <w:topLinePunct w:val="0"/>
              <w:bidi w:val="0"/>
              <w:snapToGrid w:val="0"/>
              <w:spacing w:after="0" w:line="360" w:lineRule="auto"/>
              <w:ind w:left="0" w:leftChars="0" w:right="0" w:rightChars="0" w:firstLine="0" w:firstLineChars="0"/>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0-12分</w:t>
            </w:r>
          </w:p>
        </w:tc>
      </w:tr>
      <w:tr w14:paraId="1AF0C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874" w:type="pct"/>
            <w:shd w:val="clear" w:color="auto" w:fill="auto"/>
            <w:noWrap w:val="0"/>
            <w:vAlign w:val="center"/>
          </w:tcPr>
          <w:p w14:paraId="02B66CDD">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拟派服务团队配置</w:t>
            </w:r>
          </w:p>
          <w:p w14:paraId="7491A431">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【主观分】</w:t>
            </w:r>
          </w:p>
        </w:tc>
        <w:tc>
          <w:tcPr>
            <w:tcW w:w="3581" w:type="pct"/>
            <w:shd w:val="clear" w:color="auto" w:fill="auto"/>
            <w:noWrap w:val="0"/>
            <w:vAlign w:val="center"/>
          </w:tcPr>
          <w:p w14:paraId="2F33B85E">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b/>
                <w:bCs/>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（1）人员组织架构：方案描述是否全面合理、是否科学可行，是否具有针对性，是否贴合采购需求。</w:t>
            </w:r>
            <w:r>
              <w:rPr>
                <w:rFonts w:hint="eastAsia" w:ascii="仿宋" w:hAnsi="仿宋" w:eastAsia="仿宋" w:cs="仿宋"/>
                <w:b/>
                <w:bCs/>
                <w:color w:val="auto"/>
                <w:kern w:val="0"/>
                <w:sz w:val="21"/>
                <w:szCs w:val="21"/>
                <w:highlight w:val="none"/>
                <w:lang w:val="en-US" w:eastAsia="zh-CN" w:bidi="ar"/>
              </w:rPr>
              <w:t>(评分范围：3.2.1.0)</w:t>
            </w:r>
          </w:p>
          <w:p w14:paraId="3DA1BA4F">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（2）人员配置完善情况：方案描述是否全面合理、是否科学可行，是否具有针对性，是否贴合采购需求。</w:t>
            </w:r>
            <w:r>
              <w:rPr>
                <w:rFonts w:hint="eastAsia" w:ascii="仿宋" w:hAnsi="仿宋" w:eastAsia="仿宋" w:cs="仿宋"/>
                <w:b/>
                <w:bCs/>
                <w:color w:val="auto"/>
                <w:kern w:val="0"/>
                <w:sz w:val="21"/>
                <w:szCs w:val="21"/>
                <w:highlight w:val="none"/>
                <w:lang w:val="en-US" w:eastAsia="zh-CN" w:bidi="ar"/>
              </w:rPr>
              <w:t>(评分范围：3,2,1,0)</w:t>
            </w:r>
          </w:p>
          <w:p w14:paraId="364F400B">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（3）项目团队人员的专业及经验：方案描述是否全面合理、是否科学可行，是否具有针对性，是否贴合采购需求。</w:t>
            </w:r>
            <w:r>
              <w:rPr>
                <w:rFonts w:hint="eastAsia" w:ascii="仿宋" w:hAnsi="仿宋" w:eastAsia="仿宋" w:cs="仿宋"/>
                <w:b/>
                <w:bCs/>
                <w:color w:val="auto"/>
                <w:kern w:val="0"/>
                <w:sz w:val="21"/>
                <w:szCs w:val="21"/>
                <w:highlight w:val="none"/>
                <w:lang w:val="en-US" w:eastAsia="zh-CN" w:bidi="ar"/>
              </w:rPr>
              <w:t>(评分范围：3,2,1,0)</w:t>
            </w:r>
          </w:p>
        </w:tc>
        <w:tc>
          <w:tcPr>
            <w:tcW w:w="543" w:type="pct"/>
            <w:shd w:val="clear" w:color="auto" w:fill="auto"/>
            <w:noWrap w:val="0"/>
            <w:vAlign w:val="center"/>
          </w:tcPr>
          <w:p w14:paraId="0FFA6975">
            <w:pPr>
              <w:keepNext w:val="0"/>
              <w:keepLines w:val="0"/>
              <w:pageBreakBefore w:val="0"/>
              <w:widowControl/>
              <w:kinsoku/>
              <w:wordWrap w:val="0"/>
              <w:overflowPunct/>
              <w:topLinePunct w:val="0"/>
              <w:bidi w:val="0"/>
              <w:snapToGrid w:val="0"/>
              <w:spacing w:after="0" w:line="360" w:lineRule="auto"/>
              <w:ind w:left="0" w:leftChars="0" w:right="0" w:rightChars="0" w:firstLine="0" w:firstLineChars="0"/>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0-9分</w:t>
            </w:r>
          </w:p>
        </w:tc>
      </w:tr>
      <w:tr w14:paraId="7CC31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874" w:type="pct"/>
            <w:shd w:val="clear" w:color="auto" w:fill="auto"/>
            <w:noWrap w:val="0"/>
            <w:vAlign w:val="center"/>
          </w:tcPr>
          <w:p w14:paraId="7C5D15F5">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重难点分析及解决措施</w:t>
            </w:r>
          </w:p>
          <w:p w14:paraId="409E3FB0">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【主观分】</w:t>
            </w:r>
          </w:p>
        </w:tc>
        <w:tc>
          <w:tcPr>
            <w:tcW w:w="3581" w:type="pct"/>
            <w:shd w:val="clear" w:color="auto" w:fill="auto"/>
            <w:noWrap w:val="0"/>
            <w:vAlign w:val="center"/>
          </w:tcPr>
          <w:p w14:paraId="2DBBADD0">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（1）结合对本项目的认知情况，提出针对本项目的重难点分析方案：方案描述是否全面合理、是否具有针对性，是否贴合采购需求。</w:t>
            </w:r>
            <w:r>
              <w:rPr>
                <w:rFonts w:hint="eastAsia" w:ascii="仿宋" w:hAnsi="仿宋" w:eastAsia="仿宋" w:cs="仿宋"/>
                <w:b/>
                <w:bCs/>
                <w:color w:val="auto"/>
                <w:kern w:val="0"/>
                <w:sz w:val="21"/>
                <w:szCs w:val="21"/>
                <w:highlight w:val="none"/>
                <w:lang w:val="en-US" w:eastAsia="zh-CN" w:bidi="ar"/>
              </w:rPr>
              <w:t>(评分范围：3,2,1,0)</w:t>
            </w:r>
          </w:p>
          <w:p w14:paraId="23BC2D64">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（2)结合重难点分析情况，提出相应的解决措施方案：措施方案是否全面合理、是否科学可行，是否具有针对性，是否贴合采购需求。</w:t>
            </w:r>
            <w:r>
              <w:rPr>
                <w:rFonts w:hint="eastAsia" w:ascii="仿宋" w:hAnsi="仿宋" w:eastAsia="仿宋" w:cs="仿宋"/>
                <w:b/>
                <w:bCs/>
                <w:color w:val="auto"/>
                <w:kern w:val="0"/>
                <w:sz w:val="21"/>
                <w:szCs w:val="21"/>
                <w:highlight w:val="none"/>
                <w:lang w:val="en-US" w:eastAsia="zh-CN" w:bidi="ar"/>
              </w:rPr>
              <w:t>(评分范围：3,2,1,0)</w:t>
            </w:r>
          </w:p>
        </w:tc>
        <w:tc>
          <w:tcPr>
            <w:tcW w:w="543" w:type="pct"/>
            <w:shd w:val="clear" w:color="auto" w:fill="auto"/>
            <w:noWrap w:val="0"/>
            <w:vAlign w:val="center"/>
          </w:tcPr>
          <w:p w14:paraId="7CE4B513">
            <w:pPr>
              <w:keepNext w:val="0"/>
              <w:keepLines w:val="0"/>
              <w:pageBreakBefore w:val="0"/>
              <w:widowControl/>
              <w:kinsoku/>
              <w:wordWrap w:val="0"/>
              <w:overflowPunct/>
              <w:topLinePunct w:val="0"/>
              <w:bidi w:val="0"/>
              <w:snapToGrid w:val="0"/>
              <w:spacing w:after="0" w:line="360" w:lineRule="auto"/>
              <w:ind w:left="0" w:leftChars="0" w:right="0" w:rightChars="0" w:firstLine="0" w:firstLineChars="0"/>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0-6分</w:t>
            </w:r>
          </w:p>
        </w:tc>
      </w:tr>
      <w:tr w14:paraId="62E84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6" w:hRule="atLeast"/>
          <w:jc w:val="center"/>
        </w:trPr>
        <w:tc>
          <w:tcPr>
            <w:tcW w:w="874" w:type="pct"/>
            <w:shd w:val="clear" w:color="auto" w:fill="auto"/>
            <w:noWrap w:val="0"/>
            <w:vAlign w:val="center"/>
          </w:tcPr>
          <w:p w14:paraId="262E2858">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质量保障措施</w:t>
            </w:r>
            <w:r>
              <w:rPr>
                <w:rFonts w:hint="eastAsia" w:ascii="仿宋" w:hAnsi="仿宋" w:eastAsia="仿宋" w:cs="仿宋"/>
                <w:color w:val="auto"/>
                <w:sz w:val="21"/>
                <w:szCs w:val="21"/>
                <w:highlight w:val="none"/>
                <w:lang w:val="en-US" w:eastAsia="zh-CN"/>
              </w:rPr>
              <w:t>【主观分】</w:t>
            </w:r>
          </w:p>
        </w:tc>
        <w:tc>
          <w:tcPr>
            <w:tcW w:w="3581" w:type="pct"/>
            <w:shd w:val="clear" w:color="auto" w:fill="auto"/>
            <w:noWrap w:val="0"/>
            <w:vAlign w:val="center"/>
          </w:tcPr>
          <w:p w14:paraId="29E2282C">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质量管理、质量保障、风险控制等措施是否符合项目实际、是否全面合理、是否科学可行。</w:t>
            </w:r>
            <w:r>
              <w:rPr>
                <w:rFonts w:hint="eastAsia" w:ascii="仿宋" w:hAnsi="仿宋" w:eastAsia="仿宋" w:cs="仿宋"/>
                <w:b/>
                <w:bCs/>
                <w:color w:val="auto"/>
                <w:kern w:val="0"/>
                <w:sz w:val="21"/>
                <w:szCs w:val="21"/>
                <w:highlight w:val="none"/>
                <w:lang w:val="en-US" w:eastAsia="zh-CN" w:bidi="ar"/>
              </w:rPr>
              <w:t>(评分范围：4,3,2,1,0)</w:t>
            </w:r>
          </w:p>
        </w:tc>
        <w:tc>
          <w:tcPr>
            <w:tcW w:w="543" w:type="pct"/>
            <w:shd w:val="clear" w:color="auto" w:fill="auto"/>
            <w:noWrap w:val="0"/>
            <w:vAlign w:val="center"/>
          </w:tcPr>
          <w:p w14:paraId="58C5A8DF">
            <w:pPr>
              <w:keepNext w:val="0"/>
              <w:keepLines w:val="0"/>
              <w:pageBreakBefore w:val="0"/>
              <w:widowControl/>
              <w:kinsoku/>
              <w:wordWrap w:val="0"/>
              <w:overflowPunct/>
              <w:topLinePunct w:val="0"/>
              <w:bidi w:val="0"/>
              <w:snapToGrid w:val="0"/>
              <w:spacing w:after="0" w:line="360" w:lineRule="auto"/>
              <w:ind w:left="0" w:leftChars="0" w:right="0" w:rightChars="0" w:firstLine="0" w:firstLineChars="0"/>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0-4分</w:t>
            </w:r>
          </w:p>
        </w:tc>
      </w:tr>
      <w:tr w14:paraId="2186B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jc w:val="center"/>
        </w:trPr>
        <w:tc>
          <w:tcPr>
            <w:tcW w:w="874" w:type="pct"/>
            <w:shd w:val="clear" w:color="auto" w:fill="auto"/>
            <w:noWrap w:val="0"/>
            <w:vAlign w:val="center"/>
          </w:tcPr>
          <w:p w14:paraId="59827910">
            <w:pPr>
              <w:keepNext w:val="0"/>
              <w:keepLines w:val="0"/>
              <w:pageBreakBefore w:val="0"/>
              <w:widowControl/>
              <w:kinsoku/>
              <w:wordWrap/>
              <w:overflowPunct/>
              <w:topLinePunct w:val="0"/>
              <w:bidi w:val="0"/>
              <w:adjustRightInd w:val="0"/>
              <w:snapToGrid/>
              <w:spacing w:line="360" w:lineRule="exact"/>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安装、调试方案【主观分】</w:t>
            </w:r>
          </w:p>
        </w:tc>
        <w:tc>
          <w:tcPr>
            <w:tcW w:w="3581" w:type="pct"/>
            <w:shd w:val="clear" w:color="auto" w:fill="auto"/>
            <w:noWrap w:val="0"/>
            <w:vAlign w:val="center"/>
          </w:tcPr>
          <w:p w14:paraId="09440906">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strike/>
                <w:dstrike w:val="0"/>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bidi="ar"/>
              </w:rPr>
              <w:t>根据投标人针对本项目</w:t>
            </w:r>
            <w:r>
              <w:rPr>
                <w:rFonts w:hint="eastAsia" w:ascii="仿宋" w:hAnsi="仿宋" w:eastAsia="仿宋" w:cs="仿宋"/>
                <w:color w:val="auto"/>
                <w:kern w:val="0"/>
                <w:sz w:val="21"/>
                <w:szCs w:val="21"/>
                <w:highlight w:val="none"/>
                <w:lang w:val="en-US" w:eastAsia="zh-CN" w:bidi="ar"/>
              </w:rPr>
              <w:t>的设备、产品安装调试及验收方案是否符合项目实际、是否全面合理、是否科学可行。</w:t>
            </w:r>
            <w:r>
              <w:rPr>
                <w:rFonts w:hint="eastAsia" w:ascii="仿宋" w:hAnsi="仿宋" w:eastAsia="仿宋" w:cs="仿宋"/>
                <w:b/>
                <w:bCs/>
                <w:color w:val="auto"/>
                <w:kern w:val="0"/>
                <w:sz w:val="21"/>
                <w:szCs w:val="21"/>
                <w:highlight w:val="none"/>
                <w:lang w:val="en-US" w:eastAsia="zh-CN" w:bidi="ar"/>
              </w:rPr>
              <w:t>(评分范围：4,3,2,1,0)</w:t>
            </w:r>
          </w:p>
        </w:tc>
        <w:tc>
          <w:tcPr>
            <w:tcW w:w="543" w:type="pct"/>
            <w:shd w:val="clear" w:color="auto" w:fill="auto"/>
            <w:noWrap w:val="0"/>
            <w:vAlign w:val="center"/>
          </w:tcPr>
          <w:p w14:paraId="4136B47E">
            <w:pPr>
              <w:keepNext w:val="0"/>
              <w:keepLines w:val="0"/>
              <w:pageBreakBefore w:val="0"/>
              <w:widowControl/>
              <w:kinsoku/>
              <w:wordWrap w:val="0"/>
              <w:overflowPunct/>
              <w:topLinePunct w:val="0"/>
              <w:bidi w:val="0"/>
              <w:snapToGrid w:val="0"/>
              <w:spacing w:after="0" w:line="360" w:lineRule="auto"/>
              <w:ind w:left="0" w:leftChars="0" w:right="0" w:rightChars="0" w:firstLine="0" w:firstLineChars="0"/>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0-4分</w:t>
            </w:r>
          </w:p>
        </w:tc>
      </w:tr>
      <w:tr w14:paraId="67620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874" w:type="pct"/>
            <w:shd w:val="clear" w:color="auto" w:fill="auto"/>
            <w:noWrap w:val="0"/>
            <w:vAlign w:val="center"/>
          </w:tcPr>
          <w:p w14:paraId="7FF12CE8">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进度保障措施【主观分】</w:t>
            </w:r>
          </w:p>
        </w:tc>
        <w:tc>
          <w:tcPr>
            <w:tcW w:w="3581" w:type="pct"/>
            <w:shd w:val="clear" w:color="auto" w:fill="auto"/>
            <w:noWrap w:val="0"/>
            <w:vAlign w:val="center"/>
          </w:tcPr>
          <w:p w14:paraId="6DFB4648">
            <w:pPr>
              <w:keepNext w:val="0"/>
              <w:keepLines w:val="0"/>
              <w:pageBreakBefore w:val="0"/>
              <w:widowControl/>
              <w:kinsoku/>
              <w:wordWrap/>
              <w:overflowPunct/>
              <w:topLinePunct w:val="0"/>
              <w:autoSpaceDE/>
              <w:autoSpaceDN/>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根据投标人针对项目提供实施进度计划（包括工期保证措施等）：进度计划是否符合项目实际、保证措施是否全面合理、是否科学可行，是否具有针对性。</w:t>
            </w:r>
            <w:r>
              <w:rPr>
                <w:rFonts w:hint="eastAsia" w:ascii="仿宋" w:hAnsi="仿宋" w:eastAsia="仿宋" w:cs="仿宋"/>
                <w:b/>
                <w:bCs/>
                <w:color w:val="auto"/>
                <w:kern w:val="0"/>
                <w:sz w:val="21"/>
                <w:szCs w:val="21"/>
                <w:highlight w:val="none"/>
                <w:lang w:val="en-US" w:eastAsia="zh-CN" w:bidi="ar"/>
              </w:rPr>
              <w:t>(评分范围：4.3.2.1.0)</w:t>
            </w:r>
          </w:p>
        </w:tc>
        <w:tc>
          <w:tcPr>
            <w:tcW w:w="543" w:type="pct"/>
            <w:shd w:val="clear" w:color="auto" w:fill="auto"/>
            <w:noWrap w:val="0"/>
            <w:vAlign w:val="center"/>
          </w:tcPr>
          <w:p w14:paraId="0AED802F">
            <w:pPr>
              <w:keepNext w:val="0"/>
              <w:keepLines w:val="0"/>
              <w:pageBreakBefore w:val="0"/>
              <w:widowControl/>
              <w:kinsoku/>
              <w:wordWrap w:val="0"/>
              <w:overflowPunct/>
              <w:topLinePunct w:val="0"/>
              <w:bidi w:val="0"/>
              <w:snapToGrid w:val="0"/>
              <w:spacing w:after="0" w:line="360" w:lineRule="auto"/>
              <w:ind w:left="0" w:leftChars="0" w:right="0" w:rightChars="0" w:firstLine="0" w:firstLineChars="0"/>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0-4分</w:t>
            </w:r>
          </w:p>
        </w:tc>
      </w:tr>
      <w:tr w14:paraId="4069E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74" w:type="pct"/>
            <w:shd w:val="clear" w:color="auto" w:fill="auto"/>
            <w:noWrap w:val="0"/>
            <w:vAlign w:val="center"/>
          </w:tcPr>
          <w:p w14:paraId="27834ADE">
            <w:pPr>
              <w:keepNext w:val="0"/>
              <w:keepLines w:val="0"/>
              <w:pageBreakBefore w:val="0"/>
              <w:widowControl/>
              <w:kinsoku/>
              <w:wordWrap/>
              <w:overflowPunct/>
              <w:topLinePunct w:val="0"/>
              <w:bidi w:val="0"/>
              <w:adjustRightInd w:val="0"/>
              <w:snapToGrid/>
              <w:spacing w:line="360" w:lineRule="exact"/>
              <w:jc w:val="center"/>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售后服务方案</w:t>
            </w:r>
            <w:r>
              <w:rPr>
                <w:rFonts w:hint="eastAsia" w:ascii="仿宋" w:hAnsi="仿宋" w:eastAsia="仿宋" w:cs="仿宋"/>
                <w:color w:val="auto"/>
                <w:sz w:val="21"/>
                <w:szCs w:val="21"/>
                <w:highlight w:val="none"/>
                <w:lang w:val="en-US" w:eastAsia="zh-CN"/>
              </w:rPr>
              <w:t>【主观分】</w:t>
            </w:r>
          </w:p>
        </w:tc>
        <w:tc>
          <w:tcPr>
            <w:tcW w:w="3581" w:type="pct"/>
            <w:shd w:val="clear" w:color="auto" w:fill="auto"/>
            <w:noWrap w:val="0"/>
            <w:vAlign w:val="center"/>
          </w:tcPr>
          <w:p w14:paraId="037950DF">
            <w:pPr>
              <w:keepNext w:val="0"/>
              <w:keepLines w:val="0"/>
              <w:pageBreakBefore w:val="0"/>
              <w:widowControl/>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after="0" w:line="360" w:lineRule="exact"/>
              <w:ind w:left="0" w:leftChars="0" w:right="0" w:rightChars="0" w:firstLine="0" w:firstLineChars="0"/>
              <w:jc w:val="left"/>
              <w:textAlignment w:val="auto"/>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根据投标人针对本项目质保期内外售后服务、维护计划及方式</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包括对用户故障的响应、处理、定期巡检、维护方式、节能方案</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等进行综合</w:t>
            </w:r>
            <w:r>
              <w:rPr>
                <w:rFonts w:hint="eastAsia" w:ascii="仿宋" w:hAnsi="仿宋" w:eastAsia="仿宋" w:cs="仿宋"/>
                <w:color w:val="auto"/>
                <w:kern w:val="0"/>
                <w:sz w:val="21"/>
                <w:szCs w:val="21"/>
                <w:highlight w:val="none"/>
                <w:lang w:eastAsia="zh-CN" w:bidi="ar"/>
              </w:rPr>
              <w:t>打分。</w:t>
            </w:r>
            <w:r>
              <w:rPr>
                <w:rFonts w:hint="eastAsia" w:ascii="仿宋" w:hAnsi="仿宋" w:eastAsia="仿宋" w:cs="仿宋"/>
                <w:b/>
                <w:bCs/>
                <w:color w:val="auto"/>
                <w:kern w:val="0"/>
                <w:sz w:val="21"/>
                <w:szCs w:val="21"/>
                <w:highlight w:val="none"/>
                <w:lang w:val="zh-CN" w:eastAsia="zh-CN" w:bidi="ar"/>
              </w:rPr>
              <w:t>（评分范围：</w:t>
            </w:r>
            <w:r>
              <w:rPr>
                <w:rFonts w:hint="eastAsia" w:ascii="仿宋" w:hAnsi="仿宋" w:eastAsia="仿宋" w:cs="仿宋"/>
                <w:b/>
                <w:bCs/>
                <w:color w:val="auto"/>
                <w:kern w:val="0"/>
                <w:sz w:val="21"/>
                <w:szCs w:val="21"/>
                <w:highlight w:val="none"/>
                <w:lang w:val="en-US" w:eastAsia="zh-CN" w:bidi="ar"/>
              </w:rPr>
              <w:t>5,4,3,2,1,0</w:t>
            </w:r>
            <w:r>
              <w:rPr>
                <w:rFonts w:hint="eastAsia" w:ascii="仿宋" w:hAnsi="仿宋" w:eastAsia="仿宋" w:cs="仿宋"/>
                <w:b/>
                <w:bCs/>
                <w:color w:val="auto"/>
                <w:kern w:val="0"/>
                <w:sz w:val="21"/>
                <w:szCs w:val="21"/>
                <w:highlight w:val="none"/>
                <w:lang w:val="zh-CN" w:eastAsia="zh-CN" w:bidi="ar"/>
              </w:rPr>
              <w:t>）</w:t>
            </w:r>
          </w:p>
        </w:tc>
        <w:tc>
          <w:tcPr>
            <w:tcW w:w="543" w:type="pct"/>
            <w:shd w:val="clear" w:color="auto" w:fill="auto"/>
            <w:noWrap w:val="0"/>
            <w:vAlign w:val="center"/>
          </w:tcPr>
          <w:p w14:paraId="798D1FD2">
            <w:pPr>
              <w:widowControl/>
              <w:jc w:val="center"/>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0-5分</w:t>
            </w:r>
          </w:p>
        </w:tc>
      </w:tr>
    </w:tbl>
    <w:p w14:paraId="09C860A3">
      <w:pPr>
        <w:keepNext w:val="0"/>
        <w:keepLines w:val="0"/>
        <w:pageBreakBefore w:val="0"/>
        <w:widowControl w:val="0"/>
        <w:kinsoku/>
        <w:wordWrap/>
        <w:overflowPunct/>
        <w:topLinePunct w:val="0"/>
        <w:autoSpaceDE/>
        <w:autoSpaceDN/>
        <w:bidi w:val="0"/>
        <w:adjustRightInd w:val="0"/>
        <w:snapToGrid w:val="0"/>
        <w:spacing w:line="440" w:lineRule="exact"/>
        <w:ind w:firstLine="40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w:t>
      </w:r>
      <w:r>
        <w:rPr>
          <w:rFonts w:hint="eastAsia" w:ascii="仿宋" w:hAnsi="仿宋" w:eastAsia="仿宋" w:cs="仿宋"/>
          <w:color w:val="auto"/>
          <w:sz w:val="24"/>
          <w:highlight w:val="none"/>
          <w:lang w:val="en-US" w:eastAsia="zh-CN"/>
        </w:rPr>
        <w:t>顺序</w:t>
      </w:r>
      <w:r>
        <w:rPr>
          <w:rFonts w:hint="eastAsia" w:ascii="仿宋" w:hAnsi="仿宋" w:eastAsia="仿宋" w:cs="仿宋"/>
          <w:color w:val="auto"/>
          <w:sz w:val="24"/>
          <w:highlight w:val="none"/>
        </w:rPr>
        <w:t>（序号和内容）提供评标标准相应的商务技术资料。 </w:t>
      </w:r>
    </w:p>
    <w:p w14:paraId="29B9F8E2">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30</w:t>
      </w:r>
      <w:r>
        <w:rPr>
          <w:rFonts w:hint="eastAsia" w:ascii="仿宋" w:hAnsi="仿宋" w:eastAsia="仿宋" w:cs="仿宋"/>
          <w:b/>
          <w:bCs/>
          <w:iCs/>
          <w:color w:val="auto"/>
          <w:sz w:val="24"/>
          <w:highlight w:val="none"/>
        </w:rPr>
        <w:t>分）</w:t>
      </w:r>
    </w:p>
    <w:p w14:paraId="67A7ABAE">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1EFA1C0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416267CA">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2D28363A">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bCs/>
          <w:iCs/>
          <w:color w:val="auto"/>
          <w:sz w:val="24"/>
          <w:highlight w:val="none"/>
          <w:u w:val="singl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30</w:t>
      </w:r>
    </w:p>
    <w:p w14:paraId="0F21F578">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注：</w:t>
      </w:r>
      <w:r>
        <w:rPr>
          <w:rFonts w:hint="eastAsia" w:ascii="仿宋" w:hAnsi="仿宋" w:eastAsia="仿宋" w:cs="仿宋"/>
          <w:color w:val="auto"/>
          <w:sz w:val="24"/>
          <w:highlight w:val="none"/>
        </w:rPr>
        <w:t>计算</w:t>
      </w:r>
      <w:r>
        <w:rPr>
          <w:rFonts w:hint="eastAsia" w:ascii="仿宋" w:hAnsi="仿宋" w:eastAsia="仿宋" w:cs="仿宋"/>
          <w:color w:val="auto"/>
          <w:sz w:val="24"/>
          <w:highlight w:val="none"/>
          <w:lang w:val="en-US" w:eastAsia="zh-CN"/>
        </w:rPr>
        <w:t>价格</w:t>
      </w:r>
      <w:r>
        <w:rPr>
          <w:rFonts w:hint="eastAsia" w:ascii="仿宋" w:hAnsi="仿宋" w:eastAsia="仿宋" w:cs="仿宋"/>
          <w:color w:val="auto"/>
          <w:sz w:val="24"/>
          <w:highlight w:val="none"/>
        </w:rPr>
        <w:t>分时，</w:t>
      </w:r>
      <w:r>
        <w:rPr>
          <w:rFonts w:hint="eastAsia" w:ascii="仿宋" w:hAnsi="仿宋" w:eastAsia="仿宋" w:cs="仿宋"/>
          <w:color w:val="auto"/>
          <w:sz w:val="24"/>
          <w:highlight w:val="none"/>
          <w:lang w:val="en-US" w:eastAsia="zh-CN"/>
        </w:rPr>
        <w:t>四舍五入</w:t>
      </w:r>
      <w:r>
        <w:rPr>
          <w:rFonts w:hint="eastAsia" w:ascii="仿宋" w:hAnsi="仿宋" w:eastAsia="仿宋" w:cs="仿宋"/>
          <w:color w:val="auto"/>
          <w:sz w:val="24"/>
          <w:highlight w:val="none"/>
        </w:rPr>
        <w:t>保留小数2位</w:t>
      </w:r>
      <w:r>
        <w:rPr>
          <w:rFonts w:hint="eastAsia" w:ascii="仿宋" w:hAnsi="仿宋" w:eastAsia="仿宋" w:cs="仿宋"/>
          <w:color w:val="auto"/>
          <w:sz w:val="24"/>
          <w:highlight w:val="none"/>
          <w:lang w:eastAsia="zh-CN"/>
        </w:rPr>
        <w:t>。</w:t>
      </w:r>
    </w:p>
    <w:p w14:paraId="17248EED">
      <w:pPr>
        <w:rPr>
          <w:rFonts w:hint="eastAsia" w:ascii="仿宋" w:hAnsi="仿宋" w:eastAsia="仿宋" w:cs="仿宋"/>
          <w:color w:val="auto"/>
          <w:highlight w:val="none"/>
        </w:rPr>
      </w:pPr>
    </w:p>
    <w:p w14:paraId="75FBC991">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0466DF75">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6"/>
      <w:r>
        <w:rPr>
          <w:rFonts w:hint="eastAsia" w:ascii="仿宋" w:hAnsi="仿宋" w:eastAsia="仿宋" w:cs="仿宋"/>
          <w:b/>
          <w:color w:val="auto"/>
          <w:sz w:val="36"/>
          <w:szCs w:val="20"/>
          <w:highlight w:val="none"/>
        </w:rPr>
        <w:t xml:space="preserve"> </w:t>
      </w:r>
      <w:bookmarkEnd w:id="37"/>
      <w:r>
        <w:rPr>
          <w:rFonts w:hint="eastAsia" w:ascii="仿宋" w:hAnsi="仿宋" w:eastAsia="仿宋" w:cs="仿宋"/>
          <w:b/>
          <w:color w:val="auto"/>
          <w:sz w:val="36"/>
          <w:szCs w:val="20"/>
          <w:highlight w:val="none"/>
        </w:rPr>
        <w:t>投标文件及其附件格式</w:t>
      </w:r>
    </w:p>
    <w:p w14:paraId="4723598D">
      <w:pPr>
        <w:spacing w:line="360" w:lineRule="auto"/>
        <w:jc w:val="center"/>
        <w:outlineLvl w:val="0"/>
        <w:rPr>
          <w:rFonts w:hint="eastAsia" w:ascii="仿宋" w:hAnsi="仿宋" w:eastAsia="仿宋" w:cs="仿宋"/>
          <w:b/>
          <w:color w:val="auto"/>
          <w:kern w:val="0"/>
          <w:sz w:val="36"/>
          <w:szCs w:val="36"/>
          <w:highlight w:val="none"/>
        </w:rPr>
      </w:pPr>
    </w:p>
    <w:p w14:paraId="5CCED21A">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5759412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97CF81E">
      <w:pPr>
        <w:spacing w:line="360" w:lineRule="auto"/>
        <w:jc w:val="center"/>
        <w:outlineLvl w:val="0"/>
        <w:rPr>
          <w:rFonts w:hint="eastAsia" w:ascii="仿宋" w:hAnsi="仿宋" w:eastAsia="仿宋" w:cs="仿宋"/>
          <w:b/>
          <w:color w:val="auto"/>
          <w:kern w:val="0"/>
          <w:sz w:val="36"/>
          <w:szCs w:val="36"/>
          <w:highlight w:val="none"/>
        </w:rPr>
      </w:pPr>
    </w:p>
    <w:p w14:paraId="25434A4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4A3845F4">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sz w:val="24"/>
          <w:highlight w:val="none"/>
        </w:rPr>
        <w:t>实政府采购政策需满足的资格要求………………………………（页码）</w:t>
      </w:r>
    </w:p>
    <w:p w14:paraId="22F86DF2">
      <w:pPr>
        <w:snapToGrid w:val="0"/>
        <w:spacing w:line="360" w:lineRule="auto"/>
        <w:ind w:firstLine="480" w:firstLineChars="200"/>
        <w:rPr>
          <w:rFonts w:hint="eastAsia" w:ascii="仿宋" w:hAnsi="仿宋" w:eastAsia="仿宋" w:cs="仿宋"/>
          <w:color w:val="auto"/>
          <w:sz w:val="24"/>
          <w:highlight w:val="none"/>
        </w:rPr>
      </w:pPr>
    </w:p>
    <w:p w14:paraId="17B67DA1">
      <w:pPr>
        <w:spacing w:line="360" w:lineRule="auto"/>
        <w:ind w:firstLine="480" w:firstLineChars="200"/>
        <w:rPr>
          <w:rFonts w:hint="eastAsia" w:ascii="仿宋" w:hAnsi="仿宋" w:eastAsia="仿宋" w:cs="仿宋"/>
          <w:color w:val="auto"/>
          <w:sz w:val="24"/>
          <w:highlight w:val="none"/>
        </w:rPr>
      </w:pPr>
    </w:p>
    <w:p w14:paraId="2F7D91D1">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7EEC23F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sz w:val="24"/>
          <w:highlight w:val="none"/>
        </w:rPr>
        <w:t>：</w:t>
      </w:r>
    </w:p>
    <w:p w14:paraId="6568372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项目编号</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】政府采购活动，郑重承诺：</w:t>
      </w:r>
    </w:p>
    <w:p w14:paraId="69BD73ED">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957D1F4">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6F6F9E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0896241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DD707D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6399E56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0A04D5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3A61C5F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35A13C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77659F2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2591CA60">
      <w:pPr>
        <w:snapToGrid w:val="0"/>
        <w:spacing w:line="360" w:lineRule="auto"/>
        <w:ind w:firstLine="5520" w:firstLineChars="2300"/>
        <w:rPr>
          <w:rFonts w:hint="eastAsia" w:ascii="仿宋" w:hAnsi="仿宋" w:eastAsia="仿宋" w:cs="仿宋"/>
          <w:color w:val="auto"/>
          <w:kern w:val="0"/>
          <w:sz w:val="24"/>
          <w:highlight w:val="none"/>
          <w:lang w:val="zh-CN"/>
        </w:rPr>
      </w:pPr>
    </w:p>
    <w:p w14:paraId="178AC3E2">
      <w:pPr>
        <w:snapToGrid w:val="0"/>
        <w:spacing w:line="360" w:lineRule="auto"/>
        <w:ind w:firstLine="5520" w:firstLineChars="2300"/>
        <w:rPr>
          <w:rFonts w:hint="eastAsia" w:ascii="仿宋" w:hAnsi="仿宋" w:eastAsia="仿宋" w:cs="仿宋"/>
          <w:color w:val="auto"/>
          <w:kern w:val="0"/>
          <w:sz w:val="24"/>
          <w:highlight w:val="none"/>
          <w:lang w:val="zh-CN"/>
        </w:rPr>
      </w:pPr>
    </w:p>
    <w:p w14:paraId="0F4C4C15">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kern w:val="0"/>
          <w:sz w:val="24"/>
          <w:szCs w:val="22"/>
          <w:highlight w:val="none"/>
        </w:rPr>
        <w:t>（盖单位公章）</w:t>
      </w:r>
      <w:r>
        <w:rPr>
          <w:rFonts w:hint="eastAsia" w:ascii="仿宋" w:hAnsi="仿宋" w:eastAsia="仿宋" w:cs="仿宋"/>
          <w:color w:val="auto"/>
          <w:kern w:val="0"/>
          <w:sz w:val="24"/>
          <w:highlight w:val="none"/>
          <w:lang w:val="zh-CN"/>
        </w:rPr>
        <w:t>：</w:t>
      </w:r>
    </w:p>
    <w:p w14:paraId="451FC52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445D69F7">
      <w:pPr>
        <w:snapToGrid w:val="0"/>
        <w:spacing w:line="360" w:lineRule="auto"/>
        <w:ind w:right="480"/>
        <w:jc w:val="center"/>
        <w:rPr>
          <w:rFonts w:hint="eastAsia" w:ascii="仿宋" w:hAnsi="仿宋" w:eastAsia="仿宋" w:cs="仿宋"/>
          <w:b/>
          <w:color w:val="auto"/>
          <w:kern w:val="0"/>
          <w:sz w:val="32"/>
          <w:szCs w:val="32"/>
          <w:highlight w:val="none"/>
        </w:rPr>
      </w:pPr>
    </w:p>
    <w:p w14:paraId="619A4FF8">
      <w:pPr>
        <w:pStyle w:val="44"/>
        <w:pageBreakBefore w:val="0"/>
        <w:tabs>
          <w:tab w:val="right" w:leader="dot" w:pos="8364"/>
        </w:tabs>
        <w:kinsoku/>
        <w:wordWrap/>
        <w:overflowPunct/>
        <w:topLinePunct w:val="0"/>
        <w:autoSpaceDE/>
        <w:autoSpaceDN/>
        <w:bidi w:val="0"/>
        <w:spacing w:line="288" w:lineRule="auto"/>
        <w:rPr>
          <w:rFonts w:hint="eastAsia" w:ascii="仿宋" w:hAnsi="仿宋" w:eastAsia="仿宋" w:cs="仿宋"/>
          <w:bCs/>
          <w:caps w:val="0"/>
          <w:color w:val="auto"/>
          <w:sz w:val="24"/>
          <w:szCs w:val="24"/>
          <w:highlight w:val="none"/>
          <w:u w:val="single"/>
        </w:rPr>
      </w:pPr>
      <w:r>
        <w:rPr>
          <w:rFonts w:hint="eastAsia" w:ascii="仿宋" w:hAnsi="仿宋" w:eastAsia="仿宋" w:cs="仿宋"/>
          <w:b/>
          <w:bCs/>
          <w:caps w:val="0"/>
          <w:color w:val="auto"/>
          <w:sz w:val="24"/>
          <w:szCs w:val="24"/>
          <w:highlight w:val="none"/>
          <w:u w:val="single"/>
        </w:rPr>
        <w:t>说明：以联合体形式</w:t>
      </w:r>
      <w:r>
        <w:rPr>
          <w:rFonts w:hint="eastAsia" w:ascii="仿宋" w:hAnsi="仿宋" w:eastAsia="仿宋" w:cs="仿宋"/>
          <w:b/>
          <w:bCs/>
          <w:caps w:val="0"/>
          <w:color w:val="auto"/>
          <w:sz w:val="24"/>
          <w:szCs w:val="24"/>
          <w:highlight w:val="none"/>
          <w:u w:val="single"/>
          <w:lang w:val="en-US" w:eastAsia="zh-CN"/>
        </w:rPr>
        <w:t>投标</w:t>
      </w:r>
      <w:r>
        <w:rPr>
          <w:rFonts w:hint="eastAsia" w:ascii="仿宋" w:hAnsi="仿宋" w:eastAsia="仿宋" w:cs="仿宋"/>
          <w:b/>
          <w:bCs/>
          <w:caps w:val="0"/>
          <w:color w:val="auto"/>
          <w:sz w:val="24"/>
          <w:szCs w:val="24"/>
          <w:highlight w:val="none"/>
          <w:u w:val="single"/>
        </w:rPr>
        <w:t>，联合体各方</w:t>
      </w:r>
      <w:r>
        <w:rPr>
          <w:rFonts w:hint="eastAsia" w:ascii="仿宋" w:hAnsi="仿宋" w:eastAsia="仿宋" w:cs="仿宋"/>
          <w:b/>
          <w:bCs/>
          <w:caps w:val="0"/>
          <w:color w:val="auto"/>
          <w:sz w:val="24"/>
          <w:szCs w:val="24"/>
          <w:highlight w:val="none"/>
          <w:u w:val="single"/>
          <w:lang w:val="en-US" w:eastAsia="zh-CN"/>
        </w:rPr>
        <w:t>均需盖单位公章</w:t>
      </w:r>
      <w:r>
        <w:rPr>
          <w:rFonts w:hint="eastAsia" w:ascii="仿宋" w:hAnsi="仿宋" w:eastAsia="仿宋" w:cs="仿宋"/>
          <w:b/>
          <w:bCs/>
          <w:caps w:val="0"/>
          <w:color w:val="auto"/>
          <w:sz w:val="24"/>
          <w:szCs w:val="24"/>
          <w:highlight w:val="none"/>
          <w:u w:val="single"/>
        </w:rPr>
        <w:t>。</w:t>
      </w:r>
    </w:p>
    <w:p w14:paraId="459099A5">
      <w:pPr>
        <w:snapToGrid w:val="0"/>
        <w:spacing w:line="360" w:lineRule="auto"/>
        <w:ind w:right="480"/>
        <w:jc w:val="center"/>
        <w:rPr>
          <w:rFonts w:hint="eastAsia" w:ascii="仿宋" w:hAnsi="仿宋" w:eastAsia="仿宋" w:cs="仿宋"/>
          <w:b/>
          <w:color w:val="auto"/>
          <w:kern w:val="0"/>
          <w:sz w:val="32"/>
          <w:szCs w:val="32"/>
          <w:highlight w:val="none"/>
        </w:rPr>
      </w:pPr>
    </w:p>
    <w:p w14:paraId="67887125">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9A60205">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14:paraId="026F94B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1B1D5696">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.专门面向中小企业，</w:t>
      </w: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highlight w:val="none"/>
        </w:rPr>
        <w:t>全部由符合政策要求的中小企业（或小微企业）承接的，提供相应的中小企业声明函（附件</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w:t>
      </w:r>
    </w:p>
    <w:p w14:paraId="30BC9381">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p>
    <w:p w14:paraId="4764487A">
      <w:pPr>
        <w:snapToGrid w:val="0"/>
        <w:spacing w:line="360" w:lineRule="auto"/>
        <w:ind w:right="480"/>
        <w:jc w:val="center"/>
        <w:rPr>
          <w:rFonts w:hint="default"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本项目的特定资格要求</w:t>
      </w:r>
    </w:p>
    <w:p w14:paraId="2ECB532D">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1.如是医疗器械，提供有效的投标产品《医疗器械注册证》或医疗器械备案表；</w:t>
      </w:r>
    </w:p>
    <w:p w14:paraId="14FF134C">
      <w:pPr>
        <w:keepNext w:val="0"/>
        <w:keepLines w:val="0"/>
        <w:pageBreakBefore w:val="0"/>
        <w:widowControl w:val="0"/>
        <w:kinsoku/>
        <w:wordWrap/>
        <w:overflowPunct/>
        <w:topLinePunct w:val="0"/>
        <w:autoSpaceDE/>
        <w:autoSpaceDN/>
        <w:bidi w:val="0"/>
        <w:adjustRightInd w:val="0"/>
        <w:snapToGrid w:val="0"/>
        <w:spacing w:beforeAutospacing="0" w:line="46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商（如组成联合体投标的，联合体成员中至少有一家供应商）须具备下列条件之一：①供应商为医疗器械生产企业的：第二类、第三类医疗器械生产企业提供《医疗器械生产许可证》，第一类医疗器械生产企业提供第一类医疗器械生产备案凭证；②供应商为医疗器械经营企业的：第三类医疗器械经营企业提供《医疗器械经营许可证》，第一、第二类医疗器械经营企业提供第一、第二类医疗器械经营备案凭证；（如是医疗器械提供）；</w:t>
      </w:r>
    </w:p>
    <w:p w14:paraId="39895A0F">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72DC5352">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4D8992D5">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678AB2B6">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48640FDA">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515D79B9">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7D36D522">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7C0A1E1A">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513F1843">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15C1A768">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3AF6E28A">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2BA6E1A5">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10A615AD">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6551E455">
      <w:pPr>
        <w:pStyle w:val="2"/>
        <w:ind w:left="0" w:leftChars="0" w:firstLine="482" w:firstLineChars="200"/>
        <w:rPr>
          <w:rFonts w:hint="eastAsia" w:ascii="仿宋" w:hAnsi="仿宋" w:eastAsia="仿宋" w:cs="仿宋"/>
          <w:b/>
          <w:bCs/>
          <w:snapToGrid/>
          <w:color w:val="auto"/>
          <w:kern w:val="2"/>
          <w:sz w:val="24"/>
          <w:szCs w:val="24"/>
          <w:highlight w:val="none"/>
          <w:lang w:val="en-US" w:eastAsia="zh-CN" w:bidi="ar-SA"/>
        </w:rPr>
      </w:pPr>
    </w:p>
    <w:p w14:paraId="1FB95FD1">
      <w:pPr>
        <w:pStyle w:val="34"/>
        <w:adjustRightInd w:val="0"/>
        <w:snapToGrid w:val="0"/>
        <w:spacing w:line="240" w:lineRule="auto"/>
        <w:jc w:val="both"/>
        <w:outlineLvl w:val="1"/>
        <w:rPr>
          <w:rFonts w:hint="eastAsia" w:ascii="仿宋" w:hAnsi="仿宋" w:eastAsia="仿宋" w:cs="仿宋"/>
          <w:b w:val="0"/>
          <w:color w:val="auto"/>
          <w:kern w:val="2"/>
          <w:sz w:val="24"/>
          <w:szCs w:val="22"/>
          <w:highlight w:val="none"/>
          <w:lang w:val="zh-CN" w:eastAsia="zh-CN" w:bidi="ar-SA"/>
        </w:rPr>
      </w:pPr>
    </w:p>
    <w:p w14:paraId="70487418">
      <w:pPr>
        <w:pStyle w:val="34"/>
        <w:adjustRightInd w:val="0"/>
        <w:snapToGrid w:val="0"/>
        <w:spacing w:line="360" w:lineRule="auto"/>
        <w:jc w:val="center"/>
        <w:outlineLvl w:val="1"/>
        <w:rPr>
          <w:rFonts w:hint="eastAsia" w:ascii="仿宋" w:hAnsi="仿宋" w:eastAsia="仿宋" w:cs="仿宋"/>
          <w:color w:val="auto"/>
          <w:sz w:val="30"/>
          <w:szCs w:val="30"/>
          <w:highlight w:val="none"/>
        </w:rPr>
      </w:pPr>
      <w:r>
        <w:rPr>
          <w:rFonts w:hint="eastAsia" w:ascii="仿宋" w:hAnsi="仿宋" w:eastAsia="仿宋" w:cs="仿宋"/>
          <w:b/>
          <w:color w:val="auto"/>
          <w:kern w:val="0"/>
          <w:sz w:val="30"/>
          <w:szCs w:val="30"/>
          <w:highlight w:val="none"/>
          <w:lang w:val="en-US" w:eastAsia="zh-CN"/>
        </w:rPr>
        <w:t>四、</w:t>
      </w:r>
      <w:r>
        <w:rPr>
          <w:rFonts w:hint="eastAsia" w:ascii="仿宋" w:hAnsi="仿宋" w:eastAsia="仿宋" w:cs="仿宋"/>
          <w:b/>
          <w:color w:val="auto"/>
          <w:kern w:val="0"/>
          <w:sz w:val="30"/>
          <w:szCs w:val="30"/>
          <w:highlight w:val="none"/>
        </w:rPr>
        <w:t xml:space="preserve">联合体投标协议 （联合体投标适用） </w:t>
      </w:r>
    </w:p>
    <w:p w14:paraId="74E0E9AF">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u w:val="single"/>
          <w:lang w:bidi="ar"/>
        </w:rPr>
        <w:t xml:space="preserve">     （所有成员单位名称）  </w:t>
      </w:r>
      <w:r>
        <w:rPr>
          <w:rFonts w:hint="eastAsia" w:ascii="仿宋" w:hAnsi="仿宋" w:eastAsia="仿宋" w:cs="仿宋"/>
          <w:color w:val="auto"/>
          <w:kern w:val="0"/>
          <w:sz w:val="24"/>
          <w:szCs w:val="24"/>
          <w:highlight w:val="none"/>
          <w:lang w:bidi="ar"/>
        </w:rPr>
        <w:t>自愿组成联合体，共同参加</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bidi="ar"/>
        </w:rPr>
        <w:t xml:space="preserve">投标。现就有关事宜订立协议如下： </w:t>
      </w:r>
    </w:p>
    <w:p w14:paraId="5DD29FA1">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一、联合体各方一致决定，具体以</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bidi="ar"/>
        </w:rPr>
        <w:t>（某成员单位名称）</w:t>
      </w:r>
      <w:r>
        <w:rPr>
          <w:rFonts w:hint="eastAsia" w:ascii="仿宋" w:hAnsi="仿宋" w:eastAsia="仿宋" w:cs="仿宋"/>
          <w:color w:val="auto"/>
          <w:kern w:val="0"/>
          <w:sz w:val="24"/>
          <w:szCs w:val="24"/>
          <w:highlight w:val="none"/>
          <w:lang w:bidi="ar"/>
        </w:rPr>
        <w:t>为联合体的牵头方，具体负责参与项目投标和合同实施阶段的</w:t>
      </w:r>
      <w:r>
        <w:rPr>
          <w:rFonts w:hint="eastAsia" w:ascii="仿宋" w:hAnsi="仿宋" w:eastAsia="仿宋" w:cs="仿宋"/>
          <w:color w:val="auto"/>
          <w:kern w:val="0"/>
          <w:sz w:val="24"/>
          <w:szCs w:val="24"/>
          <w:highlight w:val="none"/>
          <w:lang w:eastAsia="zh-CN" w:bidi="ar"/>
        </w:rPr>
        <w:t>牵头</w:t>
      </w:r>
      <w:r>
        <w:rPr>
          <w:rFonts w:hint="eastAsia" w:ascii="仿宋" w:hAnsi="仿宋" w:eastAsia="仿宋" w:cs="仿宋"/>
          <w:color w:val="auto"/>
          <w:kern w:val="0"/>
          <w:sz w:val="24"/>
          <w:szCs w:val="24"/>
          <w:highlight w:val="none"/>
          <w:lang w:bidi="ar"/>
        </w:rPr>
        <w:t>主办、协调工作，各方按照招标文件的规定分别提交资格条件证明文件。</w:t>
      </w:r>
    </w:p>
    <w:p w14:paraId="4F3A6724">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二、各方一致决定，在本次投标过程中，</w:t>
      </w:r>
      <w:r>
        <w:rPr>
          <w:rFonts w:hint="eastAsia" w:ascii="仿宋" w:hAnsi="仿宋" w:eastAsia="仿宋" w:cs="仿宋"/>
          <w:color w:val="auto"/>
          <w:kern w:val="0"/>
          <w:sz w:val="24"/>
          <w:szCs w:val="24"/>
          <w:highlight w:val="none"/>
          <w:lang w:eastAsia="zh-CN" w:bidi="ar"/>
        </w:rPr>
        <w:t>牵头方</w:t>
      </w:r>
      <w:r>
        <w:rPr>
          <w:rFonts w:hint="eastAsia" w:ascii="仿宋" w:hAnsi="仿宋" w:eastAsia="仿宋" w:cs="仿宋"/>
          <w:color w:val="auto"/>
          <w:kern w:val="0"/>
          <w:sz w:val="24"/>
          <w:szCs w:val="24"/>
          <w:highlight w:val="none"/>
          <w:lang w:bidi="ar"/>
        </w:rPr>
        <w:t>签署投标文件、参与采购活动过程中签署的书面澄清和确认内容、针对采购内容签署的承诺等均对联合体各成员方产生约束力。如果本项目中标，联合体各成员方共同与采购人签订合同，联合体各成员方将共同履行对采购人所负有的全部义务并就采购合同约定的事项对采购人承担连带责任。</w:t>
      </w:r>
    </w:p>
    <w:p w14:paraId="32F3345D">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三、联合投标其余各方保证对</w:t>
      </w:r>
      <w:r>
        <w:rPr>
          <w:rFonts w:hint="eastAsia" w:ascii="仿宋" w:hAnsi="仿宋" w:eastAsia="仿宋" w:cs="仿宋"/>
          <w:color w:val="auto"/>
          <w:kern w:val="0"/>
          <w:sz w:val="24"/>
          <w:szCs w:val="24"/>
          <w:highlight w:val="none"/>
          <w:lang w:eastAsia="zh-CN" w:bidi="ar"/>
        </w:rPr>
        <w:t>牵头方</w:t>
      </w:r>
      <w:r>
        <w:rPr>
          <w:rFonts w:hint="eastAsia" w:ascii="仿宋" w:hAnsi="仿宋" w:eastAsia="仿宋" w:cs="仿宋"/>
          <w:color w:val="auto"/>
          <w:kern w:val="0"/>
          <w:sz w:val="24"/>
          <w:szCs w:val="24"/>
          <w:highlight w:val="none"/>
          <w:lang w:bidi="ar"/>
        </w:rPr>
        <w:t>为响应本次招标而提供的产品和服务提供全部质量保证及售后服务支持。</w:t>
      </w:r>
    </w:p>
    <w:p w14:paraId="00E7AE2E">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u w:val="none"/>
          <w:lang w:val="en-US" w:eastAsia="zh-CN" w:bidi="ar"/>
        </w:rPr>
      </w:pPr>
      <w:r>
        <w:rPr>
          <w:rFonts w:hint="eastAsia" w:ascii="仿宋" w:hAnsi="仿宋" w:eastAsia="仿宋" w:cs="仿宋"/>
          <w:color w:val="auto"/>
          <w:kern w:val="0"/>
          <w:sz w:val="24"/>
          <w:szCs w:val="24"/>
          <w:highlight w:val="none"/>
          <w:lang w:bidi="ar"/>
        </w:rPr>
        <w:t>四、本次联合体中，</w:t>
      </w:r>
      <w:r>
        <w:rPr>
          <w:rFonts w:hint="eastAsia" w:ascii="仿宋" w:hAnsi="仿宋" w:eastAsia="仿宋" w:cs="仿宋"/>
          <w:color w:val="auto"/>
          <w:kern w:val="0"/>
          <w:sz w:val="24"/>
          <w:szCs w:val="24"/>
          <w:highlight w:val="none"/>
          <w:lang w:eastAsia="zh-CN" w:bidi="ar"/>
        </w:rPr>
        <w:t>牵头</w:t>
      </w:r>
      <w:r>
        <w:rPr>
          <w:rFonts w:hint="eastAsia" w:ascii="仿宋" w:hAnsi="仿宋" w:eastAsia="仿宋" w:cs="仿宋"/>
          <w:color w:val="auto"/>
          <w:kern w:val="0"/>
          <w:sz w:val="24"/>
          <w:szCs w:val="24"/>
          <w:highlight w:val="none"/>
          <w:lang w:bidi="ar"/>
        </w:rPr>
        <w:t>方</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bidi="ar"/>
        </w:rPr>
        <w:t>单位名称</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bidi="ar"/>
        </w:rPr>
        <w:t xml:space="preserve"> </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bidi="ar"/>
        </w:rPr>
        <w:t>承担的工作和义务为：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none"/>
          <w:lang w:val="en-US" w:eastAsia="zh-CN" w:bidi="ar"/>
        </w:rPr>
        <w:t>；</w:t>
      </w:r>
      <w:r>
        <w:rPr>
          <w:rFonts w:hint="eastAsia" w:ascii="仿宋" w:hAnsi="仿宋" w:eastAsia="仿宋" w:cs="仿宋"/>
          <w:color w:val="auto"/>
          <w:kern w:val="0"/>
          <w:sz w:val="24"/>
          <w:szCs w:val="24"/>
          <w:highlight w:val="none"/>
          <w:lang w:bidi="ar"/>
        </w:rPr>
        <w:t>成员单位</w:t>
      </w:r>
      <w:r>
        <w:rPr>
          <w:rFonts w:hint="eastAsia" w:ascii="仿宋" w:hAnsi="仿宋" w:eastAsia="仿宋" w:cs="仿宋"/>
          <w:color w:val="auto"/>
          <w:kern w:val="0"/>
          <w:sz w:val="24"/>
          <w:szCs w:val="24"/>
          <w:highlight w:val="none"/>
          <w:u w:val="single"/>
          <w:lang w:bidi="ar"/>
        </w:rPr>
        <w:t xml:space="preserve"> </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bidi="ar"/>
        </w:rPr>
        <w:t>单位名称</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bidi="ar"/>
        </w:rPr>
        <w:t xml:space="preserve"> </w:t>
      </w:r>
      <w:r>
        <w:rPr>
          <w:rFonts w:hint="eastAsia" w:ascii="仿宋" w:hAnsi="仿宋" w:eastAsia="仿宋" w:cs="仿宋"/>
          <w:color w:val="auto"/>
          <w:kern w:val="0"/>
          <w:sz w:val="24"/>
          <w:szCs w:val="24"/>
          <w:highlight w:val="none"/>
          <w:lang w:bidi="ar"/>
        </w:rPr>
        <w:t>承担的工作和义务为：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none"/>
          <w:lang w:val="en-US" w:eastAsia="zh-CN" w:bidi="ar"/>
        </w:rPr>
        <w:t>。</w:t>
      </w:r>
    </w:p>
    <w:p w14:paraId="4FAADA98">
      <w:pPr>
        <w:keepNext w:val="0"/>
        <w:keepLines w:val="0"/>
        <w:pageBreakBefore w:val="0"/>
        <w:widowControl/>
        <w:kinsoku/>
        <w:wordWrap/>
        <w:overflowPunct/>
        <w:topLinePunct w:val="0"/>
        <w:autoSpaceDE/>
        <w:autoSpaceDN/>
        <w:bidi w:val="0"/>
        <w:adjustRightInd/>
        <w:snapToGrid/>
        <w:spacing w:line="288" w:lineRule="auto"/>
        <w:ind w:left="0" w:leftChars="0"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bidi="ar"/>
        </w:rPr>
        <w:t>单位名称</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bidi="ar"/>
        </w:rPr>
        <w:t>承担本项目</w:t>
      </w:r>
      <w:r>
        <w:rPr>
          <w:rFonts w:hint="eastAsia" w:ascii="仿宋" w:hAnsi="仿宋" w:eastAsia="仿宋" w:cs="仿宋"/>
          <w:color w:val="auto"/>
          <w:kern w:val="0"/>
          <w:sz w:val="24"/>
          <w:szCs w:val="24"/>
          <w:highlight w:val="none"/>
          <w:lang w:eastAsia="zh-CN" w:bidi="ar"/>
        </w:rPr>
        <w:t>合同</w:t>
      </w:r>
      <w:r>
        <w:rPr>
          <w:rFonts w:hint="eastAsia" w:ascii="仿宋" w:hAnsi="仿宋" w:eastAsia="仿宋" w:cs="仿宋"/>
          <w:color w:val="auto"/>
          <w:kern w:val="0"/>
          <w:sz w:val="24"/>
          <w:szCs w:val="24"/>
          <w:highlight w:val="none"/>
          <w:lang w:bidi="ar"/>
        </w:rPr>
        <w:t>金额的</w:t>
      </w:r>
      <w:r>
        <w:rPr>
          <w:rFonts w:hint="eastAsia" w:ascii="仿宋" w:hAnsi="仿宋" w:eastAsia="仿宋" w:cs="仿宋"/>
          <w:color w:val="auto"/>
          <w:kern w:val="0"/>
          <w:sz w:val="24"/>
          <w:szCs w:val="24"/>
          <w:highlight w:val="none"/>
          <w:u w:val="single"/>
          <w:lang w:val="en-US" w:eastAsia="zh-CN" w:bidi="ar"/>
        </w:rPr>
        <w:t xml:space="preserve">    % </w:t>
      </w:r>
      <w:r>
        <w:rPr>
          <w:rFonts w:hint="eastAsia" w:ascii="仿宋" w:hAnsi="仿宋" w:eastAsia="仿宋" w:cs="仿宋"/>
          <w:color w:val="auto"/>
          <w:kern w:val="0"/>
          <w:sz w:val="24"/>
          <w:szCs w:val="24"/>
          <w:highlight w:val="none"/>
          <w:lang w:bidi="ar"/>
        </w:rPr>
        <w:t>，我单位与承担本项目的其他企业之间【</w:t>
      </w:r>
      <w:r>
        <w:rPr>
          <w:rFonts w:hint="eastAsia" w:ascii="仿宋" w:hAnsi="仿宋" w:eastAsia="仿宋" w:cs="仿宋"/>
          <w:color w:val="auto"/>
          <w:kern w:val="0"/>
          <w:sz w:val="24"/>
          <w:szCs w:val="24"/>
          <w:highlight w:val="none"/>
          <w:lang w:bidi="ar"/>
        </w:rPr>
        <w:sym w:font="Wingdings 2" w:char="00A3"/>
      </w:r>
      <w:r>
        <w:rPr>
          <w:rFonts w:hint="eastAsia" w:ascii="仿宋" w:hAnsi="仿宋" w:eastAsia="仿宋" w:cs="仿宋"/>
          <w:color w:val="auto"/>
          <w:kern w:val="0"/>
          <w:sz w:val="24"/>
          <w:szCs w:val="24"/>
          <w:highlight w:val="none"/>
          <w:lang w:bidi="ar"/>
        </w:rPr>
        <w:t>是/□否】存在直接控股、管理关系。</w:t>
      </w:r>
    </w:p>
    <w:p w14:paraId="5FECBC34">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bidi="ar"/>
        </w:rPr>
        <w:t>单位名称</w:t>
      </w:r>
      <w:r>
        <w:rPr>
          <w:rFonts w:hint="eastAsia" w:ascii="仿宋" w:hAnsi="仿宋" w:eastAsia="仿宋" w:cs="仿宋"/>
          <w:color w:val="auto"/>
          <w:kern w:val="0"/>
          <w:sz w:val="24"/>
          <w:szCs w:val="24"/>
          <w:highlight w:val="none"/>
          <w:u w:val="single"/>
          <w:lang w:eastAsia="zh-CN" w:bidi="ar"/>
        </w:rPr>
        <w:t>）</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bidi="ar"/>
        </w:rPr>
        <w:t>承担本项目</w:t>
      </w:r>
      <w:r>
        <w:rPr>
          <w:rFonts w:hint="eastAsia" w:ascii="仿宋" w:hAnsi="仿宋" w:eastAsia="仿宋" w:cs="仿宋"/>
          <w:color w:val="auto"/>
          <w:kern w:val="0"/>
          <w:sz w:val="24"/>
          <w:szCs w:val="24"/>
          <w:highlight w:val="none"/>
          <w:lang w:eastAsia="zh-CN" w:bidi="ar"/>
        </w:rPr>
        <w:t>合同</w:t>
      </w:r>
      <w:r>
        <w:rPr>
          <w:rFonts w:hint="eastAsia" w:ascii="仿宋" w:hAnsi="仿宋" w:eastAsia="仿宋" w:cs="仿宋"/>
          <w:color w:val="auto"/>
          <w:kern w:val="0"/>
          <w:sz w:val="24"/>
          <w:szCs w:val="24"/>
          <w:highlight w:val="none"/>
          <w:lang w:bidi="ar"/>
        </w:rPr>
        <w:t>金额的</w:t>
      </w:r>
      <w:r>
        <w:rPr>
          <w:rFonts w:hint="eastAsia" w:ascii="仿宋" w:hAnsi="仿宋" w:eastAsia="仿宋" w:cs="仿宋"/>
          <w:color w:val="auto"/>
          <w:kern w:val="0"/>
          <w:sz w:val="24"/>
          <w:szCs w:val="24"/>
          <w:highlight w:val="none"/>
          <w:u w:val="single"/>
          <w:lang w:val="en-US" w:eastAsia="zh-CN" w:bidi="ar"/>
        </w:rPr>
        <w:t xml:space="preserve">    % </w:t>
      </w:r>
      <w:r>
        <w:rPr>
          <w:rFonts w:hint="eastAsia" w:ascii="仿宋" w:hAnsi="仿宋" w:eastAsia="仿宋" w:cs="仿宋"/>
          <w:color w:val="auto"/>
          <w:kern w:val="0"/>
          <w:sz w:val="24"/>
          <w:szCs w:val="24"/>
          <w:highlight w:val="none"/>
          <w:lang w:bidi="ar"/>
        </w:rPr>
        <w:t>，我单位与承担本项目的其他企业之间【□是/□否】存在直接控股、管理关系。</w:t>
      </w:r>
    </w:p>
    <w:p w14:paraId="185201AE">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五、其他事宜：</w:t>
      </w:r>
    </w:p>
    <w:p w14:paraId="0D1EAB7E">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w:t>
      </w:r>
      <w:r>
        <w:rPr>
          <w:rFonts w:hint="eastAsia" w:ascii="仿宋" w:hAnsi="仿宋" w:eastAsia="仿宋" w:cs="仿宋"/>
          <w:color w:val="auto"/>
          <w:kern w:val="0"/>
          <w:sz w:val="24"/>
          <w:szCs w:val="24"/>
          <w:highlight w:val="none"/>
          <w:lang w:bidi="ar"/>
        </w:rPr>
        <w:t>本项目的采购代理服务费由</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sz w:val="24"/>
          <w:szCs w:val="24"/>
          <w:highlight w:val="none"/>
          <w:u w:val="single"/>
          <w:lang w:eastAsia="zh-CN"/>
        </w:rPr>
        <w:t>联合体</w:t>
      </w:r>
      <w:r>
        <w:rPr>
          <w:rFonts w:hint="eastAsia" w:ascii="仿宋" w:hAnsi="仿宋" w:eastAsia="仿宋" w:cs="仿宋"/>
          <w:color w:val="auto"/>
          <w:sz w:val="24"/>
          <w:szCs w:val="24"/>
          <w:highlight w:val="none"/>
          <w:u w:val="single"/>
        </w:rPr>
        <w:t>成员</w:t>
      </w:r>
      <w:r>
        <w:rPr>
          <w:rFonts w:hint="eastAsia" w:ascii="仿宋" w:hAnsi="仿宋" w:eastAsia="仿宋" w:cs="仿宋"/>
          <w:color w:val="auto"/>
          <w:sz w:val="24"/>
          <w:szCs w:val="24"/>
          <w:highlight w:val="none"/>
          <w:u w:val="single"/>
          <w:lang w:eastAsia="zh-CN"/>
        </w:rPr>
        <w:t>名称</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bidi="ar"/>
        </w:rPr>
        <w:t>缴纳。</w:t>
      </w:r>
    </w:p>
    <w:p w14:paraId="305495D3">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2</w:t>
      </w:r>
      <w:r>
        <w:rPr>
          <w:rFonts w:hint="eastAsia" w:ascii="仿宋" w:hAnsi="仿宋" w:eastAsia="仿宋" w:cs="仿宋"/>
          <w:color w:val="auto"/>
          <w:kern w:val="0"/>
          <w:sz w:val="24"/>
          <w:szCs w:val="24"/>
          <w:highlight w:val="none"/>
          <w:lang w:val="en-US" w:eastAsia="zh-CN" w:bidi="ar"/>
        </w:rPr>
        <w:t>.</w:t>
      </w:r>
      <w:r>
        <w:rPr>
          <w:rFonts w:hint="eastAsia" w:ascii="仿宋" w:hAnsi="仿宋" w:eastAsia="仿宋" w:cs="仿宋"/>
          <w:color w:val="auto"/>
          <w:kern w:val="0"/>
          <w:sz w:val="24"/>
          <w:szCs w:val="24"/>
          <w:highlight w:val="none"/>
          <w:lang w:bidi="ar"/>
        </w:rPr>
        <w:t>合同款收取说明（如有）。</w:t>
      </w:r>
    </w:p>
    <w:p w14:paraId="3F3482C9">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六、本协议提交采购人后，联合体各成员方不得以任何形式对上述实质内容进行修改或撤销。</w:t>
      </w:r>
    </w:p>
    <w:p w14:paraId="0F2051E0">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七、本协议一式</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bidi="ar"/>
        </w:rPr>
        <w:t>份，投标文件一份，</w:t>
      </w:r>
      <w:r>
        <w:rPr>
          <w:rFonts w:hint="eastAsia" w:ascii="仿宋" w:hAnsi="仿宋" w:eastAsia="仿宋" w:cs="仿宋"/>
          <w:color w:val="auto"/>
          <w:kern w:val="0"/>
          <w:sz w:val="24"/>
          <w:szCs w:val="24"/>
          <w:highlight w:val="none"/>
          <w:lang w:eastAsia="zh-CN" w:bidi="ar"/>
        </w:rPr>
        <w:t>牵头单位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bidi="ar"/>
        </w:rPr>
        <w:t>份，成员单位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bidi="ar"/>
        </w:rPr>
        <w:t>份。</w:t>
      </w:r>
    </w:p>
    <w:p w14:paraId="27239BBA">
      <w:pPr>
        <w:keepNext w:val="0"/>
        <w:keepLines w:val="0"/>
        <w:pageBreakBefore w:val="0"/>
        <w:kinsoku/>
        <w:wordWrap/>
        <w:overflowPunct/>
        <w:topLinePunct w:val="0"/>
        <w:autoSpaceDE/>
        <w:autoSpaceDN/>
        <w:bidi w:val="0"/>
        <w:adjustRightInd/>
        <w:snapToGrid/>
        <w:spacing w:line="240" w:lineRule="auto"/>
        <w:ind w:firstLine="3091" w:firstLineChars="1288"/>
        <w:textAlignment w:val="auto"/>
        <w:rPr>
          <w:rFonts w:hint="eastAsia" w:ascii="仿宋" w:hAnsi="仿宋" w:eastAsia="仿宋" w:cs="仿宋"/>
          <w:color w:val="auto"/>
          <w:sz w:val="24"/>
          <w:szCs w:val="24"/>
          <w:highlight w:val="none"/>
        </w:rPr>
      </w:pPr>
    </w:p>
    <w:p w14:paraId="7FBB86DE">
      <w:pPr>
        <w:keepNext w:val="0"/>
        <w:keepLines w:val="0"/>
        <w:pageBreakBefore w:val="0"/>
        <w:kinsoku/>
        <w:wordWrap/>
        <w:overflowPunct/>
        <w:topLinePunct w:val="0"/>
        <w:autoSpaceDE/>
        <w:autoSpaceDN/>
        <w:bidi w:val="0"/>
        <w:adjustRightInd/>
        <w:snapToGrid/>
        <w:spacing w:line="288" w:lineRule="auto"/>
        <w:ind w:firstLine="3091" w:firstLineChars="1288"/>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牵头人名称：</w:t>
      </w:r>
      <w:r>
        <w:rPr>
          <w:rFonts w:hint="eastAsia" w:ascii="仿宋" w:hAnsi="仿宋" w:eastAsia="仿宋" w:cs="仿宋"/>
          <w:color w:val="auto"/>
          <w:sz w:val="24"/>
          <w:szCs w:val="24"/>
          <w:highlight w:val="none"/>
          <w:u w:val="single"/>
        </w:rPr>
        <w:t xml:space="preserve">                （盖单位章）          </w:t>
      </w:r>
    </w:p>
    <w:p w14:paraId="60C65EF7">
      <w:pPr>
        <w:keepNext w:val="0"/>
        <w:keepLines w:val="0"/>
        <w:pageBreakBefore w:val="0"/>
        <w:kinsoku/>
        <w:wordWrap/>
        <w:overflowPunct/>
        <w:topLinePunct w:val="0"/>
        <w:autoSpaceDE/>
        <w:autoSpaceDN/>
        <w:bidi w:val="0"/>
        <w:adjustRightInd/>
        <w:snapToGrid/>
        <w:spacing w:line="288" w:lineRule="auto"/>
        <w:ind w:firstLine="3091" w:firstLineChars="1288"/>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w:t>
      </w:r>
      <w:r>
        <w:rPr>
          <w:rFonts w:hint="eastAsia" w:ascii="仿宋" w:hAnsi="仿宋" w:eastAsia="仿宋" w:cs="仿宋"/>
          <w:color w:val="auto"/>
          <w:sz w:val="24"/>
          <w:szCs w:val="24"/>
          <w:highlight w:val="none"/>
          <w:u w:val="single"/>
        </w:rPr>
        <w:t xml:space="preserve">     （签字或盖章）     </w:t>
      </w:r>
    </w:p>
    <w:p w14:paraId="0F910402">
      <w:pPr>
        <w:keepNext w:val="0"/>
        <w:keepLines w:val="0"/>
        <w:pageBreakBefore w:val="0"/>
        <w:kinsoku/>
        <w:wordWrap/>
        <w:overflowPunct/>
        <w:topLinePunct w:val="0"/>
        <w:autoSpaceDE/>
        <w:autoSpaceDN/>
        <w:bidi w:val="0"/>
        <w:adjustRightInd/>
        <w:snapToGrid/>
        <w:spacing w:line="288" w:lineRule="auto"/>
        <w:ind w:firstLine="3091" w:firstLineChars="1288"/>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成员一名称：</w:t>
      </w:r>
      <w:r>
        <w:rPr>
          <w:rFonts w:hint="eastAsia" w:ascii="仿宋" w:hAnsi="仿宋" w:eastAsia="仿宋" w:cs="仿宋"/>
          <w:color w:val="auto"/>
          <w:sz w:val="24"/>
          <w:szCs w:val="24"/>
          <w:highlight w:val="none"/>
          <w:u w:val="single"/>
        </w:rPr>
        <w:t xml:space="preserve">                （盖单位章）          </w:t>
      </w:r>
    </w:p>
    <w:p w14:paraId="6C1337D0">
      <w:pPr>
        <w:keepNext w:val="0"/>
        <w:keepLines w:val="0"/>
        <w:pageBreakBefore w:val="0"/>
        <w:kinsoku/>
        <w:wordWrap/>
        <w:overflowPunct/>
        <w:topLinePunct w:val="0"/>
        <w:autoSpaceDE/>
        <w:autoSpaceDN/>
        <w:bidi w:val="0"/>
        <w:adjustRightInd/>
        <w:snapToGrid/>
        <w:spacing w:line="288" w:lineRule="auto"/>
        <w:ind w:firstLine="3091" w:firstLineChars="1288"/>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法定代表人或其委托代理人：</w:t>
      </w:r>
      <w:r>
        <w:rPr>
          <w:rFonts w:hint="eastAsia" w:ascii="仿宋" w:hAnsi="仿宋" w:eastAsia="仿宋" w:cs="仿宋"/>
          <w:color w:val="auto"/>
          <w:sz w:val="24"/>
          <w:szCs w:val="24"/>
          <w:highlight w:val="none"/>
          <w:u w:val="single"/>
        </w:rPr>
        <w:t xml:space="preserve">     （签字或盖章）     </w:t>
      </w:r>
    </w:p>
    <w:p w14:paraId="0C10DA8A">
      <w:pPr>
        <w:pStyle w:val="7"/>
        <w:keepNext w:val="0"/>
        <w:keepLines w:val="0"/>
        <w:pageBreakBefore w:val="0"/>
        <w:kinsoku/>
        <w:wordWrap/>
        <w:overflowPunct/>
        <w:topLinePunct w:val="0"/>
        <w:autoSpaceDE/>
        <w:autoSpaceDN/>
        <w:bidi w:val="0"/>
        <w:adjustRightInd/>
        <w:snapToGrid/>
        <w:spacing w:line="288" w:lineRule="auto"/>
        <w:ind w:firstLine="4620" w:firstLineChars="2100"/>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年</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月</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日</w:t>
      </w:r>
    </w:p>
    <w:p w14:paraId="17421C6D">
      <w:pPr>
        <w:keepNext w:val="0"/>
        <w:keepLines w:val="0"/>
        <w:pageBreakBefore w:val="0"/>
        <w:widowControl/>
        <w:kinsoku/>
        <w:wordWrap/>
        <w:overflowPunct/>
        <w:topLinePunct w:val="0"/>
        <w:autoSpaceDE/>
        <w:autoSpaceDN/>
        <w:bidi w:val="0"/>
        <w:adjustRightInd/>
        <w:snapToGrid/>
        <w:spacing w:line="288" w:lineRule="auto"/>
        <w:ind w:firstLine="482" w:firstLineChars="200"/>
        <w:jc w:val="left"/>
        <w:textAlignment w:val="auto"/>
        <w:rPr>
          <w:rFonts w:hint="eastAsia" w:ascii="仿宋" w:hAnsi="仿宋" w:eastAsia="仿宋" w:cs="仿宋"/>
          <w:b w:val="0"/>
          <w:color w:val="auto"/>
          <w:kern w:val="0"/>
          <w:sz w:val="24"/>
          <w:szCs w:val="24"/>
          <w:highlight w:val="none"/>
          <w:lang w:bidi="ar"/>
        </w:rPr>
      </w:pPr>
      <w:r>
        <w:rPr>
          <w:rFonts w:hint="eastAsia" w:ascii="仿宋" w:hAnsi="仿宋" w:eastAsia="仿宋" w:cs="仿宋"/>
          <w:b/>
          <w:bCs/>
          <w:color w:val="auto"/>
          <w:kern w:val="0"/>
          <w:sz w:val="24"/>
          <w:szCs w:val="24"/>
          <w:highlight w:val="none"/>
          <w:lang w:bidi="ar"/>
        </w:rPr>
        <w:t>注：</w:t>
      </w:r>
      <w:r>
        <w:rPr>
          <w:rFonts w:hint="eastAsia" w:ascii="仿宋" w:hAnsi="仿宋" w:eastAsia="仿宋" w:cs="仿宋"/>
          <w:b/>
          <w:bCs/>
          <w:color w:val="auto"/>
          <w:kern w:val="0"/>
          <w:sz w:val="24"/>
          <w:szCs w:val="24"/>
          <w:highlight w:val="none"/>
          <w:lang w:eastAsia="zh-CN" w:bidi="ar"/>
        </w:rPr>
        <w:t>联合体投标协议</w:t>
      </w:r>
      <w:r>
        <w:rPr>
          <w:rFonts w:hint="eastAsia" w:ascii="仿宋" w:hAnsi="仿宋" w:eastAsia="仿宋" w:cs="仿宋"/>
          <w:b/>
          <w:bCs/>
          <w:color w:val="auto"/>
          <w:kern w:val="0"/>
          <w:sz w:val="24"/>
          <w:szCs w:val="24"/>
          <w:highlight w:val="none"/>
          <w:lang w:bidi="ar"/>
        </w:rPr>
        <w:t>需由联合体各方共同出具并签署盖章。</w:t>
      </w:r>
    </w:p>
    <w:p w14:paraId="7D6A703A">
      <w:pPr>
        <w:widowControl/>
        <w:spacing w:line="360" w:lineRule="auto"/>
        <w:ind w:firstLine="470" w:firstLineChars="196"/>
        <w:jc w:val="left"/>
        <w:rPr>
          <w:rFonts w:hint="eastAsia" w:ascii="仿宋" w:hAnsi="仿宋" w:eastAsia="仿宋" w:cs="仿宋"/>
          <w:color w:val="auto"/>
          <w:sz w:val="24"/>
          <w:highlight w:val="none"/>
        </w:rPr>
      </w:pPr>
    </w:p>
    <w:p w14:paraId="3BAAC98E">
      <w:pPr>
        <w:spacing w:line="360" w:lineRule="auto"/>
        <w:ind w:firstLine="480" w:firstLineChars="200"/>
        <w:rPr>
          <w:rFonts w:hint="eastAsia" w:ascii="仿宋" w:hAnsi="仿宋" w:eastAsia="仿宋" w:cs="仿宋"/>
          <w:color w:val="auto"/>
          <w:sz w:val="24"/>
          <w:highlight w:val="none"/>
        </w:rPr>
      </w:pPr>
    </w:p>
    <w:p w14:paraId="1E165D09">
      <w:pPr>
        <w:widowControl/>
        <w:spacing w:line="360" w:lineRule="auto"/>
        <w:ind w:left="150"/>
        <w:jc w:val="center"/>
        <w:rPr>
          <w:rFonts w:hint="eastAsia" w:ascii="仿宋" w:hAnsi="仿宋" w:eastAsia="仿宋" w:cs="仿宋"/>
          <w:b/>
          <w:color w:val="auto"/>
          <w:kern w:val="0"/>
          <w:sz w:val="32"/>
          <w:szCs w:val="32"/>
          <w:highlight w:val="none"/>
        </w:rPr>
      </w:pPr>
    </w:p>
    <w:p w14:paraId="4B61DADF">
      <w:pPr>
        <w:spacing w:line="336"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65C41CD9">
      <w:pPr>
        <w:spacing w:line="336" w:lineRule="auto"/>
        <w:jc w:val="center"/>
        <w:outlineLvl w:val="0"/>
        <w:rPr>
          <w:rFonts w:hint="eastAsia" w:ascii="仿宋" w:hAnsi="仿宋" w:eastAsia="仿宋" w:cs="仿宋"/>
          <w:b/>
          <w:color w:val="auto"/>
          <w:kern w:val="0"/>
          <w:sz w:val="24"/>
          <w:highlight w:val="none"/>
        </w:rPr>
      </w:pPr>
    </w:p>
    <w:p w14:paraId="4C981BDE">
      <w:pPr>
        <w:spacing w:line="336"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1803091C">
      <w:pPr>
        <w:pStyle w:val="909"/>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13910CC0">
      <w:pPr>
        <w:pStyle w:val="909"/>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法定代表人授权书 ………………………………………………………… （页码）</w:t>
      </w:r>
    </w:p>
    <w:p w14:paraId="1EF92339">
      <w:pPr>
        <w:pStyle w:val="909"/>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法定代表人及其授权代表身份证复印件（复印件）………………………（页码）</w:t>
      </w:r>
    </w:p>
    <w:p w14:paraId="6C9F8BD0">
      <w:pPr>
        <w:pStyle w:val="909"/>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3DE59B63">
      <w:pPr>
        <w:pStyle w:val="909"/>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eastAsia="仿宋" w:cs="仿宋"/>
          <w:color w:val="auto"/>
          <w:highlight w:val="none"/>
          <w:lang w:eastAsia="zh-CN"/>
        </w:rPr>
        <w:t>技术响应偏离表</w:t>
      </w:r>
      <w:r>
        <w:rPr>
          <w:rFonts w:hint="eastAsia" w:ascii="仿宋" w:hAnsi="仿宋" w:eastAsia="仿宋" w:cs="仿宋"/>
          <w:color w:val="auto"/>
          <w:highlight w:val="none"/>
        </w:rPr>
        <w:t>………………………………………………………………（页码）</w:t>
      </w:r>
    </w:p>
    <w:p w14:paraId="402808AE">
      <w:pPr>
        <w:pStyle w:val="909"/>
        <w:numPr>
          <w:ilvl w:val="0"/>
          <w:numId w:val="2"/>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其他内容</w:t>
      </w:r>
      <w:r>
        <w:rPr>
          <w:rFonts w:hint="eastAsia" w:ascii="仿宋" w:hAnsi="仿宋" w:eastAsia="仿宋" w:cs="仿宋"/>
          <w:color w:val="auto"/>
          <w:highlight w:val="none"/>
        </w:rPr>
        <w:t>………………………………………………………………………（页码）</w:t>
      </w:r>
    </w:p>
    <w:p w14:paraId="0A4D1B8A">
      <w:pPr>
        <w:snapToGrid w:val="0"/>
        <w:spacing w:line="360" w:lineRule="auto"/>
        <w:jc w:val="center"/>
        <w:rPr>
          <w:rFonts w:hint="eastAsia" w:ascii="仿宋" w:hAnsi="仿宋" w:eastAsia="仿宋" w:cs="仿宋"/>
          <w:b/>
          <w:color w:val="auto"/>
          <w:kern w:val="0"/>
          <w:sz w:val="32"/>
          <w:szCs w:val="32"/>
          <w:highlight w:val="none"/>
          <w:lang w:val="zh-CN"/>
        </w:rPr>
      </w:pPr>
    </w:p>
    <w:p w14:paraId="48531BE1">
      <w:pPr>
        <w:snapToGrid w:val="0"/>
        <w:spacing w:line="360" w:lineRule="auto"/>
        <w:jc w:val="center"/>
        <w:rPr>
          <w:rFonts w:hint="eastAsia" w:ascii="仿宋" w:hAnsi="仿宋" w:eastAsia="仿宋" w:cs="仿宋"/>
          <w:b/>
          <w:color w:val="auto"/>
          <w:kern w:val="0"/>
          <w:sz w:val="32"/>
          <w:szCs w:val="32"/>
          <w:highlight w:val="none"/>
          <w:lang w:val="zh-CN"/>
        </w:rPr>
      </w:pPr>
    </w:p>
    <w:p w14:paraId="1E0183BC">
      <w:pPr>
        <w:snapToGrid w:val="0"/>
        <w:spacing w:line="360" w:lineRule="auto"/>
        <w:jc w:val="center"/>
        <w:rPr>
          <w:rFonts w:hint="eastAsia" w:ascii="仿宋" w:hAnsi="仿宋" w:eastAsia="仿宋" w:cs="仿宋"/>
          <w:b/>
          <w:color w:val="auto"/>
          <w:kern w:val="0"/>
          <w:sz w:val="32"/>
          <w:szCs w:val="32"/>
          <w:highlight w:val="none"/>
          <w:lang w:val="zh-CN"/>
        </w:rPr>
      </w:pPr>
    </w:p>
    <w:p w14:paraId="4B925782">
      <w:pPr>
        <w:snapToGrid w:val="0"/>
        <w:spacing w:line="360" w:lineRule="auto"/>
        <w:jc w:val="both"/>
        <w:rPr>
          <w:rFonts w:hint="eastAsia" w:ascii="仿宋" w:hAnsi="仿宋" w:eastAsia="仿宋" w:cs="仿宋"/>
          <w:b/>
          <w:color w:val="auto"/>
          <w:kern w:val="0"/>
          <w:sz w:val="32"/>
          <w:szCs w:val="32"/>
          <w:highlight w:val="none"/>
          <w:lang w:val="zh-CN"/>
        </w:rPr>
      </w:pPr>
    </w:p>
    <w:p w14:paraId="4649562E">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3406DF4">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2F12C0CF">
      <w:pPr>
        <w:pStyle w:val="400"/>
        <w:keepNext w:val="0"/>
        <w:keepLines w:val="0"/>
        <w:pageBreakBefore w:val="0"/>
        <w:kinsoku/>
        <w:wordWrap/>
        <w:overflowPunct/>
        <w:topLinePunct w:val="0"/>
        <w:autoSpaceDE/>
        <w:autoSpaceDN/>
        <w:bidi w:val="0"/>
        <w:spacing w:after="0" w:afterLines="0" w:line="336"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678E85E4">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w:t>
      </w:r>
      <w:r>
        <w:rPr>
          <w:rFonts w:hint="eastAsia" w:ascii="仿宋" w:hAnsi="仿宋" w:eastAsia="仿宋" w:cs="仿宋"/>
          <w:color w:val="auto"/>
          <w:sz w:val="24"/>
          <w:szCs w:val="24"/>
          <w:highlight w:val="none"/>
          <w:u w:val="single"/>
          <w:lang w:val="en-US" w:eastAsia="zh-CN"/>
        </w:rPr>
        <w:t xml:space="preserve">        项</w:t>
      </w:r>
      <w:r>
        <w:rPr>
          <w:rFonts w:hint="eastAsia" w:ascii="仿宋" w:hAnsi="仿宋" w:eastAsia="仿宋" w:cs="仿宋"/>
          <w:b w:val="0"/>
          <w:bCs w:val="0"/>
          <w:color w:val="auto"/>
          <w:sz w:val="24"/>
          <w:szCs w:val="24"/>
          <w:highlight w:val="none"/>
          <w:u w:val="single"/>
          <w:lang w:val="en-US" w:eastAsia="zh-CN"/>
        </w:rPr>
        <w:t>目</w:t>
      </w:r>
      <w:r>
        <w:rPr>
          <w:rFonts w:hint="eastAsia" w:ascii="仿宋" w:hAnsi="仿宋" w:eastAsia="仿宋" w:cs="仿宋"/>
          <w:b w:val="0"/>
          <w:bCs w:val="0"/>
          <w:color w:val="auto"/>
          <w:sz w:val="24"/>
          <w:szCs w:val="24"/>
          <w:highlight w:val="none"/>
          <w:u w:val="single"/>
        </w:rPr>
        <w:t>（</w:t>
      </w:r>
      <w:r>
        <w:rPr>
          <w:rFonts w:hint="eastAsia" w:ascii="仿宋" w:hAnsi="仿宋" w:eastAsia="仿宋" w:cs="仿宋"/>
          <w:b w:val="0"/>
          <w:bCs w:val="0"/>
          <w:color w:val="auto"/>
          <w:sz w:val="24"/>
          <w:szCs w:val="24"/>
          <w:highlight w:val="none"/>
          <w:u w:val="single"/>
          <w:lang w:eastAsia="zh-CN"/>
        </w:rPr>
        <w:t>项目编号</w:t>
      </w:r>
      <w:r>
        <w:rPr>
          <w:rFonts w:hint="eastAsia" w:ascii="仿宋" w:hAnsi="仿宋" w:eastAsia="仿宋" w:cs="仿宋"/>
          <w:b w:val="0"/>
          <w:bCs w:val="0"/>
          <w:color w:val="auto"/>
          <w:sz w:val="24"/>
          <w:szCs w:val="24"/>
          <w:highlight w:val="none"/>
          <w:u w:val="single"/>
        </w:rPr>
        <w:t>：）</w:t>
      </w:r>
      <w:r>
        <w:rPr>
          <w:rFonts w:hint="eastAsia" w:ascii="仿宋" w:hAnsi="仿宋" w:eastAsia="仿宋" w:cs="仿宋"/>
          <w:color w:val="auto"/>
          <w:sz w:val="24"/>
          <w:szCs w:val="24"/>
          <w:highlight w:val="none"/>
        </w:rPr>
        <w:t>招标文件的要求，正式授权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2D28E70B">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3F8B641C">
      <w:pPr>
        <w:pStyle w:val="15"/>
        <w:keepNext w:val="0"/>
        <w:keepLines w:val="0"/>
        <w:pageBreakBefore w:val="0"/>
        <w:tabs>
          <w:tab w:val="clear" w:pos="1697"/>
        </w:tabs>
        <w:kinsoku/>
        <w:wordWrap/>
        <w:overflowPunct/>
        <w:topLinePunct w:val="0"/>
        <w:autoSpaceDE/>
        <w:autoSpaceDN/>
        <w:bidi w:val="0"/>
        <w:spacing w:after="0" w:afterLines="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60285505">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02CAAC64">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0E7157E0">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54772F61">
      <w:pPr>
        <w:pStyle w:val="15"/>
        <w:keepNext w:val="0"/>
        <w:keepLines w:val="0"/>
        <w:pageBreakBefore w:val="0"/>
        <w:tabs>
          <w:tab w:val="clear" w:pos="1697"/>
        </w:tabs>
        <w:kinsoku/>
        <w:wordWrap/>
        <w:overflowPunct/>
        <w:topLinePunct w:val="0"/>
        <w:autoSpaceDE/>
        <w:autoSpaceDN/>
        <w:bidi w:val="0"/>
        <w:spacing w:after="0" w:afterLines="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7759801F">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5ECB26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6494880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62904429">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6560962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4BE1C03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57077F4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5BDF5FB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2783B3B6">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5A873F4A">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73F77834">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03BE0AE2">
      <w:pPr>
        <w:pStyle w:val="400"/>
        <w:keepNext w:val="0"/>
        <w:keepLines w:val="0"/>
        <w:pageBreakBefore w:val="0"/>
        <w:kinsoku/>
        <w:wordWrap/>
        <w:overflowPunct/>
        <w:topLinePunct w:val="0"/>
        <w:autoSpaceDE/>
        <w:autoSpaceDN/>
        <w:bidi w:val="0"/>
        <w:spacing w:after="0" w:afterLines="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0DDC11F8">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highlight w:val="none"/>
        </w:rPr>
      </w:pPr>
    </w:p>
    <w:p w14:paraId="37683855">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6F85A176">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p>
    <w:p w14:paraId="0674FA1A">
      <w:pPr>
        <w:jc w:val="center"/>
        <w:rPr>
          <w:rFonts w:hint="eastAsia" w:ascii="仿宋" w:hAnsi="仿宋" w:eastAsia="仿宋" w:cs="仿宋"/>
          <w:b/>
          <w:color w:val="auto"/>
          <w:sz w:val="24"/>
          <w:highlight w:val="none"/>
        </w:rPr>
      </w:pPr>
    </w:p>
    <w:p w14:paraId="1521D74F">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6AC06471">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4867589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63699E5B">
      <w:pPr>
        <w:snapToGrid w:val="0"/>
        <w:spacing w:line="600" w:lineRule="exact"/>
        <w:jc w:val="left"/>
        <w:rPr>
          <w:rFonts w:hint="eastAsia" w:ascii="仿宋" w:hAnsi="仿宋" w:eastAsia="仿宋" w:cs="仿宋"/>
          <w:color w:val="auto"/>
          <w:sz w:val="24"/>
          <w:highlight w:val="none"/>
        </w:rPr>
      </w:pPr>
    </w:p>
    <w:p w14:paraId="08FE9E80">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4F3190B4">
      <w:pPr>
        <w:spacing w:line="360" w:lineRule="exact"/>
        <w:rPr>
          <w:rFonts w:hint="eastAsia" w:ascii="仿宋" w:hAnsi="仿宋" w:eastAsia="仿宋" w:cs="仿宋"/>
          <w:color w:val="auto"/>
          <w:sz w:val="24"/>
          <w:highlight w:val="none"/>
        </w:rPr>
      </w:pPr>
    </w:p>
    <w:p w14:paraId="350941F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71F678FC">
      <w:pPr>
        <w:spacing w:line="360" w:lineRule="exact"/>
        <w:rPr>
          <w:rFonts w:hint="eastAsia" w:ascii="仿宋" w:hAnsi="仿宋" w:eastAsia="仿宋" w:cs="仿宋"/>
          <w:color w:val="auto"/>
          <w:sz w:val="24"/>
          <w:highlight w:val="none"/>
        </w:rPr>
      </w:pPr>
    </w:p>
    <w:p w14:paraId="213B06C0">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48DD833D">
      <w:pPr>
        <w:spacing w:line="360" w:lineRule="exact"/>
        <w:rPr>
          <w:rFonts w:hint="eastAsia" w:ascii="仿宋" w:hAnsi="仿宋" w:eastAsia="仿宋" w:cs="仿宋"/>
          <w:color w:val="auto"/>
          <w:sz w:val="24"/>
          <w:highlight w:val="none"/>
        </w:rPr>
      </w:pPr>
    </w:p>
    <w:p w14:paraId="2CD16E14">
      <w:pPr>
        <w:spacing w:line="360" w:lineRule="exact"/>
        <w:rPr>
          <w:rFonts w:hint="eastAsia" w:ascii="仿宋" w:hAnsi="仿宋" w:eastAsia="仿宋" w:cs="仿宋"/>
          <w:color w:val="auto"/>
          <w:sz w:val="24"/>
          <w:highlight w:val="none"/>
        </w:rPr>
      </w:pPr>
    </w:p>
    <w:p w14:paraId="46AC8A6E">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5B7231A3">
      <w:pPr>
        <w:spacing w:line="360" w:lineRule="exact"/>
        <w:rPr>
          <w:rFonts w:hint="eastAsia" w:ascii="仿宋" w:hAnsi="仿宋" w:eastAsia="仿宋" w:cs="仿宋"/>
          <w:color w:val="auto"/>
          <w:sz w:val="24"/>
          <w:highlight w:val="none"/>
        </w:rPr>
      </w:pPr>
    </w:p>
    <w:p w14:paraId="41A99D41">
      <w:pPr>
        <w:spacing w:line="360" w:lineRule="exact"/>
        <w:rPr>
          <w:rFonts w:hint="eastAsia" w:ascii="仿宋" w:hAnsi="仿宋" w:eastAsia="仿宋" w:cs="仿宋"/>
          <w:color w:val="auto"/>
          <w:sz w:val="24"/>
          <w:highlight w:val="none"/>
        </w:rPr>
      </w:pPr>
    </w:p>
    <w:p w14:paraId="72A4AD48">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388C2BCB">
      <w:pPr>
        <w:spacing w:line="360" w:lineRule="exact"/>
        <w:rPr>
          <w:rFonts w:hint="eastAsia" w:ascii="仿宋" w:hAnsi="仿宋" w:eastAsia="仿宋" w:cs="仿宋"/>
          <w:color w:val="auto"/>
          <w:sz w:val="24"/>
          <w:highlight w:val="none"/>
        </w:rPr>
      </w:pPr>
    </w:p>
    <w:p w14:paraId="2035030B">
      <w:pPr>
        <w:spacing w:line="360" w:lineRule="exact"/>
        <w:rPr>
          <w:rFonts w:hint="eastAsia" w:ascii="仿宋" w:hAnsi="仿宋" w:eastAsia="仿宋" w:cs="仿宋"/>
          <w:color w:val="auto"/>
          <w:sz w:val="24"/>
          <w:highlight w:val="none"/>
        </w:rPr>
      </w:pPr>
    </w:p>
    <w:p w14:paraId="56B53581">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2DB14E39">
      <w:pPr>
        <w:ind w:firstLine="4920" w:firstLineChars="2050"/>
        <w:jc w:val="left"/>
        <w:rPr>
          <w:rFonts w:hint="eastAsia" w:ascii="仿宋" w:hAnsi="仿宋" w:eastAsia="仿宋" w:cs="仿宋"/>
          <w:color w:val="auto"/>
          <w:sz w:val="24"/>
          <w:highlight w:val="none"/>
        </w:rPr>
      </w:pPr>
    </w:p>
    <w:p w14:paraId="4DAC015E">
      <w:pPr>
        <w:spacing w:line="800" w:lineRule="exact"/>
        <w:rPr>
          <w:rFonts w:hint="eastAsia" w:ascii="仿宋" w:hAnsi="仿宋" w:eastAsia="仿宋" w:cs="仿宋"/>
          <w:b/>
          <w:color w:val="auto"/>
          <w:sz w:val="24"/>
          <w:highlight w:val="none"/>
        </w:rPr>
      </w:pPr>
    </w:p>
    <w:p w14:paraId="27D9E5CE">
      <w:pPr>
        <w:spacing w:line="800" w:lineRule="exact"/>
        <w:rPr>
          <w:rFonts w:hint="eastAsia" w:ascii="仿宋" w:hAnsi="仿宋" w:eastAsia="仿宋" w:cs="仿宋"/>
          <w:b/>
          <w:color w:val="auto"/>
          <w:sz w:val="24"/>
          <w:highlight w:val="none"/>
        </w:rPr>
      </w:pPr>
    </w:p>
    <w:p w14:paraId="6F36803B">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三</w:t>
      </w:r>
      <w:r>
        <w:rPr>
          <w:rFonts w:hint="eastAsia" w:ascii="仿宋" w:hAnsi="仿宋" w:eastAsia="仿宋" w:cs="仿宋"/>
          <w:b/>
          <w:color w:val="auto"/>
          <w:sz w:val="30"/>
          <w:szCs w:val="30"/>
          <w:highlight w:val="none"/>
        </w:rPr>
        <w:t>、法定代表人及其授权代表身份证复印件（正反面）</w:t>
      </w:r>
    </w:p>
    <w:p w14:paraId="0F258208">
      <w:pPr>
        <w:spacing w:line="800" w:lineRule="exact"/>
        <w:rPr>
          <w:rFonts w:hint="eastAsia" w:ascii="仿宋" w:hAnsi="仿宋" w:eastAsia="仿宋" w:cs="仿宋"/>
          <w:b/>
          <w:color w:val="auto"/>
          <w:sz w:val="24"/>
          <w:highlight w:val="none"/>
        </w:rPr>
      </w:pPr>
    </w:p>
    <w:p w14:paraId="21F640BD">
      <w:pPr>
        <w:spacing w:line="800" w:lineRule="exact"/>
        <w:rPr>
          <w:rFonts w:hint="eastAsia" w:ascii="仿宋" w:hAnsi="仿宋" w:eastAsia="仿宋" w:cs="仿宋"/>
          <w:b/>
          <w:color w:val="auto"/>
          <w:sz w:val="24"/>
          <w:highlight w:val="none"/>
        </w:rPr>
      </w:pPr>
    </w:p>
    <w:p w14:paraId="23D5F2C0">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四</w:t>
      </w:r>
      <w:r>
        <w:rPr>
          <w:rFonts w:hint="eastAsia" w:ascii="仿宋" w:hAnsi="仿宋" w:eastAsia="仿宋" w:cs="仿宋"/>
          <w:b/>
          <w:color w:val="auto"/>
          <w:sz w:val="30"/>
          <w:szCs w:val="30"/>
          <w:highlight w:val="none"/>
        </w:rPr>
        <w:t>、法定代表人身份证明书(格式)</w:t>
      </w:r>
    </w:p>
    <w:p w14:paraId="37198EC3">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0C57CEA1">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59221F77">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2261D931">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02420FBA">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27C3FA15">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2C55FE2D">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2345A769">
      <w:pPr>
        <w:spacing w:line="440" w:lineRule="exact"/>
        <w:rPr>
          <w:rFonts w:hint="eastAsia" w:ascii="仿宋" w:hAnsi="仿宋" w:eastAsia="仿宋" w:cs="仿宋"/>
          <w:color w:val="auto"/>
          <w:sz w:val="24"/>
          <w:highlight w:val="none"/>
        </w:rPr>
      </w:pPr>
    </w:p>
    <w:p w14:paraId="0A442077">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4A3EFF9E">
      <w:pPr>
        <w:spacing w:line="440" w:lineRule="exact"/>
        <w:ind w:right="480"/>
        <w:rPr>
          <w:rFonts w:hint="eastAsia" w:ascii="仿宋" w:hAnsi="仿宋" w:eastAsia="仿宋" w:cs="仿宋"/>
          <w:color w:val="auto"/>
          <w:sz w:val="24"/>
          <w:highlight w:val="none"/>
        </w:rPr>
      </w:pPr>
    </w:p>
    <w:p w14:paraId="4B6FBA91">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3E5DFAF4">
      <w:pPr>
        <w:jc w:val="center"/>
        <w:rPr>
          <w:rFonts w:hint="eastAsia" w:ascii="仿宋" w:hAnsi="仿宋" w:eastAsia="仿宋" w:cs="仿宋"/>
          <w:b/>
          <w:color w:val="auto"/>
          <w:kern w:val="0"/>
          <w:sz w:val="32"/>
          <w:szCs w:val="32"/>
          <w:highlight w:val="none"/>
        </w:rPr>
      </w:pPr>
    </w:p>
    <w:p w14:paraId="1785A690">
      <w:pPr>
        <w:jc w:val="center"/>
        <w:rPr>
          <w:rFonts w:hint="eastAsia" w:ascii="仿宋" w:hAnsi="仿宋" w:eastAsia="仿宋" w:cs="仿宋"/>
          <w:b/>
          <w:color w:val="auto"/>
          <w:kern w:val="0"/>
          <w:sz w:val="32"/>
          <w:szCs w:val="32"/>
          <w:highlight w:val="none"/>
        </w:rPr>
      </w:pPr>
    </w:p>
    <w:p w14:paraId="011296C4">
      <w:pPr>
        <w:pStyle w:val="26"/>
        <w:rPr>
          <w:rFonts w:hint="eastAsia" w:ascii="仿宋" w:hAnsi="仿宋" w:eastAsia="仿宋" w:cs="仿宋"/>
          <w:color w:val="auto"/>
          <w:highlight w:val="none"/>
        </w:rPr>
      </w:pPr>
    </w:p>
    <w:p w14:paraId="43BF740D">
      <w:pPr>
        <w:jc w:val="both"/>
        <w:rPr>
          <w:rFonts w:hint="eastAsia" w:ascii="仿宋" w:hAnsi="仿宋" w:eastAsia="仿宋" w:cs="仿宋"/>
          <w:b/>
          <w:color w:val="auto"/>
          <w:kern w:val="0"/>
          <w:sz w:val="32"/>
          <w:szCs w:val="32"/>
          <w:highlight w:val="none"/>
        </w:rPr>
      </w:pPr>
    </w:p>
    <w:p w14:paraId="2E17AC82">
      <w:pP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3FE961BC">
      <w:pPr>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eastAsia="zh-CN"/>
        </w:rPr>
        <w:t>技术响应偏离表</w:t>
      </w:r>
    </w:p>
    <w:p w14:paraId="7A666B87">
      <w:pPr>
        <w:pStyle w:val="727"/>
        <w:keepNext w:val="0"/>
        <w:keepLines w:val="0"/>
        <w:pBdr>
          <w:top w:val="none" w:color="auto" w:sz="0" w:space="0"/>
          <w:left w:val="none" w:color="auto" w:sz="0" w:space="0"/>
          <w:bottom w:val="none" w:color="auto" w:sz="0" w:space="0"/>
          <w:right w:val="none" w:color="auto" w:sz="0" w:space="0"/>
        </w:pBdr>
        <w:autoSpaceDE w:val="0"/>
        <w:autoSpaceDN w:val="0"/>
        <w:spacing w:before="0" w:after="0" w:line="240" w:lineRule="auto"/>
        <w:ind w:left="0" w:leftChars="0" w:firstLine="0" w:firstLineChars="0"/>
        <w:jc w:val="both"/>
        <w:outlineLvl w:val="9"/>
        <w:rPr>
          <w:rFonts w:hint="eastAsia" w:ascii="仿宋" w:hAnsi="仿宋" w:eastAsia="仿宋" w:cs="仿宋"/>
          <w:b w:val="0"/>
          <w:bCs w:val="0"/>
          <w:color w:val="auto"/>
          <w:sz w:val="24"/>
          <w:szCs w:val="24"/>
        </w:rPr>
      </w:pPr>
      <w:bookmarkStart w:id="39" w:name="_Toc8247"/>
      <w:bookmarkStart w:id="40" w:name="_Toc476645124"/>
      <w:bookmarkStart w:id="41" w:name="_Toc23415"/>
      <w:r>
        <w:rPr>
          <w:rFonts w:hint="eastAsia" w:ascii="仿宋" w:hAnsi="仿宋" w:eastAsia="仿宋" w:cs="仿宋"/>
          <w:b w:val="0"/>
          <w:bCs w:val="0"/>
          <w:color w:val="auto"/>
          <w:sz w:val="24"/>
          <w:szCs w:val="24"/>
        </w:rPr>
        <w:t>项目名称：</w:t>
      </w:r>
      <w:bookmarkEnd w:id="39"/>
      <w:bookmarkEnd w:id="40"/>
      <w:bookmarkEnd w:id="41"/>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7"/>
        <w:gridCol w:w="2249"/>
        <w:gridCol w:w="1529"/>
        <w:gridCol w:w="1529"/>
        <w:gridCol w:w="1530"/>
        <w:gridCol w:w="1530"/>
      </w:tblGrid>
      <w:tr w14:paraId="5BF82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2156C82C">
            <w:pPr>
              <w:pStyle w:val="25"/>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2297" w:type="dxa"/>
            <w:vAlign w:val="center"/>
          </w:tcPr>
          <w:p w14:paraId="051D3D4A">
            <w:pPr>
              <w:pStyle w:val="25"/>
              <w:jc w:val="center"/>
              <w:rPr>
                <w:rFonts w:hint="eastAsia" w:ascii="仿宋" w:hAnsi="仿宋" w:eastAsia="仿宋" w:cs="仿宋"/>
                <w:color w:val="auto"/>
                <w:sz w:val="24"/>
                <w:szCs w:val="24"/>
              </w:rPr>
            </w:pPr>
            <w:r>
              <w:rPr>
                <w:rFonts w:hint="eastAsia" w:ascii="仿宋" w:hAnsi="仿宋" w:eastAsia="仿宋" w:cs="仿宋"/>
                <w:color w:val="auto"/>
                <w:sz w:val="24"/>
                <w:szCs w:val="24"/>
              </w:rPr>
              <w:t>名称</w:t>
            </w:r>
          </w:p>
        </w:tc>
        <w:tc>
          <w:tcPr>
            <w:tcW w:w="1557" w:type="dxa"/>
            <w:vAlign w:val="center"/>
          </w:tcPr>
          <w:p w14:paraId="6660D4FA">
            <w:pPr>
              <w:pStyle w:val="25"/>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招标文件参数规格要求</w:t>
            </w:r>
          </w:p>
        </w:tc>
        <w:tc>
          <w:tcPr>
            <w:tcW w:w="1557" w:type="dxa"/>
            <w:vAlign w:val="center"/>
          </w:tcPr>
          <w:p w14:paraId="3A5CB6F2">
            <w:pPr>
              <w:pStyle w:val="25"/>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投标人响应详细内容</w:t>
            </w:r>
          </w:p>
        </w:tc>
        <w:tc>
          <w:tcPr>
            <w:tcW w:w="1558" w:type="dxa"/>
            <w:vAlign w:val="center"/>
          </w:tcPr>
          <w:p w14:paraId="55C18ABB">
            <w:pPr>
              <w:pStyle w:val="25"/>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无/</w:t>
            </w:r>
            <w:r>
              <w:rPr>
                <w:rFonts w:hint="eastAsia" w:ascii="仿宋" w:hAnsi="仿宋" w:eastAsia="仿宋" w:cs="仿宋"/>
                <w:color w:val="auto"/>
                <w:sz w:val="24"/>
                <w:szCs w:val="24"/>
              </w:rPr>
              <w:t>正/</w:t>
            </w:r>
          </w:p>
          <w:p w14:paraId="7B07C31B">
            <w:pPr>
              <w:pStyle w:val="25"/>
              <w:jc w:val="center"/>
              <w:rPr>
                <w:rFonts w:hint="eastAsia" w:ascii="仿宋" w:hAnsi="仿宋" w:eastAsia="仿宋" w:cs="仿宋"/>
                <w:color w:val="auto"/>
                <w:sz w:val="24"/>
                <w:szCs w:val="24"/>
              </w:rPr>
            </w:pPr>
            <w:r>
              <w:rPr>
                <w:rFonts w:hint="eastAsia" w:ascii="仿宋" w:hAnsi="仿宋" w:eastAsia="仿宋" w:cs="仿宋"/>
                <w:color w:val="auto"/>
                <w:sz w:val="24"/>
                <w:szCs w:val="24"/>
              </w:rPr>
              <w:t>负偏离</w:t>
            </w:r>
          </w:p>
        </w:tc>
        <w:tc>
          <w:tcPr>
            <w:tcW w:w="1558" w:type="dxa"/>
            <w:vAlign w:val="center"/>
          </w:tcPr>
          <w:p w14:paraId="5BD693A7">
            <w:pPr>
              <w:pStyle w:val="25"/>
              <w:jc w:val="center"/>
              <w:rPr>
                <w:rFonts w:hint="eastAsia" w:ascii="仿宋" w:hAnsi="仿宋" w:eastAsia="仿宋" w:cs="仿宋"/>
                <w:color w:val="auto"/>
                <w:sz w:val="24"/>
                <w:szCs w:val="24"/>
              </w:rPr>
            </w:pPr>
            <w:r>
              <w:rPr>
                <w:rFonts w:hint="eastAsia" w:ascii="仿宋" w:hAnsi="仿宋" w:eastAsia="仿宋" w:cs="仿宋"/>
                <w:color w:val="auto"/>
                <w:sz w:val="24"/>
                <w:szCs w:val="24"/>
              </w:rPr>
              <w:t>偏离说明</w:t>
            </w:r>
          </w:p>
        </w:tc>
      </w:tr>
      <w:tr w14:paraId="32336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7740EDDD">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297" w:type="dxa"/>
          </w:tcPr>
          <w:p w14:paraId="4BE96687">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71C656AC">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089A9CE4">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5DD4DCAB">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6CF7778E">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57D25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71B07F32">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2297" w:type="dxa"/>
          </w:tcPr>
          <w:p w14:paraId="616C3848">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68EF63A8">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67281794">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26749979">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4137DEE2">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004E6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39E4F955">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2297" w:type="dxa"/>
          </w:tcPr>
          <w:p w14:paraId="41784D6C">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1449C129">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387FD9CF">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4802D912">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638D45D4">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146A4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0512A7D2">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2297" w:type="dxa"/>
          </w:tcPr>
          <w:p w14:paraId="6ACD91A6">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42B9D947">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1798D06E">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681E0C30">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41F6F3BC">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0F68B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679548C1">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2297" w:type="dxa"/>
          </w:tcPr>
          <w:p w14:paraId="5C561BFB">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429354F2">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387871C3">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266D4F1E">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3B6B2DE7">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2460C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FD282AE">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2297" w:type="dxa"/>
          </w:tcPr>
          <w:p w14:paraId="273E9D7B">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6ADEF57C">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56232DB9">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16C9BAC8">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381855AC">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5C931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160174A9">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2297" w:type="dxa"/>
          </w:tcPr>
          <w:p w14:paraId="6EC93809">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442066F2">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3BF0E896">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724F5FA7">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3FC5610C">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6292B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2C506467">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2297" w:type="dxa"/>
          </w:tcPr>
          <w:p w14:paraId="1B608A3B">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0897110A">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02FB53C4">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21284708">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7E87394F">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3EB7C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0CB83D49">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2297" w:type="dxa"/>
          </w:tcPr>
          <w:p w14:paraId="25BFEDBD">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0A0D23D7">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70301349">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3D1A138D">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33001D9B">
            <w:pPr>
              <w:widowControl w:val="0"/>
              <w:autoSpaceDE w:val="0"/>
              <w:autoSpaceDN w:val="0"/>
              <w:spacing w:line="360" w:lineRule="auto"/>
              <w:ind w:firstLine="480" w:firstLineChars="200"/>
              <w:rPr>
                <w:rFonts w:hint="eastAsia" w:ascii="仿宋" w:hAnsi="仿宋" w:eastAsia="仿宋" w:cs="仿宋"/>
                <w:color w:val="auto"/>
                <w:sz w:val="24"/>
                <w:szCs w:val="24"/>
              </w:rPr>
            </w:pPr>
          </w:p>
        </w:tc>
      </w:tr>
      <w:tr w14:paraId="737E5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10F07FA8">
            <w:pPr>
              <w:widowControl w:val="0"/>
              <w:autoSpaceDE w:val="0"/>
              <w:autoSpaceDN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10</w:t>
            </w:r>
          </w:p>
        </w:tc>
        <w:tc>
          <w:tcPr>
            <w:tcW w:w="2297" w:type="dxa"/>
          </w:tcPr>
          <w:p w14:paraId="73A5F1BB">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2CC501B8">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7" w:type="dxa"/>
          </w:tcPr>
          <w:p w14:paraId="1C0E9D66">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58D51625">
            <w:pPr>
              <w:widowControl w:val="0"/>
              <w:autoSpaceDE w:val="0"/>
              <w:autoSpaceDN w:val="0"/>
              <w:spacing w:line="360" w:lineRule="auto"/>
              <w:ind w:firstLine="480" w:firstLineChars="200"/>
              <w:rPr>
                <w:rFonts w:hint="eastAsia" w:ascii="仿宋" w:hAnsi="仿宋" w:eastAsia="仿宋" w:cs="仿宋"/>
                <w:color w:val="auto"/>
                <w:sz w:val="24"/>
                <w:szCs w:val="24"/>
              </w:rPr>
            </w:pPr>
          </w:p>
        </w:tc>
        <w:tc>
          <w:tcPr>
            <w:tcW w:w="1558" w:type="dxa"/>
          </w:tcPr>
          <w:p w14:paraId="6DE6B766">
            <w:pPr>
              <w:widowControl w:val="0"/>
              <w:autoSpaceDE w:val="0"/>
              <w:autoSpaceDN w:val="0"/>
              <w:spacing w:line="360" w:lineRule="auto"/>
              <w:ind w:firstLine="480" w:firstLineChars="200"/>
              <w:rPr>
                <w:rFonts w:hint="eastAsia" w:ascii="仿宋" w:hAnsi="仿宋" w:eastAsia="仿宋" w:cs="仿宋"/>
                <w:color w:val="auto"/>
                <w:sz w:val="24"/>
                <w:szCs w:val="24"/>
              </w:rPr>
            </w:pPr>
          </w:p>
        </w:tc>
      </w:tr>
    </w:tbl>
    <w:p w14:paraId="0F7C9BA6">
      <w:pPr>
        <w:spacing w:line="360" w:lineRule="auto"/>
        <w:jc w:val="both"/>
        <w:outlineLvl w:val="0"/>
        <w:rPr>
          <w:rFonts w:hint="eastAsia" w:ascii="仿宋" w:hAnsi="仿宋" w:eastAsia="仿宋" w:cs="仿宋"/>
          <w:b/>
          <w:color w:val="auto"/>
          <w:kern w:val="0"/>
          <w:sz w:val="36"/>
          <w:szCs w:val="36"/>
          <w:highlight w:val="none"/>
          <w:lang w:val="en-US" w:eastAsia="zh-CN"/>
        </w:rPr>
      </w:pPr>
      <w:r>
        <w:rPr>
          <w:rFonts w:hint="eastAsia" w:ascii="仿宋" w:hAnsi="仿宋" w:eastAsia="仿宋" w:cs="仿宋"/>
          <w:b/>
          <w:bCs/>
          <w:color w:val="auto"/>
          <w:sz w:val="24"/>
          <w:szCs w:val="24"/>
        </w:rPr>
        <w:t>注：投标人递交的技术规格书中与招标文件的技术规格书中的要求有不同时，应逐条列在技术偏离表中并作出“</w:t>
      </w:r>
      <w:r>
        <w:rPr>
          <w:rFonts w:hint="eastAsia" w:ascii="仿宋" w:hAnsi="仿宋" w:eastAsia="仿宋" w:cs="仿宋"/>
          <w:b/>
          <w:bCs/>
          <w:color w:val="auto"/>
          <w:sz w:val="24"/>
          <w:szCs w:val="24"/>
          <w:lang w:val="en-US" w:eastAsia="zh-CN"/>
        </w:rPr>
        <w:t>无偏离/</w:t>
      </w:r>
      <w:r>
        <w:rPr>
          <w:rFonts w:hint="eastAsia" w:ascii="仿宋" w:hAnsi="仿宋" w:eastAsia="仿宋" w:cs="仿宋"/>
          <w:b/>
          <w:bCs/>
          <w:color w:val="auto"/>
          <w:sz w:val="24"/>
          <w:szCs w:val="24"/>
        </w:rPr>
        <w:t>正偏离/负偏离”，同时在说明栏目中具体说明及填写页码，否则将认为投标人接受招标文件的要求。</w:t>
      </w:r>
    </w:p>
    <w:p w14:paraId="48B1C9FE">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7C0B530A">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322687E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D7BABAC">
      <w:pPr>
        <w:spacing w:line="360" w:lineRule="auto"/>
        <w:jc w:val="center"/>
        <w:outlineLvl w:val="0"/>
        <w:rPr>
          <w:rFonts w:hint="eastAsia" w:ascii="仿宋" w:hAnsi="仿宋" w:eastAsia="仿宋" w:cs="仿宋"/>
          <w:b/>
          <w:color w:val="auto"/>
          <w:kern w:val="0"/>
          <w:sz w:val="36"/>
          <w:szCs w:val="36"/>
          <w:highlight w:val="none"/>
        </w:rPr>
      </w:pPr>
    </w:p>
    <w:p w14:paraId="1959BE82">
      <w:pPr>
        <w:pStyle w:val="26"/>
        <w:numPr>
          <w:ilvl w:val="0"/>
          <w:numId w:val="0"/>
        </w:numPr>
        <w:rPr>
          <w:rFonts w:hint="eastAsia" w:ascii="仿宋" w:hAnsi="仿宋" w:eastAsia="仿宋" w:cs="仿宋"/>
          <w:color w:val="auto"/>
          <w:highlight w:val="none"/>
        </w:rPr>
      </w:pPr>
      <w:r>
        <w:rPr>
          <w:rFonts w:hint="eastAsia" w:ascii="仿宋" w:hAnsi="仿宋" w:eastAsia="仿宋" w:cs="仿宋"/>
          <w:color w:val="auto"/>
          <w:sz w:val="24"/>
          <w:highlight w:val="none"/>
        </w:rPr>
        <w:t>开标一览表（报价表）………………………………………………………（页码）</w:t>
      </w:r>
    </w:p>
    <w:p w14:paraId="127A5664">
      <w:pPr>
        <w:snapToGrid w:val="0"/>
        <w:spacing w:line="360" w:lineRule="auto"/>
        <w:ind w:right="480"/>
        <w:jc w:val="center"/>
        <w:rPr>
          <w:rFonts w:hint="eastAsia" w:ascii="仿宋" w:hAnsi="仿宋" w:eastAsia="仿宋" w:cs="仿宋"/>
          <w:b/>
          <w:color w:val="auto"/>
          <w:kern w:val="0"/>
          <w:sz w:val="32"/>
          <w:szCs w:val="32"/>
          <w:highlight w:val="none"/>
        </w:rPr>
      </w:pPr>
    </w:p>
    <w:p w14:paraId="42D0BE7A">
      <w:pPr>
        <w:snapToGrid w:val="0"/>
        <w:spacing w:line="360" w:lineRule="auto"/>
        <w:ind w:right="480"/>
        <w:jc w:val="center"/>
        <w:rPr>
          <w:rFonts w:hint="eastAsia" w:ascii="仿宋" w:hAnsi="仿宋" w:eastAsia="仿宋" w:cs="仿宋"/>
          <w:b/>
          <w:color w:val="auto"/>
          <w:kern w:val="0"/>
          <w:sz w:val="32"/>
          <w:szCs w:val="32"/>
          <w:highlight w:val="none"/>
        </w:rPr>
      </w:pPr>
    </w:p>
    <w:p w14:paraId="7BD779DD">
      <w:pPr>
        <w:snapToGrid w:val="0"/>
        <w:spacing w:line="360" w:lineRule="auto"/>
        <w:ind w:right="480"/>
        <w:jc w:val="center"/>
        <w:rPr>
          <w:rFonts w:hint="eastAsia" w:ascii="仿宋" w:hAnsi="仿宋" w:eastAsia="仿宋" w:cs="仿宋"/>
          <w:b/>
          <w:color w:val="auto"/>
          <w:kern w:val="0"/>
          <w:sz w:val="32"/>
          <w:szCs w:val="32"/>
          <w:highlight w:val="none"/>
        </w:rPr>
      </w:pPr>
    </w:p>
    <w:p w14:paraId="58B277BF">
      <w:pPr>
        <w:snapToGrid w:val="0"/>
        <w:spacing w:line="360" w:lineRule="auto"/>
        <w:ind w:right="480"/>
        <w:jc w:val="center"/>
        <w:rPr>
          <w:rFonts w:hint="eastAsia" w:ascii="仿宋" w:hAnsi="仿宋" w:eastAsia="仿宋" w:cs="仿宋"/>
          <w:b/>
          <w:color w:val="auto"/>
          <w:kern w:val="0"/>
          <w:sz w:val="32"/>
          <w:szCs w:val="32"/>
          <w:highlight w:val="none"/>
        </w:rPr>
      </w:pPr>
    </w:p>
    <w:p w14:paraId="39DBDA22">
      <w:pPr>
        <w:snapToGrid w:val="0"/>
        <w:spacing w:line="360" w:lineRule="auto"/>
        <w:ind w:right="480"/>
        <w:jc w:val="center"/>
        <w:rPr>
          <w:rFonts w:hint="eastAsia" w:ascii="仿宋" w:hAnsi="仿宋" w:eastAsia="仿宋" w:cs="仿宋"/>
          <w:b/>
          <w:color w:val="auto"/>
          <w:kern w:val="0"/>
          <w:sz w:val="32"/>
          <w:szCs w:val="32"/>
          <w:highlight w:val="none"/>
        </w:rPr>
      </w:pPr>
    </w:p>
    <w:p w14:paraId="73681878">
      <w:pPr>
        <w:snapToGrid w:val="0"/>
        <w:spacing w:line="360" w:lineRule="auto"/>
        <w:ind w:right="480"/>
        <w:jc w:val="center"/>
        <w:rPr>
          <w:rFonts w:hint="eastAsia" w:ascii="仿宋" w:hAnsi="仿宋" w:eastAsia="仿宋" w:cs="仿宋"/>
          <w:b/>
          <w:color w:val="auto"/>
          <w:kern w:val="0"/>
          <w:sz w:val="32"/>
          <w:szCs w:val="32"/>
          <w:highlight w:val="none"/>
        </w:rPr>
      </w:pPr>
    </w:p>
    <w:p w14:paraId="76679B23">
      <w:pPr>
        <w:snapToGrid w:val="0"/>
        <w:spacing w:line="360" w:lineRule="auto"/>
        <w:ind w:right="480"/>
        <w:jc w:val="center"/>
        <w:rPr>
          <w:rFonts w:hint="eastAsia" w:ascii="仿宋" w:hAnsi="仿宋" w:eastAsia="仿宋" w:cs="仿宋"/>
          <w:b/>
          <w:color w:val="auto"/>
          <w:kern w:val="0"/>
          <w:sz w:val="32"/>
          <w:szCs w:val="32"/>
          <w:highlight w:val="none"/>
        </w:rPr>
      </w:pPr>
    </w:p>
    <w:p w14:paraId="17F6CD94">
      <w:pPr>
        <w:snapToGrid w:val="0"/>
        <w:spacing w:line="360" w:lineRule="auto"/>
        <w:ind w:right="480"/>
        <w:jc w:val="center"/>
        <w:rPr>
          <w:rFonts w:hint="eastAsia" w:ascii="仿宋" w:hAnsi="仿宋" w:eastAsia="仿宋" w:cs="仿宋"/>
          <w:b/>
          <w:color w:val="auto"/>
          <w:kern w:val="0"/>
          <w:sz w:val="32"/>
          <w:szCs w:val="32"/>
          <w:highlight w:val="none"/>
        </w:rPr>
      </w:pPr>
    </w:p>
    <w:p w14:paraId="280AA3B4">
      <w:pPr>
        <w:snapToGrid w:val="0"/>
        <w:spacing w:line="360" w:lineRule="auto"/>
        <w:ind w:right="480"/>
        <w:jc w:val="center"/>
        <w:rPr>
          <w:rFonts w:hint="eastAsia" w:ascii="仿宋" w:hAnsi="仿宋" w:eastAsia="仿宋" w:cs="仿宋"/>
          <w:b/>
          <w:color w:val="auto"/>
          <w:kern w:val="0"/>
          <w:sz w:val="32"/>
          <w:szCs w:val="32"/>
          <w:highlight w:val="none"/>
        </w:rPr>
      </w:pPr>
    </w:p>
    <w:p w14:paraId="177AADBA">
      <w:pPr>
        <w:snapToGrid w:val="0"/>
        <w:spacing w:line="360" w:lineRule="auto"/>
        <w:ind w:right="480"/>
        <w:jc w:val="center"/>
        <w:rPr>
          <w:rFonts w:hint="eastAsia" w:ascii="仿宋" w:hAnsi="仿宋" w:eastAsia="仿宋" w:cs="仿宋"/>
          <w:b/>
          <w:color w:val="auto"/>
          <w:kern w:val="0"/>
          <w:sz w:val="32"/>
          <w:szCs w:val="32"/>
          <w:highlight w:val="none"/>
        </w:rPr>
      </w:pPr>
    </w:p>
    <w:p w14:paraId="22257685">
      <w:pPr>
        <w:snapToGrid w:val="0"/>
        <w:spacing w:line="360" w:lineRule="auto"/>
        <w:ind w:right="480"/>
        <w:jc w:val="center"/>
        <w:rPr>
          <w:rFonts w:hint="eastAsia" w:ascii="仿宋" w:hAnsi="仿宋" w:eastAsia="仿宋" w:cs="仿宋"/>
          <w:b/>
          <w:color w:val="auto"/>
          <w:kern w:val="0"/>
          <w:sz w:val="32"/>
          <w:szCs w:val="32"/>
          <w:highlight w:val="none"/>
        </w:rPr>
      </w:pPr>
    </w:p>
    <w:p w14:paraId="2FDCF09A">
      <w:pPr>
        <w:snapToGrid w:val="0"/>
        <w:spacing w:line="360" w:lineRule="auto"/>
        <w:ind w:right="480"/>
        <w:jc w:val="center"/>
        <w:rPr>
          <w:rFonts w:hint="eastAsia" w:ascii="仿宋" w:hAnsi="仿宋" w:eastAsia="仿宋" w:cs="仿宋"/>
          <w:b/>
          <w:color w:val="auto"/>
          <w:kern w:val="0"/>
          <w:sz w:val="32"/>
          <w:szCs w:val="32"/>
          <w:highlight w:val="none"/>
        </w:rPr>
      </w:pPr>
    </w:p>
    <w:p w14:paraId="08D87042">
      <w:pPr>
        <w:snapToGrid w:val="0"/>
        <w:spacing w:line="360" w:lineRule="auto"/>
        <w:ind w:right="480"/>
        <w:jc w:val="center"/>
        <w:rPr>
          <w:rFonts w:hint="eastAsia" w:ascii="仿宋" w:hAnsi="仿宋" w:eastAsia="仿宋" w:cs="仿宋"/>
          <w:b/>
          <w:color w:val="auto"/>
          <w:kern w:val="0"/>
          <w:sz w:val="32"/>
          <w:szCs w:val="32"/>
          <w:highlight w:val="none"/>
        </w:rPr>
      </w:pPr>
    </w:p>
    <w:p w14:paraId="5DECE457">
      <w:pPr>
        <w:snapToGrid w:val="0"/>
        <w:spacing w:line="360" w:lineRule="auto"/>
        <w:ind w:right="480"/>
        <w:jc w:val="both"/>
        <w:rPr>
          <w:rFonts w:hint="eastAsia" w:ascii="仿宋" w:hAnsi="仿宋" w:eastAsia="仿宋" w:cs="仿宋"/>
          <w:b/>
          <w:color w:val="auto"/>
          <w:kern w:val="0"/>
          <w:sz w:val="32"/>
          <w:szCs w:val="32"/>
          <w:highlight w:val="none"/>
        </w:rPr>
      </w:pPr>
    </w:p>
    <w:p w14:paraId="07BDD3F9">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footerReference r:id="rId8" w:type="first"/>
          <w:footerReference r:id="rId7" w:type="default"/>
          <w:pgSz w:w="11906" w:h="16838"/>
          <w:pgMar w:top="1276" w:right="1474" w:bottom="1247" w:left="1474" w:header="851" w:footer="992" w:gutter="0"/>
          <w:pgBorders>
            <w:top w:val="none" w:sz="0" w:space="0"/>
            <w:left w:val="none" w:sz="0" w:space="0"/>
            <w:bottom w:val="none" w:sz="0" w:space="0"/>
            <w:right w:val="none" w:sz="0" w:space="0"/>
          </w:pgBorders>
          <w:pgNumType w:fmt="decimal" w:start="1"/>
          <w:cols w:space="720" w:num="1"/>
          <w:docGrid w:linePitch="312" w:charSpace="0"/>
        </w:sectPr>
      </w:pPr>
    </w:p>
    <w:p w14:paraId="33E7C902">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7859CAB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kern w:val="0"/>
          <w:sz w:val="24"/>
          <w:highlight w:val="none"/>
          <w:lang w:val="zh-CN"/>
        </w:rPr>
        <w:t>：</w:t>
      </w:r>
    </w:p>
    <w:p w14:paraId="794459B9">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sz w:val="24"/>
          <w:highlight w:val="none"/>
          <w:u w:val="single"/>
          <w:lang w:eastAsia="zh-CN"/>
        </w:rPr>
        <w:t>（项目名称）</w:t>
      </w:r>
      <w:r>
        <w:rPr>
          <w:rFonts w:hint="eastAsia"/>
          <w:color w:val="auto"/>
          <w:highlight w:val="none"/>
          <w:u w:val="single"/>
          <w:lang w:val="en-US" w:eastAsia="zh-CN"/>
        </w:rPr>
        <w:t xml:space="preserve">        </w:t>
      </w:r>
      <w:r>
        <w:rPr>
          <w:rFonts w:hint="eastAsia" w:ascii="仿宋" w:hAnsi="仿宋" w:eastAsia="仿宋" w:cs="仿宋"/>
          <w:color w:val="auto"/>
          <w:kern w:val="0"/>
          <w:sz w:val="24"/>
          <w:highlight w:val="none"/>
          <w:lang w:val="zh-CN"/>
        </w:rPr>
        <w:t>【项目编号：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6CD49297">
      <w:pPr>
        <w:spacing w:line="360" w:lineRule="auto"/>
        <w:jc w:val="righ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pPr w:leftFromText="180" w:rightFromText="180" w:vertAnchor="text" w:horzAnchor="page" w:tblpX="1551" w:tblpY="18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6"/>
        <w:gridCol w:w="1843"/>
        <w:gridCol w:w="2892"/>
        <w:gridCol w:w="1833"/>
        <w:gridCol w:w="1165"/>
        <w:gridCol w:w="1546"/>
        <w:gridCol w:w="1549"/>
        <w:gridCol w:w="1692"/>
      </w:tblGrid>
      <w:tr w14:paraId="56FEB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1546" w:type="dxa"/>
            <w:vAlign w:val="center"/>
          </w:tcPr>
          <w:p w14:paraId="63AE1D8C">
            <w:pPr>
              <w:jc w:val="center"/>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序号</w:t>
            </w:r>
          </w:p>
        </w:tc>
        <w:tc>
          <w:tcPr>
            <w:tcW w:w="1843" w:type="dxa"/>
            <w:vAlign w:val="center"/>
          </w:tcPr>
          <w:p w14:paraId="184EDC17">
            <w:pPr>
              <w:jc w:val="center"/>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名称</w:t>
            </w:r>
          </w:p>
        </w:tc>
        <w:tc>
          <w:tcPr>
            <w:tcW w:w="2892" w:type="dxa"/>
            <w:vAlign w:val="center"/>
          </w:tcPr>
          <w:p w14:paraId="7E7F5A76">
            <w:pPr>
              <w:jc w:val="center"/>
              <w:rPr>
                <w:rFonts w:hint="default" w:ascii="仿宋" w:hAnsi="仿宋" w:eastAsia="仿宋" w:cs="仿宋"/>
                <w:color w:val="auto"/>
                <w:highlight w:val="none"/>
                <w:vertAlign w:val="baseline"/>
                <w:lang w:val="en-US" w:eastAsia="zh-CN"/>
              </w:rPr>
            </w:pPr>
            <w:r>
              <w:rPr>
                <w:rFonts w:hint="eastAsia" w:ascii="仿宋" w:hAnsi="仿宋" w:eastAsia="仿宋" w:cs="仿宋"/>
                <w:color w:val="auto"/>
                <w:szCs w:val="21"/>
                <w:highlight w:val="none"/>
                <w:lang w:val="en-US" w:eastAsia="zh-CN"/>
              </w:rPr>
              <w:t>规格及参数</w:t>
            </w:r>
          </w:p>
        </w:tc>
        <w:tc>
          <w:tcPr>
            <w:tcW w:w="1833" w:type="dxa"/>
            <w:vAlign w:val="center"/>
          </w:tcPr>
          <w:p w14:paraId="59C4EE9D">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品牌</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rPr>
              <w:t>型号</w:t>
            </w:r>
          </w:p>
        </w:tc>
        <w:tc>
          <w:tcPr>
            <w:tcW w:w="1165" w:type="dxa"/>
            <w:vAlign w:val="center"/>
          </w:tcPr>
          <w:p w14:paraId="639B90FA">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数量</w:t>
            </w:r>
          </w:p>
        </w:tc>
        <w:tc>
          <w:tcPr>
            <w:tcW w:w="1546" w:type="dxa"/>
            <w:vAlign w:val="center"/>
          </w:tcPr>
          <w:p w14:paraId="3CB41D42">
            <w:pPr>
              <w:jc w:val="center"/>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单价</w:t>
            </w:r>
          </w:p>
        </w:tc>
        <w:tc>
          <w:tcPr>
            <w:tcW w:w="1549" w:type="dxa"/>
            <w:vAlign w:val="center"/>
          </w:tcPr>
          <w:p w14:paraId="62D47595">
            <w:pPr>
              <w:jc w:val="center"/>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合价（元）</w:t>
            </w:r>
          </w:p>
        </w:tc>
        <w:tc>
          <w:tcPr>
            <w:tcW w:w="1692" w:type="dxa"/>
            <w:vAlign w:val="center"/>
          </w:tcPr>
          <w:p w14:paraId="17FF97D9">
            <w:pPr>
              <w:jc w:val="center"/>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备注</w:t>
            </w:r>
          </w:p>
        </w:tc>
      </w:tr>
      <w:tr w14:paraId="4AF8D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46" w:type="dxa"/>
            <w:vAlign w:val="center"/>
          </w:tcPr>
          <w:p w14:paraId="68BAE1A2">
            <w:pPr>
              <w:jc w:val="center"/>
              <w:rPr>
                <w:rFonts w:hint="default" w:ascii="仿宋" w:hAnsi="仿宋" w:eastAsia="仿宋" w:cs="仿宋"/>
                <w:color w:val="auto"/>
                <w:highlight w:val="none"/>
                <w:vertAlign w:val="baseline"/>
                <w:lang w:val="en-US" w:eastAsia="zh-CN"/>
              </w:rPr>
            </w:pPr>
          </w:p>
        </w:tc>
        <w:tc>
          <w:tcPr>
            <w:tcW w:w="1843" w:type="dxa"/>
            <w:vAlign w:val="center"/>
          </w:tcPr>
          <w:p w14:paraId="4F14D638">
            <w:pPr>
              <w:jc w:val="center"/>
              <w:rPr>
                <w:rFonts w:hint="default" w:ascii="仿宋" w:hAnsi="仿宋" w:eastAsia="仿宋" w:cs="仿宋"/>
                <w:color w:val="auto"/>
                <w:highlight w:val="none"/>
                <w:vertAlign w:val="baseline"/>
                <w:lang w:val="en-US" w:eastAsia="zh-CN"/>
              </w:rPr>
            </w:pPr>
          </w:p>
        </w:tc>
        <w:tc>
          <w:tcPr>
            <w:tcW w:w="2892" w:type="dxa"/>
            <w:vAlign w:val="center"/>
          </w:tcPr>
          <w:p w14:paraId="69081970">
            <w:pPr>
              <w:jc w:val="center"/>
              <w:rPr>
                <w:rFonts w:hint="eastAsia" w:ascii="仿宋" w:hAnsi="仿宋" w:eastAsia="仿宋" w:cs="仿宋"/>
                <w:color w:val="auto"/>
                <w:highlight w:val="none"/>
                <w:vertAlign w:val="baseline"/>
                <w:lang w:val="en-US" w:eastAsia="zh-CN"/>
              </w:rPr>
            </w:pPr>
          </w:p>
        </w:tc>
        <w:tc>
          <w:tcPr>
            <w:tcW w:w="1833" w:type="dxa"/>
            <w:vAlign w:val="center"/>
          </w:tcPr>
          <w:p w14:paraId="7846D69D">
            <w:pPr>
              <w:jc w:val="center"/>
              <w:rPr>
                <w:rFonts w:hint="eastAsia" w:ascii="仿宋" w:hAnsi="仿宋" w:eastAsia="仿宋" w:cs="仿宋"/>
                <w:color w:val="auto"/>
                <w:highlight w:val="none"/>
                <w:vertAlign w:val="baseline"/>
                <w:lang w:val="en-US" w:eastAsia="zh-CN"/>
              </w:rPr>
            </w:pPr>
          </w:p>
        </w:tc>
        <w:tc>
          <w:tcPr>
            <w:tcW w:w="1165" w:type="dxa"/>
            <w:vAlign w:val="center"/>
          </w:tcPr>
          <w:p w14:paraId="48094A97">
            <w:pPr>
              <w:jc w:val="center"/>
              <w:rPr>
                <w:rFonts w:hint="eastAsia" w:ascii="仿宋" w:hAnsi="仿宋" w:eastAsia="仿宋" w:cs="仿宋"/>
                <w:color w:val="auto"/>
                <w:highlight w:val="none"/>
                <w:vertAlign w:val="baseline"/>
                <w:lang w:val="en-US" w:eastAsia="zh-CN"/>
              </w:rPr>
            </w:pPr>
          </w:p>
        </w:tc>
        <w:tc>
          <w:tcPr>
            <w:tcW w:w="1546" w:type="dxa"/>
            <w:vAlign w:val="center"/>
          </w:tcPr>
          <w:p w14:paraId="4D987B8E">
            <w:pPr>
              <w:jc w:val="center"/>
              <w:rPr>
                <w:rFonts w:hint="eastAsia" w:ascii="仿宋" w:hAnsi="仿宋" w:eastAsia="仿宋" w:cs="仿宋"/>
                <w:color w:val="auto"/>
                <w:highlight w:val="none"/>
                <w:vertAlign w:val="baseline"/>
                <w:lang w:val="en-US" w:eastAsia="zh-CN"/>
              </w:rPr>
            </w:pPr>
          </w:p>
        </w:tc>
        <w:tc>
          <w:tcPr>
            <w:tcW w:w="1549" w:type="dxa"/>
            <w:vAlign w:val="center"/>
          </w:tcPr>
          <w:p w14:paraId="0BF2FA23">
            <w:pPr>
              <w:jc w:val="center"/>
              <w:rPr>
                <w:rFonts w:hint="eastAsia" w:ascii="仿宋" w:hAnsi="仿宋" w:eastAsia="仿宋" w:cs="仿宋"/>
                <w:color w:val="auto"/>
                <w:highlight w:val="none"/>
                <w:vertAlign w:val="baseline"/>
                <w:lang w:val="en-US" w:eastAsia="zh-CN"/>
              </w:rPr>
            </w:pPr>
          </w:p>
        </w:tc>
        <w:tc>
          <w:tcPr>
            <w:tcW w:w="1692" w:type="dxa"/>
            <w:vAlign w:val="center"/>
          </w:tcPr>
          <w:p w14:paraId="7DAB99CB">
            <w:pPr>
              <w:jc w:val="center"/>
              <w:rPr>
                <w:rFonts w:hint="eastAsia" w:ascii="仿宋" w:hAnsi="仿宋" w:eastAsia="仿宋" w:cs="仿宋"/>
                <w:color w:val="auto"/>
                <w:highlight w:val="none"/>
                <w:vertAlign w:val="baseline"/>
                <w:lang w:val="en-US" w:eastAsia="zh-CN"/>
              </w:rPr>
            </w:pPr>
          </w:p>
        </w:tc>
      </w:tr>
      <w:tr w14:paraId="6D6EA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tcPr>
          <w:p w14:paraId="17C18B83">
            <w:pPr>
              <w:jc w:val="center"/>
              <w:rPr>
                <w:rFonts w:hint="eastAsia" w:ascii="仿宋" w:hAnsi="仿宋" w:eastAsia="仿宋" w:cs="仿宋"/>
                <w:color w:val="auto"/>
                <w:highlight w:val="none"/>
                <w:vertAlign w:val="baseline"/>
                <w:lang w:val="en-US" w:eastAsia="zh-CN"/>
              </w:rPr>
            </w:pPr>
          </w:p>
        </w:tc>
        <w:tc>
          <w:tcPr>
            <w:tcW w:w="1843" w:type="dxa"/>
          </w:tcPr>
          <w:p w14:paraId="3D65F431">
            <w:pPr>
              <w:jc w:val="center"/>
              <w:rPr>
                <w:rFonts w:hint="eastAsia" w:ascii="仿宋" w:hAnsi="仿宋" w:eastAsia="仿宋" w:cs="仿宋"/>
                <w:color w:val="auto"/>
                <w:highlight w:val="none"/>
                <w:vertAlign w:val="baseline"/>
                <w:lang w:val="en-US" w:eastAsia="zh-CN"/>
              </w:rPr>
            </w:pPr>
          </w:p>
        </w:tc>
        <w:tc>
          <w:tcPr>
            <w:tcW w:w="2892" w:type="dxa"/>
          </w:tcPr>
          <w:p w14:paraId="3E78A1AC">
            <w:pPr>
              <w:jc w:val="center"/>
              <w:rPr>
                <w:rFonts w:hint="eastAsia" w:ascii="仿宋" w:hAnsi="仿宋" w:eastAsia="仿宋" w:cs="仿宋"/>
                <w:color w:val="auto"/>
                <w:highlight w:val="none"/>
                <w:vertAlign w:val="baseline"/>
              </w:rPr>
            </w:pPr>
          </w:p>
        </w:tc>
        <w:tc>
          <w:tcPr>
            <w:tcW w:w="1833" w:type="dxa"/>
          </w:tcPr>
          <w:p w14:paraId="70A4AA20">
            <w:pPr>
              <w:jc w:val="center"/>
              <w:rPr>
                <w:rFonts w:hint="eastAsia" w:ascii="仿宋" w:hAnsi="仿宋" w:eastAsia="仿宋" w:cs="仿宋"/>
                <w:color w:val="auto"/>
                <w:highlight w:val="none"/>
                <w:vertAlign w:val="baseline"/>
              </w:rPr>
            </w:pPr>
          </w:p>
        </w:tc>
        <w:tc>
          <w:tcPr>
            <w:tcW w:w="1165" w:type="dxa"/>
          </w:tcPr>
          <w:p w14:paraId="060D6721">
            <w:pPr>
              <w:jc w:val="center"/>
              <w:rPr>
                <w:rFonts w:hint="eastAsia" w:ascii="仿宋" w:hAnsi="仿宋" w:eastAsia="仿宋" w:cs="仿宋"/>
                <w:color w:val="auto"/>
                <w:highlight w:val="none"/>
                <w:vertAlign w:val="baseline"/>
                <w:lang w:val="en-US" w:eastAsia="zh-CN"/>
              </w:rPr>
            </w:pPr>
          </w:p>
        </w:tc>
        <w:tc>
          <w:tcPr>
            <w:tcW w:w="1546" w:type="dxa"/>
          </w:tcPr>
          <w:p w14:paraId="07D16071">
            <w:pPr>
              <w:jc w:val="center"/>
              <w:rPr>
                <w:rFonts w:hint="eastAsia" w:ascii="仿宋" w:hAnsi="仿宋" w:eastAsia="仿宋" w:cs="仿宋"/>
                <w:color w:val="auto"/>
                <w:highlight w:val="none"/>
                <w:vertAlign w:val="baseline"/>
              </w:rPr>
            </w:pPr>
          </w:p>
        </w:tc>
        <w:tc>
          <w:tcPr>
            <w:tcW w:w="1549" w:type="dxa"/>
          </w:tcPr>
          <w:p w14:paraId="5ED5D3BE">
            <w:pPr>
              <w:jc w:val="center"/>
              <w:rPr>
                <w:rFonts w:hint="eastAsia" w:ascii="仿宋" w:hAnsi="仿宋" w:eastAsia="仿宋" w:cs="仿宋"/>
                <w:color w:val="auto"/>
                <w:highlight w:val="none"/>
                <w:vertAlign w:val="baseline"/>
              </w:rPr>
            </w:pPr>
          </w:p>
        </w:tc>
        <w:tc>
          <w:tcPr>
            <w:tcW w:w="1692" w:type="dxa"/>
          </w:tcPr>
          <w:p w14:paraId="1E97364F">
            <w:pPr>
              <w:jc w:val="center"/>
              <w:rPr>
                <w:rFonts w:hint="eastAsia" w:ascii="仿宋" w:hAnsi="仿宋" w:eastAsia="仿宋" w:cs="仿宋"/>
                <w:color w:val="auto"/>
                <w:highlight w:val="none"/>
                <w:vertAlign w:val="baseline"/>
              </w:rPr>
            </w:pPr>
          </w:p>
        </w:tc>
      </w:tr>
      <w:tr w14:paraId="0628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tcPr>
          <w:p w14:paraId="73323FF7">
            <w:pPr>
              <w:jc w:val="center"/>
              <w:rPr>
                <w:rFonts w:hint="eastAsia" w:ascii="仿宋" w:hAnsi="仿宋" w:eastAsia="仿宋" w:cs="仿宋"/>
                <w:color w:val="auto"/>
                <w:highlight w:val="none"/>
                <w:vertAlign w:val="baseline"/>
                <w:lang w:val="en-US" w:eastAsia="zh-CN"/>
              </w:rPr>
            </w:pPr>
          </w:p>
        </w:tc>
        <w:tc>
          <w:tcPr>
            <w:tcW w:w="1843" w:type="dxa"/>
          </w:tcPr>
          <w:p w14:paraId="3A8BAC72">
            <w:pPr>
              <w:jc w:val="center"/>
              <w:rPr>
                <w:rFonts w:hint="eastAsia" w:ascii="仿宋" w:hAnsi="仿宋" w:eastAsia="仿宋" w:cs="仿宋"/>
                <w:color w:val="auto"/>
                <w:highlight w:val="none"/>
                <w:vertAlign w:val="baseline"/>
                <w:lang w:val="en-US" w:eastAsia="zh-CN"/>
              </w:rPr>
            </w:pPr>
          </w:p>
        </w:tc>
        <w:tc>
          <w:tcPr>
            <w:tcW w:w="2892" w:type="dxa"/>
          </w:tcPr>
          <w:p w14:paraId="40C0F43F">
            <w:pPr>
              <w:jc w:val="center"/>
              <w:rPr>
                <w:rFonts w:hint="eastAsia" w:ascii="仿宋" w:hAnsi="仿宋" w:eastAsia="仿宋" w:cs="仿宋"/>
                <w:color w:val="auto"/>
                <w:highlight w:val="none"/>
                <w:vertAlign w:val="baseline"/>
              </w:rPr>
            </w:pPr>
          </w:p>
        </w:tc>
        <w:tc>
          <w:tcPr>
            <w:tcW w:w="1833" w:type="dxa"/>
          </w:tcPr>
          <w:p w14:paraId="42DF8702">
            <w:pPr>
              <w:jc w:val="center"/>
              <w:rPr>
                <w:rFonts w:hint="eastAsia" w:ascii="仿宋" w:hAnsi="仿宋" w:eastAsia="仿宋" w:cs="仿宋"/>
                <w:color w:val="auto"/>
                <w:highlight w:val="none"/>
                <w:vertAlign w:val="baseline"/>
              </w:rPr>
            </w:pPr>
          </w:p>
        </w:tc>
        <w:tc>
          <w:tcPr>
            <w:tcW w:w="1165" w:type="dxa"/>
          </w:tcPr>
          <w:p w14:paraId="499A2148">
            <w:pPr>
              <w:jc w:val="center"/>
              <w:rPr>
                <w:rFonts w:hint="eastAsia" w:ascii="仿宋" w:hAnsi="仿宋" w:eastAsia="仿宋" w:cs="仿宋"/>
                <w:color w:val="auto"/>
                <w:highlight w:val="none"/>
                <w:vertAlign w:val="baseline"/>
              </w:rPr>
            </w:pPr>
          </w:p>
        </w:tc>
        <w:tc>
          <w:tcPr>
            <w:tcW w:w="1546" w:type="dxa"/>
          </w:tcPr>
          <w:p w14:paraId="037CD6EB">
            <w:pPr>
              <w:jc w:val="center"/>
              <w:rPr>
                <w:rFonts w:hint="eastAsia" w:ascii="仿宋" w:hAnsi="仿宋" w:eastAsia="仿宋" w:cs="仿宋"/>
                <w:color w:val="auto"/>
                <w:highlight w:val="none"/>
                <w:vertAlign w:val="baseline"/>
              </w:rPr>
            </w:pPr>
          </w:p>
        </w:tc>
        <w:tc>
          <w:tcPr>
            <w:tcW w:w="1549" w:type="dxa"/>
          </w:tcPr>
          <w:p w14:paraId="2BB39C97">
            <w:pPr>
              <w:jc w:val="center"/>
              <w:rPr>
                <w:rFonts w:hint="eastAsia" w:ascii="仿宋" w:hAnsi="仿宋" w:eastAsia="仿宋" w:cs="仿宋"/>
                <w:color w:val="auto"/>
                <w:highlight w:val="none"/>
                <w:vertAlign w:val="baseline"/>
              </w:rPr>
            </w:pPr>
          </w:p>
        </w:tc>
        <w:tc>
          <w:tcPr>
            <w:tcW w:w="1692" w:type="dxa"/>
          </w:tcPr>
          <w:p w14:paraId="4007D4D4">
            <w:pPr>
              <w:jc w:val="center"/>
              <w:rPr>
                <w:rFonts w:hint="eastAsia" w:ascii="仿宋" w:hAnsi="仿宋" w:eastAsia="仿宋" w:cs="仿宋"/>
                <w:color w:val="auto"/>
                <w:highlight w:val="none"/>
                <w:vertAlign w:val="baseline"/>
              </w:rPr>
            </w:pPr>
          </w:p>
        </w:tc>
      </w:tr>
      <w:tr w14:paraId="0E90A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tcPr>
          <w:p w14:paraId="00C81F21">
            <w:pPr>
              <w:jc w:val="center"/>
              <w:rPr>
                <w:rFonts w:hint="eastAsia" w:ascii="仿宋" w:hAnsi="仿宋" w:eastAsia="仿宋" w:cs="仿宋"/>
                <w:color w:val="auto"/>
                <w:highlight w:val="none"/>
                <w:vertAlign w:val="baseline"/>
                <w:lang w:val="en-US" w:eastAsia="zh-CN"/>
              </w:rPr>
            </w:pPr>
          </w:p>
        </w:tc>
        <w:tc>
          <w:tcPr>
            <w:tcW w:w="1843" w:type="dxa"/>
          </w:tcPr>
          <w:p w14:paraId="7A4AE65B">
            <w:pPr>
              <w:jc w:val="center"/>
              <w:rPr>
                <w:rFonts w:hint="eastAsia" w:ascii="仿宋" w:hAnsi="仿宋" w:eastAsia="仿宋" w:cs="仿宋"/>
                <w:color w:val="auto"/>
                <w:highlight w:val="none"/>
                <w:vertAlign w:val="baseline"/>
              </w:rPr>
            </w:pPr>
          </w:p>
        </w:tc>
        <w:tc>
          <w:tcPr>
            <w:tcW w:w="2892" w:type="dxa"/>
          </w:tcPr>
          <w:p w14:paraId="70FEE747">
            <w:pPr>
              <w:jc w:val="center"/>
              <w:rPr>
                <w:rFonts w:hint="eastAsia" w:ascii="仿宋" w:hAnsi="仿宋" w:eastAsia="仿宋" w:cs="仿宋"/>
                <w:color w:val="auto"/>
                <w:highlight w:val="none"/>
                <w:vertAlign w:val="baseline"/>
              </w:rPr>
            </w:pPr>
          </w:p>
        </w:tc>
        <w:tc>
          <w:tcPr>
            <w:tcW w:w="1833" w:type="dxa"/>
          </w:tcPr>
          <w:p w14:paraId="50AB0672">
            <w:pPr>
              <w:jc w:val="center"/>
              <w:rPr>
                <w:rFonts w:hint="eastAsia" w:ascii="仿宋" w:hAnsi="仿宋" w:eastAsia="仿宋" w:cs="仿宋"/>
                <w:color w:val="auto"/>
                <w:highlight w:val="none"/>
                <w:vertAlign w:val="baseline"/>
              </w:rPr>
            </w:pPr>
          </w:p>
        </w:tc>
        <w:tc>
          <w:tcPr>
            <w:tcW w:w="1165" w:type="dxa"/>
          </w:tcPr>
          <w:p w14:paraId="3C1FF302">
            <w:pPr>
              <w:jc w:val="center"/>
              <w:rPr>
                <w:rFonts w:hint="eastAsia" w:ascii="仿宋" w:hAnsi="仿宋" w:eastAsia="仿宋" w:cs="仿宋"/>
                <w:color w:val="auto"/>
                <w:highlight w:val="none"/>
                <w:vertAlign w:val="baseline"/>
              </w:rPr>
            </w:pPr>
          </w:p>
        </w:tc>
        <w:tc>
          <w:tcPr>
            <w:tcW w:w="1546" w:type="dxa"/>
          </w:tcPr>
          <w:p w14:paraId="0F5C6085">
            <w:pPr>
              <w:jc w:val="center"/>
              <w:rPr>
                <w:rFonts w:hint="eastAsia" w:ascii="仿宋" w:hAnsi="仿宋" w:eastAsia="仿宋" w:cs="仿宋"/>
                <w:color w:val="auto"/>
                <w:highlight w:val="none"/>
                <w:vertAlign w:val="baseline"/>
              </w:rPr>
            </w:pPr>
          </w:p>
        </w:tc>
        <w:tc>
          <w:tcPr>
            <w:tcW w:w="1549" w:type="dxa"/>
          </w:tcPr>
          <w:p w14:paraId="3D5F1F94">
            <w:pPr>
              <w:jc w:val="center"/>
              <w:rPr>
                <w:rFonts w:hint="eastAsia" w:ascii="仿宋" w:hAnsi="仿宋" w:eastAsia="仿宋" w:cs="仿宋"/>
                <w:color w:val="auto"/>
                <w:highlight w:val="none"/>
                <w:vertAlign w:val="baseline"/>
              </w:rPr>
            </w:pPr>
          </w:p>
        </w:tc>
        <w:tc>
          <w:tcPr>
            <w:tcW w:w="1692" w:type="dxa"/>
          </w:tcPr>
          <w:p w14:paraId="46584361">
            <w:pPr>
              <w:jc w:val="center"/>
              <w:rPr>
                <w:rFonts w:hint="eastAsia" w:ascii="仿宋" w:hAnsi="仿宋" w:eastAsia="仿宋" w:cs="仿宋"/>
                <w:color w:val="auto"/>
                <w:highlight w:val="none"/>
                <w:vertAlign w:val="baseline"/>
              </w:rPr>
            </w:pPr>
          </w:p>
        </w:tc>
      </w:tr>
      <w:tr w14:paraId="59B0B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tcPr>
          <w:p w14:paraId="2DFABA1A">
            <w:pPr>
              <w:jc w:val="center"/>
              <w:rPr>
                <w:rFonts w:hint="eastAsia" w:ascii="仿宋" w:hAnsi="仿宋" w:eastAsia="仿宋" w:cs="仿宋"/>
                <w:color w:val="auto"/>
                <w:highlight w:val="none"/>
                <w:vertAlign w:val="baseline"/>
                <w:lang w:val="en-US" w:eastAsia="zh-CN"/>
              </w:rPr>
            </w:pPr>
          </w:p>
        </w:tc>
        <w:tc>
          <w:tcPr>
            <w:tcW w:w="1843" w:type="dxa"/>
          </w:tcPr>
          <w:p w14:paraId="1D5B4E65">
            <w:pPr>
              <w:jc w:val="center"/>
              <w:rPr>
                <w:rFonts w:hint="eastAsia" w:ascii="仿宋" w:hAnsi="仿宋" w:eastAsia="仿宋" w:cs="仿宋"/>
                <w:color w:val="auto"/>
                <w:highlight w:val="none"/>
                <w:vertAlign w:val="baseline"/>
              </w:rPr>
            </w:pPr>
          </w:p>
        </w:tc>
        <w:tc>
          <w:tcPr>
            <w:tcW w:w="2892" w:type="dxa"/>
          </w:tcPr>
          <w:p w14:paraId="1A8C6F64">
            <w:pPr>
              <w:jc w:val="center"/>
              <w:rPr>
                <w:rFonts w:hint="eastAsia" w:ascii="仿宋" w:hAnsi="仿宋" w:eastAsia="仿宋" w:cs="仿宋"/>
                <w:color w:val="auto"/>
                <w:highlight w:val="none"/>
                <w:vertAlign w:val="baseline"/>
              </w:rPr>
            </w:pPr>
          </w:p>
        </w:tc>
        <w:tc>
          <w:tcPr>
            <w:tcW w:w="1833" w:type="dxa"/>
          </w:tcPr>
          <w:p w14:paraId="25E29229">
            <w:pPr>
              <w:jc w:val="center"/>
              <w:rPr>
                <w:rFonts w:hint="eastAsia" w:ascii="仿宋" w:hAnsi="仿宋" w:eastAsia="仿宋" w:cs="仿宋"/>
                <w:color w:val="auto"/>
                <w:highlight w:val="none"/>
                <w:vertAlign w:val="baseline"/>
              </w:rPr>
            </w:pPr>
          </w:p>
        </w:tc>
        <w:tc>
          <w:tcPr>
            <w:tcW w:w="1165" w:type="dxa"/>
          </w:tcPr>
          <w:p w14:paraId="5BBD7BAC">
            <w:pPr>
              <w:jc w:val="center"/>
              <w:rPr>
                <w:rFonts w:hint="eastAsia" w:ascii="仿宋" w:hAnsi="仿宋" w:eastAsia="仿宋" w:cs="仿宋"/>
                <w:color w:val="auto"/>
                <w:highlight w:val="none"/>
                <w:vertAlign w:val="baseline"/>
              </w:rPr>
            </w:pPr>
          </w:p>
        </w:tc>
        <w:tc>
          <w:tcPr>
            <w:tcW w:w="1546" w:type="dxa"/>
          </w:tcPr>
          <w:p w14:paraId="4B0274F9">
            <w:pPr>
              <w:jc w:val="center"/>
              <w:rPr>
                <w:rFonts w:hint="eastAsia" w:ascii="仿宋" w:hAnsi="仿宋" w:eastAsia="仿宋" w:cs="仿宋"/>
                <w:color w:val="auto"/>
                <w:highlight w:val="none"/>
                <w:vertAlign w:val="baseline"/>
              </w:rPr>
            </w:pPr>
          </w:p>
        </w:tc>
        <w:tc>
          <w:tcPr>
            <w:tcW w:w="1549" w:type="dxa"/>
          </w:tcPr>
          <w:p w14:paraId="6A7C4EDC">
            <w:pPr>
              <w:jc w:val="center"/>
              <w:rPr>
                <w:rFonts w:hint="eastAsia" w:ascii="仿宋" w:hAnsi="仿宋" w:eastAsia="仿宋" w:cs="仿宋"/>
                <w:color w:val="auto"/>
                <w:highlight w:val="none"/>
                <w:vertAlign w:val="baseline"/>
              </w:rPr>
            </w:pPr>
          </w:p>
        </w:tc>
        <w:tc>
          <w:tcPr>
            <w:tcW w:w="1692" w:type="dxa"/>
          </w:tcPr>
          <w:p w14:paraId="63BFE4CA">
            <w:pPr>
              <w:jc w:val="center"/>
              <w:rPr>
                <w:rFonts w:hint="eastAsia" w:ascii="仿宋" w:hAnsi="仿宋" w:eastAsia="仿宋" w:cs="仿宋"/>
                <w:color w:val="auto"/>
                <w:highlight w:val="none"/>
                <w:vertAlign w:val="baseline"/>
              </w:rPr>
            </w:pPr>
          </w:p>
        </w:tc>
      </w:tr>
      <w:tr w14:paraId="19268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1546" w:type="dxa"/>
          </w:tcPr>
          <w:p w14:paraId="58CEDC99">
            <w:pPr>
              <w:jc w:val="center"/>
              <w:rPr>
                <w:rFonts w:hint="eastAsia" w:ascii="仿宋" w:hAnsi="仿宋" w:eastAsia="仿宋" w:cs="仿宋"/>
                <w:color w:val="auto"/>
                <w:highlight w:val="none"/>
                <w:vertAlign w:val="baseline"/>
                <w:lang w:val="en-US" w:eastAsia="zh-CN"/>
              </w:rPr>
            </w:pPr>
          </w:p>
        </w:tc>
        <w:tc>
          <w:tcPr>
            <w:tcW w:w="1843" w:type="dxa"/>
          </w:tcPr>
          <w:p w14:paraId="28385ECD">
            <w:pPr>
              <w:jc w:val="center"/>
              <w:rPr>
                <w:rFonts w:hint="eastAsia" w:ascii="仿宋" w:hAnsi="仿宋" w:eastAsia="仿宋" w:cs="仿宋"/>
                <w:color w:val="auto"/>
                <w:highlight w:val="none"/>
                <w:vertAlign w:val="baseline"/>
              </w:rPr>
            </w:pPr>
          </w:p>
        </w:tc>
        <w:tc>
          <w:tcPr>
            <w:tcW w:w="2892" w:type="dxa"/>
          </w:tcPr>
          <w:p w14:paraId="45C6AD2F">
            <w:pPr>
              <w:jc w:val="center"/>
              <w:rPr>
                <w:rFonts w:hint="eastAsia" w:ascii="仿宋" w:hAnsi="仿宋" w:eastAsia="仿宋" w:cs="仿宋"/>
                <w:color w:val="auto"/>
                <w:highlight w:val="none"/>
                <w:vertAlign w:val="baseline"/>
              </w:rPr>
            </w:pPr>
          </w:p>
        </w:tc>
        <w:tc>
          <w:tcPr>
            <w:tcW w:w="1833" w:type="dxa"/>
          </w:tcPr>
          <w:p w14:paraId="7E3C1A15">
            <w:pPr>
              <w:jc w:val="center"/>
              <w:rPr>
                <w:rFonts w:hint="eastAsia" w:ascii="仿宋" w:hAnsi="仿宋" w:eastAsia="仿宋" w:cs="仿宋"/>
                <w:color w:val="auto"/>
                <w:highlight w:val="none"/>
                <w:vertAlign w:val="baseline"/>
              </w:rPr>
            </w:pPr>
          </w:p>
        </w:tc>
        <w:tc>
          <w:tcPr>
            <w:tcW w:w="1165" w:type="dxa"/>
          </w:tcPr>
          <w:p w14:paraId="571BA8AA">
            <w:pPr>
              <w:jc w:val="center"/>
              <w:rPr>
                <w:rFonts w:hint="eastAsia" w:ascii="仿宋" w:hAnsi="仿宋" w:eastAsia="仿宋" w:cs="仿宋"/>
                <w:color w:val="auto"/>
                <w:highlight w:val="none"/>
                <w:vertAlign w:val="baseline"/>
              </w:rPr>
            </w:pPr>
          </w:p>
        </w:tc>
        <w:tc>
          <w:tcPr>
            <w:tcW w:w="1546" w:type="dxa"/>
          </w:tcPr>
          <w:p w14:paraId="4A2E71D2">
            <w:pPr>
              <w:jc w:val="center"/>
              <w:rPr>
                <w:rFonts w:hint="eastAsia" w:ascii="仿宋" w:hAnsi="仿宋" w:eastAsia="仿宋" w:cs="仿宋"/>
                <w:color w:val="auto"/>
                <w:highlight w:val="none"/>
                <w:vertAlign w:val="baseline"/>
              </w:rPr>
            </w:pPr>
          </w:p>
        </w:tc>
        <w:tc>
          <w:tcPr>
            <w:tcW w:w="1549" w:type="dxa"/>
          </w:tcPr>
          <w:p w14:paraId="52D93AF5">
            <w:pPr>
              <w:jc w:val="center"/>
              <w:rPr>
                <w:rFonts w:hint="eastAsia" w:ascii="仿宋" w:hAnsi="仿宋" w:eastAsia="仿宋" w:cs="仿宋"/>
                <w:color w:val="auto"/>
                <w:highlight w:val="none"/>
                <w:vertAlign w:val="baseline"/>
              </w:rPr>
            </w:pPr>
          </w:p>
        </w:tc>
        <w:tc>
          <w:tcPr>
            <w:tcW w:w="1692" w:type="dxa"/>
          </w:tcPr>
          <w:p w14:paraId="78987207">
            <w:pPr>
              <w:jc w:val="center"/>
              <w:rPr>
                <w:rFonts w:hint="eastAsia" w:ascii="仿宋" w:hAnsi="仿宋" w:eastAsia="仿宋" w:cs="仿宋"/>
                <w:color w:val="auto"/>
                <w:highlight w:val="none"/>
                <w:vertAlign w:val="baseline"/>
              </w:rPr>
            </w:pPr>
          </w:p>
        </w:tc>
      </w:tr>
      <w:tr w14:paraId="2F70B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tcPr>
          <w:p w14:paraId="21CA6E46">
            <w:pPr>
              <w:jc w:val="center"/>
              <w:rPr>
                <w:rFonts w:hint="default" w:ascii="仿宋" w:hAnsi="仿宋" w:eastAsia="仿宋" w:cs="仿宋"/>
                <w:color w:val="auto"/>
                <w:highlight w:val="none"/>
                <w:vertAlign w:val="baseline"/>
                <w:lang w:val="en-US" w:eastAsia="zh-CN"/>
              </w:rPr>
            </w:pPr>
          </w:p>
        </w:tc>
        <w:tc>
          <w:tcPr>
            <w:tcW w:w="1843" w:type="dxa"/>
            <w:shd w:val="clear" w:color="auto" w:fill="auto"/>
            <w:vAlign w:val="top"/>
          </w:tcPr>
          <w:p w14:paraId="2D7C7F06">
            <w:pPr>
              <w:jc w:val="center"/>
              <w:rPr>
                <w:rFonts w:hint="default" w:ascii="仿宋" w:hAnsi="仿宋" w:eastAsia="仿宋" w:cs="仿宋"/>
                <w:color w:val="auto"/>
                <w:kern w:val="2"/>
                <w:sz w:val="21"/>
                <w:szCs w:val="24"/>
                <w:highlight w:val="none"/>
                <w:vertAlign w:val="baseline"/>
                <w:lang w:val="en-US" w:eastAsia="zh-CN" w:bidi="ar-SA"/>
              </w:rPr>
            </w:pPr>
          </w:p>
        </w:tc>
        <w:tc>
          <w:tcPr>
            <w:tcW w:w="2892" w:type="dxa"/>
            <w:shd w:val="clear" w:color="auto" w:fill="auto"/>
            <w:vAlign w:val="top"/>
          </w:tcPr>
          <w:p w14:paraId="0724B1BB">
            <w:pPr>
              <w:jc w:val="center"/>
              <w:rPr>
                <w:rFonts w:hint="eastAsia" w:ascii="仿宋" w:hAnsi="仿宋" w:eastAsia="仿宋" w:cs="仿宋"/>
                <w:color w:val="auto"/>
                <w:kern w:val="2"/>
                <w:sz w:val="21"/>
                <w:szCs w:val="24"/>
                <w:highlight w:val="none"/>
                <w:vertAlign w:val="baseline"/>
                <w:lang w:val="en-US" w:eastAsia="zh-CN" w:bidi="ar-SA"/>
              </w:rPr>
            </w:pPr>
          </w:p>
        </w:tc>
        <w:tc>
          <w:tcPr>
            <w:tcW w:w="1833" w:type="dxa"/>
            <w:shd w:val="clear" w:color="auto" w:fill="auto"/>
            <w:vAlign w:val="top"/>
          </w:tcPr>
          <w:p w14:paraId="3E3EEF3F">
            <w:pPr>
              <w:jc w:val="center"/>
              <w:rPr>
                <w:rFonts w:hint="eastAsia" w:ascii="仿宋" w:hAnsi="仿宋" w:eastAsia="仿宋" w:cs="仿宋"/>
                <w:color w:val="auto"/>
                <w:kern w:val="2"/>
                <w:sz w:val="21"/>
                <w:szCs w:val="24"/>
                <w:highlight w:val="none"/>
                <w:vertAlign w:val="baseline"/>
                <w:lang w:val="en-US" w:eastAsia="zh-CN" w:bidi="ar-SA"/>
              </w:rPr>
            </w:pPr>
          </w:p>
        </w:tc>
        <w:tc>
          <w:tcPr>
            <w:tcW w:w="1165" w:type="dxa"/>
          </w:tcPr>
          <w:p w14:paraId="7E785D13">
            <w:pPr>
              <w:jc w:val="center"/>
              <w:rPr>
                <w:rFonts w:hint="eastAsia" w:ascii="仿宋" w:hAnsi="仿宋" w:eastAsia="仿宋" w:cs="仿宋"/>
                <w:color w:val="auto"/>
                <w:highlight w:val="none"/>
                <w:vertAlign w:val="baseline"/>
              </w:rPr>
            </w:pPr>
          </w:p>
        </w:tc>
        <w:tc>
          <w:tcPr>
            <w:tcW w:w="1546" w:type="dxa"/>
          </w:tcPr>
          <w:p w14:paraId="0278500A">
            <w:pPr>
              <w:jc w:val="center"/>
              <w:rPr>
                <w:rFonts w:hint="eastAsia" w:ascii="仿宋" w:hAnsi="仿宋" w:eastAsia="仿宋" w:cs="仿宋"/>
                <w:color w:val="auto"/>
                <w:highlight w:val="none"/>
                <w:vertAlign w:val="baseline"/>
              </w:rPr>
            </w:pPr>
          </w:p>
        </w:tc>
        <w:tc>
          <w:tcPr>
            <w:tcW w:w="1549" w:type="dxa"/>
          </w:tcPr>
          <w:p w14:paraId="7D8605D2">
            <w:pPr>
              <w:jc w:val="center"/>
              <w:rPr>
                <w:rFonts w:hint="eastAsia" w:ascii="仿宋" w:hAnsi="仿宋" w:eastAsia="仿宋" w:cs="仿宋"/>
                <w:color w:val="auto"/>
                <w:highlight w:val="none"/>
                <w:vertAlign w:val="baseline"/>
              </w:rPr>
            </w:pPr>
          </w:p>
        </w:tc>
        <w:tc>
          <w:tcPr>
            <w:tcW w:w="1692" w:type="dxa"/>
          </w:tcPr>
          <w:p w14:paraId="47B5A2DF">
            <w:pPr>
              <w:jc w:val="center"/>
              <w:rPr>
                <w:rFonts w:hint="eastAsia" w:ascii="仿宋" w:hAnsi="仿宋" w:eastAsia="仿宋" w:cs="仿宋"/>
                <w:color w:val="auto"/>
                <w:highlight w:val="none"/>
                <w:vertAlign w:val="baseline"/>
              </w:rPr>
            </w:pPr>
          </w:p>
        </w:tc>
      </w:tr>
      <w:tr w14:paraId="4A680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shd w:val="clear" w:color="auto" w:fill="auto"/>
            <w:vAlign w:val="top"/>
          </w:tcPr>
          <w:p w14:paraId="77EF02B3">
            <w:pPr>
              <w:jc w:val="center"/>
              <w:rPr>
                <w:rFonts w:hint="eastAsia" w:ascii="仿宋" w:hAnsi="仿宋" w:eastAsia="仿宋" w:cs="仿宋"/>
                <w:color w:val="auto"/>
                <w:kern w:val="2"/>
                <w:sz w:val="21"/>
                <w:szCs w:val="24"/>
                <w:highlight w:val="none"/>
                <w:vertAlign w:val="baseline"/>
                <w:lang w:val="en-US" w:eastAsia="zh-CN" w:bidi="ar-SA"/>
              </w:rPr>
            </w:pPr>
          </w:p>
        </w:tc>
        <w:tc>
          <w:tcPr>
            <w:tcW w:w="1843" w:type="dxa"/>
            <w:shd w:val="clear" w:color="auto" w:fill="auto"/>
            <w:vAlign w:val="top"/>
          </w:tcPr>
          <w:p w14:paraId="6434A30E">
            <w:pPr>
              <w:jc w:val="center"/>
              <w:rPr>
                <w:rFonts w:hint="eastAsia" w:ascii="仿宋" w:hAnsi="仿宋" w:eastAsia="仿宋" w:cs="仿宋"/>
                <w:color w:val="auto"/>
                <w:kern w:val="2"/>
                <w:sz w:val="21"/>
                <w:szCs w:val="24"/>
                <w:highlight w:val="none"/>
                <w:vertAlign w:val="baseline"/>
                <w:lang w:val="en-US" w:eastAsia="zh-CN" w:bidi="ar-SA"/>
              </w:rPr>
            </w:pPr>
          </w:p>
        </w:tc>
        <w:tc>
          <w:tcPr>
            <w:tcW w:w="2892" w:type="dxa"/>
            <w:shd w:val="clear" w:color="auto" w:fill="auto"/>
            <w:vAlign w:val="top"/>
          </w:tcPr>
          <w:p w14:paraId="06CEDE4E">
            <w:pPr>
              <w:jc w:val="center"/>
              <w:rPr>
                <w:rFonts w:hint="eastAsia" w:ascii="仿宋" w:hAnsi="仿宋" w:eastAsia="仿宋" w:cs="仿宋"/>
                <w:color w:val="auto"/>
                <w:kern w:val="2"/>
                <w:sz w:val="21"/>
                <w:szCs w:val="24"/>
                <w:highlight w:val="none"/>
                <w:vertAlign w:val="baseline"/>
                <w:lang w:val="en-US" w:eastAsia="zh-CN" w:bidi="ar-SA"/>
              </w:rPr>
            </w:pPr>
          </w:p>
        </w:tc>
        <w:tc>
          <w:tcPr>
            <w:tcW w:w="1833" w:type="dxa"/>
            <w:shd w:val="clear" w:color="auto" w:fill="auto"/>
            <w:vAlign w:val="top"/>
          </w:tcPr>
          <w:p w14:paraId="3A619415">
            <w:pPr>
              <w:jc w:val="center"/>
              <w:rPr>
                <w:rFonts w:hint="eastAsia" w:ascii="仿宋" w:hAnsi="仿宋" w:eastAsia="仿宋" w:cs="仿宋"/>
                <w:color w:val="auto"/>
                <w:kern w:val="2"/>
                <w:sz w:val="21"/>
                <w:szCs w:val="24"/>
                <w:highlight w:val="none"/>
                <w:vertAlign w:val="baseline"/>
                <w:lang w:val="en-US" w:eastAsia="zh-CN" w:bidi="ar-SA"/>
              </w:rPr>
            </w:pPr>
          </w:p>
        </w:tc>
        <w:tc>
          <w:tcPr>
            <w:tcW w:w="1165" w:type="dxa"/>
          </w:tcPr>
          <w:p w14:paraId="71E38FEA">
            <w:pPr>
              <w:jc w:val="center"/>
              <w:rPr>
                <w:rFonts w:hint="eastAsia" w:ascii="仿宋" w:hAnsi="仿宋" w:eastAsia="仿宋" w:cs="仿宋"/>
                <w:color w:val="auto"/>
                <w:highlight w:val="none"/>
                <w:vertAlign w:val="baseline"/>
              </w:rPr>
            </w:pPr>
          </w:p>
        </w:tc>
        <w:tc>
          <w:tcPr>
            <w:tcW w:w="1546" w:type="dxa"/>
          </w:tcPr>
          <w:p w14:paraId="5D99BD5D">
            <w:pPr>
              <w:jc w:val="center"/>
              <w:rPr>
                <w:rFonts w:hint="eastAsia" w:ascii="仿宋" w:hAnsi="仿宋" w:eastAsia="仿宋" w:cs="仿宋"/>
                <w:color w:val="auto"/>
                <w:highlight w:val="none"/>
                <w:vertAlign w:val="baseline"/>
              </w:rPr>
            </w:pPr>
          </w:p>
        </w:tc>
        <w:tc>
          <w:tcPr>
            <w:tcW w:w="1549" w:type="dxa"/>
          </w:tcPr>
          <w:p w14:paraId="52901C69">
            <w:pPr>
              <w:jc w:val="center"/>
              <w:rPr>
                <w:rFonts w:hint="eastAsia" w:ascii="仿宋" w:hAnsi="仿宋" w:eastAsia="仿宋" w:cs="仿宋"/>
                <w:color w:val="auto"/>
                <w:highlight w:val="none"/>
                <w:vertAlign w:val="baseline"/>
              </w:rPr>
            </w:pPr>
          </w:p>
        </w:tc>
        <w:tc>
          <w:tcPr>
            <w:tcW w:w="1692" w:type="dxa"/>
          </w:tcPr>
          <w:p w14:paraId="627B2D86">
            <w:pPr>
              <w:jc w:val="center"/>
              <w:rPr>
                <w:rFonts w:hint="eastAsia" w:ascii="仿宋" w:hAnsi="仿宋" w:eastAsia="仿宋" w:cs="仿宋"/>
                <w:color w:val="auto"/>
                <w:highlight w:val="none"/>
                <w:vertAlign w:val="baseline"/>
              </w:rPr>
            </w:pPr>
          </w:p>
        </w:tc>
      </w:tr>
      <w:tr w14:paraId="75FB1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shd w:val="clear" w:color="auto" w:fill="auto"/>
            <w:vAlign w:val="top"/>
          </w:tcPr>
          <w:p w14:paraId="6C631D20">
            <w:pPr>
              <w:jc w:val="center"/>
              <w:rPr>
                <w:rFonts w:hint="eastAsia" w:ascii="仿宋" w:hAnsi="仿宋" w:eastAsia="仿宋" w:cs="仿宋"/>
                <w:color w:val="auto"/>
                <w:kern w:val="2"/>
                <w:sz w:val="21"/>
                <w:szCs w:val="24"/>
                <w:highlight w:val="none"/>
                <w:vertAlign w:val="baseline"/>
                <w:lang w:val="en-US" w:eastAsia="zh-CN" w:bidi="ar-SA"/>
              </w:rPr>
            </w:pPr>
          </w:p>
        </w:tc>
        <w:tc>
          <w:tcPr>
            <w:tcW w:w="1843" w:type="dxa"/>
            <w:shd w:val="clear" w:color="auto" w:fill="auto"/>
            <w:vAlign w:val="top"/>
          </w:tcPr>
          <w:p w14:paraId="568DBD76">
            <w:pPr>
              <w:jc w:val="center"/>
              <w:rPr>
                <w:rFonts w:hint="eastAsia" w:ascii="仿宋" w:hAnsi="仿宋" w:eastAsia="仿宋" w:cs="仿宋"/>
                <w:color w:val="auto"/>
                <w:kern w:val="2"/>
                <w:sz w:val="21"/>
                <w:szCs w:val="24"/>
                <w:highlight w:val="none"/>
                <w:vertAlign w:val="baseline"/>
                <w:lang w:val="en-US" w:eastAsia="zh-CN" w:bidi="ar-SA"/>
              </w:rPr>
            </w:pPr>
          </w:p>
        </w:tc>
        <w:tc>
          <w:tcPr>
            <w:tcW w:w="2892" w:type="dxa"/>
            <w:shd w:val="clear" w:color="auto" w:fill="auto"/>
            <w:vAlign w:val="top"/>
          </w:tcPr>
          <w:p w14:paraId="5138154F">
            <w:pPr>
              <w:jc w:val="center"/>
              <w:rPr>
                <w:rFonts w:hint="eastAsia" w:ascii="仿宋" w:hAnsi="仿宋" w:eastAsia="仿宋" w:cs="仿宋"/>
                <w:color w:val="auto"/>
                <w:kern w:val="2"/>
                <w:sz w:val="21"/>
                <w:szCs w:val="24"/>
                <w:highlight w:val="none"/>
                <w:vertAlign w:val="baseline"/>
                <w:lang w:val="en-US" w:eastAsia="zh-CN" w:bidi="ar-SA"/>
              </w:rPr>
            </w:pPr>
          </w:p>
        </w:tc>
        <w:tc>
          <w:tcPr>
            <w:tcW w:w="1833" w:type="dxa"/>
            <w:shd w:val="clear" w:color="auto" w:fill="auto"/>
            <w:vAlign w:val="top"/>
          </w:tcPr>
          <w:p w14:paraId="307E1CE2">
            <w:pPr>
              <w:jc w:val="center"/>
              <w:rPr>
                <w:rFonts w:hint="eastAsia" w:ascii="仿宋" w:hAnsi="仿宋" w:eastAsia="仿宋" w:cs="仿宋"/>
                <w:color w:val="auto"/>
                <w:kern w:val="2"/>
                <w:sz w:val="21"/>
                <w:szCs w:val="24"/>
                <w:highlight w:val="none"/>
                <w:vertAlign w:val="baseline"/>
                <w:lang w:val="en-US" w:eastAsia="zh-CN" w:bidi="ar-SA"/>
              </w:rPr>
            </w:pPr>
          </w:p>
        </w:tc>
        <w:tc>
          <w:tcPr>
            <w:tcW w:w="1165" w:type="dxa"/>
          </w:tcPr>
          <w:p w14:paraId="60E119DB">
            <w:pPr>
              <w:jc w:val="center"/>
              <w:rPr>
                <w:rFonts w:hint="eastAsia" w:ascii="仿宋" w:hAnsi="仿宋" w:eastAsia="仿宋" w:cs="仿宋"/>
                <w:color w:val="auto"/>
                <w:highlight w:val="none"/>
                <w:vertAlign w:val="baseline"/>
              </w:rPr>
            </w:pPr>
          </w:p>
        </w:tc>
        <w:tc>
          <w:tcPr>
            <w:tcW w:w="1546" w:type="dxa"/>
          </w:tcPr>
          <w:p w14:paraId="4B9A7AE3">
            <w:pPr>
              <w:jc w:val="center"/>
              <w:rPr>
                <w:rFonts w:hint="eastAsia" w:ascii="仿宋" w:hAnsi="仿宋" w:eastAsia="仿宋" w:cs="仿宋"/>
                <w:color w:val="auto"/>
                <w:highlight w:val="none"/>
                <w:vertAlign w:val="baseline"/>
              </w:rPr>
            </w:pPr>
          </w:p>
        </w:tc>
        <w:tc>
          <w:tcPr>
            <w:tcW w:w="1549" w:type="dxa"/>
          </w:tcPr>
          <w:p w14:paraId="20DDE9C8">
            <w:pPr>
              <w:jc w:val="center"/>
              <w:rPr>
                <w:rFonts w:hint="eastAsia" w:ascii="仿宋" w:hAnsi="仿宋" w:eastAsia="仿宋" w:cs="仿宋"/>
                <w:color w:val="auto"/>
                <w:highlight w:val="none"/>
                <w:vertAlign w:val="baseline"/>
              </w:rPr>
            </w:pPr>
          </w:p>
        </w:tc>
        <w:tc>
          <w:tcPr>
            <w:tcW w:w="1692" w:type="dxa"/>
          </w:tcPr>
          <w:p w14:paraId="2AF1FD1A">
            <w:pPr>
              <w:jc w:val="center"/>
              <w:rPr>
                <w:rFonts w:hint="eastAsia" w:ascii="仿宋" w:hAnsi="仿宋" w:eastAsia="仿宋" w:cs="仿宋"/>
                <w:color w:val="auto"/>
                <w:highlight w:val="none"/>
                <w:vertAlign w:val="baseline"/>
              </w:rPr>
            </w:pPr>
          </w:p>
        </w:tc>
      </w:tr>
      <w:tr w14:paraId="26BD4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shd w:val="clear" w:color="auto" w:fill="auto"/>
            <w:vAlign w:val="top"/>
          </w:tcPr>
          <w:p w14:paraId="1F401F79">
            <w:pPr>
              <w:jc w:val="center"/>
              <w:rPr>
                <w:rFonts w:hint="eastAsia" w:ascii="仿宋" w:hAnsi="仿宋" w:eastAsia="仿宋" w:cs="仿宋"/>
                <w:color w:val="auto"/>
                <w:kern w:val="2"/>
                <w:sz w:val="21"/>
                <w:szCs w:val="24"/>
                <w:highlight w:val="none"/>
                <w:vertAlign w:val="baseline"/>
                <w:lang w:val="en-US" w:eastAsia="zh-CN" w:bidi="ar-SA"/>
              </w:rPr>
            </w:pPr>
          </w:p>
        </w:tc>
        <w:tc>
          <w:tcPr>
            <w:tcW w:w="1843" w:type="dxa"/>
            <w:shd w:val="clear" w:color="auto" w:fill="auto"/>
            <w:vAlign w:val="top"/>
          </w:tcPr>
          <w:p w14:paraId="4FF63CBE">
            <w:pPr>
              <w:jc w:val="center"/>
              <w:rPr>
                <w:rFonts w:hint="eastAsia" w:ascii="仿宋" w:hAnsi="仿宋" w:eastAsia="仿宋" w:cs="仿宋"/>
                <w:color w:val="auto"/>
                <w:kern w:val="2"/>
                <w:sz w:val="21"/>
                <w:szCs w:val="24"/>
                <w:highlight w:val="none"/>
                <w:vertAlign w:val="baseline"/>
                <w:lang w:val="en-US" w:eastAsia="zh-CN" w:bidi="ar-SA"/>
              </w:rPr>
            </w:pPr>
          </w:p>
        </w:tc>
        <w:tc>
          <w:tcPr>
            <w:tcW w:w="2892" w:type="dxa"/>
            <w:shd w:val="clear" w:color="auto" w:fill="auto"/>
            <w:vAlign w:val="top"/>
          </w:tcPr>
          <w:p w14:paraId="535BD7FD">
            <w:pPr>
              <w:jc w:val="center"/>
              <w:rPr>
                <w:rFonts w:hint="eastAsia" w:ascii="仿宋" w:hAnsi="仿宋" w:eastAsia="仿宋" w:cs="仿宋"/>
                <w:color w:val="auto"/>
                <w:kern w:val="2"/>
                <w:sz w:val="21"/>
                <w:szCs w:val="24"/>
                <w:highlight w:val="none"/>
                <w:vertAlign w:val="baseline"/>
                <w:lang w:val="en-US" w:eastAsia="zh-CN" w:bidi="ar-SA"/>
              </w:rPr>
            </w:pPr>
          </w:p>
        </w:tc>
        <w:tc>
          <w:tcPr>
            <w:tcW w:w="1833" w:type="dxa"/>
            <w:shd w:val="clear" w:color="auto" w:fill="auto"/>
            <w:vAlign w:val="top"/>
          </w:tcPr>
          <w:p w14:paraId="63888F54">
            <w:pPr>
              <w:jc w:val="center"/>
              <w:rPr>
                <w:rFonts w:hint="eastAsia" w:ascii="仿宋" w:hAnsi="仿宋" w:eastAsia="仿宋" w:cs="仿宋"/>
                <w:color w:val="auto"/>
                <w:kern w:val="2"/>
                <w:sz w:val="21"/>
                <w:szCs w:val="24"/>
                <w:highlight w:val="none"/>
                <w:vertAlign w:val="baseline"/>
                <w:lang w:val="en-US" w:eastAsia="zh-CN" w:bidi="ar-SA"/>
              </w:rPr>
            </w:pPr>
          </w:p>
        </w:tc>
        <w:tc>
          <w:tcPr>
            <w:tcW w:w="1165" w:type="dxa"/>
          </w:tcPr>
          <w:p w14:paraId="02C9E7BC">
            <w:pPr>
              <w:jc w:val="center"/>
              <w:rPr>
                <w:rFonts w:hint="eastAsia" w:ascii="仿宋" w:hAnsi="仿宋" w:eastAsia="仿宋" w:cs="仿宋"/>
                <w:color w:val="auto"/>
                <w:highlight w:val="none"/>
                <w:vertAlign w:val="baseline"/>
              </w:rPr>
            </w:pPr>
          </w:p>
        </w:tc>
        <w:tc>
          <w:tcPr>
            <w:tcW w:w="1546" w:type="dxa"/>
          </w:tcPr>
          <w:p w14:paraId="74DF697C">
            <w:pPr>
              <w:jc w:val="center"/>
              <w:rPr>
                <w:rFonts w:hint="eastAsia" w:ascii="仿宋" w:hAnsi="仿宋" w:eastAsia="仿宋" w:cs="仿宋"/>
                <w:color w:val="auto"/>
                <w:highlight w:val="none"/>
                <w:vertAlign w:val="baseline"/>
              </w:rPr>
            </w:pPr>
          </w:p>
        </w:tc>
        <w:tc>
          <w:tcPr>
            <w:tcW w:w="1549" w:type="dxa"/>
          </w:tcPr>
          <w:p w14:paraId="581B1103">
            <w:pPr>
              <w:jc w:val="center"/>
              <w:rPr>
                <w:rFonts w:hint="eastAsia" w:ascii="仿宋" w:hAnsi="仿宋" w:eastAsia="仿宋" w:cs="仿宋"/>
                <w:color w:val="auto"/>
                <w:highlight w:val="none"/>
                <w:vertAlign w:val="baseline"/>
              </w:rPr>
            </w:pPr>
          </w:p>
        </w:tc>
        <w:tc>
          <w:tcPr>
            <w:tcW w:w="1692" w:type="dxa"/>
          </w:tcPr>
          <w:p w14:paraId="2BAA56BC">
            <w:pPr>
              <w:jc w:val="center"/>
              <w:rPr>
                <w:rFonts w:hint="eastAsia" w:ascii="仿宋" w:hAnsi="仿宋" w:eastAsia="仿宋" w:cs="仿宋"/>
                <w:color w:val="auto"/>
                <w:highlight w:val="none"/>
                <w:vertAlign w:val="baseline"/>
              </w:rPr>
            </w:pPr>
          </w:p>
        </w:tc>
      </w:tr>
      <w:tr w14:paraId="6653E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1546" w:type="dxa"/>
            <w:shd w:val="clear" w:color="auto" w:fill="auto"/>
            <w:vAlign w:val="top"/>
          </w:tcPr>
          <w:p w14:paraId="5A1A0257">
            <w:pPr>
              <w:jc w:val="center"/>
              <w:rPr>
                <w:rFonts w:hint="eastAsia" w:ascii="仿宋" w:hAnsi="仿宋" w:eastAsia="仿宋" w:cs="仿宋"/>
                <w:color w:val="auto"/>
                <w:kern w:val="2"/>
                <w:sz w:val="21"/>
                <w:szCs w:val="24"/>
                <w:highlight w:val="none"/>
                <w:vertAlign w:val="baseline"/>
                <w:lang w:val="en-US" w:eastAsia="zh-CN" w:bidi="ar-SA"/>
              </w:rPr>
            </w:pPr>
          </w:p>
        </w:tc>
        <w:tc>
          <w:tcPr>
            <w:tcW w:w="1843" w:type="dxa"/>
            <w:shd w:val="clear" w:color="auto" w:fill="auto"/>
            <w:vAlign w:val="top"/>
          </w:tcPr>
          <w:p w14:paraId="5C8CD8B9">
            <w:pPr>
              <w:jc w:val="center"/>
              <w:rPr>
                <w:rFonts w:hint="eastAsia" w:ascii="仿宋" w:hAnsi="仿宋" w:eastAsia="仿宋" w:cs="仿宋"/>
                <w:color w:val="auto"/>
                <w:kern w:val="2"/>
                <w:sz w:val="21"/>
                <w:szCs w:val="24"/>
                <w:highlight w:val="none"/>
                <w:vertAlign w:val="baseline"/>
                <w:lang w:val="en-US" w:eastAsia="zh-CN" w:bidi="ar-SA"/>
              </w:rPr>
            </w:pPr>
          </w:p>
        </w:tc>
        <w:tc>
          <w:tcPr>
            <w:tcW w:w="2892" w:type="dxa"/>
            <w:shd w:val="clear" w:color="auto" w:fill="auto"/>
            <w:vAlign w:val="top"/>
          </w:tcPr>
          <w:p w14:paraId="3CEA2351">
            <w:pPr>
              <w:jc w:val="center"/>
              <w:rPr>
                <w:rFonts w:hint="eastAsia" w:ascii="仿宋" w:hAnsi="仿宋" w:eastAsia="仿宋" w:cs="仿宋"/>
                <w:color w:val="auto"/>
                <w:kern w:val="2"/>
                <w:sz w:val="21"/>
                <w:szCs w:val="24"/>
                <w:highlight w:val="none"/>
                <w:vertAlign w:val="baseline"/>
                <w:lang w:val="en-US" w:eastAsia="zh-CN" w:bidi="ar-SA"/>
              </w:rPr>
            </w:pPr>
          </w:p>
        </w:tc>
        <w:tc>
          <w:tcPr>
            <w:tcW w:w="1833" w:type="dxa"/>
            <w:shd w:val="clear" w:color="auto" w:fill="auto"/>
            <w:vAlign w:val="top"/>
          </w:tcPr>
          <w:p w14:paraId="0136286F">
            <w:pPr>
              <w:jc w:val="center"/>
              <w:rPr>
                <w:rFonts w:hint="eastAsia" w:ascii="仿宋" w:hAnsi="仿宋" w:eastAsia="仿宋" w:cs="仿宋"/>
                <w:color w:val="auto"/>
                <w:kern w:val="2"/>
                <w:sz w:val="21"/>
                <w:szCs w:val="24"/>
                <w:highlight w:val="none"/>
                <w:vertAlign w:val="baseline"/>
                <w:lang w:val="en-US" w:eastAsia="zh-CN" w:bidi="ar-SA"/>
              </w:rPr>
            </w:pPr>
          </w:p>
        </w:tc>
        <w:tc>
          <w:tcPr>
            <w:tcW w:w="1165" w:type="dxa"/>
          </w:tcPr>
          <w:p w14:paraId="5A7194DE">
            <w:pPr>
              <w:jc w:val="center"/>
              <w:rPr>
                <w:rFonts w:hint="eastAsia" w:ascii="仿宋" w:hAnsi="仿宋" w:eastAsia="仿宋" w:cs="仿宋"/>
                <w:color w:val="auto"/>
                <w:highlight w:val="none"/>
                <w:vertAlign w:val="baseline"/>
              </w:rPr>
            </w:pPr>
          </w:p>
        </w:tc>
        <w:tc>
          <w:tcPr>
            <w:tcW w:w="1546" w:type="dxa"/>
          </w:tcPr>
          <w:p w14:paraId="0164F534">
            <w:pPr>
              <w:jc w:val="center"/>
              <w:rPr>
                <w:rFonts w:hint="eastAsia" w:ascii="仿宋" w:hAnsi="仿宋" w:eastAsia="仿宋" w:cs="仿宋"/>
                <w:color w:val="auto"/>
                <w:highlight w:val="none"/>
                <w:vertAlign w:val="baseline"/>
              </w:rPr>
            </w:pPr>
          </w:p>
        </w:tc>
        <w:tc>
          <w:tcPr>
            <w:tcW w:w="1549" w:type="dxa"/>
          </w:tcPr>
          <w:p w14:paraId="1C37295D">
            <w:pPr>
              <w:jc w:val="center"/>
              <w:rPr>
                <w:rFonts w:hint="eastAsia" w:ascii="仿宋" w:hAnsi="仿宋" w:eastAsia="仿宋" w:cs="仿宋"/>
                <w:color w:val="auto"/>
                <w:highlight w:val="none"/>
                <w:vertAlign w:val="baseline"/>
              </w:rPr>
            </w:pPr>
          </w:p>
        </w:tc>
        <w:tc>
          <w:tcPr>
            <w:tcW w:w="1692" w:type="dxa"/>
          </w:tcPr>
          <w:p w14:paraId="38AEFAC8">
            <w:pPr>
              <w:jc w:val="center"/>
              <w:rPr>
                <w:rFonts w:hint="eastAsia" w:ascii="仿宋" w:hAnsi="仿宋" w:eastAsia="仿宋" w:cs="仿宋"/>
                <w:color w:val="auto"/>
                <w:highlight w:val="none"/>
                <w:vertAlign w:val="baseline"/>
              </w:rPr>
            </w:pPr>
          </w:p>
        </w:tc>
      </w:tr>
      <w:tr w14:paraId="48396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1546" w:type="dxa"/>
            <w:shd w:val="clear" w:color="auto" w:fill="auto"/>
            <w:vAlign w:val="top"/>
          </w:tcPr>
          <w:p w14:paraId="7B154406">
            <w:pPr>
              <w:jc w:val="center"/>
              <w:rPr>
                <w:rFonts w:hint="default" w:ascii="仿宋" w:hAnsi="仿宋" w:eastAsia="仿宋" w:cs="仿宋"/>
                <w:color w:val="auto"/>
                <w:kern w:val="2"/>
                <w:sz w:val="21"/>
                <w:szCs w:val="24"/>
                <w:highlight w:val="none"/>
                <w:vertAlign w:val="baseline"/>
                <w:lang w:val="en-US" w:eastAsia="zh-CN" w:bidi="ar-SA"/>
              </w:rPr>
            </w:pPr>
          </w:p>
        </w:tc>
        <w:tc>
          <w:tcPr>
            <w:tcW w:w="1843" w:type="dxa"/>
            <w:shd w:val="clear" w:color="auto" w:fill="auto"/>
            <w:vAlign w:val="top"/>
          </w:tcPr>
          <w:p w14:paraId="6AC85B14">
            <w:pPr>
              <w:jc w:val="center"/>
              <w:rPr>
                <w:rFonts w:hint="default" w:ascii="仿宋" w:hAnsi="仿宋" w:eastAsia="仿宋" w:cs="仿宋"/>
                <w:color w:val="auto"/>
                <w:kern w:val="2"/>
                <w:sz w:val="21"/>
                <w:szCs w:val="24"/>
                <w:highlight w:val="none"/>
                <w:vertAlign w:val="baseline"/>
                <w:lang w:val="en-US" w:eastAsia="zh-CN" w:bidi="ar-SA"/>
              </w:rPr>
            </w:pPr>
          </w:p>
        </w:tc>
        <w:tc>
          <w:tcPr>
            <w:tcW w:w="4725" w:type="dxa"/>
            <w:gridSpan w:val="2"/>
            <w:vAlign w:val="center"/>
          </w:tcPr>
          <w:p w14:paraId="38F39AC0">
            <w:pPr>
              <w:jc w:val="center"/>
              <w:rPr>
                <w:rFonts w:hint="default"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总价</w:t>
            </w:r>
          </w:p>
        </w:tc>
        <w:tc>
          <w:tcPr>
            <w:tcW w:w="5952" w:type="dxa"/>
            <w:gridSpan w:val="4"/>
            <w:vAlign w:val="center"/>
          </w:tcPr>
          <w:p w14:paraId="059F4A7E">
            <w:pPr>
              <w:jc w:val="both"/>
              <w:rPr>
                <w:rFonts w:hint="eastAsia"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小写：</w:t>
            </w:r>
          </w:p>
          <w:p w14:paraId="3DC4A048">
            <w:pPr>
              <w:jc w:val="both"/>
              <w:rPr>
                <w:rFonts w:hint="default" w:ascii="仿宋" w:hAnsi="仿宋" w:eastAsia="仿宋" w:cs="仿宋"/>
                <w:color w:val="auto"/>
                <w:highlight w:val="none"/>
                <w:vertAlign w:val="baseline"/>
                <w:lang w:val="en-US" w:eastAsia="zh-CN"/>
              </w:rPr>
            </w:pPr>
            <w:r>
              <w:rPr>
                <w:rFonts w:hint="eastAsia" w:ascii="仿宋" w:hAnsi="仿宋" w:eastAsia="仿宋" w:cs="仿宋"/>
                <w:color w:val="auto"/>
                <w:highlight w:val="none"/>
                <w:vertAlign w:val="baseline"/>
                <w:lang w:val="en-US" w:eastAsia="zh-CN"/>
              </w:rPr>
              <w:t>大写：</w:t>
            </w:r>
          </w:p>
        </w:tc>
      </w:tr>
    </w:tbl>
    <w:p w14:paraId="446AEEA2">
      <w:pPr>
        <w:snapToGrid w:val="0"/>
        <w:spacing w:line="360" w:lineRule="auto"/>
        <w:ind w:left="480"/>
        <w:rPr>
          <w:rFonts w:hint="eastAsia" w:ascii="仿宋" w:hAnsi="仿宋" w:eastAsia="仿宋" w:cs="仿宋"/>
          <w:b/>
          <w:color w:val="auto"/>
          <w:kern w:val="0"/>
          <w:sz w:val="24"/>
          <w:highlight w:val="none"/>
          <w:lang w:val="zh-CN"/>
        </w:rPr>
      </w:pPr>
    </w:p>
    <w:p w14:paraId="11DFF468">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37B4667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lang w:val="zh-CN"/>
        </w:rPr>
        <w:t>、有关本项目实施所涉及的一切费用均计入报价。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1AEFE28A">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lang w:val="zh-CN"/>
        </w:rPr>
        <w:t>、特别提示：采购代理机构将对项目名称和项目编号，中标供应商名称、地址和中标金额，主要中标标的名称、</w:t>
      </w:r>
      <w:r>
        <w:rPr>
          <w:rFonts w:hint="eastAsia" w:ascii="仿宋" w:hAnsi="仿宋" w:eastAsia="仿宋" w:cs="仿宋"/>
          <w:color w:val="auto"/>
          <w:kern w:val="0"/>
          <w:sz w:val="24"/>
          <w:highlight w:val="none"/>
          <w:lang w:val="en-US" w:eastAsia="zh-CN"/>
        </w:rPr>
        <w:t>采购</w:t>
      </w:r>
      <w:r>
        <w:rPr>
          <w:rFonts w:hint="eastAsia" w:ascii="仿宋" w:hAnsi="仿宋" w:eastAsia="仿宋" w:cs="仿宋"/>
          <w:color w:val="auto"/>
          <w:kern w:val="0"/>
          <w:sz w:val="24"/>
          <w:highlight w:val="none"/>
          <w:lang w:val="zh-CN"/>
        </w:rPr>
        <w:t>范围等予以公示。</w:t>
      </w:r>
    </w:p>
    <w:p w14:paraId="2097979B">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3</w:t>
      </w:r>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6F08804">
      <w:pPr>
        <w:spacing w:line="360" w:lineRule="auto"/>
        <w:ind w:firstLine="482" w:firstLineChars="200"/>
        <w:rPr>
          <w:rFonts w:hint="eastAsia" w:ascii="仿宋" w:hAnsi="仿宋" w:eastAsia="仿宋" w:cs="仿宋"/>
          <w:b/>
          <w:color w:val="auto"/>
          <w:kern w:val="0"/>
          <w:sz w:val="24"/>
          <w:highlight w:val="none"/>
        </w:rPr>
      </w:pPr>
    </w:p>
    <w:p w14:paraId="2A7F864A">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3F39A1B9">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6F2DE5E">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2FF1C97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1CA4092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1D87B3C3">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2616319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2AF756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A02D94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277E7F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49AF493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162403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DE06489">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5D220D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88DAAF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3D4BF7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77B8C70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0F9455C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7F7437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3F530C4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A468E9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36B191E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C06559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F7D550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3B06B20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66D9A25">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7A9F672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47C9118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2A8165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11051E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03C9154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5817F74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C875EF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22BF478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2B1DA90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A535D0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111BD58E">
      <w:pPr>
        <w:widowControl/>
        <w:spacing w:line="360" w:lineRule="auto"/>
        <w:ind w:firstLine="600" w:firstLineChars="200"/>
        <w:jc w:val="left"/>
        <w:rPr>
          <w:rFonts w:hint="eastAsia" w:ascii="仿宋" w:hAnsi="仿宋" w:eastAsia="仿宋" w:cs="仿宋"/>
          <w:color w:val="auto"/>
          <w:sz w:val="30"/>
          <w:szCs w:val="30"/>
          <w:highlight w:val="none"/>
        </w:rPr>
      </w:pPr>
    </w:p>
    <w:p w14:paraId="6BA885D9">
      <w:pPr>
        <w:spacing w:line="360" w:lineRule="auto"/>
        <w:jc w:val="center"/>
        <w:rPr>
          <w:rFonts w:hint="eastAsia" w:ascii="仿宋" w:hAnsi="仿宋" w:eastAsia="仿宋" w:cs="仿宋"/>
          <w:b/>
          <w:color w:val="auto"/>
          <w:spacing w:val="6"/>
          <w:sz w:val="32"/>
          <w:szCs w:val="32"/>
          <w:highlight w:val="none"/>
        </w:rPr>
      </w:pPr>
    </w:p>
    <w:p w14:paraId="477CECF1">
      <w:pPr>
        <w:spacing w:line="360" w:lineRule="auto"/>
        <w:jc w:val="center"/>
        <w:rPr>
          <w:rFonts w:hint="eastAsia" w:ascii="仿宋" w:hAnsi="仿宋" w:eastAsia="仿宋" w:cs="仿宋"/>
          <w:b/>
          <w:color w:val="auto"/>
          <w:spacing w:val="6"/>
          <w:sz w:val="32"/>
          <w:szCs w:val="32"/>
          <w:highlight w:val="none"/>
        </w:rPr>
      </w:pPr>
    </w:p>
    <w:p w14:paraId="04F8B4F9">
      <w:pPr>
        <w:spacing w:line="360" w:lineRule="auto"/>
        <w:jc w:val="center"/>
        <w:rPr>
          <w:rFonts w:hint="eastAsia" w:ascii="仿宋" w:hAnsi="仿宋" w:eastAsia="仿宋" w:cs="仿宋"/>
          <w:b/>
          <w:color w:val="auto"/>
          <w:spacing w:val="6"/>
          <w:sz w:val="32"/>
          <w:szCs w:val="32"/>
          <w:highlight w:val="none"/>
        </w:rPr>
      </w:pPr>
    </w:p>
    <w:p w14:paraId="2029214B">
      <w:pPr>
        <w:spacing w:line="360" w:lineRule="auto"/>
        <w:jc w:val="center"/>
        <w:rPr>
          <w:rFonts w:hint="eastAsia" w:ascii="仿宋" w:hAnsi="仿宋" w:eastAsia="仿宋" w:cs="仿宋"/>
          <w:b/>
          <w:color w:val="auto"/>
          <w:spacing w:val="6"/>
          <w:sz w:val="32"/>
          <w:szCs w:val="32"/>
          <w:highlight w:val="none"/>
        </w:rPr>
      </w:pPr>
    </w:p>
    <w:p w14:paraId="319FD5D7">
      <w:pPr>
        <w:spacing w:line="360" w:lineRule="auto"/>
        <w:jc w:val="center"/>
        <w:rPr>
          <w:rFonts w:hint="eastAsia" w:ascii="仿宋" w:hAnsi="仿宋" w:eastAsia="仿宋" w:cs="仿宋"/>
          <w:b/>
          <w:color w:val="auto"/>
          <w:spacing w:val="6"/>
          <w:sz w:val="32"/>
          <w:szCs w:val="32"/>
          <w:highlight w:val="none"/>
        </w:rPr>
      </w:pPr>
    </w:p>
    <w:p w14:paraId="70D45BE3">
      <w:pPr>
        <w:spacing w:line="360" w:lineRule="auto"/>
        <w:jc w:val="center"/>
        <w:rPr>
          <w:rFonts w:hint="eastAsia" w:ascii="仿宋" w:hAnsi="仿宋" w:eastAsia="仿宋" w:cs="仿宋"/>
          <w:b/>
          <w:color w:val="auto"/>
          <w:spacing w:val="6"/>
          <w:sz w:val="32"/>
          <w:szCs w:val="32"/>
          <w:highlight w:val="none"/>
        </w:rPr>
      </w:pPr>
    </w:p>
    <w:p w14:paraId="4A1021CD">
      <w:pPr>
        <w:spacing w:line="360" w:lineRule="auto"/>
        <w:jc w:val="center"/>
        <w:rPr>
          <w:rFonts w:hint="eastAsia" w:ascii="仿宋" w:hAnsi="仿宋" w:eastAsia="仿宋" w:cs="仿宋"/>
          <w:b/>
          <w:color w:val="auto"/>
          <w:spacing w:val="6"/>
          <w:sz w:val="32"/>
          <w:szCs w:val="32"/>
          <w:highlight w:val="none"/>
        </w:rPr>
      </w:pPr>
    </w:p>
    <w:p w14:paraId="4B2C155C">
      <w:pPr>
        <w:pStyle w:val="26"/>
        <w:rPr>
          <w:rFonts w:hint="eastAsia" w:ascii="仿宋" w:hAnsi="仿宋" w:eastAsia="仿宋" w:cs="仿宋"/>
          <w:b/>
          <w:color w:val="auto"/>
          <w:spacing w:val="6"/>
          <w:sz w:val="32"/>
          <w:szCs w:val="32"/>
          <w:highlight w:val="none"/>
        </w:rPr>
      </w:pPr>
    </w:p>
    <w:p w14:paraId="534DAABC">
      <w:pPr>
        <w:rPr>
          <w:rFonts w:hint="eastAsia" w:ascii="仿宋" w:hAnsi="仿宋" w:eastAsia="仿宋" w:cs="仿宋"/>
          <w:b/>
          <w:color w:val="auto"/>
          <w:spacing w:val="6"/>
          <w:sz w:val="32"/>
          <w:szCs w:val="32"/>
          <w:highlight w:val="none"/>
        </w:rPr>
      </w:pPr>
    </w:p>
    <w:p w14:paraId="1D7DB9F3">
      <w:pPr>
        <w:pStyle w:val="26"/>
        <w:rPr>
          <w:rFonts w:hint="eastAsia" w:ascii="仿宋" w:hAnsi="仿宋" w:eastAsia="仿宋" w:cs="仿宋"/>
          <w:b/>
          <w:color w:val="auto"/>
          <w:spacing w:val="6"/>
          <w:sz w:val="32"/>
          <w:szCs w:val="32"/>
          <w:highlight w:val="none"/>
        </w:rPr>
      </w:pPr>
    </w:p>
    <w:p w14:paraId="6F1C2E55">
      <w:pPr>
        <w:rPr>
          <w:rFonts w:hint="eastAsia" w:ascii="仿宋" w:hAnsi="仿宋" w:eastAsia="仿宋" w:cs="仿宋"/>
          <w:b/>
          <w:color w:val="auto"/>
          <w:spacing w:val="6"/>
          <w:sz w:val="32"/>
          <w:szCs w:val="32"/>
          <w:highlight w:val="none"/>
        </w:rPr>
      </w:pPr>
    </w:p>
    <w:p w14:paraId="5D0CAE95">
      <w:pPr>
        <w:pStyle w:val="26"/>
        <w:rPr>
          <w:rFonts w:hint="eastAsia" w:ascii="仿宋" w:hAnsi="仿宋" w:eastAsia="仿宋" w:cs="仿宋"/>
          <w:color w:val="auto"/>
          <w:highlight w:val="none"/>
        </w:rPr>
      </w:pPr>
    </w:p>
    <w:p w14:paraId="502129C8">
      <w:pPr>
        <w:spacing w:line="360" w:lineRule="auto"/>
        <w:jc w:val="left"/>
        <w:rPr>
          <w:rFonts w:hint="eastAsia" w:ascii="仿宋" w:hAnsi="仿宋" w:eastAsia="仿宋" w:cs="仿宋"/>
          <w:b/>
          <w:color w:val="auto"/>
          <w:spacing w:val="6"/>
          <w:sz w:val="32"/>
          <w:szCs w:val="32"/>
          <w:highlight w:val="none"/>
        </w:rPr>
      </w:pPr>
    </w:p>
    <w:p w14:paraId="252B354A">
      <w:pPr>
        <w:pStyle w:val="26"/>
        <w:rPr>
          <w:rFonts w:hint="eastAsia" w:ascii="仿宋" w:hAnsi="仿宋" w:eastAsia="仿宋" w:cs="仿宋"/>
          <w:b/>
          <w:color w:val="auto"/>
          <w:spacing w:val="6"/>
          <w:sz w:val="32"/>
          <w:szCs w:val="32"/>
          <w:highlight w:val="none"/>
        </w:rPr>
      </w:pPr>
    </w:p>
    <w:p w14:paraId="1B7008B0">
      <w:pPr>
        <w:rPr>
          <w:rFonts w:hint="eastAsia" w:ascii="仿宋" w:hAnsi="仿宋" w:eastAsia="仿宋" w:cs="仿宋"/>
          <w:b/>
          <w:color w:val="auto"/>
          <w:spacing w:val="6"/>
          <w:sz w:val="32"/>
          <w:szCs w:val="32"/>
          <w:highlight w:val="none"/>
        </w:rPr>
      </w:pPr>
    </w:p>
    <w:p w14:paraId="46831CA0">
      <w:pPr>
        <w:pStyle w:val="26"/>
        <w:rPr>
          <w:rFonts w:hint="eastAsia" w:ascii="仿宋" w:hAnsi="仿宋" w:eastAsia="仿宋" w:cs="仿宋"/>
          <w:b/>
          <w:color w:val="auto"/>
          <w:spacing w:val="6"/>
          <w:sz w:val="32"/>
          <w:szCs w:val="32"/>
          <w:highlight w:val="none"/>
        </w:rPr>
      </w:pPr>
    </w:p>
    <w:p w14:paraId="41E44A79">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33211994">
      <w:pPr>
        <w:spacing w:line="360" w:lineRule="auto"/>
        <w:jc w:val="center"/>
        <w:rPr>
          <w:rFonts w:hint="eastAsia" w:ascii="仿宋" w:hAnsi="仿宋" w:eastAsia="仿宋" w:cs="仿宋"/>
          <w:b/>
          <w:color w:val="auto"/>
          <w:sz w:val="24"/>
          <w:highlight w:val="none"/>
        </w:rPr>
      </w:pPr>
    </w:p>
    <w:p w14:paraId="7A6AB31C">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011B7D1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69E9106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669CA58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C0B3862">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7530A29">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6F8DAD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0AF73C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26AFB9B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1B0C44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E162AA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24F925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AA8289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F01D4E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C507AD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DE8293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CA9DD7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1AF7171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53C1EE6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4FCE9AD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F35163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440EFE6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A6806B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5C1EE10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3F27FC17">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636C2CF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40609D6">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401C488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3EC16F9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25D7066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14D3DAF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535288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838B2D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21CF3C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09915F4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EB94DF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0FF2A2B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A8EC00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704A65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B848E2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4B87443">
      <w:pPr>
        <w:spacing w:line="360" w:lineRule="auto"/>
        <w:rPr>
          <w:rFonts w:hint="eastAsia" w:ascii="仿宋" w:hAnsi="仿宋" w:eastAsia="仿宋" w:cs="仿宋"/>
          <w:b/>
          <w:color w:val="auto"/>
          <w:sz w:val="24"/>
          <w:highlight w:val="none"/>
        </w:rPr>
      </w:pPr>
    </w:p>
    <w:p w14:paraId="3C11BE94">
      <w:pPr>
        <w:spacing w:line="360" w:lineRule="auto"/>
        <w:rPr>
          <w:rFonts w:hint="eastAsia" w:ascii="仿宋" w:hAnsi="仿宋" w:eastAsia="仿宋" w:cs="仿宋"/>
          <w:b/>
          <w:color w:val="auto"/>
          <w:sz w:val="24"/>
          <w:highlight w:val="none"/>
        </w:rPr>
      </w:pPr>
    </w:p>
    <w:p w14:paraId="11F6CA18">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5730EB37">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0088F46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2AE9741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4305DEB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01CB2C8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5B9FD0D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FC2B08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4C59B0B">
      <w:pPr>
        <w:spacing w:line="360" w:lineRule="auto"/>
        <w:rPr>
          <w:rFonts w:hint="eastAsia" w:ascii="仿宋" w:hAnsi="仿宋" w:eastAsia="仿宋" w:cs="仿宋"/>
          <w:b/>
          <w:color w:val="auto"/>
          <w:sz w:val="24"/>
          <w:highlight w:val="none"/>
        </w:rPr>
      </w:pPr>
    </w:p>
    <w:p w14:paraId="3DAB70E6">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118F825">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1CDFD76A">
      <w:pPr>
        <w:spacing w:line="360" w:lineRule="auto"/>
        <w:rPr>
          <w:rFonts w:hint="eastAsia" w:ascii="仿宋" w:hAnsi="仿宋" w:eastAsia="仿宋" w:cs="仿宋"/>
          <w:color w:val="auto"/>
          <w:sz w:val="24"/>
          <w:highlight w:val="none"/>
          <w:u w:val="single"/>
        </w:rPr>
      </w:pPr>
    </w:p>
    <w:p w14:paraId="6518CB2C">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6B85A3B3">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项目编号</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0DC3308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16410E0">
      <w:pPr>
        <w:spacing w:line="360" w:lineRule="auto"/>
        <w:ind w:firstLine="494"/>
        <w:rPr>
          <w:rFonts w:hint="eastAsia" w:ascii="仿宋" w:hAnsi="仿宋" w:eastAsia="仿宋" w:cs="仿宋"/>
          <w:color w:val="auto"/>
          <w:sz w:val="24"/>
          <w:highlight w:val="none"/>
        </w:rPr>
      </w:pPr>
    </w:p>
    <w:p w14:paraId="3C17A522">
      <w:pPr>
        <w:spacing w:line="360" w:lineRule="auto"/>
        <w:ind w:firstLine="494"/>
        <w:rPr>
          <w:rFonts w:hint="eastAsia" w:ascii="仿宋" w:hAnsi="仿宋" w:eastAsia="仿宋" w:cs="仿宋"/>
          <w:color w:val="auto"/>
          <w:sz w:val="24"/>
          <w:highlight w:val="none"/>
        </w:rPr>
      </w:pPr>
    </w:p>
    <w:p w14:paraId="7FF51AAE">
      <w:pPr>
        <w:spacing w:line="360" w:lineRule="auto"/>
        <w:ind w:firstLine="494"/>
        <w:rPr>
          <w:rFonts w:hint="eastAsia" w:ascii="仿宋" w:hAnsi="仿宋" w:eastAsia="仿宋" w:cs="仿宋"/>
          <w:color w:val="auto"/>
          <w:sz w:val="24"/>
          <w:highlight w:val="none"/>
        </w:rPr>
      </w:pPr>
    </w:p>
    <w:p w14:paraId="787C087F">
      <w:pPr>
        <w:spacing w:line="360" w:lineRule="auto"/>
        <w:ind w:firstLine="494"/>
        <w:rPr>
          <w:rFonts w:hint="eastAsia" w:ascii="仿宋" w:hAnsi="仿宋" w:eastAsia="仿宋" w:cs="仿宋"/>
          <w:color w:val="auto"/>
          <w:sz w:val="24"/>
          <w:highlight w:val="none"/>
        </w:rPr>
      </w:pPr>
    </w:p>
    <w:p w14:paraId="1C2E4AB7">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26C1A83B">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FC42B2D">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475F6BB3">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51DB1B81">
      <w:pPr>
        <w:autoSpaceDE w:val="0"/>
        <w:autoSpaceDN w:val="0"/>
        <w:jc w:val="center"/>
        <w:rPr>
          <w:rFonts w:hint="eastAsia" w:ascii="仿宋" w:hAnsi="仿宋" w:eastAsia="仿宋" w:cs="仿宋"/>
          <w:b/>
          <w:color w:val="auto"/>
          <w:spacing w:val="6"/>
          <w:sz w:val="32"/>
          <w:szCs w:val="32"/>
          <w:highlight w:val="none"/>
        </w:rPr>
      </w:pPr>
    </w:p>
    <w:p w14:paraId="3CB184A7">
      <w:pPr>
        <w:autoSpaceDE w:val="0"/>
        <w:autoSpaceDN w:val="0"/>
        <w:jc w:val="center"/>
        <w:rPr>
          <w:rFonts w:hint="eastAsia" w:ascii="仿宋" w:hAnsi="仿宋" w:eastAsia="仿宋" w:cs="仿宋"/>
          <w:b/>
          <w:color w:val="auto"/>
          <w:spacing w:val="6"/>
          <w:sz w:val="32"/>
          <w:szCs w:val="32"/>
          <w:highlight w:val="none"/>
        </w:rPr>
      </w:pPr>
    </w:p>
    <w:p w14:paraId="06D3979E">
      <w:pPr>
        <w:autoSpaceDE w:val="0"/>
        <w:autoSpaceDN w:val="0"/>
        <w:jc w:val="center"/>
        <w:rPr>
          <w:rFonts w:hint="eastAsia" w:ascii="仿宋" w:hAnsi="仿宋" w:eastAsia="仿宋" w:cs="仿宋"/>
          <w:b/>
          <w:color w:val="auto"/>
          <w:spacing w:val="6"/>
          <w:sz w:val="32"/>
          <w:szCs w:val="32"/>
          <w:highlight w:val="none"/>
        </w:rPr>
      </w:pPr>
    </w:p>
    <w:p w14:paraId="3A119790">
      <w:pPr>
        <w:autoSpaceDE w:val="0"/>
        <w:autoSpaceDN w:val="0"/>
        <w:jc w:val="center"/>
        <w:rPr>
          <w:rFonts w:hint="eastAsia" w:ascii="仿宋" w:hAnsi="仿宋" w:eastAsia="仿宋" w:cs="仿宋"/>
          <w:b/>
          <w:color w:val="auto"/>
          <w:spacing w:val="6"/>
          <w:sz w:val="32"/>
          <w:szCs w:val="32"/>
          <w:highlight w:val="none"/>
        </w:rPr>
      </w:pPr>
    </w:p>
    <w:p w14:paraId="758271AC">
      <w:pPr>
        <w:autoSpaceDE w:val="0"/>
        <w:autoSpaceDN w:val="0"/>
        <w:jc w:val="center"/>
        <w:rPr>
          <w:rFonts w:hint="eastAsia" w:ascii="仿宋" w:hAnsi="仿宋" w:eastAsia="仿宋" w:cs="仿宋"/>
          <w:b/>
          <w:color w:val="auto"/>
          <w:spacing w:val="6"/>
          <w:sz w:val="32"/>
          <w:szCs w:val="32"/>
          <w:highlight w:val="none"/>
        </w:rPr>
      </w:pPr>
    </w:p>
    <w:p w14:paraId="03A1114A">
      <w:pPr>
        <w:autoSpaceDE w:val="0"/>
        <w:autoSpaceDN w:val="0"/>
        <w:jc w:val="center"/>
        <w:rPr>
          <w:rFonts w:hint="eastAsia" w:ascii="仿宋" w:hAnsi="仿宋" w:eastAsia="仿宋" w:cs="仿宋"/>
          <w:b/>
          <w:color w:val="auto"/>
          <w:spacing w:val="6"/>
          <w:sz w:val="32"/>
          <w:szCs w:val="32"/>
          <w:highlight w:val="none"/>
        </w:rPr>
      </w:pPr>
    </w:p>
    <w:p w14:paraId="441DF49C">
      <w:pPr>
        <w:autoSpaceDE w:val="0"/>
        <w:autoSpaceDN w:val="0"/>
        <w:jc w:val="center"/>
        <w:rPr>
          <w:rFonts w:hint="eastAsia" w:ascii="仿宋" w:hAnsi="仿宋" w:eastAsia="仿宋" w:cs="仿宋"/>
          <w:b/>
          <w:color w:val="auto"/>
          <w:spacing w:val="6"/>
          <w:sz w:val="32"/>
          <w:szCs w:val="32"/>
          <w:highlight w:val="none"/>
        </w:rPr>
      </w:pPr>
    </w:p>
    <w:p w14:paraId="02BBCA3A">
      <w:pPr>
        <w:pStyle w:val="26"/>
        <w:rPr>
          <w:rFonts w:hint="eastAsia" w:ascii="仿宋" w:hAnsi="仿宋" w:eastAsia="仿宋" w:cs="仿宋"/>
          <w:b/>
          <w:color w:val="auto"/>
          <w:spacing w:val="6"/>
          <w:sz w:val="32"/>
          <w:szCs w:val="32"/>
          <w:highlight w:val="none"/>
        </w:rPr>
      </w:pPr>
    </w:p>
    <w:p w14:paraId="107AC213">
      <w:pPr>
        <w:rPr>
          <w:rFonts w:hint="eastAsia" w:ascii="仿宋" w:hAnsi="仿宋" w:eastAsia="仿宋" w:cs="仿宋"/>
          <w:b/>
          <w:color w:val="auto"/>
          <w:spacing w:val="6"/>
          <w:sz w:val="32"/>
          <w:szCs w:val="32"/>
          <w:highlight w:val="none"/>
        </w:rPr>
      </w:pPr>
    </w:p>
    <w:p w14:paraId="5D0A2FAE">
      <w:pPr>
        <w:pStyle w:val="26"/>
        <w:rPr>
          <w:rFonts w:hint="eastAsia" w:ascii="仿宋" w:hAnsi="仿宋" w:eastAsia="仿宋" w:cs="仿宋"/>
          <w:b/>
          <w:color w:val="auto"/>
          <w:spacing w:val="6"/>
          <w:sz w:val="32"/>
          <w:szCs w:val="32"/>
          <w:highlight w:val="none"/>
        </w:rPr>
      </w:pPr>
    </w:p>
    <w:p w14:paraId="1CD3220F">
      <w:pPr>
        <w:rPr>
          <w:rFonts w:hint="eastAsia" w:ascii="仿宋" w:hAnsi="仿宋" w:eastAsia="仿宋" w:cs="仿宋"/>
          <w:b/>
          <w:color w:val="auto"/>
          <w:spacing w:val="6"/>
          <w:sz w:val="32"/>
          <w:szCs w:val="32"/>
          <w:highlight w:val="none"/>
        </w:rPr>
      </w:pPr>
    </w:p>
    <w:p w14:paraId="57CB95A1">
      <w:pPr>
        <w:pStyle w:val="26"/>
        <w:rPr>
          <w:rFonts w:hint="eastAsia" w:ascii="仿宋" w:hAnsi="仿宋" w:eastAsia="仿宋" w:cs="仿宋"/>
          <w:b/>
          <w:color w:val="auto"/>
          <w:spacing w:val="6"/>
          <w:sz w:val="32"/>
          <w:szCs w:val="32"/>
          <w:highlight w:val="none"/>
        </w:rPr>
      </w:pPr>
    </w:p>
    <w:p w14:paraId="648C56BE">
      <w:pPr>
        <w:rPr>
          <w:rFonts w:hint="eastAsia" w:ascii="仿宋" w:hAnsi="仿宋" w:eastAsia="仿宋" w:cs="仿宋"/>
          <w:b/>
          <w:color w:val="auto"/>
          <w:spacing w:val="6"/>
          <w:sz w:val="32"/>
          <w:szCs w:val="32"/>
          <w:highlight w:val="none"/>
        </w:rPr>
      </w:pPr>
    </w:p>
    <w:p w14:paraId="4D74D7B1">
      <w:pPr>
        <w:pStyle w:val="26"/>
        <w:rPr>
          <w:rFonts w:hint="eastAsia" w:ascii="仿宋" w:hAnsi="仿宋" w:eastAsia="仿宋" w:cs="仿宋"/>
          <w:b/>
          <w:color w:val="auto"/>
          <w:spacing w:val="6"/>
          <w:sz w:val="32"/>
          <w:szCs w:val="32"/>
          <w:highlight w:val="none"/>
        </w:rPr>
      </w:pPr>
    </w:p>
    <w:p w14:paraId="1F52653F">
      <w:pPr>
        <w:pStyle w:val="26"/>
        <w:rPr>
          <w:rFonts w:hint="eastAsia" w:ascii="仿宋" w:hAnsi="仿宋" w:eastAsia="仿宋" w:cs="仿宋"/>
          <w:color w:val="auto"/>
          <w:highlight w:val="none"/>
        </w:rPr>
      </w:pPr>
    </w:p>
    <w:p w14:paraId="5B8E3376">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4</w:t>
      </w:r>
      <w:r>
        <w:rPr>
          <w:rFonts w:hint="eastAsia" w:ascii="仿宋" w:hAnsi="仿宋" w:eastAsia="仿宋" w:cs="仿宋"/>
          <w:b/>
          <w:color w:val="auto"/>
          <w:spacing w:val="6"/>
          <w:sz w:val="32"/>
          <w:szCs w:val="32"/>
          <w:highlight w:val="none"/>
        </w:rPr>
        <w:t>：</w:t>
      </w:r>
      <w:bookmarkStart w:id="42" w:name="OLE_LINK13"/>
      <w:bookmarkStart w:id="43" w:name="OLE_LINK14"/>
      <w:r>
        <w:rPr>
          <w:rFonts w:hint="eastAsia" w:ascii="仿宋" w:hAnsi="仿宋" w:eastAsia="仿宋" w:cs="仿宋"/>
          <w:b/>
          <w:color w:val="auto"/>
          <w:spacing w:val="6"/>
          <w:sz w:val="32"/>
          <w:szCs w:val="32"/>
          <w:highlight w:val="none"/>
        </w:rPr>
        <w:t>残疾人福利性单位声明函</w:t>
      </w:r>
    </w:p>
    <w:bookmarkEnd w:id="42"/>
    <w:bookmarkEnd w:id="43"/>
    <w:p w14:paraId="0C0CF097">
      <w:pPr>
        <w:spacing w:line="360" w:lineRule="auto"/>
        <w:rPr>
          <w:rFonts w:hint="eastAsia" w:ascii="仿宋" w:hAnsi="仿宋" w:eastAsia="仿宋" w:cs="仿宋"/>
          <w:b/>
          <w:color w:val="auto"/>
          <w:spacing w:val="6"/>
          <w:sz w:val="30"/>
          <w:szCs w:val="30"/>
          <w:highlight w:val="none"/>
        </w:rPr>
      </w:pPr>
    </w:p>
    <w:p w14:paraId="40E4436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EA3262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8306E4B">
      <w:pPr>
        <w:spacing w:line="360" w:lineRule="auto"/>
        <w:ind w:firstLine="480" w:firstLineChars="200"/>
        <w:rPr>
          <w:rFonts w:hint="eastAsia" w:ascii="仿宋" w:hAnsi="仿宋" w:eastAsia="仿宋" w:cs="仿宋"/>
          <w:color w:val="auto"/>
          <w:sz w:val="24"/>
          <w:highlight w:val="none"/>
        </w:rPr>
      </w:pPr>
    </w:p>
    <w:p w14:paraId="7F78577C">
      <w:pPr>
        <w:spacing w:line="360" w:lineRule="auto"/>
        <w:ind w:firstLine="480" w:firstLineChars="200"/>
        <w:rPr>
          <w:rFonts w:hint="eastAsia" w:ascii="仿宋" w:hAnsi="仿宋" w:eastAsia="仿宋" w:cs="仿宋"/>
          <w:color w:val="auto"/>
          <w:sz w:val="24"/>
          <w:highlight w:val="none"/>
        </w:rPr>
      </w:pPr>
    </w:p>
    <w:p w14:paraId="2F0ACD7F">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271E517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5E33007A">
      <w:pPr>
        <w:autoSpaceDE w:val="0"/>
        <w:autoSpaceDN w:val="0"/>
        <w:jc w:val="center"/>
        <w:rPr>
          <w:rFonts w:hint="eastAsia" w:ascii="仿宋" w:hAnsi="仿宋" w:eastAsia="仿宋" w:cs="仿宋"/>
          <w:b/>
          <w:color w:val="auto"/>
          <w:spacing w:val="6"/>
          <w:sz w:val="32"/>
          <w:szCs w:val="32"/>
          <w:highlight w:val="none"/>
        </w:rPr>
      </w:pPr>
    </w:p>
    <w:p w14:paraId="558D120B">
      <w:pPr>
        <w:autoSpaceDE w:val="0"/>
        <w:autoSpaceDN w:val="0"/>
        <w:jc w:val="center"/>
        <w:rPr>
          <w:rFonts w:hint="eastAsia" w:ascii="仿宋" w:hAnsi="仿宋" w:eastAsia="仿宋" w:cs="仿宋"/>
          <w:b/>
          <w:color w:val="auto"/>
          <w:spacing w:val="6"/>
          <w:sz w:val="32"/>
          <w:szCs w:val="32"/>
          <w:highlight w:val="none"/>
        </w:rPr>
      </w:pPr>
    </w:p>
    <w:p w14:paraId="214083F4">
      <w:pPr>
        <w:autoSpaceDE w:val="0"/>
        <w:autoSpaceDN w:val="0"/>
        <w:jc w:val="center"/>
        <w:rPr>
          <w:rFonts w:hint="eastAsia" w:ascii="仿宋" w:hAnsi="仿宋" w:eastAsia="仿宋" w:cs="仿宋"/>
          <w:b/>
          <w:color w:val="auto"/>
          <w:spacing w:val="6"/>
          <w:sz w:val="32"/>
          <w:szCs w:val="32"/>
          <w:highlight w:val="none"/>
        </w:rPr>
      </w:pPr>
    </w:p>
    <w:p w14:paraId="4459A752">
      <w:pPr>
        <w:autoSpaceDE w:val="0"/>
        <w:autoSpaceDN w:val="0"/>
        <w:jc w:val="center"/>
        <w:rPr>
          <w:rFonts w:hint="eastAsia" w:ascii="仿宋" w:hAnsi="仿宋" w:eastAsia="仿宋" w:cs="仿宋"/>
          <w:b/>
          <w:color w:val="auto"/>
          <w:spacing w:val="6"/>
          <w:sz w:val="32"/>
          <w:szCs w:val="32"/>
          <w:highlight w:val="none"/>
        </w:rPr>
      </w:pPr>
    </w:p>
    <w:p w14:paraId="59F549D6">
      <w:pPr>
        <w:autoSpaceDE w:val="0"/>
        <w:autoSpaceDN w:val="0"/>
        <w:jc w:val="center"/>
        <w:rPr>
          <w:rFonts w:hint="eastAsia" w:ascii="仿宋" w:hAnsi="仿宋" w:eastAsia="仿宋" w:cs="仿宋"/>
          <w:b/>
          <w:color w:val="auto"/>
          <w:spacing w:val="6"/>
          <w:sz w:val="32"/>
          <w:szCs w:val="32"/>
          <w:highlight w:val="none"/>
        </w:rPr>
      </w:pPr>
    </w:p>
    <w:p w14:paraId="4879F955">
      <w:pPr>
        <w:autoSpaceDE w:val="0"/>
        <w:autoSpaceDN w:val="0"/>
        <w:jc w:val="center"/>
        <w:rPr>
          <w:rFonts w:hint="eastAsia" w:ascii="仿宋" w:hAnsi="仿宋" w:eastAsia="仿宋" w:cs="仿宋"/>
          <w:b/>
          <w:color w:val="auto"/>
          <w:spacing w:val="6"/>
          <w:sz w:val="32"/>
          <w:szCs w:val="32"/>
          <w:highlight w:val="none"/>
        </w:rPr>
      </w:pPr>
    </w:p>
    <w:p w14:paraId="4CE46783">
      <w:pPr>
        <w:autoSpaceDE w:val="0"/>
        <w:autoSpaceDN w:val="0"/>
        <w:jc w:val="center"/>
        <w:rPr>
          <w:rFonts w:hint="eastAsia" w:ascii="仿宋" w:hAnsi="仿宋" w:eastAsia="仿宋" w:cs="仿宋"/>
          <w:b/>
          <w:color w:val="auto"/>
          <w:spacing w:val="6"/>
          <w:sz w:val="32"/>
          <w:szCs w:val="32"/>
          <w:highlight w:val="none"/>
        </w:rPr>
      </w:pPr>
    </w:p>
    <w:p w14:paraId="0CFD7638">
      <w:pPr>
        <w:autoSpaceDE w:val="0"/>
        <w:autoSpaceDN w:val="0"/>
        <w:jc w:val="center"/>
        <w:rPr>
          <w:rFonts w:hint="eastAsia" w:ascii="仿宋" w:hAnsi="仿宋" w:eastAsia="仿宋" w:cs="仿宋"/>
          <w:b/>
          <w:color w:val="auto"/>
          <w:spacing w:val="6"/>
          <w:sz w:val="32"/>
          <w:szCs w:val="32"/>
          <w:highlight w:val="none"/>
        </w:rPr>
      </w:pPr>
    </w:p>
    <w:p w14:paraId="414A2627">
      <w:pPr>
        <w:autoSpaceDE w:val="0"/>
        <w:autoSpaceDN w:val="0"/>
        <w:jc w:val="center"/>
        <w:rPr>
          <w:rFonts w:hint="eastAsia" w:ascii="仿宋" w:hAnsi="仿宋" w:eastAsia="仿宋" w:cs="仿宋"/>
          <w:b/>
          <w:color w:val="auto"/>
          <w:spacing w:val="6"/>
          <w:sz w:val="32"/>
          <w:szCs w:val="32"/>
          <w:highlight w:val="none"/>
        </w:rPr>
      </w:pPr>
    </w:p>
    <w:p w14:paraId="7B4D5562">
      <w:pPr>
        <w:autoSpaceDE w:val="0"/>
        <w:autoSpaceDN w:val="0"/>
        <w:jc w:val="center"/>
        <w:rPr>
          <w:rFonts w:hint="eastAsia" w:ascii="仿宋" w:hAnsi="仿宋" w:eastAsia="仿宋" w:cs="仿宋"/>
          <w:b/>
          <w:color w:val="auto"/>
          <w:spacing w:val="6"/>
          <w:sz w:val="32"/>
          <w:szCs w:val="32"/>
          <w:highlight w:val="none"/>
        </w:rPr>
      </w:pPr>
    </w:p>
    <w:p w14:paraId="47D8EB08">
      <w:pPr>
        <w:autoSpaceDE w:val="0"/>
        <w:autoSpaceDN w:val="0"/>
        <w:jc w:val="center"/>
        <w:rPr>
          <w:rFonts w:hint="eastAsia" w:ascii="仿宋" w:hAnsi="仿宋" w:eastAsia="仿宋" w:cs="仿宋"/>
          <w:b/>
          <w:color w:val="auto"/>
          <w:spacing w:val="6"/>
          <w:sz w:val="32"/>
          <w:szCs w:val="32"/>
          <w:highlight w:val="none"/>
        </w:rPr>
      </w:pPr>
    </w:p>
    <w:p w14:paraId="007A6F47">
      <w:pPr>
        <w:autoSpaceDE w:val="0"/>
        <w:autoSpaceDN w:val="0"/>
        <w:jc w:val="center"/>
        <w:rPr>
          <w:rFonts w:hint="eastAsia" w:ascii="仿宋" w:hAnsi="仿宋" w:eastAsia="仿宋" w:cs="仿宋"/>
          <w:b/>
          <w:color w:val="auto"/>
          <w:spacing w:val="6"/>
          <w:sz w:val="32"/>
          <w:szCs w:val="32"/>
          <w:highlight w:val="none"/>
        </w:rPr>
      </w:pPr>
    </w:p>
    <w:p w14:paraId="57D11E2E">
      <w:pPr>
        <w:autoSpaceDE w:val="0"/>
        <w:autoSpaceDN w:val="0"/>
        <w:jc w:val="center"/>
        <w:rPr>
          <w:rFonts w:hint="eastAsia" w:ascii="仿宋" w:hAnsi="仿宋" w:eastAsia="仿宋" w:cs="仿宋"/>
          <w:b/>
          <w:color w:val="auto"/>
          <w:spacing w:val="6"/>
          <w:sz w:val="32"/>
          <w:szCs w:val="32"/>
          <w:highlight w:val="none"/>
        </w:rPr>
      </w:pPr>
    </w:p>
    <w:p w14:paraId="44569CBE">
      <w:pPr>
        <w:autoSpaceDE w:val="0"/>
        <w:autoSpaceDN w:val="0"/>
        <w:jc w:val="center"/>
        <w:rPr>
          <w:rFonts w:hint="eastAsia" w:ascii="仿宋" w:hAnsi="仿宋" w:eastAsia="仿宋" w:cs="仿宋"/>
          <w:b/>
          <w:color w:val="auto"/>
          <w:spacing w:val="6"/>
          <w:sz w:val="32"/>
          <w:szCs w:val="32"/>
          <w:highlight w:val="none"/>
        </w:rPr>
      </w:pPr>
    </w:p>
    <w:p w14:paraId="3D80E2C9">
      <w:pPr>
        <w:autoSpaceDE w:val="0"/>
        <w:autoSpaceDN w:val="0"/>
        <w:jc w:val="center"/>
        <w:rPr>
          <w:rFonts w:hint="eastAsia" w:ascii="仿宋" w:hAnsi="仿宋" w:eastAsia="仿宋" w:cs="仿宋"/>
          <w:b/>
          <w:color w:val="auto"/>
          <w:spacing w:val="6"/>
          <w:sz w:val="32"/>
          <w:szCs w:val="32"/>
          <w:highlight w:val="none"/>
        </w:rPr>
      </w:pPr>
    </w:p>
    <w:p w14:paraId="501EE0A0">
      <w:pPr>
        <w:pStyle w:val="25"/>
        <w:rPr>
          <w:rFonts w:hint="eastAsia" w:ascii="仿宋" w:hAnsi="仿宋" w:eastAsia="仿宋" w:cs="仿宋"/>
          <w:color w:val="auto"/>
          <w:highlight w:val="none"/>
        </w:rPr>
      </w:pPr>
    </w:p>
    <w:p w14:paraId="72B8684F">
      <w:pPr>
        <w:pStyle w:val="26"/>
        <w:rPr>
          <w:rFonts w:hint="eastAsia" w:ascii="仿宋" w:hAnsi="仿宋" w:eastAsia="仿宋" w:cs="仿宋"/>
          <w:color w:val="auto"/>
          <w:highlight w:val="none"/>
        </w:rPr>
      </w:pPr>
    </w:p>
    <w:p w14:paraId="45834A4E">
      <w:pPr>
        <w:rPr>
          <w:rFonts w:hint="eastAsia" w:ascii="仿宋" w:hAnsi="仿宋" w:eastAsia="仿宋" w:cs="仿宋"/>
          <w:color w:val="auto"/>
          <w:highlight w:val="none"/>
        </w:rPr>
      </w:pPr>
    </w:p>
    <w:p w14:paraId="4A19788A">
      <w:pPr>
        <w:pStyle w:val="26"/>
        <w:rPr>
          <w:rFonts w:hint="eastAsia" w:ascii="仿宋" w:hAnsi="仿宋" w:eastAsia="仿宋" w:cs="仿宋"/>
          <w:color w:val="auto"/>
          <w:highlight w:val="none"/>
        </w:rPr>
      </w:pPr>
    </w:p>
    <w:p w14:paraId="5B20B4D4">
      <w:pPr>
        <w:pStyle w:val="26"/>
        <w:rPr>
          <w:rFonts w:hint="eastAsia" w:ascii="仿宋" w:hAnsi="仿宋" w:eastAsia="仿宋" w:cs="仿宋"/>
          <w:color w:val="auto"/>
          <w:highlight w:val="none"/>
        </w:rPr>
      </w:pPr>
    </w:p>
    <w:p w14:paraId="3B5C346A">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5</w:t>
      </w:r>
      <w:r>
        <w:rPr>
          <w:rFonts w:hint="eastAsia" w:ascii="仿宋" w:hAnsi="仿宋" w:eastAsia="仿宋" w:cs="仿宋"/>
          <w:b/>
          <w:color w:val="auto"/>
          <w:kern w:val="0"/>
          <w:sz w:val="32"/>
          <w:szCs w:val="32"/>
          <w:highlight w:val="none"/>
        </w:rPr>
        <w:t>：中小企业声明函</w:t>
      </w:r>
    </w:p>
    <w:p w14:paraId="1FA30354">
      <w:pPr>
        <w:pStyle w:val="977"/>
        <w:keepNext/>
        <w:keepLines/>
        <w:spacing w:before="120" w:after="540" w:line="240" w:lineRule="auto"/>
        <w:ind w:firstLine="0"/>
        <w:rPr>
          <w:b/>
          <w:bCs/>
          <w:color w:val="auto"/>
          <w:sz w:val="24"/>
          <w:szCs w:val="24"/>
          <w:highlight w:val="none"/>
        </w:rPr>
      </w:pPr>
      <w:r>
        <w:rPr>
          <w:rFonts w:hint="eastAsia" w:ascii="仿宋" w:hAnsi="仿宋" w:eastAsia="仿宋" w:cs="仿宋"/>
          <w:b/>
          <w:color w:val="auto"/>
          <w:sz w:val="32"/>
          <w:szCs w:val="32"/>
          <w:highlight w:val="none"/>
        </w:rPr>
        <w:t>中小企业声明函（</w:t>
      </w:r>
      <w:r>
        <w:rPr>
          <w:rFonts w:hint="eastAsia" w:ascii="仿宋" w:hAnsi="仿宋" w:eastAsia="仿宋" w:cs="仿宋"/>
          <w:b/>
          <w:color w:val="auto"/>
          <w:sz w:val="32"/>
          <w:szCs w:val="32"/>
          <w:highlight w:val="none"/>
          <w:lang w:val="en-US" w:eastAsia="zh-CN"/>
        </w:rPr>
        <w:t>货物</w:t>
      </w:r>
      <w:r>
        <w:rPr>
          <w:rFonts w:hint="eastAsia" w:ascii="仿宋" w:hAnsi="仿宋" w:eastAsia="仿宋" w:cs="仿宋"/>
          <w:b/>
          <w:color w:val="auto"/>
          <w:sz w:val="32"/>
          <w:szCs w:val="32"/>
          <w:highlight w:val="none"/>
        </w:rPr>
        <w:t>）</w:t>
      </w:r>
    </w:p>
    <w:p w14:paraId="4B181544">
      <w:pPr>
        <w:pStyle w:val="978"/>
        <w:spacing w:line="360" w:lineRule="auto"/>
        <w:ind w:firstLine="66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本公司（联合体）郑重声明，根据《政府采购促进中小企业发展管理办法》（财库〔2020）46号）的规定，本公司 （联合体）参加</w:t>
      </w:r>
      <w:r>
        <w:rPr>
          <w:rFonts w:hint="eastAsia" w:ascii="仿宋" w:hAnsi="仿宋" w:eastAsia="仿宋" w:cs="仿宋"/>
          <w:iCs/>
          <w:color w:val="auto"/>
          <w:sz w:val="24"/>
          <w:szCs w:val="24"/>
          <w:highlight w:val="none"/>
          <w:u w:val="single"/>
        </w:rPr>
        <w:t>（单位名称）</w:t>
      </w:r>
      <w:r>
        <w:rPr>
          <w:rFonts w:hint="eastAsia" w:ascii="仿宋" w:hAnsi="仿宋" w:eastAsia="仿宋" w:cs="仿宋"/>
          <w:color w:val="auto"/>
          <w:sz w:val="24"/>
          <w:szCs w:val="24"/>
          <w:highlight w:val="none"/>
        </w:rPr>
        <w:t>的</w:t>
      </w:r>
      <w:r>
        <w:rPr>
          <w:rFonts w:hint="eastAsia" w:ascii="仿宋" w:hAnsi="仿宋" w:eastAsia="仿宋" w:cs="仿宋"/>
          <w:iCs/>
          <w:color w:val="auto"/>
          <w:sz w:val="24"/>
          <w:szCs w:val="24"/>
          <w:highlight w:val="none"/>
          <w:u w:val="single"/>
        </w:rPr>
        <w:t>（项目名称）</w:t>
      </w:r>
      <w:r>
        <w:rPr>
          <w:rFonts w:hint="eastAsia" w:ascii="仿宋" w:hAnsi="仿宋" w:eastAsia="仿宋" w:cs="仿宋"/>
          <w:color w:val="auto"/>
          <w:sz w:val="24"/>
          <w:szCs w:val="24"/>
          <w:highlight w:val="none"/>
        </w:rPr>
        <w:t>采购活动,提供的货物全部由符合政策要求的中小企业制造。相关企业</w:t>
      </w:r>
      <w:r>
        <w:rPr>
          <w:rFonts w:hint="eastAsia" w:ascii="仿宋" w:hAnsi="仿宋" w:eastAsia="仿宋" w:cs="仿宋"/>
          <w:color w:val="auto"/>
          <w:sz w:val="24"/>
          <w:szCs w:val="24"/>
          <w:highlight w:val="none"/>
          <w:u w:val="single"/>
        </w:rPr>
        <w:t xml:space="preserve"> （含联合体中的中小企业、签订分包意向协议的中小企业） </w:t>
      </w:r>
      <w:r>
        <w:rPr>
          <w:rFonts w:hint="eastAsia" w:ascii="仿宋" w:hAnsi="仿宋" w:eastAsia="仿宋" w:cs="仿宋"/>
          <w:color w:val="auto"/>
          <w:sz w:val="24"/>
          <w:szCs w:val="24"/>
          <w:highlight w:val="none"/>
        </w:rPr>
        <w:t>的具体情况如下：</w:t>
      </w:r>
    </w:p>
    <w:p w14:paraId="3F41F24B">
      <w:pPr>
        <w:pStyle w:val="978"/>
        <w:numPr>
          <w:ilvl w:val="0"/>
          <w:numId w:val="3"/>
        </w:numPr>
        <w:tabs>
          <w:tab w:val="left" w:pos="1238"/>
          <w:tab w:val="left" w:pos="4435"/>
          <w:tab w:val="left" w:pos="6672"/>
        </w:tabs>
        <w:spacing w:line="360" w:lineRule="auto"/>
        <w:ind w:firstLine="660"/>
        <w:jc w:val="both"/>
        <w:rPr>
          <w:rFonts w:hint="eastAsia" w:ascii="仿宋" w:hAnsi="仿宋" w:eastAsia="仿宋" w:cs="仿宋"/>
          <w:color w:val="auto"/>
          <w:sz w:val="24"/>
          <w:szCs w:val="24"/>
          <w:highlight w:val="none"/>
        </w:rPr>
      </w:pPr>
      <w:r>
        <w:rPr>
          <w:rFonts w:hint="eastAsia" w:ascii="仿宋" w:hAnsi="仿宋" w:eastAsia="仿宋" w:cs="仿宋"/>
          <w:iCs/>
          <w:color w:val="auto"/>
          <w:sz w:val="24"/>
          <w:szCs w:val="24"/>
          <w:highlight w:val="none"/>
          <w:u w:val="single"/>
        </w:rPr>
        <w:t>（标的名称）</w:t>
      </w:r>
      <w:r>
        <w:rPr>
          <w:rFonts w:hint="eastAsia" w:ascii="仿宋" w:hAnsi="仿宋" w:eastAsia="仿宋" w:cs="仿宋"/>
          <w:color w:val="auto"/>
          <w:sz w:val="24"/>
          <w:szCs w:val="24"/>
          <w:highlight w:val="none"/>
        </w:rPr>
        <w:t>,属于</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（采购文件中明确的所属行业）</w:t>
      </w:r>
      <w:r>
        <w:rPr>
          <w:rFonts w:hint="eastAsia" w:ascii="仿宋" w:hAnsi="仿宋" w:eastAsia="仿宋" w:cs="仿宋"/>
          <w:b/>
          <w:bCs/>
          <w:iCs/>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u w:val="none"/>
        </w:rPr>
        <w:t>行业</w:t>
      </w:r>
      <w:r>
        <w:rPr>
          <w:rFonts w:hint="eastAsia" w:ascii="仿宋" w:hAnsi="仿宋" w:eastAsia="仿宋" w:cs="仿宋"/>
          <w:iCs/>
          <w:color w:val="auto"/>
          <w:sz w:val="24"/>
          <w:szCs w:val="24"/>
          <w:highlight w:val="none"/>
        </w:rPr>
        <w:t>；</w:t>
      </w:r>
      <w:r>
        <w:rPr>
          <w:rFonts w:hint="eastAsia" w:ascii="仿宋" w:hAnsi="仿宋" w:eastAsia="仿宋" w:cs="仿宋"/>
          <w:color w:val="auto"/>
          <w:sz w:val="24"/>
          <w:szCs w:val="24"/>
          <w:highlight w:val="none"/>
        </w:rPr>
        <w:t>制造商为</w:t>
      </w:r>
      <w:r>
        <w:rPr>
          <w:rFonts w:hint="eastAsia" w:ascii="仿宋" w:hAnsi="仿宋" w:eastAsia="仿宋" w:cs="仿宋"/>
          <w:iCs/>
          <w:color w:val="auto"/>
          <w:sz w:val="24"/>
          <w:szCs w:val="24"/>
          <w:highlight w:val="none"/>
          <w:u w:val="single"/>
        </w:rPr>
        <w:t>（企业名称）</w:t>
      </w:r>
      <w:r>
        <w:rPr>
          <w:rFonts w:hint="eastAsia" w:ascii="仿宋" w:hAnsi="仿宋" w:eastAsia="仿宋" w:cs="仿宋"/>
          <w:iCs/>
          <w:color w:val="auto"/>
          <w:sz w:val="24"/>
          <w:szCs w:val="24"/>
          <w:highlight w:val="none"/>
        </w:rPr>
        <w:t>,</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万元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属于</w:t>
      </w:r>
      <w:r>
        <w:rPr>
          <w:rFonts w:hint="eastAsia" w:ascii="仿宋" w:hAnsi="仿宋" w:eastAsia="仿宋" w:cs="仿宋"/>
          <w:iCs/>
          <w:color w:val="auto"/>
          <w:sz w:val="24"/>
          <w:szCs w:val="24"/>
          <w:highlight w:val="none"/>
          <w:u w:val="single"/>
        </w:rPr>
        <w:t>（中型企业、小 型企业、微型企业）</w:t>
      </w:r>
      <w:r>
        <w:rPr>
          <w:rFonts w:hint="eastAsia" w:ascii="仿宋" w:hAnsi="仿宋" w:eastAsia="仿宋" w:cs="仿宋"/>
          <w:iCs/>
          <w:color w:val="auto"/>
          <w:sz w:val="24"/>
          <w:szCs w:val="24"/>
          <w:highlight w:val="none"/>
        </w:rPr>
        <w:t>,</w:t>
      </w:r>
    </w:p>
    <w:p w14:paraId="5209A568">
      <w:pPr>
        <w:pStyle w:val="978"/>
        <w:numPr>
          <w:ilvl w:val="0"/>
          <w:numId w:val="3"/>
        </w:numPr>
        <w:tabs>
          <w:tab w:val="left" w:pos="1238"/>
          <w:tab w:val="left" w:pos="6331"/>
        </w:tabs>
        <w:spacing w:line="360" w:lineRule="auto"/>
        <w:ind w:firstLine="660"/>
        <w:jc w:val="both"/>
        <w:rPr>
          <w:rFonts w:hint="eastAsia" w:ascii="仿宋" w:hAnsi="仿宋" w:eastAsia="仿宋" w:cs="仿宋"/>
          <w:color w:val="auto"/>
          <w:sz w:val="24"/>
          <w:szCs w:val="24"/>
          <w:highlight w:val="none"/>
        </w:rPr>
      </w:pPr>
      <w:r>
        <w:rPr>
          <w:rFonts w:hint="eastAsia" w:ascii="仿宋" w:hAnsi="仿宋" w:eastAsia="仿宋" w:cs="仿宋"/>
          <w:iCs/>
          <w:color w:val="auto"/>
          <w:sz w:val="24"/>
          <w:szCs w:val="24"/>
          <w:highlight w:val="none"/>
          <w:u w:val="single"/>
        </w:rPr>
        <w:t>（标的名称）</w:t>
      </w:r>
      <w:r>
        <w:rPr>
          <w:rFonts w:hint="eastAsia" w:ascii="仿宋" w:hAnsi="仿宋" w:eastAsia="仿宋" w:cs="仿宋"/>
          <w:color w:val="auto"/>
          <w:sz w:val="24"/>
          <w:szCs w:val="24"/>
          <w:highlight w:val="none"/>
        </w:rPr>
        <w:t>,属于</w:t>
      </w:r>
      <w:r>
        <w:rPr>
          <w:rFonts w:hint="eastAsia" w:ascii="仿宋" w:hAnsi="仿宋" w:eastAsia="仿宋" w:cs="仿宋"/>
          <w:iCs/>
          <w:color w:val="auto"/>
          <w:sz w:val="24"/>
          <w:szCs w:val="24"/>
          <w:highlight w:val="none"/>
          <w:u w:val="single"/>
        </w:rPr>
        <w:t>（采购文件中明确的所属行业） 行业</w:t>
      </w:r>
      <w:r>
        <w:rPr>
          <w:rFonts w:hint="eastAsia" w:ascii="仿宋" w:hAnsi="仿宋" w:eastAsia="仿宋" w:cs="仿宋"/>
          <w:iCs/>
          <w:color w:val="auto"/>
          <w:sz w:val="24"/>
          <w:szCs w:val="24"/>
          <w:highlight w:val="none"/>
        </w:rPr>
        <w:t>；</w:t>
      </w:r>
      <w:r>
        <w:rPr>
          <w:rFonts w:hint="eastAsia" w:ascii="仿宋" w:hAnsi="仿宋" w:eastAsia="仿宋" w:cs="仿宋"/>
          <w:color w:val="auto"/>
          <w:sz w:val="24"/>
          <w:szCs w:val="24"/>
          <w:highlight w:val="none"/>
        </w:rPr>
        <w:t>制造商为</w:t>
      </w:r>
      <w:r>
        <w:rPr>
          <w:rFonts w:hint="eastAsia" w:ascii="仿宋" w:hAnsi="仿宋" w:eastAsia="仿宋" w:cs="仿宋"/>
          <w:iCs/>
          <w:color w:val="auto"/>
          <w:sz w:val="24"/>
          <w:szCs w:val="24"/>
          <w:highlight w:val="none"/>
          <w:u w:val="single"/>
        </w:rPr>
        <w:t>（企业名称）</w:t>
      </w:r>
      <w:r>
        <w:rPr>
          <w:rFonts w:hint="eastAsia" w:ascii="仿宋" w:hAnsi="仿宋" w:eastAsia="仿宋" w:cs="仿宋"/>
          <w:iCs/>
          <w:color w:val="auto"/>
          <w:sz w:val="24"/>
          <w:szCs w:val="24"/>
          <w:highlight w:val="none"/>
        </w:rPr>
        <w:t>,</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万元，属于</w:t>
      </w:r>
      <w:r>
        <w:rPr>
          <w:rFonts w:hint="eastAsia" w:ascii="仿宋" w:hAnsi="仿宋" w:eastAsia="仿宋" w:cs="仿宋"/>
          <w:iCs/>
          <w:color w:val="auto"/>
          <w:sz w:val="24"/>
          <w:szCs w:val="24"/>
          <w:highlight w:val="none"/>
          <w:u w:val="single"/>
        </w:rPr>
        <w:t>（中型企业、小型 企业、微型企</w:t>
      </w:r>
      <w:r>
        <w:rPr>
          <w:rFonts w:hint="eastAsia" w:ascii="仿宋" w:hAnsi="仿宋" w:eastAsia="仿宋" w:cs="仿宋"/>
          <w:iCs/>
          <w:color w:val="auto"/>
          <w:sz w:val="24"/>
          <w:szCs w:val="24"/>
          <w:highlight w:val="none"/>
          <w:u w:val="single"/>
          <w:lang w:val="zh-CN" w:eastAsia="zh-CN" w:bidi="zh-CN"/>
        </w:rPr>
        <w:t>业）</w:t>
      </w:r>
      <w:r>
        <w:rPr>
          <w:rFonts w:hint="eastAsia" w:ascii="仿宋" w:hAnsi="仿宋" w:eastAsia="仿宋" w:cs="仿宋"/>
          <w:iCs/>
          <w:color w:val="auto"/>
          <w:sz w:val="24"/>
          <w:szCs w:val="24"/>
          <w:highlight w:val="none"/>
          <w:lang w:val="zh-CN" w:eastAsia="zh-CN" w:bidi="zh-CN"/>
        </w:rPr>
        <w:t>,</w:t>
      </w:r>
    </w:p>
    <w:p w14:paraId="625A5EC8">
      <w:pPr>
        <w:pStyle w:val="978"/>
        <w:tabs>
          <w:tab w:val="left" w:leader="dot" w:pos="-1007"/>
        </w:tabs>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p>
    <w:p w14:paraId="423AAF37">
      <w:pPr>
        <w:pStyle w:val="978"/>
        <w:spacing w:line="360" w:lineRule="auto"/>
        <w:ind w:firstLine="66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2271A787">
      <w:pPr>
        <w:pStyle w:val="978"/>
        <w:spacing w:line="360" w:lineRule="auto"/>
        <w:ind w:firstLine="66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685E4E0A">
      <w:pPr>
        <w:pStyle w:val="978"/>
        <w:spacing w:line="240" w:lineRule="auto"/>
        <w:ind w:firstLine="0"/>
        <w:rPr>
          <w:rFonts w:hint="eastAsia" w:ascii="仿宋" w:hAnsi="仿宋" w:eastAsia="仿宋" w:cs="仿宋"/>
          <w:color w:val="auto"/>
          <w:sz w:val="24"/>
          <w:szCs w:val="24"/>
          <w:highlight w:val="none"/>
        </w:rPr>
      </w:pPr>
    </w:p>
    <w:p w14:paraId="65A77573">
      <w:pPr>
        <w:pStyle w:val="978"/>
        <w:spacing w:line="240" w:lineRule="auto"/>
        <w:ind w:firstLine="4800" w:firstLineChars="2000"/>
        <w:rPr>
          <w:rFonts w:hint="eastAsia" w:ascii="仿宋" w:hAnsi="仿宋" w:eastAsia="仿宋" w:cs="仿宋"/>
          <w:color w:val="auto"/>
          <w:sz w:val="24"/>
          <w:szCs w:val="24"/>
          <w:highlight w:val="none"/>
        </w:rPr>
      </w:pPr>
    </w:p>
    <w:p w14:paraId="5631B41C">
      <w:pPr>
        <w:pStyle w:val="978"/>
        <w:spacing w:line="240" w:lineRule="auto"/>
        <w:ind w:firstLine="4800" w:firstLineChars="20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企业名称（盖章）</w:t>
      </w:r>
    </w:p>
    <w:p w14:paraId="0146BD86">
      <w:pPr>
        <w:pStyle w:val="978"/>
        <w:spacing w:line="240" w:lineRule="auto"/>
        <w:ind w:firstLine="4800" w:firstLineChars="2000"/>
        <w:rPr>
          <w:rFonts w:hint="eastAsia" w:ascii="仿宋" w:hAnsi="仿宋" w:eastAsia="仿宋" w:cs="仿宋"/>
          <w:color w:val="auto"/>
          <w:sz w:val="24"/>
          <w:szCs w:val="24"/>
          <w:highlight w:val="none"/>
        </w:rPr>
      </w:pPr>
    </w:p>
    <w:p w14:paraId="2B66875D">
      <w:pPr>
        <w:pStyle w:val="978"/>
        <w:spacing w:line="240" w:lineRule="auto"/>
        <w:ind w:firstLine="4800" w:firstLineChars="20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p>
    <w:p w14:paraId="1DDB0678">
      <w:pPr>
        <w:pStyle w:val="978"/>
        <w:spacing w:line="240" w:lineRule="auto"/>
        <w:ind w:firstLine="4800" w:firstLineChars="2000"/>
        <w:rPr>
          <w:rFonts w:hint="eastAsia" w:ascii="仿宋" w:hAnsi="仿宋" w:eastAsia="仿宋" w:cs="仿宋"/>
          <w:color w:val="auto"/>
          <w:sz w:val="24"/>
          <w:szCs w:val="24"/>
          <w:highlight w:val="none"/>
        </w:rPr>
      </w:pPr>
    </w:p>
    <w:p w14:paraId="171DCC57">
      <w:pPr>
        <w:pStyle w:val="978"/>
        <w:spacing w:line="240" w:lineRule="auto"/>
        <w:ind w:firstLine="4800" w:firstLineChars="2000"/>
        <w:rPr>
          <w:rFonts w:hint="eastAsia" w:ascii="仿宋" w:hAnsi="仿宋" w:eastAsia="仿宋" w:cs="仿宋"/>
          <w:color w:val="auto"/>
          <w:sz w:val="24"/>
          <w:szCs w:val="24"/>
          <w:highlight w:val="none"/>
        </w:rPr>
      </w:pPr>
    </w:p>
    <w:p w14:paraId="28E44D00">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0943FCC4">
      <w:pPr>
        <w:spacing w:line="360" w:lineRule="auto"/>
        <w:ind w:firstLine="354" w:firstLineChars="147"/>
        <w:jc w:val="left"/>
        <w:rPr>
          <w:rFonts w:hint="eastAsia" w:ascii="仿宋" w:hAnsi="仿宋" w:eastAsia="仿宋" w:cs="仿宋"/>
          <w:b/>
          <w:color w:val="auto"/>
          <w:szCs w:val="21"/>
          <w:highlight w:val="none"/>
        </w:rPr>
      </w:pPr>
      <w:r>
        <w:rPr>
          <w:rFonts w:hint="eastAsia" w:ascii="仿宋" w:hAnsi="仿宋" w:eastAsia="仿宋" w:cs="仿宋"/>
          <w:b/>
          <w:color w:val="auto"/>
          <w:sz w:val="24"/>
          <w:highlight w:val="none"/>
        </w:rPr>
        <w:t>1、从业人员、营业收入、资产总额填报上一年度数据，无上一年度数据的新成立企业可不填报。</w:t>
      </w:r>
    </w:p>
    <w:p w14:paraId="32C1E21C">
      <w:pPr>
        <w:spacing w:line="360" w:lineRule="auto"/>
        <w:ind w:right="420"/>
        <w:rPr>
          <w:rFonts w:hint="eastAsia" w:ascii="仿宋" w:hAnsi="仿宋" w:eastAsia="仿宋" w:cs="仿宋"/>
          <w:color w:val="auto"/>
          <w:sz w:val="24"/>
          <w:highlight w:val="none"/>
        </w:rPr>
      </w:pPr>
    </w:p>
    <w:p w14:paraId="0F71B1B1">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67819B72">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1F160AA">
      <w:pP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9F8466A">
      <w:pPr>
        <w:pStyle w:val="4"/>
        <w:rPr>
          <w:rFonts w:hint="eastAsia" w:ascii="仿宋" w:hAnsi="仿宋" w:eastAsia="仿宋" w:cs="仿宋"/>
          <w:color w:val="auto"/>
          <w:highlight w:val="none"/>
          <w:lang w:val="en-US"/>
        </w:rPr>
      </w:pPr>
    </w:p>
    <w:p w14:paraId="5E81FC3B">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1938FB43">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278928BE">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7C583A3D">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48EF8D21">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5C6713A2">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59768007">
      <w:pPr>
        <w:pStyle w:val="25"/>
        <w:rPr>
          <w:rFonts w:hint="eastAsia" w:ascii="仿宋" w:hAnsi="仿宋" w:eastAsia="仿宋" w:cs="仿宋"/>
          <w:color w:val="auto"/>
          <w:highlight w:val="none"/>
          <w:lang w:val="en-US" w:eastAsia="zh-CN"/>
        </w:rPr>
      </w:pPr>
    </w:p>
    <w:p w14:paraId="30D260C9">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26878B76">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79B50A9B">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2FF9F71A">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92FAAF0">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75D1376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4363A353">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696A7C5A">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4B3A092D">
      <w:pPr>
        <w:widowControl/>
        <w:jc w:val="left"/>
        <w:rPr>
          <w:rFonts w:hint="eastAsia" w:ascii="仿宋" w:hAnsi="仿宋" w:eastAsia="仿宋" w:cs="仿宋"/>
          <w:color w:val="auto"/>
          <w:kern w:val="0"/>
          <w:sz w:val="24"/>
          <w:highlight w:val="none"/>
        </w:rPr>
      </w:pPr>
    </w:p>
    <w:p w14:paraId="4EAA543B">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D636A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5F8FD9A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36C791EB">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4E0A000F">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5C6F9D2E">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3E4A407E">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6540E55B">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0A13D05F">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450AE9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7CA98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5DF9CC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C14A7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2C1E4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060AE99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7C5774A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4CA9DF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5816B2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D367A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268506F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62D375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30E8B9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6A3AC3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039CB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3743E6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4802E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B036D0F">
            <w:pPr>
              <w:widowControl/>
              <w:jc w:val="left"/>
              <w:rPr>
                <w:rFonts w:hint="eastAsia" w:ascii="仿宋" w:hAnsi="仿宋" w:eastAsia="仿宋" w:cs="仿宋"/>
                <w:color w:val="auto"/>
                <w:kern w:val="0"/>
                <w:sz w:val="24"/>
                <w:highlight w:val="none"/>
              </w:rPr>
            </w:pPr>
          </w:p>
        </w:tc>
        <w:tc>
          <w:tcPr>
            <w:tcW w:w="1560" w:type="dxa"/>
            <w:vAlign w:val="center"/>
          </w:tcPr>
          <w:p w14:paraId="6308978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F0A0A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2B978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330381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71ADF51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230397A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0658EA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D84DE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2A11D30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A9A444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9FF5C5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2B6C02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01F9CF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390993E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0E6B78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6EAE4A3">
            <w:pPr>
              <w:widowControl/>
              <w:jc w:val="left"/>
              <w:rPr>
                <w:rFonts w:hint="eastAsia" w:ascii="仿宋" w:hAnsi="仿宋" w:eastAsia="仿宋" w:cs="仿宋"/>
                <w:color w:val="auto"/>
                <w:kern w:val="0"/>
                <w:sz w:val="24"/>
                <w:highlight w:val="none"/>
              </w:rPr>
            </w:pPr>
          </w:p>
        </w:tc>
        <w:tc>
          <w:tcPr>
            <w:tcW w:w="1560" w:type="dxa"/>
            <w:vAlign w:val="center"/>
          </w:tcPr>
          <w:p w14:paraId="7133D0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316645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B01C3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0EFC82F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48223E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16A76E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38472F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FD7FF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0F0B19E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D3BB9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F201D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7FD27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348DAEA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02058EA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15B65E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24376E7">
            <w:pPr>
              <w:widowControl/>
              <w:jc w:val="left"/>
              <w:rPr>
                <w:rFonts w:hint="eastAsia" w:ascii="仿宋" w:hAnsi="仿宋" w:eastAsia="仿宋" w:cs="仿宋"/>
                <w:color w:val="auto"/>
                <w:kern w:val="0"/>
                <w:sz w:val="24"/>
                <w:highlight w:val="none"/>
              </w:rPr>
            </w:pPr>
          </w:p>
        </w:tc>
        <w:tc>
          <w:tcPr>
            <w:tcW w:w="1560" w:type="dxa"/>
            <w:vAlign w:val="center"/>
          </w:tcPr>
          <w:p w14:paraId="677351C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251D16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E0218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712BB5F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7FA258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1D5F7F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09EE5E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9CE53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676DEE9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BCC0A5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3D84F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3373B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304387E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7AF32B6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12507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41D9EDA">
            <w:pPr>
              <w:widowControl/>
              <w:jc w:val="left"/>
              <w:rPr>
                <w:rFonts w:hint="eastAsia" w:ascii="仿宋" w:hAnsi="仿宋" w:eastAsia="仿宋" w:cs="仿宋"/>
                <w:color w:val="auto"/>
                <w:kern w:val="0"/>
                <w:sz w:val="24"/>
                <w:highlight w:val="none"/>
              </w:rPr>
            </w:pPr>
          </w:p>
        </w:tc>
        <w:tc>
          <w:tcPr>
            <w:tcW w:w="1560" w:type="dxa"/>
            <w:vAlign w:val="center"/>
          </w:tcPr>
          <w:p w14:paraId="1715E65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52449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D4E2A2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723823A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3F08AFA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7F078B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22D64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FF76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61FCF5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C79F6E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F0D4F3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41402DC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4121AB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42C4544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516E81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ABEE602">
            <w:pPr>
              <w:widowControl/>
              <w:jc w:val="left"/>
              <w:rPr>
                <w:rFonts w:hint="eastAsia" w:ascii="仿宋" w:hAnsi="仿宋" w:eastAsia="仿宋" w:cs="仿宋"/>
                <w:color w:val="auto"/>
                <w:kern w:val="0"/>
                <w:sz w:val="24"/>
                <w:highlight w:val="none"/>
              </w:rPr>
            </w:pPr>
          </w:p>
        </w:tc>
        <w:tc>
          <w:tcPr>
            <w:tcW w:w="1560" w:type="dxa"/>
            <w:vAlign w:val="center"/>
          </w:tcPr>
          <w:p w14:paraId="6798E5E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3E9168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04FC2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086B3E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065339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3FD7F8F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508F06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8B1299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520597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0B9755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01411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44110C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373C71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7D02721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3C3FC8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0ADFE7A">
            <w:pPr>
              <w:widowControl/>
              <w:jc w:val="left"/>
              <w:rPr>
                <w:rFonts w:hint="eastAsia" w:ascii="仿宋" w:hAnsi="仿宋" w:eastAsia="仿宋" w:cs="仿宋"/>
                <w:color w:val="auto"/>
                <w:kern w:val="0"/>
                <w:sz w:val="24"/>
                <w:highlight w:val="none"/>
              </w:rPr>
            </w:pPr>
          </w:p>
        </w:tc>
        <w:tc>
          <w:tcPr>
            <w:tcW w:w="1560" w:type="dxa"/>
            <w:vAlign w:val="center"/>
          </w:tcPr>
          <w:p w14:paraId="4087C8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7A9B9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BE1E0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768912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3FFB7B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41B516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2A58F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8F162C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6CFDC2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406D8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A92841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5C63F3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61E5B4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25EF1A5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5239A0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EF92AA">
            <w:pPr>
              <w:widowControl/>
              <w:jc w:val="left"/>
              <w:rPr>
                <w:rFonts w:hint="eastAsia" w:ascii="仿宋" w:hAnsi="仿宋" w:eastAsia="仿宋" w:cs="仿宋"/>
                <w:color w:val="auto"/>
                <w:kern w:val="0"/>
                <w:sz w:val="24"/>
                <w:highlight w:val="none"/>
              </w:rPr>
            </w:pPr>
          </w:p>
        </w:tc>
        <w:tc>
          <w:tcPr>
            <w:tcW w:w="1560" w:type="dxa"/>
            <w:vAlign w:val="center"/>
          </w:tcPr>
          <w:p w14:paraId="0C16A0C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0AEC1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D5531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30D87A7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3E19E7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919829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C9B87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9049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69CB6DF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70D8A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261012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3BC43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2AF42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54B2A2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39CA1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29524A1">
            <w:pPr>
              <w:widowControl/>
              <w:jc w:val="left"/>
              <w:rPr>
                <w:rFonts w:hint="eastAsia" w:ascii="仿宋" w:hAnsi="仿宋" w:eastAsia="仿宋" w:cs="仿宋"/>
                <w:color w:val="auto"/>
                <w:kern w:val="0"/>
                <w:sz w:val="24"/>
                <w:highlight w:val="none"/>
              </w:rPr>
            </w:pPr>
          </w:p>
        </w:tc>
        <w:tc>
          <w:tcPr>
            <w:tcW w:w="1560" w:type="dxa"/>
            <w:vAlign w:val="center"/>
          </w:tcPr>
          <w:p w14:paraId="6FA957B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DA253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E0F3F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696AE91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44E2156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05685D1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F15E0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69670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5167DB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A4ED7F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CB914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CBFEFE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D0176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3A99FE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0C98BB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85CE35">
            <w:pPr>
              <w:widowControl/>
              <w:jc w:val="left"/>
              <w:rPr>
                <w:rFonts w:hint="eastAsia" w:ascii="仿宋" w:hAnsi="仿宋" w:eastAsia="仿宋" w:cs="仿宋"/>
                <w:color w:val="auto"/>
                <w:kern w:val="0"/>
                <w:sz w:val="24"/>
                <w:highlight w:val="none"/>
              </w:rPr>
            </w:pPr>
          </w:p>
        </w:tc>
        <w:tc>
          <w:tcPr>
            <w:tcW w:w="1560" w:type="dxa"/>
            <w:vAlign w:val="center"/>
          </w:tcPr>
          <w:p w14:paraId="3DA0D59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F26180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4086D1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7BBBCD1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044CC86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54854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C28F2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B4715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11ADB0E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192E2D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5BAA9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55EB4F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130416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3FE6709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7CF11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5D42AAA">
            <w:pPr>
              <w:widowControl/>
              <w:jc w:val="left"/>
              <w:rPr>
                <w:rFonts w:hint="eastAsia" w:ascii="仿宋" w:hAnsi="仿宋" w:eastAsia="仿宋" w:cs="仿宋"/>
                <w:color w:val="auto"/>
                <w:kern w:val="0"/>
                <w:sz w:val="24"/>
                <w:highlight w:val="none"/>
              </w:rPr>
            </w:pPr>
          </w:p>
        </w:tc>
        <w:tc>
          <w:tcPr>
            <w:tcW w:w="1560" w:type="dxa"/>
            <w:vAlign w:val="center"/>
          </w:tcPr>
          <w:p w14:paraId="5238D4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B7A35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DE4BC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7CC2A5B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35A5D9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5A92BB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69424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A1A28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51621E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41BEA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A4A8D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960A3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945E2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B2EEE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A91D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0DAD29A">
            <w:pPr>
              <w:widowControl/>
              <w:jc w:val="left"/>
              <w:rPr>
                <w:rFonts w:hint="eastAsia" w:ascii="仿宋" w:hAnsi="仿宋" w:eastAsia="仿宋" w:cs="仿宋"/>
                <w:color w:val="auto"/>
                <w:kern w:val="0"/>
                <w:sz w:val="24"/>
                <w:highlight w:val="none"/>
              </w:rPr>
            </w:pPr>
          </w:p>
        </w:tc>
        <w:tc>
          <w:tcPr>
            <w:tcW w:w="1560" w:type="dxa"/>
            <w:vAlign w:val="center"/>
          </w:tcPr>
          <w:p w14:paraId="33C7D3E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4EDDB4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0F3D6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2D5D46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128076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786999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779FA2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6709AE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16F0C4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FB7D9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D8E48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2727BB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1FD08E2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3CA4B2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1361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6F42D0D">
            <w:pPr>
              <w:widowControl/>
              <w:jc w:val="left"/>
              <w:rPr>
                <w:rFonts w:hint="eastAsia" w:ascii="仿宋" w:hAnsi="仿宋" w:eastAsia="仿宋" w:cs="仿宋"/>
                <w:color w:val="auto"/>
                <w:kern w:val="0"/>
                <w:sz w:val="24"/>
                <w:highlight w:val="none"/>
              </w:rPr>
            </w:pPr>
          </w:p>
        </w:tc>
        <w:tc>
          <w:tcPr>
            <w:tcW w:w="1560" w:type="dxa"/>
            <w:vAlign w:val="center"/>
          </w:tcPr>
          <w:p w14:paraId="2141BE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39D4F3E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9C9CF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2CBF21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3DC774E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7433CE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2C181D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E4A44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2939CE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F32FF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7B142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5EBAC87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1F0305A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5B0836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4E86C7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FA97EC0">
            <w:pPr>
              <w:widowControl/>
              <w:jc w:val="left"/>
              <w:rPr>
                <w:rFonts w:hint="eastAsia" w:ascii="仿宋" w:hAnsi="仿宋" w:eastAsia="仿宋" w:cs="仿宋"/>
                <w:color w:val="auto"/>
                <w:kern w:val="0"/>
                <w:sz w:val="24"/>
                <w:highlight w:val="none"/>
              </w:rPr>
            </w:pPr>
          </w:p>
        </w:tc>
        <w:tc>
          <w:tcPr>
            <w:tcW w:w="1560" w:type="dxa"/>
            <w:vAlign w:val="center"/>
          </w:tcPr>
          <w:p w14:paraId="31B4DA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630801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D93FA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32A34B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79E47BB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2A53BD0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2785C3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8D0DC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6CED403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6C7F8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2688A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024D48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4BCAE4A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30C570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C0FE5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3AA1B8F">
            <w:pPr>
              <w:widowControl/>
              <w:jc w:val="left"/>
              <w:rPr>
                <w:rFonts w:hint="eastAsia" w:ascii="仿宋" w:hAnsi="仿宋" w:eastAsia="仿宋" w:cs="仿宋"/>
                <w:color w:val="auto"/>
                <w:kern w:val="0"/>
                <w:sz w:val="24"/>
                <w:highlight w:val="none"/>
              </w:rPr>
            </w:pPr>
          </w:p>
        </w:tc>
        <w:tc>
          <w:tcPr>
            <w:tcW w:w="1560" w:type="dxa"/>
            <w:vAlign w:val="center"/>
          </w:tcPr>
          <w:p w14:paraId="0C9FD8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44C4E6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13D99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064B94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1B1094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34ECA9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3BB130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EFD019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1A5D8A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A85CC8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9BB9AB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0078640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718CE7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FD1F4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197BC0B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30F33E1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691D0A7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0CD832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138642A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350CEA4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AD33EA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6659012E">
      <w:pPr>
        <w:widowControl/>
        <w:jc w:val="left"/>
        <w:rPr>
          <w:rFonts w:hint="eastAsia" w:ascii="仿宋" w:hAnsi="仿宋" w:eastAsia="仿宋" w:cs="仿宋"/>
          <w:color w:val="auto"/>
          <w:kern w:val="0"/>
          <w:sz w:val="24"/>
          <w:highlight w:val="none"/>
        </w:rPr>
      </w:pPr>
    </w:p>
    <w:p w14:paraId="031706BE">
      <w:pPr>
        <w:widowControl/>
        <w:jc w:val="left"/>
        <w:rPr>
          <w:rFonts w:hint="eastAsia" w:ascii="仿宋" w:hAnsi="仿宋" w:eastAsia="仿宋" w:cs="仿宋"/>
          <w:color w:val="auto"/>
          <w:kern w:val="0"/>
          <w:sz w:val="24"/>
          <w:highlight w:val="none"/>
        </w:rPr>
      </w:pPr>
    </w:p>
    <w:p w14:paraId="1E728A2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1F07E7A5">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0B98F60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096B31DF">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ED38223">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27F2544B">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D87E0AC">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481364EB">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仓储业所包括的行业中类，根据《国民经济行业分类》（GB/T4754—2017）调整为“通用仓储，低温仓储，危险品仓储，谷物、棉花等农产品仓储，中药材仓储和其他仓储业”。</w:t>
      </w:r>
    </w:p>
    <w:p w14:paraId="0E0C9C8D">
      <w:pPr>
        <w:widowControl/>
        <w:jc w:val="left"/>
        <w:rPr>
          <w:rFonts w:hint="eastAsia" w:ascii="仿宋" w:hAnsi="仿宋" w:eastAsia="仿宋" w:cs="仿宋"/>
          <w:color w:val="auto"/>
          <w:kern w:val="0"/>
          <w:sz w:val="18"/>
          <w:szCs w:val="18"/>
          <w:highlight w:val="none"/>
        </w:rPr>
      </w:pPr>
    </w:p>
    <w:p w14:paraId="22289F59">
      <w:pPr>
        <w:widowControl/>
        <w:jc w:val="left"/>
        <w:rPr>
          <w:rFonts w:hint="eastAsia" w:ascii="仿宋" w:hAnsi="仿宋" w:eastAsia="仿宋" w:cs="仿宋"/>
          <w:color w:val="auto"/>
          <w:kern w:val="0"/>
          <w:sz w:val="18"/>
          <w:szCs w:val="18"/>
          <w:highlight w:val="none"/>
        </w:rPr>
      </w:pPr>
    </w:p>
    <w:p w14:paraId="211A50C2">
      <w:pPr>
        <w:widowControl/>
        <w:jc w:val="left"/>
        <w:rPr>
          <w:rFonts w:hint="eastAsia" w:ascii="仿宋" w:hAnsi="仿宋" w:eastAsia="仿宋" w:cs="仿宋"/>
          <w:color w:val="auto"/>
          <w:kern w:val="0"/>
          <w:sz w:val="18"/>
          <w:szCs w:val="18"/>
          <w:highlight w:val="none"/>
        </w:rPr>
      </w:pPr>
    </w:p>
    <w:p w14:paraId="7C6092AF">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3ED7F427">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3E8A0DE8">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07763EF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5F4B6B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14:paraId="03BAA91C">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4E594CD6">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23EC440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14:paraId="158F74A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适用范围。本规定适用于从事《国民经济行业分类》(GB/T4754-2011)中J门类（金融业）活动的企业。</w:t>
      </w:r>
    </w:p>
    <w:p w14:paraId="0E484EF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7282693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14:paraId="37135F7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五、指标标准值。依据指标标准值，将各类金融业企业划分为大、中、小、微四个规模类型，中型企业标准上限及以上的为大型企业。</w:t>
      </w:r>
    </w:p>
    <w:p w14:paraId="395F9AB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7B85FDC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5E3F3B7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29A1EC7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2C8A359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1F356F4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1E687B9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757B6D4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1430460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7EFDE94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标准值的评估和调整。金融业企业划型标准工作组毎五年对划型标准值受经济发展与通货膨胀等因素的响程度进行评估和调整。</w:t>
      </w:r>
    </w:p>
    <w:p w14:paraId="57D46A0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14:paraId="153F49C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九、 融资担保公司参照本规定中“除贷款公司、小额贷款公司、典当行以外的其他金融机构”标准划型。</w:t>
      </w:r>
    </w:p>
    <w:p w14:paraId="29AD6CE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十、本规定由人民银行会同银监会，证监会、保监会和统计局负责解释。</w:t>
      </w:r>
    </w:p>
    <w:p w14:paraId="5EA02F7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十一、本规定自发布之日起实施。</w:t>
      </w:r>
    </w:p>
    <w:p w14:paraId="220FB259">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7A77C393">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ED085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5BBD1DA2">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7B001F51">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1EF6FBFA">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5BAF92A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35B40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936DE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0A8659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33D1097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34124C2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5319B8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74F69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ACA17C">
            <w:pPr>
              <w:widowControl/>
              <w:jc w:val="left"/>
              <w:rPr>
                <w:rFonts w:hint="eastAsia" w:ascii="仿宋" w:hAnsi="仿宋" w:eastAsia="仿宋" w:cs="仿宋"/>
                <w:color w:val="auto"/>
                <w:kern w:val="0"/>
                <w:sz w:val="24"/>
                <w:highlight w:val="none"/>
              </w:rPr>
            </w:pPr>
          </w:p>
        </w:tc>
        <w:tc>
          <w:tcPr>
            <w:tcW w:w="1025" w:type="dxa"/>
            <w:vMerge w:val="continue"/>
            <w:vAlign w:val="center"/>
          </w:tcPr>
          <w:p w14:paraId="7335F965">
            <w:pPr>
              <w:widowControl/>
              <w:jc w:val="left"/>
              <w:rPr>
                <w:rFonts w:hint="eastAsia" w:ascii="仿宋" w:hAnsi="仿宋" w:eastAsia="仿宋" w:cs="仿宋"/>
                <w:color w:val="auto"/>
                <w:kern w:val="0"/>
                <w:sz w:val="24"/>
                <w:highlight w:val="none"/>
              </w:rPr>
            </w:pPr>
          </w:p>
        </w:tc>
        <w:tc>
          <w:tcPr>
            <w:tcW w:w="2836" w:type="dxa"/>
            <w:vMerge w:val="continue"/>
            <w:vAlign w:val="center"/>
          </w:tcPr>
          <w:p w14:paraId="60F89CD2">
            <w:pPr>
              <w:widowControl/>
              <w:jc w:val="left"/>
              <w:rPr>
                <w:rFonts w:hint="eastAsia" w:ascii="仿宋" w:hAnsi="仿宋" w:eastAsia="仿宋" w:cs="仿宋"/>
                <w:color w:val="auto"/>
                <w:kern w:val="0"/>
                <w:sz w:val="24"/>
                <w:highlight w:val="none"/>
              </w:rPr>
            </w:pPr>
          </w:p>
        </w:tc>
        <w:tc>
          <w:tcPr>
            <w:tcW w:w="606" w:type="dxa"/>
            <w:vAlign w:val="center"/>
          </w:tcPr>
          <w:p w14:paraId="4C6F1AA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F72241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2731F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F1769C4">
            <w:pPr>
              <w:widowControl/>
              <w:jc w:val="left"/>
              <w:rPr>
                <w:rFonts w:hint="eastAsia" w:ascii="仿宋" w:hAnsi="仿宋" w:eastAsia="仿宋" w:cs="仿宋"/>
                <w:color w:val="auto"/>
                <w:kern w:val="0"/>
                <w:sz w:val="24"/>
                <w:highlight w:val="none"/>
              </w:rPr>
            </w:pPr>
          </w:p>
        </w:tc>
        <w:tc>
          <w:tcPr>
            <w:tcW w:w="1025" w:type="dxa"/>
            <w:vMerge w:val="continue"/>
            <w:vAlign w:val="center"/>
          </w:tcPr>
          <w:p w14:paraId="4EB695E6">
            <w:pPr>
              <w:widowControl/>
              <w:jc w:val="left"/>
              <w:rPr>
                <w:rFonts w:hint="eastAsia" w:ascii="仿宋" w:hAnsi="仿宋" w:eastAsia="仿宋" w:cs="仿宋"/>
                <w:color w:val="auto"/>
                <w:kern w:val="0"/>
                <w:sz w:val="24"/>
                <w:highlight w:val="none"/>
              </w:rPr>
            </w:pPr>
          </w:p>
        </w:tc>
        <w:tc>
          <w:tcPr>
            <w:tcW w:w="2836" w:type="dxa"/>
            <w:vMerge w:val="continue"/>
            <w:vAlign w:val="center"/>
          </w:tcPr>
          <w:p w14:paraId="6670EE92">
            <w:pPr>
              <w:widowControl/>
              <w:jc w:val="left"/>
              <w:rPr>
                <w:rFonts w:hint="eastAsia" w:ascii="仿宋" w:hAnsi="仿宋" w:eastAsia="仿宋" w:cs="仿宋"/>
                <w:color w:val="auto"/>
                <w:kern w:val="0"/>
                <w:sz w:val="24"/>
                <w:highlight w:val="none"/>
              </w:rPr>
            </w:pPr>
          </w:p>
        </w:tc>
        <w:tc>
          <w:tcPr>
            <w:tcW w:w="606" w:type="dxa"/>
            <w:vAlign w:val="center"/>
          </w:tcPr>
          <w:p w14:paraId="2C66AD7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3775640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AB992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FF3F47">
            <w:pPr>
              <w:widowControl/>
              <w:jc w:val="left"/>
              <w:rPr>
                <w:rFonts w:hint="eastAsia" w:ascii="仿宋" w:hAnsi="仿宋" w:eastAsia="仿宋" w:cs="仿宋"/>
                <w:color w:val="auto"/>
                <w:kern w:val="0"/>
                <w:sz w:val="24"/>
                <w:highlight w:val="none"/>
              </w:rPr>
            </w:pPr>
          </w:p>
        </w:tc>
        <w:tc>
          <w:tcPr>
            <w:tcW w:w="1025" w:type="dxa"/>
            <w:vMerge w:val="restart"/>
            <w:vAlign w:val="center"/>
          </w:tcPr>
          <w:p w14:paraId="340435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09D2E8B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0C25B5F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FBF33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7FA2F6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E232666">
            <w:pPr>
              <w:widowControl/>
              <w:jc w:val="left"/>
              <w:rPr>
                <w:rFonts w:hint="eastAsia" w:ascii="仿宋" w:hAnsi="仿宋" w:eastAsia="仿宋" w:cs="仿宋"/>
                <w:color w:val="auto"/>
                <w:kern w:val="0"/>
                <w:sz w:val="24"/>
                <w:highlight w:val="none"/>
              </w:rPr>
            </w:pPr>
          </w:p>
        </w:tc>
        <w:tc>
          <w:tcPr>
            <w:tcW w:w="1025" w:type="dxa"/>
            <w:vMerge w:val="continue"/>
            <w:vAlign w:val="center"/>
          </w:tcPr>
          <w:p w14:paraId="63AD60A9">
            <w:pPr>
              <w:widowControl/>
              <w:jc w:val="left"/>
              <w:rPr>
                <w:rFonts w:hint="eastAsia" w:ascii="仿宋" w:hAnsi="仿宋" w:eastAsia="仿宋" w:cs="仿宋"/>
                <w:color w:val="auto"/>
                <w:kern w:val="0"/>
                <w:sz w:val="24"/>
                <w:highlight w:val="none"/>
              </w:rPr>
            </w:pPr>
          </w:p>
        </w:tc>
        <w:tc>
          <w:tcPr>
            <w:tcW w:w="2836" w:type="dxa"/>
            <w:vMerge w:val="continue"/>
            <w:vAlign w:val="center"/>
          </w:tcPr>
          <w:p w14:paraId="2BC74B02">
            <w:pPr>
              <w:widowControl/>
              <w:jc w:val="left"/>
              <w:rPr>
                <w:rFonts w:hint="eastAsia" w:ascii="仿宋" w:hAnsi="仿宋" w:eastAsia="仿宋" w:cs="仿宋"/>
                <w:color w:val="auto"/>
                <w:kern w:val="0"/>
                <w:sz w:val="24"/>
                <w:highlight w:val="none"/>
              </w:rPr>
            </w:pPr>
          </w:p>
        </w:tc>
        <w:tc>
          <w:tcPr>
            <w:tcW w:w="606" w:type="dxa"/>
            <w:vAlign w:val="center"/>
          </w:tcPr>
          <w:p w14:paraId="74CFCD0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8F4B6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42DF3F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5534DF9">
            <w:pPr>
              <w:widowControl/>
              <w:jc w:val="left"/>
              <w:rPr>
                <w:rFonts w:hint="eastAsia" w:ascii="仿宋" w:hAnsi="仿宋" w:eastAsia="仿宋" w:cs="仿宋"/>
                <w:color w:val="auto"/>
                <w:kern w:val="0"/>
                <w:sz w:val="24"/>
                <w:highlight w:val="none"/>
              </w:rPr>
            </w:pPr>
          </w:p>
        </w:tc>
        <w:tc>
          <w:tcPr>
            <w:tcW w:w="1025" w:type="dxa"/>
            <w:vMerge w:val="continue"/>
            <w:vAlign w:val="center"/>
          </w:tcPr>
          <w:p w14:paraId="5EDA3DBB">
            <w:pPr>
              <w:widowControl/>
              <w:jc w:val="left"/>
              <w:rPr>
                <w:rFonts w:hint="eastAsia" w:ascii="仿宋" w:hAnsi="仿宋" w:eastAsia="仿宋" w:cs="仿宋"/>
                <w:color w:val="auto"/>
                <w:kern w:val="0"/>
                <w:sz w:val="24"/>
                <w:highlight w:val="none"/>
              </w:rPr>
            </w:pPr>
          </w:p>
        </w:tc>
        <w:tc>
          <w:tcPr>
            <w:tcW w:w="2836" w:type="dxa"/>
            <w:vMerge w:val="continue"/>
            <w:vAlign w:val="center"/>
          </w:tcPr>
          <w:p w14:paraId="26656AD0">
            <w:pPr>
              <w:widowControl/>
              <w:jc w:val="left"/>
              <w:rPr>
                <w:rFonts w:hint="eastAsia" w:ascii="仿宋" w:hAnsi="仿宋" w:eastAsia="仿宋" w:cs="仿宋"/>
                <w:color w:val="auto"/>
                <w:kern w:val="0"/>
                <w:sz w:val="24"/>
                <w:highlight w:val="none"/>
              </w:rPr>
            </w:pPr>
          </w:p>
        </w:tc>
        <w:tc>
          <w:tcPr>
            <w:tcW w:w="606" w:type="dxa"/>
            <w:vAlign w:val="center"/>
          </w:tcPr>
          <w:p w14:paraId="2523D68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D285DA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11EC8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CD80A5">
            <w:pPr>
              <w:widowControl/>
              <w:jc w:val="left"/>
              <w:rPr>
                <w:rFonts w:hint="eastAsia" w:ascii="仿宋" w:hAnsi="仿宋" w:eastAsia="仿宋" w:cs="仿宋"/>
                <w:color w:val="auto"/>
                <w:kern w:val="0"/>
                <w:sz w:val="24"/>
                <w:highlight w:val="none"/>
              </w:rPr>
            </w:pPr>
          </w:p>
        </w:tc>
        <w:tc>
          <w:tcPr>
            <w:tcW w:w="1025" w:type="dxa"/>
            <w:vMerge w:val="continue"/>
            <w:vAlign w:val="center"/>
          </w:tcPr>
          <w:p w14:paraId="18D1CD11">
            <w:pPr>
              <w:widowControl/>
              <w:jc w:val="left"/>
              <w:rPr>
                <w:rFonts w:hint="eastAsia" w:ascii="仿宋" w:hAnsi="仿宋" w:eastAsia="仿宋" w:cs="仿宋"/>
                <w:color w:val="auto"/>
                <w:kern w:val="0"/>
                <w:sz w:val="24"/>
                <w:highlight w:val="none"/>
              </w:rPr>
            </w:pPr>
          </w:p>
        </w:tc>
        <w:tc>
          <w:tcPr>
            <w:tcW w:w="2836" w:type="dxa"/>
            <w:vMerge w:val="restart"/>
            <w:vAlign w:val="center"/>
          </w:tcPr>
          <w:p w14:paraId="7A33100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130145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D2A13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C1925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5B695C9">
            <w:pPr>
              <w:widowControl/>
              <w:jc w:val="left"/>
              <w:rPr>
                <w:rFonts w:hint="eastAsia" w:ascii="仿宋" w:hAnsi="仿宋" w:eastAsia="仿宋" w:cs="仿宋"/>
                <w:color w:val="auto"/>
                <w:kern w:val="0"/>
                <w:sz w:val="24"/>
                <w:highlight w:val="none"/>
              </w:rPr>
            </w:pPr>
          </w:p>
        </w:tc>
        <w:tc>
          <w:tcPr>
            <w:tcW w:w="1025" w:type="dxa"/>
            <w:vMerge w:val="continue"/>
            <w:vAlign w:val="center"/>
          </w:tcPr>
          <w:p w14:paraId="4725649F">
            <w:pPr>
              <w:widowControl/>
              <w:jc w:val="left"/>
              <w:rPr>
                <w:rFonts w:hint="eastAsia" w:ascii="仿宋" w:hAnsi="仿宋" w:eastAsia="仿宋" w:cs="仿宋"/>
                <w:color w:val="auto"/>
                <w:kern w:val="0"/>
                <w:sz w:val="24"/>
                <w:highlight w:val="none"/>
              </w:rPr>
            </w:pPr>
          </w:p>
        </w:tc>
        <w:tc>
          <w:tcPr>
            <w:tcW w:w="2836" w:type="dxa"/>
            <w:vMerge w:val="continue"/>
            <w:vAlign w:val="center"/>
          </w:tcPr>
          <w:p w14:paraId="54A6B28B">
            <w:pPr>
              <w:widowControl/>
              <w:jc w:val="left"/>
              <w:rPr>
                <w:rFonts w:hint="eastAsia" w:ascii="仿宋" w:hAnsi="仿宋" w:eastAsia="仿宋" w:cs="仿宋"/>
                <w:color w:val="auto"/>
                <w:kern w:val="0"/>
                <w:sz w:val="24"/>
                <w:highlight w:val="none"/>
              </w:rPr>
            </w:pPr>
          </w:p>
        </w:tc>
        <w:tc>
          <w:tcPr>
            <w:tcW w:w="606" w:type="dxa"/>
            <w:vAlign w:val="center"/>
          </w:tcPr>
          <w:p w14:paraId="2F2801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B1CCD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4D107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FD8131">
            <w:pPr>
              <w:widowControl/>
              <w:jc w:val="left"/>
              <w:rPr>
                <w:rFonts w:hint="eastAsia" w:ascii="仿宋" w:hAnsi="仿宋" w:eastAsia="仿宋" w:cs="仿宋"/>
                <w:color w:val="auto"/>
                <w:kern w:val="0"/>
                <w:sz w:val="24"/>
                <w:highlight w:val="none"/>
              </w:rPr>
            </w:pPr>
          </w:p>
        </w:tc>
        <w:tc>
          <w:tcPr>
            <w:tcW w:w="1025" w:type="dxa"/>
            <w:vMerge w:val="continue"/>
            <w:vAlign w:val="center"/>
          </w:tcPr>
          <w:p w14:paraId="63C1F7A2">
            <w:pPr>
              <w:widowControl/>
              <w:jc w:val="left"/>
              <w:rPr>
                <w:rFonts w:hint="eastAsia" w:ascii="仿宋" w:hAnsi="仿宋" w:eastAsia="仿宋" w:cs="仿宋"/>
                <w:color w:val="auto"/>
                <w:kern w:val="0"/>
                <w:sz w:val="24"/>
                <w:highlight w:val="none"/>
              </w:rPr>
            </w:pPr>
          </w:p>
        </w:tc>
        <w:tc>
          <w:tcPr>
            <w:tcW w:w="2836" w:type="dxa"/>
            <w:vMerge w:val="continue"/>
            <w:vAlign w:val="center"/>
          </w:tcPr>
          <w:p w14:paraId="4ADE6656">
            <w:pPr>
              <w:widowControl/>
              <w:jc w:val="left"/>
              <w:rPr>
                <w:rFonts w:hint="eastAsia" w:ascii="仿宋" w:hAnsi="仿宋" w:eastAsia="仿宋" w:cs="仿宋"/>
                <w:color w:val="auto"/>
                <w:kern w:val="0"/>
                <w:sz w:val="24"/>
                <w:highlight w:val="none"/>
              </w:rPr>
            </w:pPr>
          </w:p>
        </w:tc>
        <w:tc>
          <w:tcPr>
            <w:tcW w:w="606" w:type="dxa"/>
            <w:vAlign w:val="center"/>
          </w:tcPr>
          <w:p w14:paraId="3FCD042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DA91C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1851D0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E42803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06DF318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0975F0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57EF4E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6E28A7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BD8672E">
            <w:pPr>
              <w:widowControl/>
              <w:jc w:val="left"/>
              <w:rPr>
                <w:rFonts w:hint="eastAsia" w:ascii="仿宋" w:hAnsi="仿宋" w:eastAsia="仿宋" w:cs="仿宋"/>
                <w:color w:val="auto"/>
                <w:kern w:val="0"/>
                <w:sz w:val="24"/>
                <w:highlight w:val="none"/>
              </w:rPr>
            </w:pPr>
          </w:p>
        </w:tc>
        <w:tc>
          <w:tcPr>
            <w:tcW w:w="2836" w:type="dxa"/>
            <w:vMerge w:val="continue"/>
            <w:vAlign w:val="center"/>
          </w:tcPr>
          <w:p w14:paraId="1E0FEA15">
            <w:pPr>
              <w:widowControl/>
              <w:jc w:val="left"/>
              <w:rPr>
                <w:rFonts w:hint="eastAsia" w:ascii="仿宋" w:hAnsi="仿宋" w:eastAsia="仿宋" w:cs="仿宋"/>
                <w:color w:val="auto"/>
                <w:kern w:val="0"/>
                <w:sz w:val="24"/>
                <w:highlight w:val="none"/>
              </w:rPr>
            </w:pPr>
          </w:p>
        </w:tc>
        <w:tc>
          <w:tcPr>
            <w:tcW w:w="606" w:type="dxa"/>
            <w:vAlign w:val="center"/>
          </w:tcPr>
          <w:p w14:paraId="74F478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D8592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7397A3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3AC23C6">
            <w:pPr>
              <w:widowControl/>
              <w:jc w:val="left"/>
              <w:rPr>
                <w:rFonts w:hint="eastAsia" w:ascii="仿宋" w:hAnsi="仿宋" w:eastAsia="仿宋" w:cs="仿宋"/>
                <w:color w:val="auto"/>
                <w:kern w:val="0"/>
                <w:sz w:val="24"/>
                <w:highlight w:val="none"/>
              </w:rPr>
            </w:pPr>
          </w:p>
        </w:tc>
        <w:tc>
          <w:tcPr>
            <w:tcW w:w="2836" w:type="dxa"/>
            <w:vMerge w:val="continue"/>
            <w:vAlign w:val="center"/>
          </w:tcPr>
          <w:p w14:paraId="141829FA">
            <w:pPr>
              <w:widowControl/>
              <w:jc w:val="left"/>
              <w:rPr>
                <w:rFonts w:hint="eastAsia" w:ascii="仿宋" w:hAnsi="仿宋" w:eastAsia="仿宋" w:cs="仿宋"/>
                <w:color w:val="auto"/>
                <w:kern w:val="0"/>
                <w:sz w:val="24"/>
                <w:highlight w:val="none"/>
              </w:rPr>
            </w:pPr>
          </w:p>
        </w:tc>
        <w:tc>
          <w:tcPr>
            <w:tcW w:w="606" w:type="dxa"/>
            <w:vAlign w:val="center"/>
          </w:tcPr>
          <w:p w14:paraId="55990E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91404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7B683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FC79C4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2BCF9B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54ABBB6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FF887D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2DC15C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8D07726">
            <w:pPr>
              <w:widowControl/>
              <w:jc w:val="left"/>
              <w:rPr>
                <w:rFonts w:hint="eastAsia" w:ascii="仿宋" w:hAnsi="仿宋" w:eastAsia="仿宋" w:cs="仿宋"/>
                <w:color w:val="auto"/>
                <w:kern w:val="0"/>
                <w:sz w:val="24"/>
                <w:highlight w:val="none"/>
              </w:rPr>
            </w:pPr>
          </w:p>
        </w:tc>
        <w:tc>
          <w:tcPr>
            <w:tcW w:w="2836" w:type="dxa"/>
            <w:vMerge w:val="continue"/>
            <w:vAlign w:val="center"/>
          </w:tcPr>
          <w:p w14:paraId="01EF4C24">
            <w:pPr>
              <w:widowControl/>
              <w:jc w:val="left"/>
              <w:rPr>
                <w:rFonts w:hint="eastAsia" w:ascii="仿宋" w:hAnsi="仿宋" w:eastAsia="仿宋" w:cs="仿宋"/>
                <w:color w:val="auto"/>
                <w:kern w:val="0"/>
                <w:sz w:val="24"/>
                <w:highlight w:val="none"/>
              </w:rPr>
            </w:pPr>
          </w:p>
        </w:tc>
        <w:tc>
          <w:tcPr>
            <w:tcW w:w="606" w:type="dxa"/>
            <w:vAlign w:val="center"/>
          </w:tcPr>
          <w:p w14:paraId="6A7880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4E23C8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573A9D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E6B2D10">
            <w:pPr>
              <w:widowControl/>
              <w:jc w:val="left"/>
              <w:rPr>
                <w:rFonts w:hint="eastAsia" w:ascii="仿宋" w:hAnsi="仿宋" w:eastAsia="仿宋" w:cs="仿宋"/>
                <w:color w:val="auto"/>
                <w:kern w:val="0"/>
                <w:sz w:val="24"/>
                <w:highlight w:val="none"/>
              </w:rPr>
            </w:pPr>
          </w:p>
        </w:tc>
        <w:tc>
          <w:tcPr>
            <w:tcW w:w="2836" w:type="dxa"/>
            <w:vMerge w:val="continue"/>
            <w:vAlign w:val="center"/>
          </w:tcPr>
          <w:p w14:paraId="0F4EC908">
            <w:pPr>
              <w:widowControl/>
              <w:jc w:val="left"/>
              <w:rPr>
                <w:rFonts w:hint="eastAsia" w:ascii="仿宋" w:hAnsi="仿宋" w:eastAsia="仿宋" w:cs="仿宋"/>
                <w:color w:val="auto"/>
                <w:kern w:val="0"/>
                <w:sz w:val="24"/>
                <w:highlight w:val="none"/>
              </w:rPr>
            </w:pPr>
          </w:p>
        </w:tc>
        <w:tc>
          <w:tcPr>
            <w:tcW w:w="606" w:type="dxa"/>
            <w:vAlign w:val="center"/>
          </w:tcPr>
          <w:p w14:paraId="4173DE9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474395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7F34AA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24704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75932DC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2520388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69F2F5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603E4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2E00A2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BF1169F">
            <w:pPr>
              <w:widowControl/>
              <w:jc w:val="left"/>
              <w:rPr>
                <w:rFonts w:hint="eastAsia" w:ascii="仿宋" w:hAnsi="仿宋" w:eastAsia="仿宋" w:cs="仿宋"/>
                <w:color w:val="auto"/>
                <w:kern w:val="0"/>
                <w:sz w:val="24"/>
                <w:highlight w:val="none"/>
              </w:rPr>
            </w:pPr>
          </w:p>
        </w:tc>
        <w:tc>
          <w:tcPr>
            <w:tcW w:w="1025" w:type="dxa"/>
            <w:vMerge w:val="continue"/>
            <w:vAlign w:val="center"/>
          </w:tcPr>
          <w:p w14:paraId="0A3E5289">
            <w:pPr>
              <w:widowControl/>
              <w:jc w:val="left"/>
              <w:rPr>
                <w:rFonts w:hint="eastAsia" w:ascii="仿宋" w:hAnsi="仿宋" w:eastAsia="仿宋" w:cs="仿宋"/>
                <w:color w:val="auto"/>
                <w:kern w:val="0"/>
                <w:sz w:val="24"/>
                <w:highlight w:val="none"/>
              </w:rPr>
            </w:pPr>
          </w:p>
        </w:tc>
        <w:tc>
          <w:tcPr>
            <w:tcW w:w="2836" w:type="dxa"/>
            <w:vMerge w:val="continue"/>
            <w:vAlign w:val="center"/>
          </w:tcPr>
          <w:p w14:paraId="48673E18">
            <w:pPr>
              <w:widowControl/>
              <w:jc w:val="left"/>
              <w:rPr>
                <w:rFonts w:hint="eastAsia" w:ascii="仿宋" w:hAnsi="仿宋" w:eastAsia="仿宋" w:cs="仿宋"/>
                <w:color w:val="auto"/>
                <w:kern w:val="0"/>
                <w:sz w:val="24"/>
                <w:highlight w:val="none"/>
              </w:rPr>
            </w:pPr>
          </w:p>
        </w:tc>
        <w:tc>
          <w:tcPr>
            <w:tcW w:w="606" w:type="dxa"/>
            <w:vAlign w:val="center"/>
          </w:tcPr>
          <w:p w14:paraId="4A0BEC1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0F2A7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5ABCE5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42A593C">
            <w:pPr>
              <w:widowControl/>
              <w:jc w:val="left"/>
              <w:rPr>
                <w:rFonts w:hint="eastAsia" w:ascii="仿宋" w:hAnsi="仿宋" w:eastAsia="仿宋" w:cs="仿宋"/>
                <w:color w:val="auto"/>
                <w:kern w:val="0"/>
                <w:sz w:val="24"/>
                <w:highlight w:val="none"/>
              </w:rPr>
            </w:pPr>
          </w:p>
        </w:tc>
        <w:tc>
          <w:tcPr>
            <w:tcW w:w="1025" w:type="dxa"/>
            <w:vMerge w:val="continue"/>
            <w:vAlign w:val="center"/>
          </w:tcPr>
          <w:p w14:paraId="44A8BC6D">
            <w:pPr>
              <w:widowControl/>
              <w:jc w:val="left"/>
              <w:rPr>
                <w:rFonts w:hint="eastAsia" w:ascii="仿宋" w:hAnsi="仿宋" w:eastAsia="仿宋" w:cs="仿宋"/>
                <w:color w:val="auto"/>
                <w:kern w:val="0"/>
                <w:sz w:val="24"/>
                <w:highlight w:val="none"/>
              </w:rPr>
            </w:pPr>
          </w:p>
        </w:tc>
        <w:tc>
          <w:tcPr>
            <w:tcW w:w="2836" w:type="dxa"/>
            <w:vMerge w:val="continue"/>
            <w:vAlign w:val="center"/>
          </w:tcPr>
          <w:p w14:paraId="7BF56EB8">
            <w:pPr>
              <w:widowControl/>
              <w:jc w:val="left"/>
              <w:rPr>
                <w:rFonts w:hint="eastAsia" w:ascii="仿宋" w:hAnsi="仿宋" w:eastAsia="仿宋" w:cs="仿宋"/>
                <w:color w:val="auto"/>
                <w:kern w:val="0"/>
                <w:sz w:val="24"/>
                <w:highlight w:val="none"/>
              </w:rPr>
            </w:pPr>
          </w:p>
        </w:tc>
        <w:tc>
          <w:tcPr>
            <w:tcW w:w="606" w:type="dxa"/>
            <w:vAlign w:val="center"/>
          </w:tcPr>
          <w:p w14:paraId="733531E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BF468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40EA18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288851">
            <w:pPr>
              <w:widowControl/>
              <w:jc w:val="left"/>
              <w:rPr>
                <w:rFonts w:hint="eastAsia" w:ascii="仿宋" w:hAnsi="仿宋" w:eastAsia="仿宋" w:cs="仿宋"/>
                <w:color w:val="auto"/>
                <w:kern w:val="0"/>
                <w:sz w:val="24"/>
                <w:highlight w:val="none"/>
              </w:rPr>
            </w:pPr>
          </w:p>
        </w:tc>
        <w:tc>
          <w:tcPr>
            <w:tcW w:w="1025" w:type="dxa"/>
            <w:vMerge w:val="restart"/>
            <w:vAlign w:val="center"/>
          </w:tcPr>
          <w:p w14:paraId="58A4EC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2E3216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35645F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B1F8E4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775360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27A01E">
            <w:pPr>
              <w:widowControl/>
              <w:jc w:val="left"/>
              <w:rPr>
                <w:rFonts w:hint="eastAsia" w:ascii="仿宋" w:hAnsi="仿宋" w:eastAsia="仿宋" w:cs="仿宋"/>
                <w:color w:val="auto"/>
                <w:kern w:val="0"/>
                <w:sz w:val="24"/>
                <w:highlight w:val="none"/>
              </w:rPr>
            </w:pPr>
          </w:p>
        </w:tc>
        <w:tc>
          <w:tcPr>
            <w:tcW w:w="1025" w:type="dxa"/>
            <w:vMerge w:val="continue"/>
            <w:vAlign w:val="center"/>
          </w:tcPr>
          <w:p w14:paraId="1D1172B1">
            <w:pPr>
              <w:widowControl/>
              <w:jc w:val="left"/>
              <w:rPr>
                <w:rFonts w:hint="eastAsia" w:ascii="仿宋" w:hAnsi="仿宋" w:eastAsia="仿宋" w:cs="仿宋"/>
                <w:color w:val="auto"/>
                <w:kern w:val="0"/>
                <w:sz w:val="24"/>
                <w:highlight w:val="none"/>
              </w:rPr>
            </w:pPr>
          </w:p>
        </w:tc>
        <w:tc>
          <w:tcPr>
            <w:tcW w:w="2836" w:type="dxa"/>
            <w:vMerge w:val="continue"/>
            <w:vAlign w:val="center"/>
          </w:tcPr>
          <w:p w14:paraId="0D74B03F">
            <w:pPr>
              <w:widowControl/>
              <w:jc w:val="left"/>
              <w:rPr>
                <w:rFonts w:hint="eastAsia" w:ascii="仿宋" w:hAnsi="仿宋" w:eastAsia="仿宋" w:cs="仿宋"/>
                <w:color w:val="auto"/>
                <w:kern w:val="0"/>
                <w:sz w:val="24"/>
                <w:highlight w:val="none"/>
              </w:rPr>
            </w:pPr>
          </w:p>
        </w:tc>
        <w:tc>
          <w:tcPr>
            <w:tcW w:w="606" w:type="dxa"/>
            <w:vAlign w:val="center"/>
          </w:tcPr>
          <w:p w14:paraId="2D7CFEF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44845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057EC7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2C3D9A0">
            <w:pPr>
              <w:widowControl/>
              <w:jc w:val="left"/>
              <w:rPr>
                <w:rFonts w:hint="eastAsia" w:ascii="仿宋" w:hAnsi="仿宋" w:eastAsia="仿宋" w:cs="仿宋"/>
                <w:color w:val="auto"/>
                <w:kern w:val="0"/>
                <w:sz w:val="24"/>
                <w:highlight w:val="none"/>
              </w:rPr>
            </w:pPr>
          </w:p>
        </w:tc>
        <w:tc>
          <w:tcPr>
            <w:tcW w:w="1025" w:type="dxa"/>
            <w:vMerge w:val="continue"/>
            <w:vAlign w:val="center"/>
          </w:tcPr>
          <w:p w14:paraId="037CC9A3">
            <w:pPr>
              <w:widowControl/>
              <w:jc w:val="left"/>
              <w:rPr>
                <w:rFonts w:hint="eastAsia" w:ascii="仿宋" w:hAnsi="仿宋" w:eastAsia="仿宋" w:cs="仿宋"/>
                <w:color w:val="auto"/>
                <w:kern w:val="0"/>
                <w:sz w:val="24"/>
                <w:highlight w:val="none"/>
              </w:rPr>
            </w:pPr>
          </w:p>
        </w:tc>
        <w:tc>
          <w:tcPr>
            <w:tcW w:w="2836" w:type="dxa"/>
            <w:vMerge w:val="continue"/>
            <w:vAlign w:val="center"/>
          </w:tcPr>
          <w:p w14:paraId="36DB43DB">
            <w:pPr>
              <w:widowControl/>
              <w:jc w:val="left"/>
              <w:rPr>
                <w:rFonts w:hint="eastAsia" w:ascii="仿宋" w:hAnsi="仿宋" w:eastAsia="仿宋" w:cs="仿宋"/>
                <w:color w:val="auto"/>
                <w:kern w:val="0"/>
                <w:sz w:val="24"/>
                <w:highlight w:val="none"/>
              </w:rPr>
            </w:pPr>
          </w:p>
        </w:tc>
        <w:tc>
          <w:tcPr>
            <w:tcW w:w="606" w:type="dxa"/>
            <w:vAlign w:val="center"/>
          </w:tcPr>
          <w:p w14:paraId="6630CD2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D3F9D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5D9E72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A467B3F">
            <w:pPr>
              <w:widowControl/>
              <w:jc w:val="left"/>
              <w:rPr>
                <w:rFonts w:hint="eastAsia" w:ascii="仿宋" w:hAnsi="仿宋" w:eastAsia="仿宋" w:cs="仿宋"/>
                <w:color w:val="auto"/>
                <w:kern w:val="0"/>
                <w:sz w:val="24"/>
                <w:highlight w:val="none"/>
              </w:rPr>
            </w:pPr>
          </w:p>
        </w:tc>
        <w:tc>
          <w:tcPr>
            <w:tcW w:w="1025" w:type="dxa"/>
            <w:vMerge w:val="restart"/>
            <w:vAlign w:val="center"/>
          </w:tcPr>
          <w:p w14:paraId="7DBA89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70E53C4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173B2D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D757E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649661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03208F">
            <w:pPr>
              <w:widowControl/>
              <w:jc w:val="left"/>
              <w:rPr>
                <w:rFonts w:hint="eastAsia" w:ascii="仿宋" w:hAnsi="仿宋" w:eastAsia="仿宋" w:cs="仿宋"/>
                <w:color w:val="auto"/>
                <w:kern w:val="0"/>
                <w:sz w:val="24"/>
                <w:highlight w:val="none"/>
              </w:rPr>
            </w:pPr>
          </w:p>
        </w:tc>
        <w:tc>
          <w:tcPr>
            <w:tcW w:w="1025" w:type="dxa"/>
            <w:vMerge w:val="continue"/>
            <w:vAlign w:val="center"/>
          </w:tcPr>
          <w:p w14:paraId="0E843B2F">
            <w:pPr>
              <w:widowControl/>
              <w:jc w:val="left"/>
              <w:rPr>
                <w:rFonts w:hint="eastAsia" w:ascii="仿宋" w:hAnsi="仿宋" w:eastAsia="仿宋" w:cs="仿宋"/>
                <w:color w:val="auto"/>
                <w:kern w:val="0"/>
                <w:sz w:val="24"/>
                <w:highlight w:val="none"/>
              </w:rPr>
            </w:pPr>
          </w:p>
        </w:tc>
        <w:tc>
          <w:tcPr>
            <w:tcW w:w="2836" w:type="dxa"/>
            <w:vMerge w:val="continue"/>
            <w:vAlign w:val="center"/>
          </w:tcPr>
          <w:p w14:paraId="7A46A4CA">
            <w:pPr>
              <w:widowControl/>
              <w:jc w:val="left"/>
              <w:rPr>
                <w:rFonts w:hint="eastAsia" w:ascii="仿宋" w:hAnsi="仿宋" w:eastAsia="仿宋" w:cs="仿宋"/>
                <w:color w:val="auto"/>
                <w:kern w:val="0"/>
                <w:sz w:val="24"/>
                <w:highlight w:val="none"/>
              </w:rPr>
            </w:pPr>
          </w:p>
        </w:tc>
        <w:tc>
          <w:tcPr>
            <w:tcW w:w="606" w:type="dxa"/>
            <w:vAlign w:val="center"/>
          </w:tcPr>
          <w:p w14:paraId="073F26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C049C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D44C5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6783B38">
            <w:pPr>
              <w:widowControl/>
              <w:jc w:val="left"/>
              <w:rPr>
                <w:rFonts w:hint="eastAsia" w:ascii="仿宋" w:hAnsi="仿宋" w:eastAsia="仿宋" w:cs="仿宋"/>
                <w:color w:val="auto"/>
                <w:kern w:val="0"/>
                <w:sz w:val="24"/>
                <w:highlight w:val="none"/>
              </w:rPr>
            </w:pPr>
          </w:p>
        </w:tc>
        <w:tc>
          <w:tcPr>
            <w:tcW w:w="1025" w:type="dxa"/>
            <w:vMerge w:val="continue"/>
            <w:vAlign w:val="center"/>
          </w:tcPr>
          <w:p w14:paraId="777827B5">
            <w:pPr>
              <w:widowControl/>
              <w:jc w:val="left"/>
              <w:rPr>
                <w:rFonts w:hint="eastAsia" w:ascii="仿宋" w:hAnsi="仿宋" w:eastAsia="仿宋" w:cs="仿宋"/>
                <w:color w:val="auto"/>
                <w:kern w:val="0"/>
                <w:sz w:val="24"/>
                <w:highlight w:val="none"/>
              </w:rPr>
            </w:pPr>
          </w:p>
        </w:tc>
        <w:tc>
          <w:tcPr>
            <w:tcW w:w="2836" w:type="dxa"/>
            <w:vMerge w:val="continue"/>
            <w:vAlign w:val="center"/>
          </w:tcPr>
          <w:p w14:paraId="36E0CED5">
            <w:pPr>
              <w:widowControl/>
              <w:jc w:val="left"/>
              <w:rPr>
                <w:rFonts w:hint="eastAsia" w:ascii="仿宋" w:hAnsi="仿宋" w:eastAsia="仿宋" w:cs="仿宋"/>
                <w:color w:val="auto"/>
                <w:kern w:val="0"/>
                <w:sz w:val="24"/>
                <w:highlight w:val="none"/>
              </w:rPr>
            </w:pPr>
          </w:p>
        </w:tc>
        <w:tc>
          <w:tcPr>
            <w:tcW w:w="606" w:type="dxa"/>
            <w:vAlign w:val="center"/>
          </w:tcPr>
          <w:p w14:paraId="2A3A18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6341C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4DD315CB">
      <w:pPr>
        <w:rPr>
          <w:rFonts w:hint="eastAsia" w:ascii="仿宋" w:hAnsi="仿宋" w:eastAsia="仿宋" w:cs="仿宋"/>
          <w:color w:val="auto"/>
          <w:sz w:val="24"/>
          <w:highlight w:val="none"/>
        </w:rPr>
      </w:pPr>
    </w:p>
    <w:p w14:paraId="55CCD994">
      <w:pPr>
        <w:ind w:firstLine="420" w:firstLineChars="200"/>
        <w:rPr>
          <w:rFonts w:hint="eastAsia" w:ascii="仿宋" w:hAnsi="仿宋" w:eastAsia="仿宋" w:cs="仿宋"/>
          <w:color w:val="auto"/>
          <w:highlight w:val="none"/>
        </w:rPr>
      </w:pPr>
    </w:p>
    <w:p w14:paraId="2738F48E">
      <w:pPr>
        <w:spacing w:line="360" w:lineRule="auto"/>
        <w:ind w:right="420"/>
        <w:rPr>
          <w:rFonts w:hint="eastAsia" w:ascii="仿宋" w:hAnsi="仿宋" w:eastAsia="仿宋" w:cs="仿宋"/>
          <w:color w:val="auto"/>
          <w:highlight w:val="none"/>
        </w:rPr>
      </w:pPr>
    </w:p>
    <w:p w14:paraId="0E5C4739">
      <w:pPr>
        <w:spacing w:line="360" w:lineRule="auto"/>
        <w:rPr>
          <w:rFonts w:hint="eastAsia" w:ascii="仿宋" w:hAnsi="仿宋" w:eastAsia="仿宋" w:cs="仿宋"/>
          <w:bCs/>
          <w:color w:val="auto"/>
          <w:sz w:val="24"/>
          <w:highlight w:val="none"/>
        </w:rPr>
      </w:pPr>
    </w:p>
    <w:sectPr>
      <w:headerReference r:id="rId10" w:type="first"/>
      <w:footerReference r:id="rId13" w:type="first"/>
      <w:headerReference r:id="rId9" w:type="default"/>
      <w:footerReference r:id="rId11" w:type="default"/>
      <w:footerReference r:id="rId12"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auto"/>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PMingLiU-ExtB"/>
    <w:panose1 w:val="02020503050405090304"/>
    <w:charset w:val="00"/>
    <w:family w:val="modern"/>
    <w:pitch w:val="default"/>
    <w:sig w:usb0="00000000" w:usb1="00000000" w:usb2="00000001" w:usb3="00000000" w:csb0="400001BF" w:csb1="DFF70000"/>
  </w:font>
  <w:font w:name="PMingLiU-ExtB">
    <w:panose1 w:val="02020500000000000000"/>
    <w:charset w:val="88"/>
    <w:family w:val="auto"/>
    <w:pitch w:val="default"/>
    <w:sig w:usb0="8000002F" w:usb1="02000008" w:usb2="00000000" w:usb3="00000000" w:csb0="00100001" w:csb1="0000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D2A57">
    <w:pPr>
      <w:pStyle w:val="41"/>
      <w:jc w:val="center"/>
      <w:rPr>
        <w:rFonts w:ascii="仿宋_GB2312" w:eastAsia="仿宋_GB2312"/>
      </w:rPr>
    </w:pPr>
  </w:p>
  <w:p w14:paraId="19629A25">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371CD">
    <w:pPr>
      <w:pStyle w:val="41"/>
      <w:jc w:val="center"/>
      <w:rPr>
        <w:rFonts w:ascii="仿宋_GB2312" w:eastAsia="仿宋_GB2312"/>
      </w:rPr>
    </w:pPr>
  </w:p>
  <w:p w14:paraId="182A1B44">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C2BA2">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7E11AC">
                          <w:pPr>
                            <w:pStyle w:val="41"/>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6C7E11AC">
                    <w:pPr>
                      <w:pStyle w:val="41"/>
                    </w:pPr>
                    <w:r>
                      <w:fldChar w:fldCharType="begin"/>
                    </w:r>
                    <w:r>
                      <w:instrText xml:space="preserve"> PAGE  \* MERGEFORMAT </w:instrText>
                    </w:r>
                    <w:r>
                      <w:fldChar w:fldCharType="separate"/>
                    </w:r>
                    <w:r>
                      <w:t>27</w:t>
                    </w:r>
                    <w:r>
                      <w:fldChar w:fldCharType="end"/>
                    </w:r>
                  </w:p>
                </w:txbxContent>
              </v:textbox>
            </v:shape>
          </w:pict>
        </mc:Fallback>
      </mc:AlternateContent>
    </w:r>
  </w:p>
  <w:p w14:paraId="02A7B5FE">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DB0E9">
    <w:pPr>
      <w:pStyle w:val="41"/>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AE5F8C">
                          <w:pPr>
                            <w:pStyle w:val="4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08AE5F8C">
                    <w:pPr>
                      <w:pStyle w:val="41"/>
                    </w:pPr>
                    <w:r>
                      <w:fldChar w:fldCharType="begin"/>
                    </w:r>
                    <w:r>
                      <w:instrText xml:space="preserve"> PAGE  \* MERGEFORMAT </w:instrText>
                    </w:r>
                    <w:r>
                      <w:fldChar w:fldCharType="separate"/>
                    </w:r>
                    <w:r>
                      <w:t>26</w:t>
                    </w:r>
                    <w:r>
                      <w:fldChar w:fldCharType="end"/>
                    </w:r>
                  </w:p>
                </w:txbxContent>
              </v:textbox>
            </v:shape>
          </w:pict>
        </mc:Fallback>
      </mc:AlternateContent>
    </w:r>
  </w:p>
  <w:p w14:paraId="266CE13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F1C87">
    <w:pPr>
      <w:pStyle w:val="41"/>
      <w:jc w:val="center"/>
      <w:rPr>
        <w:rFonts w:ascii="仿宋_GB2312" w:eastAsia="仿宋_GB2312"/>
        <w:szCs w:val="24"/>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F04504">
                          <w:pPr>
                            <w:pStyle w:val="41"/>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9F04504">
                    <w:pPr>
                      <w:pStyle w:val="41"/>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3E359">
    <w:pPr>
      <w:pStyle w:val="41"/>
      <w:framePr w:wrap="around" w:vAnchor="text" w:hAnchor="margin" w:xAlign="right" w:y="1"/>
      <w:rPr>
        <w:rStyle w:val="72"/>
      </w:rPr>
    </w:pPr>
    <w:r>
      <w:fldChar w:fldCharType="begin"/>
    </w:r>
    <w:r>
      <w:rPr>
        <w:rStyle w:val="72"/>
      </w:rPr>
      <w:instrText xml:space="preserve">PAGE  </w:instrText>
    </w:r>
    <w:r>
      <w:fldChar w:fldCharType="end"/>
    </w:r>
  </w:p>
  <w:p w14:paraId="7E368F86">
    <w:pPr>
      <w:pStyle w:val="4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289EE8">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3CC1EA">
                          <w:pPr>
                            <w:pStyle w:val="4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13CC1EA">
                    <w:pPr>
                      <w:pStyle w:val="41"/>
                    </w:pPr>
                    <w:r>
                      <w:fldChar w:fldCharType="begin"/>
                    </w:r>
                    <w:r>
                      <w:instrText xml:space="preserve"> PAGE  \* MERGEFORMAT </w:instrText>
                    </w:r>
                    <w:r>
                      <w:fldChar w:fldCharType="separate"/>
                    </w:r>
                    <w:r>
                      <w:t>49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7A039">
    <w:pPr>
      <w:pStyle w:val="42"/>
      <w:jc w:val="left"/>
      <w:rPr>
        <w:rFonts w:ascii="仿宋_GB2312" w:eastAsia="仿宋_GB2312"/>
        <w:b/>
        <w:i/>
        <w:u w:val="single"/>
      </w:rPr>
    </w:pPr>
    <w:r>
      <w:rPr>
        <w:rFonts w:hint="eastAsia"/>
      </w:rPr>
      <w:t xml:space="preserve">   </w:t>
    </w:r>
  </w:p>
  <w:p w14:paraId="0BB3F945">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370F4">
    <w:pPr>
      <w:pStyle w:val="42"/>
      <w:pBdr>
        <w:bottom w:val="none" w:color="auto" w:sz="0" w:space="1"/>
      </w:pBdr>
      <w:jc w:val="right"/>
    </w:pP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302F4B">
    <w:pPr>
      <w:pStyle w:val="42"/>
      <w:pBdr>
        <w:bottom w:val="none" w:color="auto" w:sz="0" w:space="1"/>
      </w:pBdr>
      <w:jc w:val="right"/>
      <w:rPr>
        <w:rFonts w:ascii="仿宋_GB2312" w:eastAsia="仿宋_GB2312"/>
        <w:b/>
        <w:i/>
        <w:iCs/>
        <w:u w:val="single"/>
      </w:rPr>
    </w:pPr>
    <w: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BC52E">
    <w:pPr>
      <w:pStyle w:val="42"/>
      <w:jc w:val="left"/>
      <w:rPr>
        <w:rFonts w:ascii="仿宋_GB2312" w:eastAsia="仿宋_GB2312"/>
        <w:b w:val="0"/>
        <w:i/>
        <w:sz w:val="18"/>
        <w:u w:val="single"/>
        <w:lang w:val="en-US"/>
      </w:rPr>
    </w:pPr>
  </w:p>
  <w:p w14:paraId="7AEC029E">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B87001B"/>
    <w:multiLevelType w:val="singleLevel"/>
    <w:tmpl w:val="EB87001B"/>
    <w:lvl w:ilvl="0" w:tentative="0">
      <w:start w:val="4"/>
      <w:numFmt w:val="decimal"/>
      <w:lvlText w:val="%1."/>
      <w:lvlJc w:val="left"/>
      <w:pPr>
        <w:tabs>
          <w:tab w:val="left" w:pos="312"/>
        </w:tabs>
      </w:p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53208E"/>
    <w:multiLevelType w:val="singleLevel"/>
    <w:tmpl w:val="0053208E"/>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hlNTNiMWI2MjkxZmJhNWViOWRmMzRiMGU4ZjQ4ZTIifQ=="/>
  </w:docVars>
  <w:rsids>
    <w:rsidRoot w:val="00172A27"/>
    <w:rsid w:val="00B34AC1"/>
    <w:rsid w:val="00FF47C1"/>
    <w:rsid w:val="011B78E4"/>
    <w:rsid w:val="012A6BDB"/>
    <w:rsid w:val="012D2227"/>
    <w:rsid w:val="013712F7"/>
    <w:rsid w:val="014E28AD"/>
    <w:rsid w:val="01731936"/>
    <w:rsid w:val="017E6F26"/>
    <w:rsid w:val="01B40563"/>
    <w:rsid w:val="01B42948"/>
    <w:rsid w:val="01CE57B8"/>
    <w:rsid w:val="01DF79C5"/>
    <w:rsid w:val="02025461"/>
    <w:rsid w:val="02572B53"/>
    <w:rsid w:val="026B74AB"/>
    <w:rsid w:val="02A4476B"/>
    <w:rsid w:val="02B349AE"/>
    <w:rsid w:val="02F85E46"/>
    <w:rsid w:val="031B1A0A"/>
    <w:rsid w:val="033176C9"/>
    <w:rsid w:val="033A6423"/>
    <w:rsid w:val="03537341"/>
    <w:rsid w:val="035A3F4A"/>
    <w:rsid w:val="03681C3C"/>
    <w:rsid w:val="03910FD6"/>
    <w:rsid w:val="0397158C"/>
    <w:rsid w:val="03A43768"/>
    <w:rsid w:val="03B35EB3"/>
    <w:rsid w:val="03BE0CEC"/>
    <w:rsid w:val="03C267A2"/>
    <w:rsid w:val="03CC3F79"/>
    <w:rsid w:val="03D1333D"/>
    <w:rsid w:val="03E2723E"/>
    <w:rsid w:val="04130155"/>
    <w:rsid w:val="046A27A9"/>
    <w:rsid w:val="0478689E"/>
    <w:rsid w:val="04914B02"/>
    <w:rsid w:val="04B0621C"/>
    <w:rsid w:val="0512299B"/>
    <w:rsid w:val="05785BDD"/>
    <w:rsid w:val="05CA44E8"/>
    <w:rsid w:val="05D47115"/>
    <w:rsid w:val="05F03280"/>
    <w:rsid w:val="060519C4"/>
    <w:rsid w:val="063A78C0"/>
    <w:rsid w:val="064029FC"/>
    <w:rsid w:val="06563AE1"/>
    <w:rsid w:val="066C57D4"/>
    <w:rsid w:val="068723D9"/>
    <w:rsid w:val="06A25D50"/>
    <w:rsid w:val="06B21FAE"/>
    <w:rsid w:val="07074D4B"/>
    <w:rsid w:val="070E6657"/>
    <w:rsid w:val="07470F48"/>
    <w:rsid w:val="07645999"/>
    <w:rsid w:val="077C1E70"/>
    <w:rsid w:val="077E558A"/>
    <w:rsid w:val="07852DBD"/>
    <w:rsid w:val="078A0D82"/>
    <w:rsid w:val="079554EC"/>
    <w:rsid w:val="07A64FBB"/>
    <w:rsid w:val="07B02F55"/>
    <w:rsid w:val="07F67C52"/>
    <w:rsid w:val="082320BB"/>
    <w:rsid w:val="083B1090"/>
    <w:rsid w:val="084367D4"/>
    <w:rsid w:val="08471E20"/>
    <w:rsid w:val="08CB596A"/>
    <w:rsid w:val="08DA0EE6"/>
    <w:rsid w:val="08E104C7"/>
    <w:rsid w:val="08E25E9D"/>
    <w:rsid w:val="08FD46E8"/>
    <w:rsid w:val="08FF6B9F"/>
    <w:rsid w:val="092108C3"/>
    <w:rsid w:val="09306D58"/>
    <w:rsid w:val="09436C00"/>
    <w:rsid w:val="09465165"/>
    <w:rsid w:val="097B2056"/>
    <w:rsid w:val="09842713"/>
    <w:rsid w:val="098827C8"/>
    <w:rsid w:val="099C619C"/>
    <w:rsid w:val="09D32D2B"/>
    <w:rsid w:val="0A1A3B9F"/>
    <w:rsid w:val="0A324109"/>
    <w:rsid w:val="0A3E54A5"/>
    <w:rsid w:val="0A950E17"/>
    <w:rsid w:val="0AA3355A"/>
    <w:rsid w:val="0AA96DC2"/>
    <w:rsid w:val="0AC97464"/>
    <w:rsid w:val="0B064214"/>
    <w:rsid w:val="0B065FC2"/>
    <w:rsid w:val="0B1B1595"/>
    <w:rsid w:val="0B412664"/>
    <w:rsid w:val="0B666A61"/>
    <w:rsid w:val="0B941820"/>
    <w:rsid w:val="0B9A495D"/>
    <w:rsid w:val="0BA70938"/>
    <w:rsid w:val="0BC727C6"/>
    <w:rsid w:val="0BD936D7"/>
    <w:rsid w:val="0BE455FE"/>
    <w:rsid w:val="0BED7182"/>
    <w:rsid w:val="0BEF07CB"/>
    <w:rsid w:val="0C1D1389"/>
    <w:rsid w:val="0C46551C"/>
    <w:rsid w:val="0C4F369E"/>
    <w:rsid w:val="0CEE4F60"/>
    <w:rsid w:val="0D411534"/>
    <w:rsid w:val="0D434693"/>
    <w:rsid w:val="0D532E09"/>
    <w:rsid w:val="0DAA6D09"/>
    <w:rsid w:val="0DC12675"/>
    <w:rsid w:val="0DFB7091"/>
    <w:rsid w:val="0E2A021A"/>
    <w:rsid w:val="0E3C6461"/>
    <w:rsid w:val="0E552DBD"/>
    <w:rsid w:val="0E771DFA"/>
    <w:rsid w:val="0E7C79F0"/>
    <w:rsid w:val="0EA94A2F"/>
    <w:rsid w:val="0F046FF2"/>
    <w:rsid w:val="0F096B8F"/>
    <w:rsid w:val="0F3A02DE"/>
    <w:rsid w:val="0F63063F"/>
    <w:rsid w:val="0F76123D"/>
    <w:rsid w:val="0FA81DE2"/>
    <w:rsid w:val="0FAB0EE6"/>
    <w:rsid w:val="0FB35FED"/>
    <w:rsid w:val="0FBF9BD6"/>
    <w:rsid w:val="0FD416B1"/>
    <w:rsid w:val="0FD6408A"/>
    <w:rsid w:val="0FEF171B"/>
    <w:rsid w:val="0FF64531"/>
    <w:rsid w:val="0FFD54BA"/>
    <w:rsid w:val="10861954"/>
    <w:rsid w:val="1092303F"/>
    <w:rsid w:val="10953945"/>
    <w:rsid w:val="114F1320"/>
    <w:rsid w:val="116E041E"/>
    <w:rsid w:val="118C679D"/>
    <w:rsid w:val="11A4040E"/>
    <w:rsid w:val="11AF4B82"/>
    <w:rsid w:val="12274A70"/>
    <w:rsid w:val="122A33BD"/>
    <w:rsid w:val="130628D8"/>
    <w:rsid w:val="132822F9"/>
    <w:rsid w:val="13712447"/>
    <w:rsid w:val="137A38FF"/>
    <w:rsid w:val="13904FC3"/>
    <w:rsid w:val="13A303FD"/>
    <w:rsid w:val="13E677A1"/>
    <w:rsid w:val="145E6E6F"/>
    <w:rsid w:val="14787805"/>
    <w:rsid w:val="147C5547"/>
    <w:rsid w:val="148166BA"/>
    <w:rsid w:val="14A449C1"/>
    <w:rsid w:val="14AD74AF"/>
    <w:rsid w:val="14B44CE1"/>
    <w:rsid w:val="14EF1875"/>
    <w:rsid w:val="152DC506"/>
    <w:rsid w:val="153951E6"/>
    <w:rsid w:val="155E6AD3"/>
    <w:rsid w:val="156009C5"/>
    <w:rsid w:val="15796B4E"/>
    <w:rsid w:val="158E3DE7"/>
    <w:rsid w:val="1598015F"/>
    <w:rsid w:val="15AB710C"/>
    <w:rsid w:val="165E747B"/>
    <w:rsid w:val="166167A3"/>
    <w:rsid w:val="16797378"/>
    <w:rsid w:val="16900E36"/>
    <w:rsid w:val="16A11295"/>
    <w:rsid w:val="16B56AEF"/>
    <w:rsid w:val="16BE59A3"/>
    <w:rsid w:val="1700420E"/>
    <w:rsid w:val="17070FBA"/>
    <w:rsid w:val="170D06D9"/>
    <w:rsid w:val="17397720"/>
    <w:rsid w:val="17435EA8"/>
    <w:rsid w:val="17544559"/>
    <w:rsid w:val="17740758"/>
    <w:rsid w:val="17991F6C"/>
    <w:rsid w:val="17DA25AD"/>
    <w:rsid w:val="17E10BD4"/>
    <w:rsid w:val="18272DAA"/>
    <w:rsid w:val="182A1A90"/>
    <w:rsid w:val="183E4E91"/>
    <w:rsid w:val="18736C61"/>
    <w:rsid w:val="18864252"/>
    <w:rsid w:val="18876269"/>
    <w:rsid w:val="18A46E1B"/>
    <w:rsid w:val="18CD4D57"/>
    <w:rsid w:val="18DC7CA7"/>
    <w:rsid w:val="18E60774"/>
    <w:rsid w:val="18FE652B"/>
    <w:rsid w:val="193463F1"/>
    <w:rsid w:val="193471C9"/>
    <w:rsid w:val="1941466A"/>
    <w:rsid w:val="19726F19"/>
    <w:rsid w:val="19803DDB"/>
    <w:rsid w:val="19BD7FA9"/>
    <w:rsid w:val="19C808E7"/>
    <w:rsid w:val="1A3E71E0"/>
    <w:rsid w:val="1A4833E8"/>
    <w:rsid w:val="1A491A28"/>
    <w:rsid w:val="1A736AA5"/>
    <w:rsid w:val="1B010674"/>
    <w:rsid w:val="1B866CAC"/>
    <w:rsid w:val="1B8847D2"/>
    <w:rsid w:val="1BBA312A"/>
    <w:rsid w:val="1BF14E41"/>
    <w:rsid w:val="1BF22332"/>
    <w:rsid w:val="1C175669"/>
    <w:rsid w:val="1C930EB9"/>
    <w:rsid w:val="1CD13F56"/>
    <w:rsid w:val="1CD31A7D"/>
    <w:rsid w:val="1D1E0C8A"/>
    <w:rsid w:val="1D2300B7"/>
    <w:rsid w:val="1D291620"/>
    <w:rsid w:val="1D2F1C3B"/>
    <w:rsid w:val="1D2F75FB"/>
    <w:rsid w:val="1D537D61"/>
    <w:rsid w:val="1D6923E1"/>
    <w:rsid w:val="1D73025B"/>
    <w:rsid w:val="1D762F10"/>
    <w:rsid w:val="1D8F0099"/>
    <w:rsid w:val="1DB01DBE"/>
    <w:rsid w:val="1DD51824"/>
    <w:rsid w:val="1DDF1B3A"/>
    <w:rsid w:val="1E1660C5"/>
    <w:rsid w:val="1E2A1B70"/>
    <w:rsid w:val="1E94348E"/>
    <w:rsid w:val="1E9A15B7"/>
    <w:rsid w:val="1E9D3052"/>
    <w:rsid w:val="1EC03BAC"/>
    <w:rsid w:val="1ED55F80"/>
    <w:rsid w:val="1F0417E7"/>
    <w:rsid w:val="1F0B1394"/>
    <w:rsid w:val="1F1C3BAF"/>
    <w:rsid w:val="1F234F3D"/>
    <w:rsid w:val="1F272C96"/>
    <w:rsid w:val="1F274302"/>
    <w:rsid w:val="1F59201C"/>
    <w:rsid w:val="1F780DC2"/>
    <w:rsid w:val="1F7C363A"/>
    <w:rsid w:val="200750AC"/>
    <w:rsid w:val="2020147D"/>
    <w:rsid w:val="204643F8"/>
    <w:rsid w:val="2059673D"/>
    <w:rsid w:val="20692E24"/>
    <w:rsid w:val="20717F2A"/>
    <w:rsid w:val="207215AC"/>
    <w:rsid w:val="20781741"/>
    <w:rsid w:val="20887022"/>
    <w:rsid w:val="209239FD"/>
    <w:rsid w:val="20AD0A3C"/>
    <w:rsid w:val="20CB0BD0"/>
    <w:rsid w:val="21274A8D"/>
    <w:rsid w:val="2149055F"/>
    <w:rsid w:val="214B4867"/>
    <w:rsid w:val="215B0647"/>
    <w:rsid w:val="215D04AF"/>
    <w:rsid w:val="21AB2FC8"/>
    <w:rsid w:val="21AF0D0A"/>
    <w:rsid w:val="21B16C08"/>
    <w:rsid w:val="21D342CD"/>
    <w:rsid w:val="22237360"/>
    <w:rsid w:val="22286CD5"/>
    <w:rsid w:val="222C5B8B"/>
    <w:rsid w:val="22327245"/>
    <w:rsid w:val="223E5BEA"/>
    <w:rsid w:val="22460F43"/>
    <w:rsid w:val="229972C4"/>
    <w:rsid w:val="22A46395"/>
    <w:rsid w:val="22C04851"/>
    <w:rsid w:val="22C82B96"/>
    <w:rsid w:val="22D92F66"/>
    <w:rsid w:val="22DB5B2F"/>
    <w:rsid w:val="22F844C9"/>
    <w:rsid w:val="23046E34"/>
    <w:rsid w:val="230706D2"/>
    <w:rsid w:val="2322375E"/>
    <w:rsid w:val="235002CB"/>
    <w:rsid w:val="235F22BC"/>
    <w:rsid w:val="23696C97"/>
    <w:rsid w:val="239913B5"/>
    <w:rsid w:val="239C706C"/>
    <w:rsid w:val="23A27F0E"/>
    <w:rsid w:val="23A93537"/>
    <w:rsid w:val="23C6233B"/>
    <w:rsid w:val="242B221D"/>
    <w:rsid w:val="242C3C7B"/>
    <w:rsid w:val="242E465A"/>
    <w:rsid w:val="24432E15"/>
    <w:rsid w:val="24443260"/>
    <w:rsid w:val="2467693F"/>
    <w:rsid w:val="24870315"/>
    <w:rsid w:val="24B25078"/>
    <w:rsid w:val="24C32302"/>
    <w:rsid w:val="24F61A6A"/>
    <w:rsid w:val="2500187D"/>
    <w:rsid w:val="252512E3"/>
    <w:rsid w:val="25310FEB"/>
    <w:rsid w:val="25C9131B"/>
    <w:rsid w:val="26487037"/>
    <w:rsid w:val="264B2FCC"/>
    <w:rsid w:val="2659489A"/>
    <w:rsid w:val="268C261C"/>
    <w:rsid w:val="268F4C66"/>
    <w:rsid w:val="269F0C21"/>
    <w:rsid w:val="26ED5E31"/>
    <w:rsid w:val="26FB3D55"/>
    <w:rsid w:val="271D6716"/>
    <w:rsid w:val="27551F4C"/>
    <w:rsid w:val="275C3465"/>
    <w:rsid w:val="276339D3"/>
    <w:rsid w:val="27895E51"/>
    <w:rsid w:val="278E4F1E"/>
    <w:rsid w:val="27983FEE"/>
    <w:rsid w:val="2798746D"/>
    <w:rsid w:val="27A31E9C"/>
    <w:rsid w:val="27B4D17C"/>
    <w:rsid w:val="27C80B7B"/>
    <w:rsid w:val="280E0EF6"/>
    <w:rsid w:val="28176278"/>
    <w:rsid w:val="28245395"/>
    <w:rsid w:val="28595F19"/>
    <w:rsid w:val="287A00D4"/>
    <w:rsid w:val="28911331"/>
    <w:rsid w:val="28924EE2"/>
    <w:rsid w:val="294D7EAC"/>
    <w:rsid w:val="296C74E1"/>
    <w:rsid w:val="297168A5"/>
    <w:rsid w:val="29733D0B"/>
    <w:rsid w:val="297D524A"/>
    <w:rsid w:val="298365D8"/>
    <w:rsid w:val="2985212C"/>
    <w:rsid w:val="29916CC9"/>
    <w:rsid w:val="29A502DB"/>
    <w:rsid w:val="29B50E88"/>
    <w:rsid w:val="29D54782"/>
    <w:rsid w:val="29FD282F"/>
    <w:rsid w:val="29FF0355"/>
    <w:rsid w:val="2A281FC1"/>
    <w:rsid w:val="2A2C466D"/>
    <w:rsid w:val="2A465F84"/>
    <w:rsid w:val="2A587E6A"/>
    <w:rsid w:val="2A97058D"/>
    <w:rsid w:val="2AA333D6"/>
    <w:rsid w:val="2AC33130"/>
    <w:rsid w:val="2AC95D2C"/>
    <w:rsid w:val="2ACB46DB"/>
    <w:rsid w:val="2B114234"/>
    <w:rsid w:val="2B195446"/>
    <w:rsid w:val="2B1C5C3D"/>
    <w:rsid w:val="2B2966E6"/>
    <w:rsid w:val="2B3B0DBE"/>
    <w:rsid w:val="2B514F38"/>
    <w:rsid w:val="2B747EB1"/>
    <w:rsid w:val="2B82123D"/>
    <w:rsid w:val="2BA271EA"/>
    <w:rsid w:val="2BA61558"/>
    <w:rsid w:val="2BA77B9F"/>
    <w:rsid w:val="2BB745DB"/>
    <w:rsid w:val="2BE538F2"/>
    <w:rsid w:val="2BFA48EE"/>
    <w:rsid w:val="2BFF89C9"/>
    <w:rsid w:val="2C054218"/>
    <w:rsid w:val="2C0C6D59"/>
    <w:rsid w:val="2C1F6A8C"/>
    <w:rsid w:val="2C330E69"/>
    <w:rsid w:val="2C622E1D"/>
    <w:rsid w:val="2C844B41"/>
    <w:rsid w:val="2D0363AE"/>
    <w:rsid w:val="2D1A7254"/>
    <w:rsid w:val="2D393907"/>
    <w:rsid w:val="2D611E73"/>
    <w:rsid w:val="2DAB3E52"/>
    <w:rsid w:val="2DCE3898"/>
    <w:rsid w:val="2DEA72B8"/>
    <w:rsid w:val="2DEF41AB"/>
    <w:rsid w:val="2DF9330D"/>
    <w:rsid w:val="2E153E47"/>
    <w:rsid w:val="2E5365C6"/>
    <w:rsid w:val="2E6B020F"/>
    <w:rsid w:val="2E8157DC"/>
    <w:rsid w:val="2E846E3C"/>
    <w:rsid w:val="2E8B4AAB"/>
    <w:rsid w:val="2EBA484A"/>
    <w:rsid w:val="2EC92CDF"/>
    <w:rsid w:val="2ECA0DA1"/>
    <w:rsid w:val="2EDC2A13"/>
    <w:rsid w:val="2EDF188A"/>
    <w:rsid w:val="2F051FC5"/>
    <w:rsid w:val="2F2A1380"/>
    <w:rsid w:val="2F971D7D"/>
    <w:rsid w:val="2FA90412"/>
    <w:rsid w:val="2FAD43AF"/>
    <w:rsid w:val="2FB361F0"/>
    <w:rsid w:val="2FBB213D"/>
    <w:rsid w:val="2FE0392F"/>
    <w:rsid w:val="2FFD4A0C"/>
    <w:rsid w:val="30406FD1"/>
    <w:rsid w:val="309A4933"/>
    <w:rsid w:val="30C6397A"/>
    <w:rsid w:val="30CD01D9"/>
    <w:rsid w:val="30D758A6"/>
    <w:rsid w:val="30DF2C8E"/>
    <w:rsid w:val="311A1F18"/>
    <w:rsid w:val="31301F8B"/>
    <w:rsid w:val="31376626"/>
    <w:rsid w:val="31411253"/>
    <w:rsid w:val="315216B2"/>
    <w:rsid w:val="317B75D7"/>
    <w:rsid w:val="31815AF3"/>
    <w:rsid w:val="31C12394"/>
    <w:rsid w:val="31CC3212"/>
    <w:rsid w:val="31F14A27"/>
    <w:rsid w:val="325154C6"/>
    <w:rsid w:val="327A6CA9"/>
    <w:rsid w:val="32814191"/>
    <w:rsid w:val="328C0BF4"/>
    <w:rsid w:val="32A87D40"/>
    <w:rsid w:val="32C330EE"/>
    <w:rsid w:val="332A4581"/>
    <w:rsid w:val="334A2505"/>
    <w:rsid w:val="33536F6E"/>
    <w:rsid w:val="33AA3BD3"/>
    <w:rsid w:val="33B77F13"/>
    <w:rsid w:val="33BB353F"/>
    <w:rsid w:val="33EB4795"/>
    <w:rsid w:val="3431735D"/>
    <w:rsid w:val="3454129D"/>
    <w:rsid w:val="345B535D"/>
    <w:rsid w:val="346445BC"/>
    <w:rsid w:val="34C44675"/>
    <w:rsid w:val="34FB7470"/>
    <w:rsid w:val="350D32F3"/>
    <w:rsid w:val="35187000"/>
    <w:rsid w:val="351C625F"/>
    <w:rsid w:val="35337105"/>
    <w:rsid w:val="353F1F4D"/>
    <w:rsid w:val="3550415A"/>
    <w:rsid w:val="35647C06"/>
    <w:rsid w:val="359E4EC6"/>
    <w:rsid w:val="363E3FB3"/>
    <w:rsid w:val="364517E5"/>
    <w:rsid w:val="365332EA"/>
    <w:rsid w:val="36DA376C"/>
    <w:rsid w:val="36DB3EF8"/>
    <w:rsid w:val="36F31241"/>
    <w:rsid w:val="37076A9B"/>
    <w:rsid w:val="37092813"/>
    <w:rsid w:val="37443B2D"/>
    <w:rsid w:val="37863E63"/>
    <w:rsid w:val="37DC00A4"/>
    <w:rsid w:val="37EC4555"/>
    <w:rsid w:val="37EF1A09"/>
    <w:rsid w:val="381E0C74"/>
    <w:rsid w:val="38606463"/>
    <w:rsid w:val="38797524"/>
    <w:rsid w:val="3881462B"/>
    <w:rsid w:val="388C7258"/>
    <w:rsid w:val="389E6F8B"/>
    <w:rsid w:val="38AE355A"/>
    <w:rsid w:val="38BE5886"/>
    <w:rsid w:val="38E2085E"/>
    <w:rsid w:val="38F2046B"/>
    <w:rsid w:val="391E6CA0"/>
    <w:rsid w:val="395D29A2"/>
    <w:rsid w:val="3974760A"/>
    <w:rsid w:val="39785A2E"/>
    <w:rsid w:val="3985506D"/>
    <w:rsid w:val="398C119A"/>
    <w:rsid w:val="39912D3E"/>
    <w:rsid w:val="39E6508D"/>
    <w:rsid w:val="39F96B6F"/>
    <w:rsid w:val="3A141A1A"/>
    <w:rsid w:val="3A334E5D"/>
    <w:rsid w:val="3A7A5D7E"/>
    <w:rsid w:val="3A9643BE"/>
    <w:rsid w:val="3A9E734E"/>
    <w:rsid w:val="3AA54601"/>
    <w:rsid w:val="3ADC3D9A"/>
    <w:rsid w:val="3AEE40C4"/>
    <w:rsid w:val="3AFC57B7"/>
    <w:rsid w:val="3B031646"/>
    <w:rsid w:val="3B4B5FDE"/>
    <w:rsid w:val="3B516536"/>
    <w:rsid w:val="3B590826"/>
    <w:rsid w:val="3B5F5322"/>
    <w:rsid w:val="3B854432"/>
    <w:rsid w:val="3B883620"/>
    <w:rsid w:val="3B9823B7"/>
    <w:rsid w:val="3BAF0FED"/>
    <w:rsid w:val="3C277297"/>
    <w:rsid w:val="3C574020"/>
    <w:rsid w:val="3C5F2ED5"/>
    <w:rsid w:val="3C7C5835"/>
    <w:rsid w:val="3CCD54F2"/>
    <w:rsid w:val="3CCF1E09"/>
    <w:rsid w:val="3CD27D44"/>
    <w:rsid w:val="3CFB0E50"/>
    <w:rsid w:val="3D01041E"/>
    <w:rsid w:val="3D031AB2"/>
    <w:rsid w:val="3D18555E"/>
    <w:rsid w:val="3D2A69F0"/>
    <w:rsid w:val="3D3554F7"/>
    <w:rsid w:val="3D3954D4"/>
    <w:rsid w:val="3D3D6E92"/>
    <w:rsid w:val="3D4F2F4A"/>
    <w:rsid w:val="3D5B369C"/>
    <w:rsid w:val="3D684A0B"/>
    <w:rsid w:val="3D7306E9"/>
    <w:rsid w:val="3DAC6EDB"/>
    <w:rsid w:val="3DB01584"/>
    <w:rsid w:val="3DC56E57"/>
    <w:rsid w:val="3E0A124F"/>
    <w:rsid w:val="3E133F77"/>
    <w:rsid w:val="3E705A59"/>
    <w:rsid w:val="3E956359"/>
    <w:rsid w:val="3E9C59B1"/>
    <w:rsid w:val="3EB2553E"/>
    <w:rsid w:val="3EBE9823"/>
    <w:rsid w:val="3EC201C7"/>
    <w:rsid w:val="3ED90D1D"/>
    <w:rsid w:val="3EDE27D7"/>
    <w:rsid w:val="3EE01D9D"/>
    <w:rsid w:val="3EE84C99"/>
    <w:rsid w:val="3EFBB40A"/>
    <w:rsid w:val="3F0B7643"/>
    <w:rsid w:val="3F0D17FF"/>
    <w:rsid w:val="3F23EFB0"/>
    <w:rsid w:val="3F3B5D44"/>
    <w:rsid w:val="3F97003A"/>
    <w:rsid w:val="3FBDBEDF"/>
    <w:rsid w:val="3FBF3CE2"/>
    <w:rsid w:val="3FCA1921"/>
    <w:rsid w:val="3FEB52B2"/>
    <w:rsid w:val="3FF9878C"/>
    <w:rsid w:val="3FFBB338"/>
    <w:rsid w:val="400766F2"/>
    <w:rsid w:val="400B3158"/>
    <w:rsid w:val="40354679"/>
    <w:rsid w:val="40442B0E"/>
    <w:rsid w:val="405B6F2C"/>
    <w:rsid w:val="407C5E04"/>
    <w:rsid w:val="408569C9"/>
    <w:rsid w:val="40DA4F12"/>
    <w:rsid w:val="40F97EBF"/>
    <w:rsid w:val="410E678B"/>
    <w:rsid w:val="411575E1"/>
    <w:rsid w:val="412C782A"/>
    <w:rsid w:val="41524DB6"/>
    <w:rsid w:val="41534404"/>
    <w:rsid w:val="41815E93"/>
    <w:rsid w:val="41854814"/>
    <w:rsid w:val="41AC4782"/>
    <w:rsid w:val="41AE46E3"/>
    <w:rsid w:val="41C9353A"/>
    <w:rsid w:val="41CA1806"/>
    <w:rsid w:val="41D659E7"/>
    <w:rsid w:val="42004812"/>
    <w:rsid w:val="4205007B"/>
    <w:rsid w:val="422C5607"/>
    <w:rsid w:val="42334BE8"/>
    <w:rsid w:val="425312C5"/>
    <w:rsid w:val="427E60E8"/>
    <w:rsid w:val="42810851"/>
    <w:rsid w:val="42997141"/>
    <w:rsid w:val="42A76FC5"/>
    <w:rsid w:val="42F308B1"/>
    <w:rsid w:val="432A3542"/>
    <w:rsid w:val="4364559D"/>
    <w:rsid w:val="4366367B"/>
    <w:rsid w:val="439C62D0"/>
    <w:rsid w:val="439F6C52"/>
    <w:rsid w:val="43C23BF4"/>
    <w:rsid w:val="44095C00"/>
    <w:rsid w:val="44137C90"/>
    <w:rsid w:val="447050CA"/>
    <w:rsid w:val="449C6A74"/>
    <w:rsid w:val="44C164DB"/>
    <w:rsid w:val="44F22952"/>
    <w:rsid w:val="453C3C29"/>
    <w:rsid w:val="453E7B2C"/>
    <w:rsid w:val="45667082"/>
    <w:rsid w:val="457B225A"/>
    <w:rsid w:val="4588349D"/>
    <w:rsid w:val="459534C4"/>
    <w:rsid w:val="45C42C62"/>
    <w:rsid w:val="45D1274E"/>
    <w:rsid w:val="45DB537A"/>
    <w:rsid w:val="45E06E35"/>
    <w:rsid w:val="45E07589"/>
    <w:rsid w:val="45E83F3B"/>
    <w:rsid w:val="45F34DBA"/>
    <w:rsid w:val="46017D10"/>
    <w:rsid w:val="460C0745"/>
    <w:rsid w:val="46111969"/>
    <w:rsid w:val="465313B5"/>
    <w:rsid w:val="467557CF"/>
    <w:rsid w:val="46B341C0"/>
    <w:rsid w:val="46C16C66"/>
    <w:rsid w:val="472035D2"/>
    <w:rsid w:val="475C79A2"/>
    <w:rsid w:val="477041E8"/>
    <w:rsid w:val="477F442B"/>
    <w:rsid w:val="47856107"/>
    <w:rsid w:val="479F0B82"/>
    <w:rsid w:val="47AB19BB"/>
    <w:rsid w:val="47AD75EE"/>
    <w:rsid w:val="47C562E2"/>
    <w:rsid w:val="47D06CCE"/>
    <w:rsid w:val="48014FD4"/>
    <w:rsid w:val="483F42E6"/>
    <w:rsid w:val="48743864"/>
    <w:rsid w:val="48C71E90"/>
    <w:rsid w:val="48C72BD1"/>
    <w:rsid w:val="48D662CD"/>
    <w:rsid w:val="48F1714A"/>
    <w:rsid w:val="49320E3E"/>
    <w:rsid w:val="495A0CAC"/>
    <w:rsid w:val="49610C37"/>
    <w:rsid w:val="497A4912"/>
    <w:rsid w:val="49926698"/>
    <w:rsid w:val="4A9F106C"/>
    <w:rsid w:val="4AE658B8"/>
    <w:rsid w:val="4AEC145A"/>
    <w:rsid w:val="4AF84C20"/>
    <w:rsid w:val="4AFEE7AA"/>
    <w:rsid w:val="4B3B24B9"/>
    <w:rsid w:val="4B3D6AD7"/>
    <w:rsid w:val="4B4B4D50"/>
    <w:rsid w:val="4B4F76A7"/>
    <w:rsid w:val="4B7A70E2"/>
    <w:rsid w:val="4B9756AD"/>
    <w:rsid w:val="4B9E2CE6"/>
    <w:rsid w:val="4BC35604"/>
    <w:rsid w:val="4BDE5BC4"/>
    <w:rsid w:val="4BFFEA39"/>
    <w:rsid w:val="4C074502"/>
    <w:rsid w:val="4C0D2022"/>
    <w:rsid w:val="4C3B0461"/>
    <w:rsid w:val="4C5F2E23"/>
    <w:rsid w:val="4C621D61"/>
    <w:rsid w:val="4C6656CD"/>
    <w:rsid w:val="4C746661"/>
    <w:rsid w:val="4C79300D"/>
    <w:rsid w:val="4C83676C"/>
    <w:rsid w:val="4C9170DB"/>
    <w:rsid w:val="4C9335FB"/>
    <w:rsid w:val="4C9A3AC9"/>
    <w:rsid w:val="4CA47FA3"/>
    <w:rsid w:val="4CAE465E"/>
    <w:rsid w:val="4CC0176E"/>
    <w:rsid w:val="4CCA52D3"/>
    <w:rsid w:val="4CD62D3F"/>
    <w:rsid w:val="4CED0E58"/>
    <w:rsid w:val="4D0F7FFF"/>
    <w:rsid w:val="4D106251"/>
    <w:rsid w:val="4D2832EB"/>
    <w:rsid w:val="4D330192"/>
    <w:rsid w:val="4D381304"/>
    <w:rsid w:val="4D8101C6"/>
    <w:rsid w:val="4DA42E3E"/>
    <w:rsid w:val="4DAB514A"/>
    <w:rsid w:val="4DB841F3"/>
    <w:rsid w:val="4DBC3CE3"/>
    <w:rsid w:val="4DFA07FF"/>
    <w:rsid w:val="4DFBCC78"/>
    <w:rsid w:val="4E202280"/>
    <w:rsid w:val="4E593C28"/>
    <w:rsid w:val="4E6B6615"/>
    <w:rsid w:val="4ECA68D4"/>
    <w:rsid w:val="4ED269B9"/>
    <w:rsid w:val="4EE23C1E"/>
    <w:rsid w:val="4F0E4A13"/>
    <w:rsid w:val="4F0F2539"/>
    <w:rsid w:val="4F3B26EA"/>
    <w:rsid w:val="4F4B3D85"/>
    <w:rsid w:val="4FCF6920"/>
    <w:rsid w:val="4FD84D55"/>
    <w:rsid w:val="4FF20C57"/>
    <w:rsid w:val="4FF5172F"/>
    <w:rsid w:val="503264DF"/>
    <w:rsid w:val="50451354"/>
    <w:rsid w:val="505C768D"/>
    <w:rsid w:val="507C7C38"/>
    <w:rsid w:val="50E84DEF"/>
    <w:rsid w:val="50F70D61"/>
    <w:rsid w:val="51112598"/>
    <w:rsid w:val="51167BAE"/>
    <w:rsid w:val="5122646C"/>
    <w:rsid w:val="51257DF2"/>
    <w:rsid w:val="513F0082"/>
    <w:rsid w:val="516C3C72"/>
    <w:rsid w:val="516C5A20"/>
    <w:rsid w:val="51B573C7"/>
    <w:rsid w:val="51BE40A2"/>
    <w:rsid w:val="51E41A5B"/>
    <w:rsid w:val="520357F6"/>
    <w:rsid w:val="523ABEE3"/>
    <w:rsid w:val="523F4EE3"/>
    <w:rsid w:val="525F10E1"/>
    <w:rsid w:val="52BE22AC"/>
    <w:rsid w:val="52D153E1"/>
    <w:rsid w:val="52DC0984"/>
    <w:rsid w:val="52DF37D5"/>
    <w:rsid w:val="53095004"/>
    <w:rsid w:val="531603B6"/>
    <w:rsid w:val="534D43D7"/>
    <w:rsid w:val="535D7D17"/>
    <w:rsid w:val="537B1F4B"/>
    <w:rsid w:val="538708F0"/>
    <w:rsid w:val="538A1F90"/>
    <w:rsid w:val="53B042EA"/>
    <w:rsid w:val="53B107DB"/>
    <w:rsid w:val="53C90F08"/>
    <w:rsid w:val="53CA4102"/>
    <w:rsid w:val="53CD4284"/>
    <w:rsid w:val="53CE4770"/>
    <w:rsid w:val="53D278B5"/>
    <w:rsid w:val="53D53D51"/>
    <w:rsid w:val="53DE3680"/>
    <w:rsid w:val="53EE7EBD"/>
    <w:rsid w:val="54161C73"/>
    <w:rsid w:val="54190C85"/>
    <w:rsid w:val="545F21A9"/>
    <w:rsid w:val="549A0AF6"/>
    <w:rsid w:val="54A23691"/>
    <w:rsid w:val="54BE6593"/>
    <w:rsid w:val="54D1276A"/>
    <w:rsid w:val="54F5478A"/>
    <w:rsid w:val="5540344C"/>
    <w:rsid w:val="55456CB4"/>
    <w:rsid w:val="554A7E27"/>
    <w:rsid w:val="557B0928"/>
    <w:rsid w:val="5591749D"/>
    <w:rsid w:val="55AF412E"/>
    <w:rsid w:val="55BB5498"/>
    <w:rsid w:val="55C73B6D"/>
    <w:rsid w:val="55E97640"/>
    <w:rsid w:val="562D62EF"/>
    <w:rsid w:val="563665FD"/>
    <w:rsid w:val="56646BDD"/>
    <w:rsid w:val="5675326A"/>
    <w:rsid w:val="567B7A0D"/>
    <w:rsid w:val="56981066"/>
    <w:rsid w:val="56A7BAF1"/>
    <w:rsid w:val="56B676A3"/>
    <w:rsid w:val="56D27CC5"/>
    <w:rsid w:val="56E322E1"/>
    <w:rsid w:val="57266671"/>
    <w:rsid w:val="573174F0"/>
    <w:rsid w:val="576D2C6B"/>
    <w:rsid w:val="57723665"/>
    <w:rsid w:val="57A31A70"/>
    <w:rsid w:val="57CF6A2F"/>
    <w:rsid w:val="57DD4F82"/>
    <w:rsid w:val="585103F5"/>
    <w:rsid w:val="58533496"/>
    <w:rsid w:val="585711D8"/>
    <w:rsid w:val="58606AF0"/>
    <w:rsid w:val="58D028C0"/>
    <w:rsid w:val="58ED38EB"/>
    <w:rsid w:val="593E5EF4"/>
    <w:rsid w:val="59520BF7"/>
    <w:rsid w:val="59770627"/>
    <w:rsid w:val="5982104A"/>
    <w:rsid w:val="598D29D8"/>
    <w:rsid w:val="59FB2037"/>
    <w:rsid w:val="5A130056"/>
    <w:rsid w:val="5A880B9D"/>
    <w:rsid w:val="5A9E28C7"/>
    <w:rsid w:val="5AF423C3"/>
    <w:rsid w:val="5B2335F4"/>
    <w:rsid w:val="5B322515"/>
    <w:rsid w:val="5B394BC5"/>
    <w:rsid w:val="5B501F0F"/>
    <w:rsid w:val="5B5E3E3E"/>
    <w:rsid w:val="5B6E42E3"/>
    <w:rsid w:val="5B717BEA"/>
    <w:rsid w:val="5BC57B50"/>
    <w:rsid w:val="5BDD2A9F"/>
    <w:rsid w:val="5BE06819"/>
    <w:rsid w:val="5BE851B4"/>
    <w:rsid w:val="5BF14F23"/>
    <w:rsid w:val="5C1C6A7E"/>
    <w:rsid w:val="5C1D5B1C"/>
    <w:rsid w:val="5C1E5D13"/>
    <w:rsid w:val="5C5F2610"/>
    <w:rsid w:val="5CB5C397"/>
    <w:rsid w:val="5CD379A9"/>
    <w:rsid w:val="5CED6182"/>
    <w:rsid w:val="5D0B07E3"/>
    <w:rsid w:val="5D2031A1"/>
    <w:rsid w:val="5D2E002E"/>
    <w:rsid w:val="5D2F0E85"/>
    <w:rsid w:val="5D3A2E77"/>
    <w:rsid w:val="5D6677C8"/>
    <w:rsid w:val="5D6A4387"/>
    <w:rsid w:val="5D8258D8"/>
    <w:rsid w:val="5DAC0E28"/>
    <w:rsid w:val="5DFF7EC9"/>
    <w:rsid w:val="5E24275D"/>
    <w:rsid w:val="5E2F7D75"/>
    <w:rsid w:val="5E341674"/>
    <w:rsid w:val="5E3D4525"/>
    <w:rsid w:val="5E473A9D"/>
    <w:rsid w:val="5E554891"/>
    <w:rsid w:val="5E7843C5"/>
    <w:rsid w:val="5EE27322"/>
    <w:rsid w:val="5EE31044"/>
    <w:rsid w:val="5EF595D7"/>
    <w:rsid w:val="5F0059FA"/>
    <w:rsid w:val="5F0454EA"/>
    <w:rsid w:val="5F131BD1"/>
    <w:rsid w:val="5F396D54"/>
    <w:rsid w:val="5F447FDD"/>
    <w:rsid w:val="5F561B6F"/>
    <w:rsid w:val="5F571A27"/>
    <w:rsid w:val="5F57E5CA"/>
    <w:rsid w:val="5F5F6BC4"/>
    <w:rsid w:val="5F795ED8"/>
    <w:rsid w:val="5F9C1BC7"/>
    <w:rsid w:val="5FB5358F"/>
    <w:rsid w:val="5FB94527"/>
    <w:rsid w:val="5FBB2837"/>
    <w:rsid w:val="5FCA2158"/>
    <w:rsid w:val="5FE7AC00"/>
    <w:rsid w:val="5FEF0A80"/>
    <w:rsid w:val="601F2285"/>
    <w:rsid w:val="60BEC41F"/>
    <w:rsid w:val="60D62EB6"/>
    <w:rsid w:val="60F31CBA"/>
    <w:rsid w:val="60F35816"/>
    <w:rsid w:val="60FF240D"/>
    <w:rsid w:val="61021EFD"/>
    <w:rsid w:val="613100ED"/>
    <w:rsid w:val="61C61AE6"/>
    <w:rsid w:val="61D90EB0"/>
    <w:rsid w:val="61EF537D"/>
    <w:rsid w:val="62382A94"/>
    <w:rsid w:val="623B7475"/>
    <w:rsid w:val="626544F2"/>
    <w:rsid w:val="627C7262"/>
    <w:rsid w:val="62B4458F"/>
    <w:rsid w:val="62BD2580"/>
    <w:rsid w:val="62D31A4C"/>
    <w:rsid w:val="62D869EC"/>
    <w:rsid w:val="62F13654"/>
    <w:rsid w:val="63116428"/>
    <w:rsid w:val="63493BD5"/>
    <w:rsid w:val="634B193A"/>
    <w:rsid w:val="6353510B"/>
    <w:rsid w:val="63554566"/>
    <w:rsid w:val="63B35731"/>
    <w:rsid w:val="63BC514E"/>
    <w:rsid w:val="6416125B"/>
    <w:rsid w:val="6461518D"/>
    <w:rsid w:val="647C5B23"/>
    <w:rsid w:val="64C51278"/>
    <w:rsid w:val="64D14795"/>
    <w:rsid w:val="653077B7"/>
    <w:rsid w:val="65444B6A"/>
    <w:rsid w:val="655C7215"/>
    <w:rsid w:val="656C5B97"/>
    <w:rsid w:val="65F938CF"/>
    <w:rsid w:val="65FF6A0B"/>
    <w:rsid w:val="661E3335"/>
    <w:rsid w:val="663D275F"/>
    <w:rsid w:val="664803B2"/>
    <w:rsid w:val="666176C6"/>
    <w:rsid w:val="669C35D3"/>
    <w:rsid w:val="669E6224"/>
    <w:rsid w:val="66D4213A"/>
    <w:rsid w:val="66F33D28"/>
    <w:rsid w:val="66FA39C2"/>
    <w:rsid w:val="67345EA6"/>
    <w:rsid w:val="674072DB"/>
    <w:rsid w:val="67C41CBB"/>
    <w:rsid w:val="67C65A33"/>
    <w:rsid w:val="67E01FDE"/>
    <w:rsid w:val="67E759A9"/>
    <w:rsid w:val="681B1687"/>
    <w:rsid w:val="682D4F2F"/>
    <w:rsid w:val="68330BEE"/>
    <w:rsid w:val="68332888"/>
    <w:rsid w:val="685C1EF3"/>
    <w:rsid w:val="688A2F04"/>
    <w:rsid w:val="68A815DC"/>
    <w:rsid w:val="68AB69D7"/>
    <w:rsid w:val="68D26659"/>
    <w:rsid w:val="68F4225D"/>
    <w:rsid w:val="69665F6D"/>
    <w:rsid w:val="69B143EF"/>
    <w:rsid w:val="69F06D97"/>
    <w:rsid w:val="6A1A02B8"/>
    <w:rsid w:val="6A1D3904"/>
    <w:rsid w:val="6A222CC8"/>
    <w:rsid w:val="6A2A1419"/>
    <w:rsid w:val="6A5A4B58"/>
    <w:rsid w:val="6A6D03E7"/>
    <w:rsid w:val="6AAB7162"/>
    <w:rsid w:val="6AB25720"/>
    <w:rsid w:val="6ABF12C5"/>
    <w:rsid w:val="6AE38D72"/>
    <w:rsid w:val="6AEA7541"/>
    <w:rsid w:val="6B19314A"/>
    <w:rsid w:val="6B290F6C"/>
    <w:rsid w:val="6B361121"/>
    <w:rsid w:val="6B5E41D4"/>
    <w:rsid w:val="6B6A05EB"/>
    <w:rsid w:val="6B6A0DCB"/>
    <w:rsid w:val="6B7D7CB3"/>
    <w:rsid w:val="6B7F5892"/>
    <w:rsid w:val="6B8E2D0B"/>
    <w:rsid w:val="6BAB022C"/>
    <w:rsid w:val="6BAC75D4"/>
    <w:rsid w:val="6BAF4543"/>
    <w:rsid w:val="6BBD714D"/>
    <w:rsid w:val="6BD23797"/>
    <w:rsid w:val="6C5DBC20"/>
    <w:rsid w:val="6CB30550"/>
    <w:rsid w:val="6CB467A2"/>
    <w:rsid w:val="6CD97293"/>
    <w:rsid w:val="6CE32BE3"/>
    <w:rsid w:val="6D0446EE"/>
    <w:rsid w:val="6D3451EC"/>
    <w:rsid w:val="6D3B4F62"/>
    <w:rsid w:val="6D5A4168"/>
    <w:rsid w:val="6D6A6E60"/>
    <w:rsid w:val="6D793547"/>
    <w:rsid w:val="6D8F7B19"/>
    <w:rsid w:val="6D9739CD"/>
    <w:rsid w:val="6DB4178C"/>
    <w:rsid w:val="6DB602F7"/>
    <w:rsid w:val="6DF215A4"/>
    <w:rsid w:val="6DF332FA"/>
    <w:rsid w:val="6E0077C5"/>
    <w:rsid w:val="6E11552E"/>
    <w:rsid w:val="6E1F40EF"/>
    <w:rsid w:val="6E4678CD"/>
    <w:rsid w:val="6E4B1911"/>
    <w:rsid w:val="6E9F0D8B"/>
    <w:rsid w:val="6ECE341F"/>
    <w:rsid w:val="6ECE68AC"/>
    <w:rsid w:val="6ECE6E01"/>
    <w:rsid w:val="6EFF11DF"/>
    <w:rsid w:val="6F116A5E"/>
    <w:rsid w:val="6F2519A7"/>
    <w:rsid w:val="6F524050"/>
    <w:rsid w:val="6F525DFE"/>
    <w:rsid w:val="6F5C0DC4"/>
    <w:rsid w:val="6F644698"/>
    <w:rsid w:val="6F78274D"/>
    <w:rsid w:val="6F9E1043"/>
    <w:rsid w:val="6F9F410A"/>
    <w:rsid w:val="6FB70357"/>
    <w:rsid w:val="6FB919A4"/>
    <w:rsid w:val="6FC37AD4"/>
    <w:rsid w:val="6FFA4815"/>
    <w:rsid w:val="6FFD4572"/>
    <w:rsid w:val="6FFE2617"/>
    <w:rsid w:val="701051AB"/>
    <w:rsid w:val="70790B32"/>
    <w:rsid w:val="70A02B99"/>
    <w:rsid w:val="70A703CB"/>
    <w:rsid w:val="71033854"/>
    <w:rsid w:val="71055F6C"/>
    <w:rsid w:val="71173FF0"/>
    <w:rsid w:val="713B2574"/>
    <w:rsid w:val="7148395C"/>
    <w:rsid w:val="715E0A8A"/>
    <w:rsid w:val="717E7CD4"/>
    <w:rsid w:val="717F6C52"/>
    <w:rsid w:val="718F0D51"/>
    <w:rsid w:val="719F4271"/>
    <w:rsid w:val="71BC1C54"/>
    <w:rsid w:val="71C70D25"/>
    <w:rsid w:val="71CE2F82"/>
    <w:rsid w:val="71E219DE"/>
    <w:rsid w:val="71EC253A"/>
    <w:rsid w:val="722D4413"/>
    <w:rsid w:val="723F6B0D"/>
    <w:rsid w:val="72646574"/>
    <w:rsid w:val="72666A33"/>
    <w:rsid w:val="726B602C"/>
    <w:rsid w:val="726B771C"/>
    <w:rsid w:val="729F75AC"/>
    <w:rsid w:val="72A14155"/>
    <w:rsid w:val="72CD718D"/>
    <w:rsid w:val="72FB6788"/>
    <w:rsid w:val="73107E04"/>
    <w:rsid w:val="732D105C"/>
    <w:rsid w:val="7346211D"/>
    <w:rsid w:val="73813156"/>
    <w:rsid w:val="73911760"/>
    <w:rsid w:val="73A81128"/>
    <w:rsid w:val="73B01345"/>
    <w:rsid w:val="73B0366B"/>
    <w:rsid w:val="74335E05"/>
    <w:rsid w:val="743F5C73"/>
    <w:rsid w:val="74597C2E"/>
    <w:rsid w:val="74607793"/>
    <w:rsid w:val="746E1D09"/>
    <w:rsid w:val="748A603A"/>
    <w:rsid w:val="74AF5462"/>
    <w:rsid w:val="74B90B5D"/>
    <w:rsid w:val="74CC6652"/>
    <w:rsid w:val="74E514C2"/>
    <w:rsid w:val="74F11C15"/>
    <w:rsid w:val="74F33BDF"/>
    <w:rsid w:val="74FE636F"/>
    <w:rsid w:val="74FED510"/>
    <w:rsid w:val="74FFC21A"/>
    <w:rsid w:val="75022074"/>
    <w:rsid w:val="75157394"/>
    <w:rsid w:val="75295853"/>
    <w:rsid w:val="75930F1E"/>
    <w:rsid w:val="75E90518"/>
    <w:rsid w:val="75EF5A9A"/>
    <w:rsid w:val="761E2EDE"/>
    <w:rsid w:val="7639378F"/>
    <w:rsid w:val="763F2967"/>
    <w:rsid w:val="765C63B7"/>
    <w:rsid w:val="766A6123"/>
    <w:rsid w:val="76877721"/>
    <w:rsid w:val="768F512C"/>
    <w:rsid w:val="769D2054"/>
    <w:rsid w:val="76CF5F86"/>
    <w:rsid w:val="76FEB1C1"/>
    <w:rsid w:val="76FFA0C5"/>
    <w:rsid w:val="7728448C"/>
    <w:rsid w:val="777C7EBC"/>
    <w:rsid w:val="77AC443F"/>
    <w:rsid w:val="77E6160F"/>
    <w:rsid w:val="77FA5A2D"/>
    <w:rsid w:val="780E4365"/>
    <w:rsid w:val="78464596"/>
    <w:rsid w:val="78AD1F79"/>
    <w:rsid w:val="78BA61D2"/>
    <w:rsid w:val="79536535"/>
    <w:rsid w:val="795626C6"/>
    <w:rsid w:val="796F570B"/>
    <w:rsid w:val="79737C50"/>
    <w:rsid w:val="799FEB79"/>
    <w:rsid w:val="79A47660"/>
    <w:rsid w:val="79B853F7"/>
    <w:rsid w:val="79BC4EE7"/>
    <w:rsid w:val="79CD2C51"/>
    <w:rsid w:val="79D264B9"/>
    <w:rsid w:val="79E96A0E"/>
    <w:rsid w:val="7A1E525A"/>
    <w:rsid w:val="7A545120"/>
    <w:rsid w:val="7A7A15B4"/>
    <w:rsid w:val="7A913CBB"/>
    <w:rsid w:val="7A951295"/>
    <w:rsid w:val="7AAE6C3A"/>
    <w:rsid w:val="7AB2229F"/>
    <w:rsid w:val="7ABD0F17"/>
    <w:rsid w:val="7ACA4480"/>
    <w:rsid w:val="7AD27B38"/>
    <w:rsid w:val="7AD4000F"/>
    <w:rsid w:val="7B130F00"/>
    <w:rsid w:val="7B137904"/>
    <w:rsid w:val="7B3A2568"/>
    <w:rsid w:val="7B537AD4"/>
    <w:rsid w:val="7B6D5CD3"/>
    <w:rsid w:val="7B6F52CB"/>
    <w:rsid w:val="7B786BEC"/>
    <w:rsid w:val="7B7900DB"/>
    <w:rsid w:val="7B7D2454"/>
    <w:rsid w:val="7BBA0FB3"/>
    <w:rsid w:val="7BD52290"/>
    <w:rsid w:val="7BE129E3"/>
    <w:rsid w:val="7BFE1015"/>
    <w:rsid w:val="7C0F2262"/>
    <w:rsid w:val="7C4F5666"/>
    <w:rsid w:val="7C683105"/>
    <w:rsid w:val="7C715C64"/>
    <w:rsid w:val="7CD43DA8"/>
    <w:rsid w:val="7CE6293A"/>
    <w:rsid w:val="7CE93C33"/>
    <w:rsid w:val="7CED2A49"/>
    <w:rsid w:val="7D142945"/>
    <w:rsid w:val="7D3923AB"/>
    <w:rsid w:val="7D3D633F"/>
    <w:rsid w:val="7D6E474B"/>
    <w:rsid w:val="7D7B6E68"/>
    <w:rsid w:val="7DB22DA3"/>
    <w:rsid w:val="7DC223A1"/>
    <w:rsid w:val="7DC9372F"/>
    <w:rsid w:val="7DCE51E9"/>
    <w:rsid w:val="7DEF9E07"/>
    <w:rsid w:val="7DF743DD"/>
    <w:rsid w:val="7DFF3A1B"/>
    <w:rsid w:val="7E5020A2"/>
    <w:rsid w:val="7E927FC5"/>
    <w:rsid w:val="7E9F0447"/>
    <w:rsid w:val="7EA773F9"/>
    <w:rsid w:val="7EA83C8C"/>
    <w:rsid w:val="7EC363D0"/>
    <w:rsid w:val="7EFDCB6C"/>
    <w:rsid w:val="7F1B13EF"/>
    <w:rsid w:val="7F1C1874"/>
    <w:rsid w:val="7F1C1F84"/>
    <w:rsid w:val="7F36308F"/>
    <w:rsid w:val="7F425A2A"/>
    <w:rsid w:val="7F550E42"/>
    <w:rsid w:val="7F6364A4"/>
    <w:rsid w:val="7F7F201D"/>
    <w:rsid w:val="7FA44454"/>
    <w:rsid w:val="7FAD5166"/>
    <w:rsid w:val="7FC5261C"/>
    <w:rsid w:val="7FCDA35E"/>
    <w:rsid w:val="7FCE9F2A"/>
    <w:rsid w:val="7FDF3E4D"/>
    <w:rsid w:val="7FE35E32"/>
    <w:rsid w:val="7FEB2A4E"/>
    <w:rsid w:val="7FEFBD7D"/>
    <w:rsid w:val="7FF7847A"/>
    <w:rsid w:val="7FFB5D0D"/>
    <w:rsid w:val="7FFF91D9"/>
    <w:rsid w:val="83EB1B17"/>
    <w:rsid w:val="89DB0FE1"/>
    <w:rsid w:val="8FF70A23"/>
    <w:rsid w:val="90DB1CEB"/>
    <w:rsid w:val="99FE56B9"/>
    <w:rsid w:val="9DEB0446"/>
    <w:rsid w:val="9F97E2A0"/>
    <w:rsid w:val="9FEFA95B"/>
    <w:rsid w:val="A9EE1125"/>
    <w:rsid w:val="AFFE45D1"/>
    <w:rsid w:val="BC731E46"/>
    <w:rsid w:val="BDD6BC2B"/>
    <w:rsid w:val="BF7E2DA8"/>
    <w:rsid w:val="BFB7BE92"/>
    <w:rsid w:val="BFBF724F"/>
    <w:rsid w:val="BFEFDB2D"/>
    <w:rsid w:val="BFFF6B0B"/>
    <w:rsid w:val="C5EEBB9B"/>
    <w:rsid w:val="C9BF62BE"/>
    <w:rsid w:val="CDBF1593"/>
    <w:rsid w:val="D6BEFC19"/>
    <w:rsid w:val="D7FE6FB7"/>
    <w:rsid w:val="DBBFA05A"/>
    <w:rsid w:val="DBFE6F53"/>
    <w:rsid w:val="DDBE54F4"/>
    <w:rsid w:val="DF3F3ED4"/>
    <w:rsid w:val="DFB7A79E"/>
    <w:rsid w:val="DFDF9123"/>
    <w:rsid w:val="DFFB74FA"/>
    <w:rsid w:val="ECEAAC18"/>
    <w:rsid w:val="EE5E788D"/>
    <w:rsid w:val="EFBF277E"/>
    <w:rsid w:val="EFFA2B67"/>
    <w:rsid w:val="F5DD4643"/>
    <w:rsid w:val="F7FAFC82"/>
    <w:rsid w:val="F7FB2FBE"/>
    <w:rsid w:val="FA7E9AFB"/>
    <w:rsid w:val="FB7F6E4A"/>
    <w:rsid w:val="FBFDA165"/>
    <w:rsid w:val="FC7CE368"/>
    <w:rsid w:val="FCFFC37E"/>
    <w:rsid w:val="FD5B8856"/>
    <w:rsid w:val="FD7FADB2"/>
    <w:rsid w:val="FE2F079F"/>
    <w:rsid w:val="FED6385E"/>
    <w:rsid w:val="FEF91813"/>
    <w:rsid w:val="FF3F59ED"/>
    <w:rsid w:val="FF45D512"/>
    <w:rsid w:val="FF6F1329"/>
    <w:rsid w:val="FF7D5194"/>
    <w:rsid w:val="FF9F5426"/>
    <w:rsid w:val="FFEFE070"/>
    <w:rsid w:val="FFFC2BBA"/>
    <w:rsid w:val="FFFF86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6"/>
    <w:link w:val="330"/>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6"/>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52"/>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10"/>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6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7"/>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qFormat/>
    <w:uiPriority w:val="1"/>
  </w:style>
  <w:style w:type="table" w:default="1" w:styleId="62">
    <w:name w:val="Normal Table"/>
    <w:autoRedefine/>
    <w:qFormat/>
    <w:uiPriority w:val="99"/>
    <w:tblPr>
      <w:tblCellMar>
        <w:top w:w="0" w:type="dxa"/>
        <w:left w:w="108" w:type="dxa"/>
        <w:bottom w:w="0" w:type="dxa"/>
        <w:right w:w="108" w:type="dxa"/>
      </w:tblCellMar>
    </w:tblPr>
  </w:style>
  <w:style w:type="paragraph" w:styleId="2">
    <w:name w:val="Normal Indent"/>
    <w:basedOn w:val="1"/>
    <w:link w:val="198"/>
    <w:autoRedefine/>
    <w:qFormat/>
    <w:uiPriority w:val="0"/>
    <w:pPr>
      <w:widowControl/>
      <w:snapToGrid w:val="0"/>
      <w:spacing w:line="480" w:lineRule="exact"/>
      <w:ind w:firstLine="567"/>
    </w:pPr>
    <w:rPr>
      <w:rFonts w:ascii="宋体"/>
      <w:snapToGrid w:val="0"/>
      <w:color w:val="000000"/>
      <w:kern w:val="28"/>
      <w:sz w:val="28"/>
      <w:szCs w:val="20"/>
    </w:rPr>
  </w:style>
  <w:style w:type="paragraph" w:styleId="6">
    <w:name w:val="Body Text First Indent 2"/>
    <w:basedOn w:val="7"/>
    <w:link w:val="126"/>
    <w:autoRedefine/>
    <w:qFormat/>
    <w:uiPriority w:val="0"/>
    <w:pPr>
      <w:adjustRightInd/>
      <w:spacing w:after="120" w:line="240" w:lineRule="auto"/>
      <w:ind w:left="420" w:leftChars="200" w:firstLine="210"/>
    </w:pPr>
    <w:rPr>
      <w:sz w:val="21"/>
    </w:rPr>
  </w:style>
  <w:style w:type="paragraph" w:styleId="7">
    <w:name w:val="Body Text Indent"/>
    <w:basedOn w:val="1"/>
    <w:link w:val="269"/>
    <w:autoRedefine/>
    <w:qFormat/>
    <w:uiPriority w:val="0"/>
    <w:pPr>
      <w:spacing w:line="480" w:lineRule="exact"/>
      <w:ind w:firstLine="480" w:firstLineChars="200"/>
    </w:pPr>
    <w:rPr>
      <w:rFonts w:ascii="宋体" w:hAnsi="宋体"/>
      <w:sz w:val="24"/>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4"/>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7"/>
    <w:autoRedefine/>
    <w:qFormat/>
    <w:uiPriority w:val="0"/>
    <w:pPr>
      <w:shd w:val="clear" w:color="auto" w:fill="000080"/>
    </w:pPr>
  </w:style>
  <w:style w:type="paragraph" w:styleId="21">
    <w:name w:val="annotation text"/>
    <w:basedOn w:val="1"/>
    <w:link w:val="347"/>
    <w:autoRedefine/>
    <w:qFormat/>
    <w:uiPriority w:val="99"/>
    <w:pPr>
      <w:jc w:val="left"/>
    </w:pPr>
  </w:style>
  <w:style w:type="paragraph" w:styleId="22">
    <w:name w:val="Salutation"/>
    <w:basedOn w:val="1"/>
    <w:next w:val="1"/>
    <w:link w:val="301"/>
    <w:autoRedefine/>
    <w:qFormat/>
    <w:uiPriority w:val="0"/>
    <w:rPr>
      <w:rFonts w:ascii="仿宋_GB2312" w:eastAsia="仿宋_GB2312"/>
      <w:sz w:val="28"/>
      <w:szCs w:val="20"/>
    </w:rPr>
  </w:style>
  <w:style w:type="paragraph" w:styleId="23">
    <w:name w:val="Body Text 3"/>
    <w:basedOn w:val="1"/>
    <w:link w:val="333"/>
    <w:autoRedefine/>
    <w:qFormat/>
    <w:uiPriority w:val="0"/>
    <w:pPr>
      <w:jc w:val="center"/>
    </w:pPr>
    <w:rPr>
      <w:szCs w:val="20"/>
    </w:rPr>
  </w:style>
  <w:style w:type="paragraph" w:styleId="24">
    <w:name w:val="List Bullet 3"/>
    <w:basedOn w:val="1"/>
    <w:autoRedefine/>
    <w:qFormat/>
    <w:uiPriority w:val="0"/>
    <w:pPr>
      <w:snapToGrid w:val="0"/>
      <w:spacing w:line="360" w:lineRule="auto"/>
      <w:ind w:left="360" w:right="238" w:hanging="360"/>
      <w:contextualSpacing/>
    </w:pPr>
    <w:rPr>
      <w:sz w:val="24"/>
    </w:rPr>
  </w:style>
  <w:style w:type="paragraph" w:styleId="25">
    <w:name w:val="Body Text"/>
    <w:basedOn w:val="1"/>
    <w:next w:val="26"/>
    <w:link w:val="433"/>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4"/>
    <w:autoRedefine/>
    <w:qFormat/>
    <w:uiPriority w:val="0"/>
    <w:pPr>
      <w:ind w:firstLine="420"/>
    </w:pPr>
    <w:rPr>
      <w:rFonts w:hAnsi="Calibri" w:cs="Times New Roman"/>
      <w:snapToGrid/>
      <w:szCs w:val="20"/>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4"/>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30"/>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6"/>
    <w:autoRedefine/>
    <w:qFormat/>
    <w:uiPriority w:val="0"/>
    <w:pPr>
      <w:ind w:left="100" w:leftChars="2500"/>
    </w:pPr>
    <w:rPr>
      <w:rFonts w:ascii="宋体"/>
      <w:sz w:val="24"/>
      <w:szCs w:val="21"/>
      <w:lang w:val="zh-CN"/>
    </w:rPr>
  </w:style>
  <w:style w:type="paragraph" w:styleId="38">
    <w:name w:val="Body Text Indent 2"/>
    <w:basedOn w:val="1"/>
    <w:link w:val="311"/>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5"/>
    <w:autoRedefine/>
    <w:qFormat/>
    <w:uiPriority w:val="0"/>
    <w:rPr>
      <w:lang w:val="zh-CN"/>
    </w:rPr>
  </w:style>
  <w:style w:type="paragraph" w:styleId="40">
    <w:name w:val="Balloon Text"/>
    <w:basedOn w:val="1"/>
    <w:next w:val="1"/>
    <w:link w:val="193"/>
    <w:autoRedefine/>
    <w:qFormat/>
    <w:uiPriority w:val="0"/>
    <w:rPr>
      <w:sz w:val="18"/>
      <w:szCs w:val="18"/>
    </w:rPr>
  </w:style>
  <w:style w:type="paragraph" w:styleId="41">
    <w:name w:val="footer"/>
    <w:basedOn w:val="1"/>
    <w:link w:val="386"/>
    <w:autoRedefine/>
    <w:qFormat/>
    <w:uiPriority w:val="99"/>
    <w:pPr>
      <w:tabs>
        <w:tab w:val="center" w:pos="4153"/>
        <w:tab w:val="right" w:pos="8306"/>
      </w:tabs>
      <w:snapToGrid w:val="0"/>
      <w:jc w:val="left"/>
    </w:pPr>
    <w:rPr>
      <w:sz w:val="18"/>
      <w:szCs w:val="18"/>
    </w:rPr>
  </w:style>
  <w:style w:type="paragraph" w:styleId="42">
    <w:name w:val="header"/>
    <w:basedOn w:val="1"/>
    <w:link w:val="395"/>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2"/>
    <w:link w:val="313"/>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8"/>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5"/>
    <w:autoRedefine/>
    <w:qFormat/>
    <w:uiPriority w:val="0"/>
    <w:pPr>
      <w:spacing w:after="120" w:line="480" w:lineRule="auto"/>
    </w:pPr>
  </w:style>
  <w:style w:type="paragraph" w:styleId="58">
    <w:name w:val="HTML Preformatted"/>
    <w:basedOn w:val="1"/>
    <w:link w:val="30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9"/>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102"/>
    <w:autoRedefine/>
    <w:qFormat/>
    <w:uiPriority w:val="0"/>
    <w:rPr>
      <w:b/>
      <w:bCs/>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首行缩进"/>
    <w:basedOn w:val="1"/>
    <w:autoRedefine/>
    <w:qFormat/>
    <w:uiPriority w:val="0"/>
    <w:pPr>
      <w:spacing w:line="360" w:lineRule="auto"/>
      <w:ind w:firstLine="480" w:firstLineChars="200"/>
    </w:pPr>
    <w:rPr>
      <w:rFonts w:ascii="宋体"/>
      <w:sz w:val="24"/>
      <w:szCs w:val="20"/>
    </w:rPr>
  </w:style>
  <w:style w:type="character" w:customStyle="1" w:styleId="80">
    <w:name w:val="标题 1 Char"/>
    <w:link w:val="3"/>
    <w:autoRedefine/>
    <w:qFormat/>
    <w:uiPriority w:val="9"/>
    <w:rPr>
      <w:b/>
      <w:bCs/>
      <w:kern w:val="44"/>
      <w:sz w:val="44"/>
      <w:szCs w:val="44"/>
    </w:rPr>
  </w:style>
  <w:style w:type="character" w:customStyle="1" w:styleId="81">
    <w:name w:val="标题 3 字符"/>
    <w:autoRedefine/>
    <w:qFormat/>
    <w:uiPriority w:val="9"/>
    <w:rPr>
      <w:b/>
      <w:bCs/>
      <w:kern w:val="2"/>
      <w:sz w:val="32"/>
      <w:szCs w:val="32"/>
    </w:rPr>
  </w:style>
  <w:style w:type="paragraph" w:customStyle="1" w:styleId="82">
    <w:name w:val="表格文字"/>
    <w:basedOn w:val="1"/>
    <w:next w:val="25"/>
    <w:autoRedefine/>
    <w:qFormat/>
    <w:uiPriority w:val="0"/>
    <w:pPr>
      <w:adjustRightInd/>
      <w:ind w:firstLine="200" w:firstLineChars="200"/>
    </w:pPr>
    <w:rPr>
      <w:rFonts w:ascii="Arial" w:hAnsi="Arial"/>
      <w:spacing w:val="-5"/>
      <w:kern w:val="0"/>
      <w:sz w:val="24"/>
      <w:szCs w:val="20"/>
    </w:rPr>
  </w:style>
  <w:style w:type="paragraph" w:customStyle="1" w:styleId="83">
    <w:name w:val="文章正文"/>
    <w:basedOn w:val="1"/>
    <w:next w:val="84"/>
    <w:autoRedefine/>
    <w:qFormat/>
    <w:uiPriority w:val="0"/>
    <w:pPr>
      <w:spacing w:line="360" w:lineRule="auto"/>
      <w:ind w:firstLine="200" w:firstLineChars="200"/>
    </w:pPr>
    <w:rPr>
      <w:rFonts w:ascii="Times New Roman" w:hAnsi="Times New Roman" w:cs="Times New Roman"/>
      <w:snapToGrid/>
      <w:sz w:val="24"/>
      <w:szCs w:val="24"/>
    </w:rPr>
  </w:style>
  <w:style w:type="paragraph" w:customStyle="1" w:styleId="84">
    <w:name w:val="公式样式 变量"/>
    <w:autoRedefine/>
    <w:qFormat/>
    <w:uiPriority w:val="0"/>
    <w:rPr>
      <w:rFonts w:ascii="Times New Roman" w:hAnsi="Times New Roman" w:eastAsia="宋体" w:cs="Times New Roman"/>
      <w:i/>
      <w:lang w:val="en-US" w:eastAsia="zh-CN" w:bidi="ar-SA"/>
    </w:rPr>
  </w:style>
  <w:style w:type="paragraph" w:customStyle="1" w:styleId="85">
    <w:name w:val="Default"/>
    <w:next w:val="86"/>
    <w:link w:val="239"/>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7">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character" w:customStyle="1" w:styleId="88">
    <w:name w:val="表格非标题文字 Char"/>
    <w:link w:val="89"/>
    <w:autoRedefine/>
    <w:qFormat/>
    <w:uiPriority w:val="0"/>
    <w:rPr>
      <w:rFonts w:ascii="Futura Bk" w:hAnsi="Futura Bk"/>
      <w:kern w:val="2"/>
      <w:sz w:val="18"/>
      <w:szCs w:val="21"/>
      <w:lang w:val="en-US" w:eastAsia="zh-CN" w:bidi="ar-SA"/>
    </w:rPr>
  </w:style>
  <w:style w:type="paragraph" w:customStyle="1" w:styleId="89">
    <w:name w:val="表格非标题文字"/>
    <w:link w:val="88"/>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0">
    <w:name w:val="*正文 Char"/>
    <w:link w:val="91"/>
    <w:autoRedefine/>
    <w:qFormat/>
    <w:uiPriority w:val="0"/>
    <w:rPr>
      <w:rFonts w:ascii="宋体" w:hAnsi="宋体"/>
      <w:sz w:val="24"/>
    </w:rPr>
  </w:style>
  <w:style w:type="paragraph" w:customStyle="1" w:styleId="91">
    <w:name w:val="*正文"/>
    <w:basedOn w:val="1"/>
    <w:link w:val="90"/>
    <w:autoRedefine/>
    <w:qFormat/>
    <w:uiPriority w:val="0"/>
    <w:pPr>
      <w:snapToGrid w:val="0"/>
      <w:spacing w:line="360" w:lineRule="auto"/>
      <w:ind w:firstLine="482"/>
      <w:jc w:val="left"/>
    </w:pPr>
    <w:rPr>
      <w:rFonts w:ascii="宋体" w:hAnsi="宋体"/>
      <w:kern w:val="0"/>
      <w:sz w:val="24"/>
      <w:szCs w:val="20"/>
    </w:rPr>
  </w:style>
  <w:style w:type="character" w:customStyle="1" w:styleId="92">
    <w:name w:val="Char Char71"/>
    <w:autoRedefine/>
    <w:qFormat/>
    <w:uiPriority w:val="0"/>
    <w:rPr>
      <w:rFonts w:eastAsia="宋体"/>
      <w:kern w:val="2"/>
      <w:sz w:val="21"/>
      <w:szCs w:val="24"/>
      <w:lang w:val="en-US" w:eastAsia="zh-CN" w:bidi="ar-SA"/>
    </w:rPr>
  </w:style>
  <w:style w:type="character" w:customStyle="1" w:styleId="93">
    <w:name w:val="Char Char6"/>
    <w:autoRedefine/>
    <w:qFormat/>
    <w:uiPriority w:val="0"/>
    <w:rPr>
      <w:rFonts w:eastAsia="宋体"/>
      <w:kern w:val="2"/>
      <w:sz w:val="21"/>
      <w:szCs w:val="24"/>
      <w:lang w:val="en-US" w:eastAsia="zh-CN" w:bidi="ar-SA"/>
    </w:rPr>
  </w:style>
  <w:style w:type="character" w:customStyle="1" w:styleId="94">
    <w:name w:val="正文缩进 Char"/>
    <w:autoRedefine/>
    <w:qFormat/>
    <w:uiPriority w:val="0"/>
    <w:rPr>
      <w:rFonts w:eastAsia="宋体"/>
      <w:kern w:val="2"/>
      <w:sz w:val="21"/>
      <w:lang w:val="en-US" w:eastAsia="zh-CN"/>
    </w:rPr>
  </w:style>
  <w:style w:type="character" w:customStyle="1" w:styleId="95">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6">
    <w:name w:val="Char Char28"/>
    <w:autoRedefine/>
    <w:qFormat/>
    <w:uiPriority w:val="6"/>
    <w:rPr>
      <w:rFonts w:ascii="仿宋_GB2312" w:hAnsi="仿宋_GB2312" w:eastAsia="仿宋_GB2312"/>
      <w:kern w:val="1"/>
      <w:sz w:val="28"/>
    </w:rPr>
  </w:style>
  <w:style w:type="character" w:customStyle="1" w:styleId="97">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8">
    <w:name w:val="Heading 1 Char_a065a2bc-5607-4f88-bb9a-f4f6c7b4e0ea"/>
    <w:autoRedefine/>
    <w:qFormat/>
    <w:uiPriority w:val="6"/>
    <w:rPr>
      <w:rFonts w:ascii="Times New Roman" w:hAnsi="Times New Roman" w:eastAsia="黑体" w:cs="Times New Roman"/>
      <w:b/>
      <w:kern w:val="0"/>
      <w:sz w:val="24"/>
      <w:szCs w:val="24"/>
    </w:rPr>
  </w:style>
  <w:style w:type="character" w:customStyle="1" w:styleId="99">
    <w:name w:val="U_正文 Char"/>
    <w:link w:val="100"/>
    <w:autoRedefine/>
    <w:qFormat/>
    <w:uiPriority w:val="0"/>
    <w:rPr>
      <w:sz w:val="24"/>
      <w:szCs w:val="24"/>
    </w:rPr>
  </w:style>
  <w:style w:type="paragraph" w:customStyle="1" w:styleId="100">
    <w:name w:val="U_正文"/>
    <w:basedOn w:val="1"/>
    <w:link w:val="99"/>
    <w:autoRedefine/>
    <w:qFormat/>
    <w:uiPriority w:val="0"/>
    <w:pPr>
      <w:adjustRightInd/>
      <w:spacing w:beforeLines="20" w:afterLines="20" w:line="300" w:lineRule="auto"/>
      <w:ind w:firstLine="200" w:firstLineChars="200"/>
    </w:pPr>
    <w:rPr>
      <w:kern w:val="0"/>
      <w:sz w:val="24"/>
    </w:rPr>
  </w:style>
  <w:style w:type="character" w:customStyle="1" w:styleId="101">
    <w:name w:val="HTML 地址 Char1"/>
    <w:autoRedefine/>
    <w:qFormat/>
    <w:uiPriority w:val="0"/>
    <w:rPr>
      <w:rFonts w:ascii="Times New Roman" w:hAnsi="Times New Roman" w:eastAsia="宋体" w:cs="Times New Roman"/>
      <w:i/>
      <w:iCs/>
      <w:szCs w:val="24"/>
    </w:rPr>
  </w:style>
  <w:style w:type="character" w:customStyle="1" w:styleId="102">
    <w:name w:val="批注主题 Char1"/>
    <w:link w:val="61"/>
    <w:autoRedefine/>
    <w:qFormat/>
    <w:uiPriority w:val="0"/>
    <w:rPr>
      <w:b/>
      <w:bCs/>
      <w:kern w:val="2"/>
      <w:sz w:val="21"/>
      <w:szCs w:val="24"/>
    </w:rPr>
  </w:style>
  <w:style w:type="character" w:customStyle="1" w:styleId="103">
    <w:name w:val="Char Char51"/>
    <w:autoRedefine/>
    <w:qFormat/>
    <w:uiPriority w:val="0"/>
    <w:rPr>
      <w:rFonts w:ascii="宋体" w:hAnsi="Courier New" w:eastAsia="宋体"/>
      <w:kern w:val="2"/>
      <w:sz w:val="21"/>
      <w:lang w:val="en-US" w:eastAsia="zh-CN"/>
    </w:rPr>
  </w:style>
  <w:style w:type="character" w:customStyle="1" w:styleId="104">
    <w:name w:val="表正文 Char"/>
    <w:autoRedefine/>
    <w:qFormat/>
    <w:uiPriority w:val="0"/>
    <w:rPr>
      <w:rFonts w:ascii="宋体" w:eastAsia="宋体"/>
      <w:snapToGrid w:val="0"/>
      <w:color w:val="000000"/>
      <w:kern w:val="28"/>
      <w:sz w:val="28"/>
      <w:lang w:val="en-US" w:eastAsia="zh-CN" w:bidi="ar-SA"/>
    </w:rPr>
  </w:style>
  <w:style w:type="character" w:customStyle="1" w:styleId="105">
    <w:name w:val="Char Char34"/>
    <w:autoRedefine/>
    <w:qFormat/>
    <w:uiPriority w:val="6"/>
    <w:rPr>
      <w:b/>
      <w:kern w:val="1"/>
      <w:sz w:val="28"/>
      <w:szCs w:val="28"/>
    </w:rPr>
  </w:style>
  <w:style w:type="character" w:customStyle="1" w:styleId="106">
    <w:name w:val="Normal Indent Char"/>
    <w:autoRedefine/>
    <w:qFormat/>
    <w:uiPriority w:val="0"/>
    <w:rPr>
      <w:rFonts w:ascii="Calibri" w:hAnsi="Calibri" w:eastAsia="宋体" w:cs="黑体"/>
      <w:snapToGrid w:val="0"/>
      <w:kern w:val="2"/>
      <w:sz w:val="24"/>
      <w:szCs w:val="22"/>
      <w:lang w:val="en-US" w:eastAsia="zh-CN" w:bidi="ar-SA"/>
    </w:rPr>
  </w:style>
  <w:style w:type="character" w:customStyle="1" w:styleId="107">
    <w:name w:val="哈哈正文 Char"/>
    <w:link w:val="108"/>
    <w:autoRedefine/>
    <w:qFormat/>
    <w:uiPriority w:val="0"/>
    <w:rPr>
      <w:rFonts w:ascii="宋体" w:hAnsi="宋体" w:eastAsia="宋体"/>
      <w:kern w:val="2"/>
      <w:sz w:val="24"/>
      <w:lang w:bidi="ar-SA"/>
    </w:rPr>
  </w:style>
  <w:style w:type="paragraph" w:customStyle="1" w:styleId="108">
    <w:name w:val="哈哈正文"/>
    <w:basedOn w:val="1"/>
    <w:link w:val="107"/>
    <w:autoRedefine/>
    <w:qFormat/>
    <w:uiPriority w:val="0"/>
    <w:pPr>
      <w:adjustRightInd/>
      <w:spacing w:line="360" w:lineRule="auto"/>
      <w:ind w:firstLine="200" w:firstLineChars="200"/>
    </w:pPr>
    <w:rPr>
      <w:rFonts w:ascii="宋体" w:hAnsi="宋体"/>
      <w:sz w:val="24"/>
      <w:szCs w:val="20"/>
    </w:rPr>
  </w:style>
  <w:style w:type="character" w:customStyle="1" w:styleId="109">
    <w:name w:val="未处理的提及1"/>
    <w:autoRedefine/>
    <w:qFormat/>
    <w:uiPriority w:val="0"/>
    <w:rPr>
      <w:color w:val="808080"/>
      <w:shd w:val="clear" w:color="auto" w:fill="E6E6E6"/>
    </w:rPr>
  </w:style>
  <w:style w:type="character" w:customStyle="1" w:styleId="110">
    <w:name w:val="txt"/>
    <w:autoRedefine/>
    <w:qFormat/>
    <w:uiPriority w:val="0"/>
    <w:rPr>
      <w:rFonts w:ascii="仿宋_GB2312" w:eastAsia="微软雅黑"/>
      <w:b/>
      <w:kern w:val="2"/>
      <w:sz w:val="32"/>
      <w:szCs w:val="32"/>
      <w:lang w:val="en-US" w:eastAsia="zh-CN" w:bidi="ar-SA"/>
    </w:rPr>
  </w:style>
  <w:style w:type="character" w:customStyle="1" w:styleId="111">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2">
    <w:name w:val="Char Char32"/>
    <w:autoRedefine/>
    <w:qFormat/>
    <w:uiPriority w:val="6"/>
    <w:rPr>
      <w:b/>
      <w:kern w:val="1"/>
      <w:sz w:val="24"/>
      <w:szCs w:val="24"/>
    </w:rPr>
  </w:style>
  <w:style w:type="character" w:customStyle="1" w:styleId="113">
    <w:name w:val="PI Char1"/>
    <w:autoRedefine/>
    <w:qFormat/>
    <w:uiPriority w:val="0"/>
    <w:rPr>
      <w:rFonts w:ascii="宋体" w:hAnsi="宋体"/>
      <w:kern w:val="2"/>
      <w:sz w:val="24"/>
      <w:szCs w:val="24"/>
    </w:rPr>
  </w:style>
  <w:style w:type="character" w:customStyle="1" w:styleId="114">
    <w:name w:val="tw4winTerm"/>
    <w:autoRedefine/>
    <w:qFormat/>
    <w:uiPriority w:val="0"/>
    <w:rPr>
      <w:color w:val="0000FF"/>
    </w:rPr>
  </w:style>
  <w:style w:type="character" w:customStyle="1" w:styleId="115">
    <w:name w:val="Footer Char_29dca83e-cfa0-4d29-9006-28a1b752e563"/>
    <w:autoRedefine/>
    <w:qFormat/>
    <w:uiPriority w:val="0"/>
    <w:rPr>
      <w:rFonts w:eastAsia="宋体"/>
      <w:kern w:val="2"/>
      <w:sz w:val="18"/>
      <w:lang w:val="en-US" w:eastAsia="zh-CN" w:bidi="ar-SA"/>
    </w:rPr>
  </w:style>
  <w:style w:type="character" w:customStyle="1" w:styleId="116">
    <w:name w:val="普通文字 Char Char1"/>
    <w:autoRedefine/>
    <w:qFormat/>
    <w:uiPriority w:val="0"/>
    <w:rPr>
      <w:rFonts w:ascii="宋体" w:hAnsi="Courier New"/>
      <w:kern w:val="2"/>
      <w:sz w:val="21"/>
    </w:rPr>
  </w:style>
  <w:style w:type="character" w:customStyle="1" w:styleId="117">
    <w:name w:val="Char Char101"/>
    <w:autoRedefine/>
    <w:qFormat/>
    <w:uiPriority w:val="6"/>
    <w:rPr>
      <w:rFonts w:ascii="宋体" w:hAnsi="宋体"/>
      <w:kern w:val="2"/>
      <w:sz w:val="21"/>
      <w:szCs w:val="24"/>
      <w:lang w:val="en-US" w:eastAsia="zh-CN"/>
    </w:rPr>
  </w:style>
  <w:style w:type="character" w:customStyle="1" w:styleId="118">
    <w:name w:val="标题 4 Char"/>
    <w:autoRedefine/>
    <w:qFormat/>
    <w:uiPriority w:val="0"/>
    <w:rPr>
      <w:rFonts w:ascii="Arial" w:hAnsi="Arial" w:eastAsia="黑体"/>
      <w:b/>
      <w:kern w:val="2"/>
      <w:sz w:val="28"/>
    </w:rPr>
  </w:style>
  <w:style w:type="character" w:customStyle="1" w:styleId="119">
    <w:name w:val="链接"/>
    <w:autoRedefine/>
    <w:qFormat/>
    <w:uiPriority w:val="0"/>
    <w:rPr>
      <w:color w:val="0000FF"/>
      <w:sz w:val="21"/>
      <w:szCs w:val="21"/>
      <w:u w:val="single"/>
    </w:rPr>
  </w:style>
  <w:style w:type="character" w:customStyle="1" w:styleId="120">
    <w:name w:val="h4 Char"/>
    <w:autoRedefine/>
    <w:qFormat/>
    <w:uiPriority w:val="0"/>
    <w:rPr>
      <w:rFonts w:ascii="Arial" w:hAnsi="Arial" w:eastAsia="黑体"/>
      <w:b/>
      <w:bCs/>
      <w:kern w:val="2"/>
      <w:sz w:val="28"/>
      <w:szCs w:val="28"/>
      <w:lang w:val="zh-CN" w:eastAsia="zh-CN" w:bidi="ar-SA"/>
    </w:rPr>
  </w:style>
  <w:style w:type="character" w:customStyle="1" w:styleId="121">
    <w:name w:val="5正文 Char"/>
    <w:link w:val="122"/>
    <w:autoRedefine/>
    <w:qFormat/>
    <w:uiPriority w:val="0"/>
    <w:rPr>
      <w:rFonts w:ascii="仿宋_GB2312" w:hAnsi="微软雅黑" w:eastAsia="仿宋_GB2312"/>
      <w:sz w:val="28"/>
      <w:szCs w:val="21"/>
    </w:rPr>
  </w:style>
  <w:style w:type="paragraph" w:customStyle="1" w:styleId="122">
    <w:name w:val="5正文"/>
    <w:basedOn w:val="1"/>
    <w:link w:val="121"/>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3">
    <w:name w:val="样式6 Char"/>
    <w:autoRedefine/>
    <w:qFormat/>
    <w:uiPriority w:val="0"/>
    <w:rPr>
      <w:rFonts w:ascii="仿宋_GB2312" w:hAnsi="宋体" w:eastAsia="仿宋_GB2312"/>
      <w:b/>
      <w:bCs/>
      <w:kern w:val="2"/>
      <w:sz w:val="24"/>
      <w:szCs w:val="24"/>
      <w:lang w:val="en-US" w:eastAsia="zh-CN" w:bidi="ar-SA"/>
    </w:rPr>
  </w:style>
  <w:style w:type="character" w:customStyle="1" w:styleId="124">
    <w:name w:val="Char Char14"/>
    <w:autoRedefine/>
    <w:qFormat/>
    <w:uiPriority w:val="6"/>
    <w:rPr>
      <w:rFonts w:ascii="黑体" w:hAnsi="黑体" w:eastAsia="黑体"/>
    </w:rPr>
  </w:style>
  <w:style w:type="character" w:customStyle="1" w:styleId="125">
    <w:name w:val="Heading 2 Hidden Char"/>
    <w:autoRedefine/>
    <w:qFormat/>
    <w:uiPriority w:val="0"/>
    <w:rPr>
      <w:rFonts w:ascii="仿宋_GB2312" w:eastAsia="仿宋_GB2312"/>
      <w:b/>
      <w:bCs/>
      <w:kern w:val="2"/>
      <w:sz w:val="24"/>
      <w:szCs w:val="24"/>
      <w:lang w:val="zh-CN" w:eastAsia="zh-CN" w:bidi="ar-SA"/>
    </w:rPr>
  </w:style>
  <w:style w:type="character" w:customStyle="1" w:styleId="126">
    <w:name w:val="正文首行缩进 2 Char"/>
    <w:link w:val="6"/>
    <w:autoRedefine/>
    <w:qFormat/>
    <w:uiPriority w:val="0"/>
    <w:rPr>
      <w:rFonts w:ascii="宋体" w:hAnsi="宋体"/>
      <w:kern w:val="2"/>
      <w:sz w:val="21"/>
      <w:szCs w:val="24"/>
    </w:rPr>
  </w:style>
  <w:style w:type="character" w:customStyle="1" w:styleId="127">
    <w:name w:val="font11"/>
    <w:autoRedefine/>
    <w:qFormat/>
    <w:uiPriority w:val="0"/>
    <w:rPr>
      <w:rFonts w:hint="default" w:ascii="Times New Roman" w:hAnsi="Times New Roman" w:cs="Times New Roman"/>
      <w:color w:val="000000"/>
      <w:sz w:val="22"/>
      <w:szCs w:val="22"/>
      <w:u w:val="none"/>
    </w:rPr>
  </w:style>
  <w:style w:type="character" w:customStyle="1" w:styleId="128">
    <w:name w:val="表正文 Char1"/>
    <w:autoRedefine/>
    <w:qFormat/>
    <w:uiPriority w:val="0"/>
    <w:rPr>
      <w:rFonts w:ascii="宋体" w:eastAsia="宋体"/>
      <w:snapToGrid w:val="0"/>
      <w:color w:val="000000"/>
      <w:kern w:val="28"/>
      <w:sz w:val="28"/>
    </w:rPr>
  </w:style>
  <w:style w:type="character" w:customStyle="1" w:styleId="129">
    <w:name w:val="blue1"/>
    <w:basedOn w:val="69"/>
    <w:autoRedefine/>
    <w:qFormat/>
    <w:uiPriority w:val="0"/>
    <w:rPr>
      <w:rFonts w:ascii="Arial" w:hAnsi="Arial" w:eastAsia="黑体" w:cs="Arial"/>
      <w:snapToGrid w:val="0"/>
      <w:kern w:val="0"/>
      <w:szCs w:val="21"/>
    </w:rPr>
  </w:style>
  <w:style w:type="character" w:customStyle="1" w:styleId="130">
    <w:name w:val="纯文本 Char"/>
    <w:link w:val="34"/>
    <w:autoRedefine/>
    <w:qFormat/>
    <w:uiPriority w:val="0"/>
    <w:rPr>
      <w:rFonts w:ascii="宋体" w:hAnsi="Courier New" w:eastAsia="宋体" w:cs="Arial"/>
      <w:snapToGrid w:val="0"/>
      <w:kern w:val="2"/>
      <w:sz w:val="21"/>
      <w:szCs w:val="21"/>
      <w:lang w:val="en-US" w:eastAsia="zh-CN" w:bidi="ar-SA"/>
    </w:rPr>
  </w:style>
  <w:style w:type="character" w:customStyle="1" w:styleId="131">
    <w:name w:val="标书1 Char"/>
    <w:autoRedefine/>
    <w:qFormat/>
    <w:uiPriority w:val="0"/>
    <w:rPr>
      <w:rFonts w:eastAsia="宋体"/>
      <w:b/>
      <w:bCs/>
      <w:kern w:val="44"/>
      <w:sz w:val="44"/>
      <w:szCs w:val="44"/>
      <w:lang w:val="en-US" w:eastAsia="zh-CN" w:bidi="ar-SA"/>
    </w:rPr>
  </w:style>
  <w:style w:type="character" w:customStyle="1" w:styleId="132">
    <w:name w:val="样式5 Char"/>
    <w:autoRedefine/>
    <w:qFormat/>
    <w:uiPriority w:val="0"/>
    <w:rPr>
      <w:rFonts w:ascii="仿宋_GB2312" w:hAnsi="仿宋" w:eastAsia="仿宋_GB2312"/>
      <w:kern w:val="2"/>
      <w:sz w:val="24"/>
      <w:szCs w:val="24"/>
    </w:rPr>
  </w:style>
  <w:style w:type="character" w:customStyle="1" w:styleId="133">
    <w:name w:val="样式4 Char"/>
    <w:autoRedefine/>
    <w:qFormat/>
    <w:uiPriority w:val="0"/>
    <w:rPr>
      <w:rFonts w:ascii="仿宋_GB2312" w:hAnsi="仿宋" w:eastAsia="仿宋_GB2312"/>
      <w:b/>
      <w:kern w:val="2"/>
      <w:sz w:val="32"/>
      <w:szCs w:val="32"/>
      <w:lang w:bidi="ar-SA"/>
    </w:rPr>
  </w:style>
  <w:style w:type="character" w:customStyle="1" w:styleId="134">
    <w:name w:val="插图说明 Char"/>
    <w:autoRedefine/>
    <w:qFormat/>
    <w:uiPriority w:val="0"/>
    <w:rPr>
      <w:rFonts w:eastAsia="黑体"/>
      <w:sz w:val="24"/>
      <w:lang w:val="en-US" w:eastAsia="zh-CN"/>
    </w:rPr>
  </w:style>
  <w:style w:type="character" w:customStyle="1" w:styleId="135">
    <w:name w:val="正文2 Char Char"/>
    <w:link w:val="136"/>
    <w:autoRedefine/>
    <w:qFormat/>
    <w:uiPriority w:val="0"/>
    <w:rPr>
      <w:rFonts w:eastAsia="宋体"/>
      <w:kern w:val="2"/>
      <w:sz w:val="24"/>
      <w:lang w:val="en-US" w:eastAsia="zh-CN" w:bidi="ar-SA"/>
    </w:rPr>
  </w:style>
  <w:style w:type="paragraph" w:customStyle="1" w:styleId="136">
    <w:name w:val="正文2"/>
    <w:basedOn w:val="1"/>
    <w:next w:val="44"/>
    <w:link w:val="135"/>
    <w:autoRedefine/>
    <w:qFormat/>
    <w:uiPriority w:val="0"/>
    <w:pPr>
      <w:spacing w:before="156" w:line="360" w:lineRule="auto"/>
      <w:ind w:firstLine="510" w:firstLineChars="200"/>
    </w:pPr>
    <w:rPr>
      <w:sz w:val="24"/>
      <w:szCs w:val="20"/>
    </w:rPr>
  </w:style>
  <w:style w:type="character" w:customStyle="1" w:styleId="137">
    <w:name w:val="Char Char24"/>
    <w:autoRedefine/>
    <w:qFormat/>
    <w:uiPriority w:val="6"/>
    <w:rPr>
      <w:kern w:val="1"/>
      <w:sz w:val="21"/>
    </w:rPr>
  </w:style>
  <w:style w:type="character" w:customStyle="1" w:styleId="138">
    <w:name w:val="副标题 Char"/>
    <w:link w:val="48"/>
    <w:autoRedefine/>
    <w:qFormat/>
    <w:uiPriority w:val="0"/>
    <w:rPr>
      <w:rFonts w:ascii="Arial" w:hAnsi="Arial" w:eastAsia="隶书"/>
      <w:b/>
      <w:bCs/>
      <w:kern w:val="28"/>
      <w:sz w:val="44"/>
      <w:szCs w:val="32"/>
      <w:lang w:val="en-US" w:eastAsia="zh-CN" w:bidi="ar-SA"/>
    </w:rPr>
  </w:style>
  <w:style w:type="character" w:customStyle="1" w:styleId="139">
    <w:name w:val="普通文字 Char1 Char"/>
    <w:autoRedefine/>
    <w:qFormat/>
    <w:uiPriority w:val="0"/>
    <w:rPr>
      <w:rFonts w:ascii="宋体" w:hAnsi="Courier New" w:eastAsia="宋体"/>
      <w:kern w:val="2"/>
      <w:sz w:val="21"/>
      <w:szCs w:val="24"/>
      <w:lang w:val="en-US" w:eastAsia="zh-CN" w:bidi="ar-SA"/>
    </w:rPr>
  </w:style>
  <w:style w:type="character" w:customStyle="1" w:styleId="140">
    <w:name w:val="h3 Char1"/>
    <w:autoRedefine/>
    <w:qFormat/>
    <w:uiPriority w:val="0"/>
    <w:rPr>
      <w:rFonts w:eastAsia="宋体"/>
      <w:b/>
      <w:bCs/>
      <w:kern w:val="2"/>
      <w:sz w:val="32"/>
      <w:szCs w:val="32"/>
      <w:lang w:bidi="ar-SA"/>
    </w:rPr>
  </w:style>
  <w:style w:type="character" w:customStyle="1" w:styleId="141">
    <w:name w:val="标题 Char1"/>
    <w:autoRedefine/>
    <w:qFormat/>
    <w:uiPriority w:val="0"/>
    <w:rPr>
      <w:rFonts w:ascii="Cambria" w:hAnsi="Cambria" w:eastAsia="宋体" w:cs="Times New Roman"/>
      <w:b/>
      <w:bCs/>
      <w:sz w:val="32"/>
      <w:szCs w:val="32"/>
      <w:lang w:bidi="ar-SA"/>
    </w:rPr>
  </w:style>
  <w:style w:type="character" w:customStyle="1" w:styleId="142">
    <w:name w:val="gf正文1 Char"/>
    <w:autoRedefine/>
    <w:qFormat/>
    <w:uiPriority w:val="0"/>
    <w:rPr>
      <w:rFonts w:ascii="宋体" w:hAnsi="宋体" w:eastAsia="宋体" w:cs="宋体"/>
      <w:kern w:val="2"/>
      <w:sz w:val="24"/>
      <w:szCs w:val="24"/>
      <w:lang w:val="en-US" w:eastAsia="zh-CN" w:bidi="ar-SA"/>
    </w:rPr>
  </w:style>
  <w:style w:type="character" w:customStyle="1" w:styleId="143">
    <w:name w:val="正文文本缩进 Char1"/>
    <w:autoRedefine/>
    <w:qFormat/>
    <w:uiPriority w:val="0"/>
    <w:rPr>
      <w:rFonts w:ascii="Calibri" w:hAnsi="Calibri"/>
      <w:sz w:val="28"/>
    </w:rPr>
  </w:style>
  <w:style w:type="character" w:customStyle="1" w:styleId="144">
    <w:name w:val="No Spacing Char"/>
    <w:link w:val="145"/>
    <w:autoRedefine/>
    <w:qFormat/>
    <w:uiPriority w:val="1"/>
    <w:rPr>
      <w:sz w:val="22"/>
      <w:szCs w:val="22"/>
      <w:lang w:val="en-US" w:eastAsia="zh-CN" w:bidi="ar-SA"/>
    </w:rPr>
  </w:style>
  <w:style w:type="paragraph" w:customStyle="1" w:styleId="145">
    <w:name w:val="无间隔1"/>
    <w:link w:val="144"/>
    <w:autoRedefine/>
    <w:qFormat/>
    <w:uiPriority w:val="1"/>
    <w:rPr>
      <w:rFonts w:ascii="Times New Roman" w:hAnsi="Times New Roman" w:eastAsia="宋体" w:cs="Times New Roman"/>
      <w:sz w:val="22"/>
      <w:szCs w:val="22"/>
      <w:lang w:val="en-US" w:eastAsia="zh-CN" w:bidi="ar-SA"/>
    </w:rPr>
  </w:style>
  <w:style w:type="character" w:customStyle="1" w:styleId="146">
    <w:name w:val="样式7 Char"/>
    <w:autoRedefine/>
    <w:qFormat/>
    <w:uiPriority w:val="0"/>
    <w:rPr>
      <w:rFonts w:ascii="仿宋_GB2312" w:hAnsi="仿宋" w:eastAsia="仿宋_GB2312"/>
      <w:b/>
      <w:kern w:val="2"/>
      <w:sz w:val="24"/>
      <w:szCs w:val="24"/>
    </w:rPr>
  </w:style>
  <w:style w:type="character" w:customStyle="1" w:styleId="147">
    <w:name w:val="font12gray1"/>
    <w:autoRedefine/>
    <w:qFormat/>
    <w:uiPriority w:val="0"/>
    <w:rPr>
      <w:rFonts w:ascii="仿宋_GB2312" w:eastAsia="微软雅黑"/>
      <w:b/>
      <w:spacing w:val="300"/>
      <w:kern w:val="2"/>
      <w:sz w:val="18"/>
      <w:szCs w:val="18"/>
      <w:lang w:val="en-US" w:eastAsia="zh-CN" w:bidi="ar-SA"/>
    </w:rPr>
  </w:style>
  <w:style w:type="character" w:customStyle="1" w:styleId="148">
    <w:name w:val="Char Char7"/>
    <w:autoRedefine/>
    <w:qFormat/>
    <w:uiPriority w:val="0"/>
    <w:rPr>
      <w:rFonts w:eastAsia="宋体"/>
      <w:kern w:val="2"/>
      <w:sz w:val="21"/>
      <w:szCs w:val="24"/>
      <w:lang w:val="en-US" w:eastAsia="zh-CN" w:bidi="ar-SA"/>
    </w:rPr>
  </w:style>
  <w:style w:type="character" w:customStyle="1" w:styleId="149">
    <w:name w:val="表名 Char"/>
    <w:autoRedefine/>
    <w:qFormat/>
    <w:uiPriority w:val="0"/>
    <w:rPr>
      <w:rFonts w:eastAsia="宋体"/>
      <w:b/>
      <w:bCs/>
      <w:kern w:val="2"/>
      <w:sz w:val="24"/>
      <w:szCs w:val="24"/>
      <w:lang w:val="en-US" w:eastAsia="zh-CN" w:bidi="ar-SA"/>
    </w:rPr>
  </w:style>
  <w:style w:type="character" w:customStyle="1" w:styleId="150">
    <w:name w:val="Document Map Char"/>
    <w:autoRedefine/>
    <w:qFormat/>
    <w:uiPriority w:val="0"/>
    <w:rPr>
      <w:rFonts w:eastAsia="宋体"/>
      <w:kern w:val="2"/>
      <w:sz w:val="21"/>
      <w:szCs w:val="24"/>
      <w:lang w:val="en-US" w:eastAsia="zh-CN" w:bidi="ar-SA"/>
    </w:rPr>
  </w:style>
  <w:style w:type="character" w:customStyle="1" w:styleId="151">
    <w:name w:val="font41"/>
    <w:basedOn w:val="69"/>
    <w:autoRedefine/>
    <w:qFormat/>
    <w:uiPriority w:val="0"/>
    <w:rPr>
      <w:rFonts w:hint="eastAsia" w:ascii="仿宋_GB2312" w:eastAsia="仿宋_GB2312" w:cs="仿宋_GB2312"/>
      <w:color w:val="000000"/>
      <w:sz w:val="22"/>
      <w:szCs w:val="22"/>
      <w:u w:val="none"/>
    </w:rPr>
  </w:style>
  <w:style w:type="character" w:customStyle="1" w:styleId="152">
    <w:name w:val="标题 6 Char"/>
    <w:link w:val="10"/>
    <w:autoRedefine/>
    <w:qFormat/>
    <w:uiPriority w:val="0"/>
    <w:rPr>
      <w:rFonts w:ascii="Arial" w:hAnsi="Arial" w:eastAsia="黑体"/>
      <w:b/>
      <w:bCs/>
      <w:kern w:val="2"/>
      <w:sz w:val="24"/>
      <w:szCs w:val="24"/>
    </w:rPr>
  </w:style>
  <w:style w:type="character" w:customStyle="1" w:styleId="153">
    <w:name w:val="纯文本 Char_0"/>
    <w:link w:val="154"/>
    <w:autoRedefine/>
    <w:qFormat/>
    <w:uiPriority w:val="0"/>
    <w:rPr>
      <w:rFonts w:ascii="宋体" w:hAnsi="Courier New"/>
      <w:kern w:val="2"/>
      <w:sz w:val="21"/>
      <w:szCs w:val="21"/>
      <w:lang w:val="en-US" w:eastAsia="zh-CN"/>
    </w:rPr>
  </w:style>
  <w:style w:type="paragraph" w:customStyle="1" w:styleId="154">
    <w:name w:val="纯文本_0_0"/>
    <w:basedOn w:val="155"/>
    <w:link w:val="153"/>
    <w:autoRedefine/>
    <w:qFormat/>
    <w:uiPriority w:val="0"/>
    <w:rPr>
      <w:rFonts w:ascii="宋体" w:hAnsi="Courier New"/>
      <w:szCs w:val="21"/>
    </w:rPr>
  </w:style>
  <w:style w:type="paragraph" w:customStyle="1" w:styleId="155">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6">
    <w:name w:val="Balloon Text Char"/>
    <w:autoRedefine/>
    <w:qFormat/>
    <w:uiPriority w:val="0"/>
    <w:rPr>
      <w:rFonts w:eastAsia="宋体"/>
      <w:kern w:val="2"/>
      <w:sz w:val="18"/>
      <w:szCs w:val="18"/>
      <w:lang w:val="en-US" w:eastAsia="zh-CN" w:bidi="ar-SA"/>
    </w:rPr>
  </w:style>
  <w:style w:type="character" w:customStyle="1" w:styleId="157">
    <w:name w:val="正文 项目2 Char"/>
    <w:basedOn w:val="158"/>
    <w:autoRedefine/>
    <w:qFormat/>
    <w:uiPriority w:val="0"/>
    <w:rPr>
      <w:rFonts w:ascii="仿宋_GB2312" w:hAnsi="仿宋_GB2312" w:eastAsia="仿宋_GB2312"/>
      <w:kern w:val="2"/>
      <w:sz w:val="24"/>
      <w:lang w:bidi="ar-SA"/>
    </w:rPr>
  </w:style>
  <w:style w:type="character" w:customStyle="1" w:styleId="158">
    <w:name w:val="正文 项目 Char"/>
    <w:autoRedefine/>
    <w:qFormat/>
    <w:uiPriority w:val="0"/>
    <w:rPr>
      <w:rFonts w:ascii="仿宋_GB2312" w:hAnsi="仿宋_GB2312" w:eastAsia="仿宋_GB2312"/>
      <w:kern w:val="2"/>
      <w:sz w:val="24"/>
      <w:lang w:bidi="ar-SA"/>
    </w:rPr>
  </w:style>
  <w:style w:type="character" w:customStyle="1" w:styleId="159">
    <w:name w:val="h Char Char1"/>
    <w:autoRedefine/>
    <w:qFormat/>
    <w:uiPriority w:val="0"/>
    <w:rPr>
      <w:rFonts w:eastAsia="宋体"/>
      <w:kern w:val="2"/>
      <w:sz w:val="18"/>
      <w:szCs w:val="18"/>
      <w:lang w:val="en-US" w:eastAsia="zh-CN" w:bidi="ar-SA"/>
    </w:rPr>
  </w:style>
  <w:style w:type="character" w:customStyle="1" w:styleId="160">
    <w:name w:val="Char Char27"/>
    <w:autoRedefine/>
    <w:qFormat/>
    <w:uiPriority w:val="6"/>
    <w:rPr>
      <w:rFonts w:ascii="宋体" w:hAnsi="宋体" w:eastAsia="宋体"/>
      <w:color w:val="000000"/>
      <w:kern w:val="1"/>
      <w:sz w:val="28"/>
      <w:lang w:val="en-US" w:eastAsia="zh-CN" w:bidi="ar-SA"/>
    </w:rPr>
  </w:style>
  <w:style w:type="character" w:customStyle="1" w:styleId="161">
    <w:name w:val="px14"/>
    <w:autoRedefine/>
    <w:qFormat/>
    <w:uiPriority w:val="0"/>
    <w:rPr>
      <w:rFonts w:ascii="仿宋_GB2312" w:eastAsia="微软雅黑" w:cs="Times New Roman"/>
      <w:b/>
      <w:kern w:val="2"/>
      <w:sz w:val="32"/>
      <w:szCs w:val="32"/>
      <w:lang w:val="en-US" w:eastAsia="zh-CN" w:bidi="ar-SA"/>
    </w:rPr>
  </w:style>
  <w:style w:type="character" w:customStyle="1" w:styleId="162">
    <w:name w:val="HTML 预设格式 Char1"/>
    <w:autoRedefine/>
    <w:qFormat/>
    <w:uiPriority w:val="0"/>
    <w:rPr>
      <w:rFonts w:ascii="Courier New" w:hAnsi="Courier New" w:eastAsia="宋体" w:cs="Courier New"/>
      <w:sz w:val="20"/>
      <w:szCs w:val="20"/>
    </w:rPr>
  </w:style>
  <w:style w:type="character" w:customStyle="1" w:styleId="163">
    <w:name w:val="普通文字 Char1"/>
    <w:autoRedefine/>
    <w:qFormat/>
    <w:uiPriority w:val="0"/>
    <w:rPr>
      <w:rFonts w:ascii="宋体" w:hAnsi="Courier New" w:eastAsia="宋体"/>
      <w:kern w:val="2"/>
      <w:sz w:val="21"/>
      <w:lang w:val="en-US" w:eastAsia="zh-CN"/>
    </w:rPr>
  </w:style>
  <w:style w:type="character" w:customStyle="1" w:styleId="164">
    <w:name w:val="hei16b1"/>
    <w:autoRedefine/>
    <w:qFormat/>
    <w:uiPriority w:val="0"/>
    <w:rPr>
      <w:rFonts w:hint="default" w:ascii="Arial" w:hAnsi="Arial" w:cs="Arial"/>
      <w:b/>
      <w:bCs/>
      <w:color w:val="000000"/>
      <w:sz w:val="24"/>
      <w:szCs w:val="24"/>
    </w:rPr>
  </w:style>
  <w:style w:type="character" w:customStyle="1" w:styleId="165">
    <w:name w:val="正文（绿盟科技） Char"/>
    <w:link w:val="166"/>
    <w:autoRedefine/>
    <w:qFormat/>
    <w:uiPriority w:val="0"/>
    <w:rPr>
      <w:rFonts w:ascii="Arial" w:hAnsi="Arial"/>
      <w:sz w:val="21"/>
      <w:szCs w:val="21"/>
    </w:rPr>
  </w:style>
  <w:style w:type="paragraph" w:customStyle="1" w:styleId="166">
    <w:name w:val="正文（绿盟科技）"/>
    <w:link w:val="165"/>
    <w:autoRedefine/>
    <w:qFormat/>
    <w:uiPriority w:val="0"/>
    <w:pPr>
      <w:spacing w:line="300" w:lineRule="auto"/>
    </w:pPr>
    <w:rPr>
      <w:rFonts w:ascii="Arial" w:hAnsi="Arial" w:eastAsia="宋体" w:cs="Times New Roman"/>
      <w:sz w:val="21"/>
      <w:szCs w:val="21"/>
      <w:lang w:val="en-US" w:eastAsia="zh-CN" w:bidi="ar-SA"/>
    </w:rPr>
  </w:style>
  <w:style w:type="character" w:customStyle="1" w:styleId="167">
    <w:name w:val="Char Char19"/>
    <w:autoRedefine/>
    <w:qFormat/>
    <w:uiPriority w:val="6"/>
    <w:rPr>
      <w:rFonts w:ascii="宋体" w:hAnsi="宋体"/>
      <w:i/>
      <w:sz w:val="24"/>
      <w:szCs w:val="24"/>
    </w:rPr>
  </w:style>
  <w:style w:type="character" w:customStyle="1" w:styleId="168">
    <w:name w:val="页脚 Char"/>
    <w:autoRedefine/>
    <w:qFormat/>
    <w:uiPriority w:val="0"/>
    <w:rPr>
      <w:rFonts w:eastAsia="仿宋_GB2312"/>
      <w:kern w:val="2"/>
      <w:sz w:val="18"/>
      <w:lang w:val="en-US" w:eastAsia="zh-CN"/>
    </w:rPr>
  </w:style>
  <w:style w:type="character" w:customStyle="1" w:styleId="169">
    <w:name w:val="批注主题 Char"/>
    <w:autoRedefine/>
    <w:qFormat/>
    <w:uiPriority w:val="0"/>
    <w:rPr>
      <w:rFonts w:eastAsia="宋体"/>
      <w:b/>
      <w:bCs/>
      <w:kern w:val="2"/>
      <w:sz w:val="21"/>
      <w:szCs w:val="24"/>
      <w:lang w:val="en-US" w:eastAsia="zh-CN" w:bidi="ar-SA"/>
    </w:rPr>
  </w:style>
  <w:style w:type="character" w:customStyle="1" w:styleId="170">
    <w:name w:val="Comment Text Char"/>
    <w:autoRedefine/>
    <w:qFormat/>
    <w:uiPriority w:val="0"/>
    <w:rPr>
      <w:rFonts w:ascii="宋体" w:hAnsi="宋体" w:eastAsia="宋体"/>
      <w:kern w:val="2"/>
      <w:sz w:val="24"/>
      <w:lang w:val="en-US" w:eastAsia="zh-CN" w:bidi="ar-SA"/>
    </w:rPr>
  </w:style>
  <w:style w:type="character" w:customStyle="1" w:styleId="171">
    <w:name w:val="标题 2 字符"/>
    <w:autoRedefine/>
    <w:qFormat/>
    <w:uiPriority w:val="1"/>
    <w:rPr>
      <w:rFonts w:ascii="仿宋_GB2312" w:hAnsi="Times New Roman" w:eastAsia="仿宋_GB2312" w:cs="Times New Roman"/>
      <w:b/>
      <w:kern w:val="2"/>
      <w:sz w:val="24"/>
      <w:lang w:val="zh-CN"/>
    </w:rPr>
  </w:style>
  <w:style w:type="character" w:customStyle="1" w:styleId="172">
    <w:name w:val="Char Char72"/>
    <w:autoRedefine/>
    <w:qFormat/>
    <w:uiPriority w:val="0"/>
    <w:rPr>
      <w:rFonts w:eastAsia="宋体"/>
      <w:kern w:val="2"/>
      <w:sz w:val="21"/>
      <w:szCs w:val="24"/>
      <w:lang w:val="en-US" w:eastAsia="zh-CN" w:bidi="ar-SA"/>
    </w:rPr>
  </w:style>
  <w:style w:type="character" w:customStyle="1" w:styleId="173">
    <w:name w:val="正文文本缩进 Char2"/>
    <w:autoRedefine/>
    <w:qFormat/>
    <w:uiPriority w:val="0"/>
    <w:rPr>
      <w:rFonts w:ascii="Times New Roman" w:hAnsi="Times New Roman" w:eastAsia="宋体" w:cs="Times New Roman"/>
      <w:snapToGrid w:val="0"/>
      <w:kern w:val="0"/>
      <w:szCs w:val="24"/>
    </w:rPr>
  </w:style>
  <w:style w:type="character" w:customStyle="1" w:styleId="174">
    <w:name w:val="样式2 Char"/>
    <w:autoRedefine/>
    <w:qFormat/>
    <w:uiPriority w:val="0"/>
    <w:rPr>
      <w:rFonts w:ascii="仿宋_GB2312" w:hAnsi="仿宋" w:eastAsia="仿宋_GB2312" w:cs="仿宋_GB2312"/>
      <w:b/>
      <w:bCs/>
      <w:sz w:val="32"/>
      <w:szCs w:val="30"/>
      <w:lang w:val="zh-CN"/>
    </w:rPr>
  </w:style>
  <w:style w:type="character" w:customStyle="1" w:styleId="175">
    <w:name w:val="表格名称[858D7CFB-ED40-4347-BF05-701D383B685F]"/>
    <w:link w:val="176"/>
    <w:autoRedefine/>
    <w:qFormat/>
    <w:uiPriority w:val="0"/>
    <w:rPr>
      <w:sz w:val="32"/>
    </w:rPr>
  </w:style>
  <w:style w:type="paragraph" w:customStyle="1" w:styleId="176">
    <w:name w:val="表格名称"/>
    <w:basedOn w:val="4"/>
    <w:link w:val="175"/>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7">
    <w:name w:val="Char Char4"/>
    <w:autoRedefine/>
    <w:qFormat/>
    <w:uiPriority w:val="0"/>
    <w:rPr>
      <w:rFonts w:eastAsia="宋体"/>
      <w:b/>
      <w:sz w:val="24"/>
      <w:lang w:val="en-GB" w:eastAsia="zh-CN" w:bidi="ar-SA"/>
    </w:rPr>
  </w:style>
  <w:style w:type="character" w:customStyle="1" w:styleId="178">
    <w:name w:val="c7 style3"/>
    <w:autoRedefine/>
    <w:qFormat/>
    <w:uiPriority w:val="0"/>
  </w:style>
  <w:style w:type="character" w:customStyle="1" w:styleId="179">
    <w:name w:val="正文文本 3 Char1"/>
    <w:autoRedefine/>
    <w:qFormat/>
    <w:uiPriority w:val="99"/>
    <w:rPr>
      <w:rFonts w:ascii="Times New Roman" w:hAnsi="Times New Roman" w:eastAsia="宋体" w:cs="Times New Roman"/>
      <w:sz w:val="16"/>
      <w:szCs w:val="16"/>
    </w:rPr>
  </w:style>
  <w:style w:type="character" w:customStyle="1" w:styleId="180">
    <w:name w:val="tw4winInternal"/>
    <w:autoRedefine/>
    <w:qFormat/>
    <w:uiPriority w:val="0"/>
    <w:rPr>
      <w:rFonts w:ascii="Courier New" w:hAnsi="Courier New" w:cs="Courier New"/>
      <w:color w:val="FF0000"/>
      <w:lang w:val="en-US" w:eastAsia="zh-CN"/>
    </w:rPr>
  </w:style>
  <w:style w:type="character" w:customStyle="1" w:styleId="181">
    <w:name w:val="Char Char10"/>
    <w:autoRedefine/>
    <w:qFormat/>
    <w:uiPriority w:val="0"/>
    <w:rPr>
      <w:rFonts w:ascii="宋体" w:hAnsi="宋体"/>
      <w:kern w:val="2"/>
      <w:sz w:val="21"/>
      <w:szCs w:val="24"/>
      <w:lang w:val="en-US" w:eastAsia="zh-CN"/>
    </w:rPr>
  </w:style>
  <w:style w:type="character" w:customStyle="1" w:styleId="182">
    <w:name w:val="shadow11"/>
    <w:autoRedefine/>
    <w:qFormat/>
    <w:uiPriority w:val="0"/>
    <w:rPr>
      <w:color w:val="000000"/>
      <w:sz w:val="21"/>
    </w:rPr>
  </w:style>
  <w:style w:type="character" w:customStyle="1" w:styleId="183">
    <w:name w:val="正文非缩进 Char3"/>
    <w:autoRedefine/>
    <w:qFormat/>
    <w:uiPriority w:val="0"/>
    <w:rPr>
      <w:rFonts w:ascii="宋体" w:eastAsia="宋体"/>
      <w:snapToGrid w:val="0"/>
      <w:color w:val="000000"/>
      <w:kern w:val="28"/>
      <w:sz w:val="28"/>
      <w:lang w:val="en-US" w:eastAsia="zh-CN" w:bidi="ar-SA"/>
    </w:rPr>
  </w:style>
  <w:style w:type="character" w:customStyle="1" w:styleId="184">
    <w:name w:val="Char Char"/>
    <w:autoRedefine/>
    <w:qFormat/>
    <w:uiPriority w:val="0"/>
    <w:rPr>
      <w:rFonts w:ascii="宋体" w:hAnsi="Courier New" w:eastAsia="宋体"/>
      <w:kern w:val="2"/>
      <w:sz w:val="21"/>
      <w:lang w:val="en-US" w:eastAsia="zh-CN" w:bidi="ar-SA"/>
    </w:rPr>
  </w:style>
  <w:style w:type="character" w:customStyle="1" w:styleId="185">
    <w:name w:val="签名 Char1"/>
    <w:autoRedefine/>
    <w:qFormat/>
    <w:uiPriority w:val="0"/>
    <w:rPr>
      <w:rFonts w:ascii="Times New Roman" w:hAnsi="Times New Roman" w:eastAsia="宋体" w:cs="Times New Roman"/>
      <w:szCs w:val="24"/>
    </w:rPr>
  </w:style>
  <w:style w:type="character" w:customStyle="1" w:styleId="186">
    <w:name w:val="日期 Char"/>
    <w:link w:val="37"/>
    <w:autoRedefine/>
    <w:qFormat/>
    <w:uiPriority w:val="0"/>
    <w:rPr>
      <w:rFonts w:ascii="宋体"/>
      <w:kern w:val="2"/>
      <w:sz w:val="24"/>
      <w:szCs w:val="21"/>
      <w:lang w:val="zh-CN"/>
    </w:rPr>
  </w:style>
  <w:style w:type="character" w:customStyle="1" w:styleId="187">
    <w:name w:val="标题 9 Char"/>
    <w:link w:val="13"/>
    <w:autoRedefine/>
    <w:qFormat/>
    <w:uiPriority w:val="0"/>
    <w:rPr>
      <w:rFonts w:ascii="Arial" w:hAnsi="Arial" w:eastAsia="黑体"/>
      <w:kern w:val="2"/>
      <w:sz w:val="21"/>
      <w:szCs w:val="21"/>
    </w:rPr>
  </w:style>
  <w:style w:type="character" w:customStyle="1" w:styleId="188">
    <w:name w:val="Char Char18"/>
    <w:autoRedefine/>
    <w:qFormat/>
    <w:uiPriority w:val="6"/>
    <w:rPr>
      <w:rFonts w:ascii="宋体" w:hAnsi="宋体"/>
      <w:sz w:val="28"/>
    </w:rPr>
  </w:style>
  <w:style w:type="character" w:customStyle="1" w:styleId="189">
    <w:name w:val="批注文字 Char"/>
    <w:autoRedefine/>
    <w:qFormat/>
    <w:uiPriority w:val="99"/>
    <w:rPr>
      <w:kern w:val="2"/>
      <w:sz w:val="21"/>
      <w:szCs w:val="24"/>
    </w:rPr>
  </w:style>
  <w:style w:type="character" w:customStyle="1" w:styleId="190">
    <w:name w:val="Char Char22"/>
    <w:autoRedefine/>
    <w:qFormat/>
    <w:uiPriority w:val="6"/>
    <w:rPr>
      <w:rFonts w:ascii="宋体" w:hAnsi="宋体"/>
      <w:kern w:val="1"/>
      <w:sz w:val="24"/>
      <w:szCs w:val="24"/>
    </w:rPr>
  </w:style>
  <w:style w:type="character" w:customStyle="1" w:styleId="191">
    <w:name w:val="pt141"/>
    <w:autoRedefine/>
    <w:qFormat/>
    <w:uiPriority w:val="0"/>
    <w:rPr>
      <w:color w:val="330066"/>
      <w:sz w:val="22"/>
      <w:szCs w:val="22"/>
    </w:rPr>
  </w:style>
  <w:style w:type="character" w:customStyle="1" w:styleId="192">
    <w:name w:val="正文文本缩进 2 Char1"/>
    <w:autoRedefine/>
    <w:qFormat/>
    <w:uiPriority w:val="99"/>
    <w:rPr>
      <w:rFonts w:ascii="Times New Roman" w:hAnsi="Times New Roman" w:eastAsia="宋体" w:cs="Times New Roman"/>
      <w:szCs w:val="24"/>
    </w:rPr>
  </w:style>
  <w:style w:type="character" w:customStyle="1" w:styleId="193">
    <w:name w:val="批注框文本 Char"/>
    <w:link w:val="40"/>
    <w:autoRedefine/>
    <w:qFormat/>
    <w:uiPriority w:val="0"/>
    <w:rPr>
      <w:kern w:val="2"/>
      <w:sz w:val="18"/>
      <w:szCs w:val="18"/>
    </w:rPr>
  </w:style>
  <w:style w:type="character" w:customStyle="1" w:styleId="194">
    <w:name w:val="Char Char611"/>
    <w:autoRedefine/>
    <w:qFormat/>
    <w:uiPriority w:val="0"/>
    <w:rPr>
      <w:rFonts w:eastAsia="宋体"/>
      <w:kern w:val="2"/>
      <w:sz w:val="21"/>
      <w:szCs w:val="24"/>
      <w:lang w:val="en-US" w:eastAsia="zh-CN" w:bidi="ar-SA"/>
    </w:rPr>
  </w:style>
  <w:style w:type="character" w:customStyle="1" w:styleId="195">
    <w:name w:val="highlight1"/>
    <w:autoRedefine/>
    <w:qFormat/>
    <w:uiPriority w:val="0"/>
    <w:rPr>
      <w:rFonts w:ascii="仿宋_GB2312" w:eastAsia="微软雅黑"/>
      <w:b/>
      <w:kern w:val="2"/>
      <w:sz w:val="23"/>
      <w:szCs w:val="23"/>
      <w:lang w:val="en-US" w:eastAsia="zh-CN" w:bidi="ar-SA"/>
    </w:rPr>
  </w:style>
  <w:style w:type="character" w:customStyle="1" w:styleId="196">
    <w:name w:val="my正文 Char"/>
    <w:link w:val="197"/>
    <w:autoRedefine/>
    <w:qFormat/>
    <w:uiPriority w:val="0"/>
    <w:rPr>
      <w:rFonts w:ascii="Tahoma" w:hAnsi="Tahoma"/>
      <w:sz w:val="24"/>
      <w:szCs w:val="24"/>
    </w:rPr>
  </w:style>
  <w:style w:type="paragraph" w:customStyle="1" w:styleId="197">
    <w:name w:val="my正文"/>
    <w:basedOn w:val="1"/>
    <w:link w:val="196"/>
    <w:autoRedefine/>
    <w:qFormat/>
    <w:uiPriority w:val="0"/>
    <w:pPr>
      <w:adjustRightInd/>
      <w:spacing w:line="360" w:lineRule="auto"/>
      <w:ind w:firstLine="480" w:firstLineChars="200"/>
    </w:pPr>
    <w:rPr>
      <w:rFonts w:ascii="Tahoma" w:hAnsi="Tahoma"/>
      <w:kern w:val="0"/>
      <w:sz w:val="24"/>
    </w:rPr>
  </w:style>
  <w:style w:type="character" w:customStyle="1" w:styleId="198">
    <w:name w:val="正文缩进 Char2"/>
    <w:link w:val="2"/>
    <w:autoRedefine/>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autoRedefine/>
    <w:qFormat/>
    <w:uiPriority w:val="0"/>
    <w:rPr>
      <w:color w:val="0000FF"/>
      <w:sz w:val="21"/>
    </w:rPr>
  </w:style>
  <w:style w:type="character" w:customStyle="1" w:styleId="200">
    <w:name w:val="页眉 Char"/>
    <w:autoRedefine/>
    <w:qFormat/>
    <w:uiPriority w:val="0"/>
    <w:rPr>
      <w:rFonts w:eastAsia="仿宋_GB2312"/>
      <w:kern w:val="2"/>
      <w:sz w:val="18"/>
      <w:lang w:val="en-US" w:eastAsia="zh-CN"/>
    </w:rPr>
  </w:style>
  <w:style w:type="character" w:customStyle="1" w:styleId="201">
    <w:name w:val="FA正文 Char Char"/>
    <w:autoRedefine/>
    <w:qFormat/>
    <w:uiPriority w:val="0"/>
    <w:rPr>
      <w:rFonts w:hAnsi="宋体"/>
      <w:kern w:val="2"/>
      <w:sz w:val="24"/>
      <w:lang w:bidi="ar-SA"/>
    </w:rPr>
  </w:style>
  <w:style w:type="character" w:customStyle="1" w:styleId="202">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autoRedefine/>
    <w:qFormat/>
    <w:uiPriority w:val="0"/>
    <w:rPr>
      <w:rFonts w:ascii="宋体" w:hAnsi="宋体"/>
      <w:b/>
      <w:bCs/>
      <w:snapToGrid/>
      <w:sz w:val="28"/>
    </w:rPr>
  </w:style>
  <w:style w:type="paragraph" w:customStyle="1" w:styleId="204">
    <w:name w:val="3级"/>
    <w:basedOn w:val="205"/>
    <w:link w:val="203"/>
    <w:autoRedefine/>
    <w:qFormat/>
    <w:uiPriority w:val="0"/>
    <w:pPr>
      <w:ind w:left="0" w:right="466" w:firstLine="288"/>
    </w:pPr>
    <w:rPr>
      <w:rFonts w:hAnsi="宋体"/>
      <w:snapToGrid/>
    </w:rPr>
  </w:style>
  <w:style w:type="paragraph" w:customStyle="1" w:styleId="205">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autoRedefine/>
    <w:qFormat/>
    <w:uiPriority w:val="0"/>
    <w:rPr>
      <w:rFonts w:ascii="仿宋_GB2312" w:eastAsia="微软雅黑"/>
      <w:b/>
      <w:kern w:val="2"/>
      <w:sz w:val="32"/>
      <w:szCs w:val="32"/>
      <w:lang w:val="en-US" w:eastAsia="zh-CN" w:bidi="ar-SA"/>
    </w:rPr>
  </w:style>
  <w:style w:type="character" w:customStyle="1" w:styleId="207">
    <w:name w:val="文档结构图 Char1"/>
    <w:link w:val="20"/>
    <w:autoRedefine/>
    <w:qFormat/>
    <w:uiPriority w:val="0"/>
    <w:rPr>
      <w:kern w:val="2"/>
      <w:sz w:val="21"/>
      <w:szCs w:val="24"/>
      <w:shd w:val="clear" w:color="auto" w:fill="000080"/>
    </w:rPr>
  </w:style>
  <w:style w:type="character" w:customStyle="1" w:styleId="208">
    <w:name w:val="H6 Char"/>
    <w:autoRedefine/>
    <w:qFormat/>
    <w:uiPriority w:val="0"/>
    <w:rPr>
      <w:rFonts w:ascii="Arial" w:hAnsi="Arial" w:eastAsia="黑体"/>
      <w:b/>
      <w:bCs/>
      <w:kern w:val="2"/>
      <w:sz w:val="24"/>
      <w:szCs w:val="24"/>
    </w:rPr>
  </w:style>
  <w:style w:type="character" w:customStyle="1" w:styleId="209">
    <w:name w:val="Char Char91"/>
    <w:autoRedefine/>
    <w:qFormat/>
    <w:uiPriority w:val="0"/>
    <w:rPr>
      <w:rFonts w:eastAsia="宋体"/>
      <w:kern w:val="2"/>
      <w:sz w:val="18"/>
      <w:szCs w:val="18"/>
      <w:lang w:val="en-US" w:eastAsia="zh-CN" w:bidi="ar-SA"/>
    </w:rPr>
  </w:style>
  <w:style w:type="character" w:customStyle="1" w:styleId="210">
    <w:name w:val="副标题 Char1"/>
    <w:autoRedefine/>
    <w:qFormat/>
    <w:uiPriority w:val="0"/>
    <w:rPr>
      <w:rFonts w:ascii="Cambria" w:hAnsi="Cambria" w:eastAsia="宋体" w:cs="Times New Roman"/>
      <w:b/>
      <w:bCs/>
      <w:snapToGrid w:val="0"/>
      <w:kern w:val="28"/>
      <w:sz w:val="32"/>
      <w:szCs w:val="32"/>
    </w:rPr>
  </w:style>
  <w:style w:type="character" w:customStyle="1" w:styleId="211">
    <w:name w:val="font61"/>
    <w:autoRedefine/>
    <w:qFormat/>
    <w:uiPriority w:val="0"/>
    <w:rPr>
      <w:rFonts w:hint="eastAsia" w:ascii="仿宋" w:hAnsi="仿宋" w:eastAsia="仿宋" w:cs="仿宋"/>
      <w:color w:val="000000"/>
      <w:sz w:val="20"/>
      <w:szCs w:val="20"/>
      <w:u w:val="none"/>
    </w:rPr>
  </w:style>
  <w:style w:type="character" w:customStyle="1" w:styleId="21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autoRedefine/>
    <w:qFormat/>
    <w:uiPriority w:val="0"/>
    <w:rPr>
      <w:rFonts w:eastAsia="宋体"/>
      <w:b/>
      <w:bCs/>
      <w:kern w:val="2"/>
      <w:sz w:val="21"/>
      <w:szCs w:val="24"/>
      <w:lang w:val="en-US" w:eastAsia="zh-CN" w:bidi="ar-SA"/>
    </w:rPr>
  </w:style>
  <w:style w:type="character" w:customStyle="1" w:styleId="214">
    <w:name w:val="标题 2 Char"/>
    <w:autoRedefine/>
    <w:qFormat/>
    <w:uiPriority w:val="0"/>
    <w:rPr>
      <w:rFonts w:ascii="Arial" w:hAnsi="Arial" w:eastAsia="黑体"/>
      <w:b/>
      <w:kern w:val="2"/>
      <w:sz w:val="32"/>
      <w:lang w:val="en-US" w:eastAsia="zh-CN"/>
    </w:rPr>
  </w:style>
  <w:style w:type="character" w:customStyle="1" w:styleId="215">
    <w:name w:val="maywed421"/>
    <w:autoRedefine/>
    <w:qFormat/>
    <w:uiPriority w:val="0"/>
    <w:rPr>
      <w:color w:val="366FB6"/>
      <w:u w:val="none"/>
    </w:rPr>
  </w:style>
  <w:style w:type="character" w:customStyle="1" w:styleId="216">
    <w:name w:val="正文文本缩进 Char"/>
    <w:autoRedefine/>
    <w:qFormat/>
    <w:uiPriority w:val="0"/>
    <w:rPr>
      <w:rFonts w:ascii="宋体" w:hAnsi="宋体"/>
      <w:kern w:val="2"/>
      <w:sz w:val="24"/>
      <w:szCs w:val="24"/>
    </w:rPr>
  </w:style>
  <w:style w:type="character" w:customStyle="1" w:styleId="217">
    <w:name w:val="Char Char102"/>
    <w:autoRedefine/>
    <w:qFormat/>
    <w:uiPriority w:val="0"/>
    <w:rPr>
      <w:rFonts w:ascii="宋体" w:hAnsi="宋体"/>
      <w:kern w:val="2"/>
      <w:sz w:val="21"/>
      <w:szCs w:val="24"/>
      <w:lang w:val="en-US" w:eastAsia="zh-CN"/>
    </w:rPr>
  </w:style>
  <w:style w:type="character" w:customStyle="1" w:styleId="218">
    <w:name w:val="页眉 Char1"/>
    <w:autoRedefine/>
    <w:qFormat/>
    <w:uiPriority w:val="0"/>
    <w:rPr>
      <w:rFonts w:eastAsia="宋体"/>
      <w:kern w:val="2"/>
      <w:sz w:val="18"/>
      <w:szCs w:val="18"/>
      <w:lang w:val="en-US" w:eastAsia="zh-CN" w:bidi="ar-SA"/>
    </w:rPr>
  </w:style>
  <w:style w:type="character" w:customStyle="1" w:styleId="219">
    <w:name w:val="md"/>
    <w:basedOn w:val="69"/>
    <w:autoRedefine/>
    <w:qFormat/>
    <w:uiPriority w:val="0"/>
    <w:rPr>
      <w:rFonts w:ascii="Arial" w:hAnsi="Arial" w:eastAsia="黑体" w:cs="Arial"/>
      <w:snapToGrid w:val="0"/>
      <w:kern w:val="0"/>
      <w:szCs w:val="21"/>
    </w:rPr>
  </w:style>
  <w:style w:type="character" w:customStyle="1" w:styleId="220">
    <w:name w:val="big1"/>
    <w:autoRedefine/>
    <w:qFormat/>
    <w:uiPriority w:val="0"/>
    <w:rPr>
      <w:rFonts w:hint="eastAsia" w:ascii="宋体" w:hAnsi="宋体" w:eastAsia="宋体"/>
      <w:color w:val="333333"/>
      <w:sz w:val="22"/>
      <w:szCs w:val="22"/>
    </w:rPr>
  </w:style>
  <w:style w:type="character" w:customStyle="1" w:styleId="221">
    <w:name w:val="Char Char311"/>
    <w:autoRedefine/>
    <w:qFormat/>
    <w:uiPriority w:val="0"/>
    <w:rPr>
      <w:rFonts w:eastAsia="宋体"/>
      <w:kern w:val="2"/>
      <w:sz w:val="21"/>
      <w:szCs w:val="24"/>
      <w:lang w:val="en-US" w:eastAsia="zh-CN" w:bidi="ar-SA"/>
    </w:rPr>
  </w:style>
  <w:style w:type="character" w:customStyle="1" w:styleId="222">
    <w:name w:val="Char Char81"/>
    <w:autoRedefine/>
    <w:qFormat/>
    <w:uiPriority w:val="6"/>
    <w:rPr>
      <w:rFonts w:eastAsia="宋体"/>
      <w:b/>
      <w:sz w:val="24"/>
      <w:lang w:val="en-GB" w:eastAsia="zh-CN"/>
    </w:rPr>
  </w:style>
  <w:style w:type="character" w:customStyle="1" w:styleId="223">
    <w:name w:val="样式3 Char"/>
    <w:basedOn w:val="174"/>
    <w:autoRedefine/>
    <w:qFormat/>
    <w:uiPriority w:val="0"/>
    <w:rPr>
      <w:rFonts w:ascii="仿宋_GB2312" w:hAnsi="仿宋" w:eastAsia="仿宋_GB2312" w:cs="仿宋_GB2312"/>
      <w:sz w:val="32"/>
      <w:szCs w:val="30"/>
      <w:lang w:val="zh-CN"/>
    </w:rPr>
  </w:style>
  <w:style w:type="character" w:customStyle="1" w:styleId="224">
    <w:name w:val="HTML 地址 Char"/>
    <w:link w:val="31"/>
    <w:autoRedefine/>
    <w:qFormat/>
    <w:uiPriority w:val="0"/>
    <w:rPr>
      <w:rFonts w:ascii="宋体" w:hAnsi="宋体"/>
      <w:i/>
      <w:iCs/>
      <w:sz w:val="24"/>
      <w:szCs w:val="24"/>
    </w:rPr>
  </w:style>
  <w:style w:type="character" w:customStyle="1" w:styleId="225">
    <w:name w:val="正文首行缩进 2 Char1"/>
    <w:autoRedefine/>
    <w:qFormat/>
    <w:uiPriority w:val="0"/>
    <w:rPr>
      <w:rFonts w:ascii="Times New Roman" w:hAnsi="Times New Roman" w:eastAsia="宋体" w:cs="Times New Roman"/>
      <w:kern w:val="2"/>
      <w:sz w:val="24"/>
      <w:szCs w:val="24"/>
    </w:rPr>
  </w:style>
  <w:style w:type="character" w:customStyle="1" w:styleId="226">
    <w:name w:val="副标题 Char2"/>
    <w:autoRedefine/>
    <w:qFormat/>
    <w:uiPriority w:val="0"/>
    <w:rPr>
      <w:rFonts w:ascii="Cambria" w:hAnsi="Cambria" w:eastAsia="宋体" w:cs="Times New Roman"/>
      <w:b/>
      <w:bCs/>
      <w:snapToGrid w:val="0"/>
      <w:kern w:val="28"/>
      <w:sz w:val="32"/>
      <w:szCs w:val="32"/>
    </w:rPr>
  </w:style>
  <w:style w:type="character" w:customStyle="1" w:styleId="227">
    <w:name w:val="标题4-dyf Char"/>
    <w:link w:val="228"/>
    <w:autoRedefine/>
    <w:qFormat/>
    <w:uiPriority w:val="0"/>
    <w:rPr>
      <w:rFonts w:ascii="Cambria" w:hAnsi="Cambria"/>
      <w:b/>
      <w:bCs/>
      <w:color w:val="000000"/>
      <w:kern w:val="2"/>
      <w:sz w:val="21"/>
      <w:szCs w:val="21"/>
    </w:rPr>
  </w:style>
  <w:style w:type="paragraph" w:customStyle="1" w:styleId="228">
    <w:name w:val="标题4-dyf"/>
    <w:basedOn w:val="8"/>
    <w:link w:val="227"/>
    <w:autoRedefine/>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autoRedefine/>
    <w:qFormat/>
    <w:uiPriority w:val="0"/>
    <w:rPr>
      <w:rFonts w:ascii="宋体" w:hAnsi="宋体" w:eastAsia="宋体"/>
      <w:color w:val="333333"/>
      <w:sz w:val="21"/>
      <w:szCs w:val="21"/>
      <w:u w:val="none"/>
    </w:rPr>
  </w:style>
  <w:style w:type="character" w:customStyle="1" w:styleId="230">
    <w:name w:val="冯 Char"/>
    <w:link w:val="231"/>
    <w:autoRedefine/>
    <w:qFormat/>
    <w:uiPriority w:val="0"/>
    <w:rPr>
      <w:rFonts w:ascii="宋体" w:hAnsi="宋体"/>
      <w:color w:val="000000"/>
      <w:sz w:val="24"/>
      <w:szCs w:val="24"/>
    </w:rPr>
  </w:style>
  <w:style w:type="paragraph" w:customStyle="1" w:styleId="231">
    <w:name w:val="冯"/>
    <w:basedOn w:val="1"/>
    <w:link w:val="230"/>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_b6bb7154-40a1-4532-be09-cdbace51fda5"/>
    <w:autoRedefine/>
    <w:qFormat/>
    <w:uiPriority w:val="0"/>
    <w:rPr>
      <w:rFonts w:eastAsia="宋体"/>
      <w:kern w:val="2"/>
      <w:sz w:val="18"/>
      <w:szCs w:val="18"/>
      <w:lang w:val="en-US" w:eastAsia="zh-CN" w:bidi="ar-SA"/>
    </w:rPr>
  </w:style>
  <w:style w:type="character" w:customStyle="1" w:styleId="233">
    <w:name w:val="Char Char12"/>
    <w:autoRedefine/>
    <w:qFormat/>
    <w:uiPriority w:val="0"/>
    <w:rPr>
      <w:rFonts w:ascii="仿宋_GB2312" w:eastAsia="仿宋_GB2312"/>
      <w:b/>
      <w:bCs/>
      <w:kern w:val="2"/>
      <w:sz w:val="24"/>
      <w:szCs w:val="24"/>
      <w:lang w:val="zh-CN" w:eastAsia="zh-CN" w:bidi="ar-SA"/>
    </w:rPr>
  </w:style>
  <w:style w:type="character" w:customStyle="1" w:styleId="234">
    <w:name w:val="题注 Char"/>
    <w:link w:val="18"/>
    <w:autoRedefine/>
    <w:qFormat/>
    <w:uiPriority w:val="0"/>
    <w:rPr>
      <w:b/>
      <w:kern w:val="2"/>
      <w:sz w:val="28"/>
    </w:rPr>
  </w:style>
  <w:style w:type="character" w:customStyle="1" w:styleId="235">
    <w:name w:val="普通文字 Char3"/>
    <w:autoRedefine/>
    <w:qFormat/>
    <w:uiPriority w:val="0"/>
    <w:rPr>
      <w:rFonts w:ascii="宋体" w:hAnsi="Courier New" w:eastAsia="宋体"/>
      <w:kern w:val="2"/>
      <w:sz w:val="21"/>
      <w:lang w:val="en-US" w:eastAsia="zh-CN" w:bidi="ar-SA"/>
    </w:rPr>
  </w:style>
  <w:style w:type="character" w:customStyle="1" w:styleId="236">
    <w:name w:val="公文正文 Char"/>
    <w:autoRedefine/>
    <w:qFormat/>
    <w:uiPriority w:val="0"/>
    <w:rPr>
      <w:rFonts w:ascii="仿宋_GB2312" w:eastAsia="仿宋_GB2312"/>
      <w:kern w:val="2"/>
      <w:sz w:val="24"/>
      <w:szCs w:val="24"/>
      <w:lang w:val="en-US" w:eastAsia="zh-CN" w:bidi="ar-SA"/>
    </w:rPr>
  </w:style>
  <w:style w:type="character" w:customStyle="1" w:styleId="237">
    <w:name w:val="正文首行缩进 Char Char Char Char Char"/>
    <w:autoRedefine/>
    <w:qFormat/>
    <w:uiPriority w:val="0"/>
    <w:rPr>
      <w:rFonts w:ascii="宋体"/>
      <w:kern w:val="2"/>
      <w:sz w:val="24"/>
      <w:lang w:val="zh-CN"/>
    </w:rPr>
  </w:style>
  <w:style w:type="character" w:customStyle="1" w:styleId="238">
    <w:name w:val="PI Char"/>
    <w:autoRedefine/>
    <w:qFormat/>
    <w:uiPriority w:val="0"/>
    <w:rPr>
      <w:rFonts w:ascii="宋体" w:hAnsi="宋体" w:eastAsia="宋体"/>
      <w:kern w:val="2"/>
      <w:sz w:val="24"/>
      <w:szCs w:val="24"/>
      <w:lang w:val="en-US" w:eastAsia="zh-CN" w:bidi="ar-SA"/>
    </w:rPr>
  </w:style>
  <w:style w:type="character" w:customStyle="1" w:styleId="239">
    <w:name w:val="Default Char"/>
    <w:link w:val="85"/>
    <w:autoRedefine/>
    <w:qFormat/>
    <w:uiPriority w:val="0"/>
    <w:rPr>
      <w:rFonts w:ascii="仿宋_GB2312" w:eastAsia="仿宋_GB2312" w:cs="仿宋_GB2312"/>
      <w:color w:val="000000"/>
      <w:sz w:val="24"/>
      <w:szCs w:val="24"/>
      <w:lang w:val="en-US" w:eastAsia="zh-CN" w:bidi="ar-SA"/>
    </w:rPr>
  </w:style>
  <w:style w:type="character" w:customStyle="1" w:styleId="240">
    <w:name w:val="style91"/>
    <w:autoRedefine/>
    <w:qFormat/>
    <w:uiPriority w:val="0"/>
    <w:rPr>
      <w:color w:val="333333"/>
    </w:rPr>
  </w:style>
  <w:style w:type="character" w:customStyle="1" w:styleId="241">
    <w:name w:val="列出段落 Char2"/>
    <w:autoRedefine/>
    <w:qFormat/>
    <w:uiPriority w:val="34"/>
    <w:rPr>
      <w:rFonts w:ascii="Calibri" w:hAnsi="Calibri"/>
      <w:kern w:val="2"/>
      <w:sz w:val="28"/>
    </w:rPr>
  </w:style>
  <w:style w:type="character" w:customStyle="1" w:styleId="242">
    <w:name w:val="mdeck"/>
    <w:autoRedefine/>
    <w:qFormat/>
    <w:uiPriority w:val="0"/>
    <w:rPr>
      <w:rFonts w:ascii="仿宋_GB2312" w:eastAsia="微软雅黑"/>
      <w:b/>
      <w:kern w:val="2"/>
      <w:sz w:val="32"/>
      <w:szCs w:val="32"/>
      <w:lang w:val="en-US" w:eastAsia="zh-CN" w:bidi="ar-SA"/>
    </w:rPr>
  </w:style>
  <w:style w:type="character" w:customStyle="1" w:styleId="243">
    <w:name w:val="unnamed11"/>
    <w:autoRedefine/>
    <w:qFormat/>
    <w:uiPriority w:val="0"/>
    <w:rPr>
      <w:sz w:val="20"/>
      <w:szCs w:val="20"/>
    </w:rPr>
  </w:style>
  <w:style w:type="character" w:customStyle="1" w:styleId="244">
    <w:name w:val="正文文本 Char2"/>
    <w:autoRedefine/>
    <w:qFormat/>
    <w:uiPriority w:val="99"/>
    <w:rPr>
      <w:rFonts w:ascii="Times New Roman" w:hAnsi="Times New Roman" w:eastAsia="宋体" w:cs="Times New Roman"/>
      <w:snapToGrid w:val="0"/>
      <w:kern w:val="0"/>
      <w:szCs w:val="24"/>
    </w:rPr>
  </w:style>
  <w:style w:type="character" w:customStyle="1" w:styleId="245">
    <w:name w:val="标书正文格式 Char"/>
    <w:autoRedefine/>
    <w:qFormat/>
    <w:uiPriority w:val="0"/>
    <w:rPr>
      <w:rFonts w:eastAsia="楷体_GB2312"/>
      <w:kern w:val="2"/>
      <w:sz w:val="24"/>
      <w:szCs w:val="24"/>
      <w:lang w:bidi="ar-SA"/>
    </w:rPr>
  </w:style>
  <w:style w:type="character" w:customStyle="1" w:styleId="246">
    <w:name w:val="Char Char11"/>
    <w:autoRedefine/>
    <w:qFormat/>
    <w:uiPriority w:val="0"/>
    <w:rPr>
      <w:rFonts w:ascii="宋体" w:hAnsi="宋体" w:eastAsia="宋体"/>
      <w:b/>
      <w:kern w:val="2"/>
      <w:sz w:val="24"/>
      <w:szCs w:val="24"/>
      <w:lang w:val="en-US" w:eastAsia="zh-CN" w:bidi="ar-SA"/>
    </w:rPr>
  </w:style>
  <w:style w:type="character" w:customStyle="1" w:styleId="247">
    <w:name w:val="ca-131"/>
    <w:autoRedefine/>
    <w:qFormat/>
    <w:uiPriority w:val="0"/>
    <w:rPr>
      <w:rFonts w:hint="eastAsia" w:ascii="仿宋_GB2312" w:eastAsia="仿宋_GB2312"/>
      <w:b/>
      <w:bCs/>
      <w:color w:val="000000"/>
      <w:spacing w:val="-20"/>
      <w:sz w:val="24"/>
      <w:szCs w:val="24"/>
    </w:rPr>
  </w:style>
  <w:style w:type="character" w:customStyle="1" w:styleId="248">
    <w:name w:val="tw4winMark"/>
    <w:autoRedefine/>
    <w:qFormat/>
    <w:uiPriority w:val="0"/>
    <w:rPr>
      <w:rFonts w:ascii="Courier New" w:hAnsi="Courier New" w:cs="Courier New"/>
      <w:vanish/>
      <w:color w:val="800080"/>
      <w:sz w:val="24"/>
      <w:szCs w:val="24"/>
      <w:vertAlign w:val="subscript"/>
    </w:rPr>
  </w:style>
  <w:style w:type="character" w:customStyle="1" w:styleId="249">
    <w:name w:val="正文样式 Char"/>
    <w:link w:val="250"/>
    <w:autoRedefine/>
    <w:qFormat/>
    <w:uiPriority w:val="0"/>
    <w:rPr>
      <w:rFonts w:ascii="Calibri" w:hAnsi="Calibri"/>
      <w:sz w:val="24"/>
      <w:szCs w:val="24"/>
    </w:rPr>
  </w:style>
  <w:style w:type="paragraph" w:customStyle="1" w:styleId="250">
    <w:name w:val="正文样式"/>
    <w:basedOn w:val="1"/>
    <w:link w:val="249"/>
    <w:autoRedefine/>
    <w:qFormat/>
    <w:uiPriority w:val="0"/>
    <w:pPr>
      <w:adjustRightInd/>
      <w:spacing w:line="360" w:lineRule="auto"/>
      <w:ind w:firstLine="480" w:firstLineChars="200"/>
    </w:pPr>
    <w:rPr>
      <w:kern w:val="0"/>
      <w:sz w:val="24"/>
    </w:rPr>
  </w:style>
  <w:style w:type="character" w:customStyle="1" w:styleId="251">
    <w:name w:val="表正文 Char3"/>
    <w:autoRedefine/>
    <w:qFormat/>
    <w:uiPriority w:val="0"/>
    <w:rPr>
      <w:rFonts w:eastAsia="宋体"/>
    </w:rPr>
  </w:style>
  <w:style w:type="character" w:customStyle="1" w:styleId="252">
    <w:name w:val="H5 Char"/>
    <w:autoRedefine/>
    <w:qFormat/>
    <w:uiPriority w:val="0"/>
    <w:rPr>
      <w:b/>
      <w:bCs/>
      <w:kern w:val="2"/>
      <w:sz w:val="28"/>
      <w:szCs w:val="28"/>
    </w:rPr>
  </w:style>
  <w:style w:type="character" w:customStyle="1" w:styleId="253">
    <w:name w:val="Char Char3"/>
    <w:autoRedefine/>
    <w:qFormat/>
    <w:uiPriority w:val="0"/>
    <w:rPr>
      <w:rFonts w:eastAsia="宋体"/>
      <w:kern w:val="2"/>
      <w:sz w:val="21"/>
      <w:szCs w:val="24"/>
      <w:lang w:val="en-US" w:eastAsia="zh-CN" w:bidi="ar-SA"/>
    </w:rPr>
  </w:style>
  <w:style w:type="character" w:customStyle="1" w:styleId="254">
    <w:name w:val="正文 编号 Char"/>
    <w:autoRedefine/>
    <w:qFormat/>
    <w:uiPriority w:val="0"/>
    <w:rPr>
      <w:rFonts w:ascii="仿宋_GB2312" w:hAnsi="仿宋_GB2312" w:eastAsia="仿宋_GB2312"/>
      <w:kern w:val="2"/>
      <w:sz w:val="24"/>
      <w:lang w:bidi="ar-SA"/>
    </w:rPr>
  </w:style>
  <w:style w:type="character" w:customStyle="1" w:styleId="255">
    <w:name w:val="question-title2"/>
    <w:autoRedefine/>
    <w:qFormat/>
    <w:uiPriority w:val="6"/>
    <w:rPr>
      <w:rFonts w:ascii="Arial" w:hAnsi="Arial" w:eastAsia="黑体" w:cs="Arial"/>
      <w:snapToGrid w:val="0"/>
      <w:kern w:val="0"/>
      <w:szCs w:val="21"/>
    </w:rPr>
  </w:style>
  <w:style w:type="character" w:customStyle="1" w:styleId="256">
    <w:name w:val="gf正文1 Char Char"/>
    <w:link w:val="257"/>
    <w:autoRedefine/>
    <w:qFormat/>
    <w:uiPriority w:val="0"/>
    <w:rPr>
      <w:rFonts w:ascii="宋体" w:hAnsi="宋体" w:cs="宋体"/>
      <w:kern w:val="2"/>
      <w:sz w:val="24"/>
      <w:szCs w:val="24"/>
    </w:rPr>
  </w:style>
  <w:style w:type="paragraph" w:customStyle="1" w:styleId="257">
    <w:name w:val="gf正文1"/>
    <w:basedOn w:val="1"/>
    <w:link w:val="256"/>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8">
    <w:name w:val="Char Char15"/>
    <w:autoRedefine/>
    <w:qFormat/>
    <w:uiPriority w:val="6"/>
    <w:rPr>
      <w:rFonts w:ascii="宋体" w:hAnsi="宋体"/>
      <w:kern w:val="1"/>
      <w:sz w:val="21"/>
    </w:rPr>
  </w:style>
  <w:style w:type="character" w:customStyle="1" w:styleId="259">
    <w:name w:val="正文缩进 Char3"/>
    <w:autoRedefine/>
    <w:qFormat/>
    <w:uiPriority w:val="0"/>
    <w:rPr>
      <w:rFonts w:ascii="宋体" w:eastAsia="宋体"/>
      <w:snapToGrid w:val="0"/>
      <w:color w:val="000000"/>
      <w:kern w:val="28"/>
      <w:sz w:val="28"/>
      <w:lang w:val="en-US" w:eastAsia="zh-CN" w:bidi="ar-SA"/>
    </w:rPr>
  </w:style>
  <w:style w:type="character" w:customStyle="1" w:styleId="260">
    <w:name w:val="列出段落 Char1"/>
    <w:link w:val="261"/>
    <w:autoRedefine/>
    <w:qFormat/>
    <w:uiPriority w:val="0"/>
    <w:rPr>
      <w:rFonts w:ascii="Calibri" w:hAnsi="Calibri"/>
      <w:sz w:val="24"/>
      <w:lang w:eastAsia="en-US"/>
    </w:rPr>
  </w:style>
  <w:style w:type="paragraph" w:customStyle="1" w:styleId="261">
    <w:name w:val="列表1"/>
    <w:basedOn w:val="1"/>
    <w:next w:val="262"/>
    <w:link w:val="260"/>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2">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3">
    <w:name w:val="Char Char8"/>
    <w:autoRedefine/>
    <w:qFormat/>
    <w:uiPriority w:val="0"/>
    <w:rPr>
      <w:rFonts w:eastAsia="宋体"/>
      <w:b/>
      <w:sz w:val="24"/>
      <w:lang w:val="en-GB" w:eastAsia="zh-CN"/>
    </w:rPr>
  </w:style>
  <w:style w:type="character" w:customStyle="1" w:styleId="264">
    <w:name w:val="Normal Indent Char Char"/>
    <w:autoRedefine/>
    <w:qFormat/>
    <w:uiPriority w:val="0"/>
    <w:rPr>
      <w:rFonts w:eastAsia="宋体"/>
      <w:kern w:val="2"/>
      <w:sz w:val="21"/>
      <w:lang w:val="en-US" w:eastAsia="zh-CN" w:bidi="ar-SA"/>
    </w:rPr>
  </w:style>
  <w:style w:type="character" w:customStyle="1" w:styleId="265">
    <w:name w:val="列表段落 字符"/>
    <w:autoRedefine/>
    <w:qFormat/>
    <w:uiPriority w:val="99"/>
  </w:style>
  <w:style w:type="character" w:customStyle="1" w:styleId="266">
    <w:name w:val="Ò³Ã¼ Char Char1"/>
    <w:autoRedefine/>
    <w:qFormat/>
    <w:uiPriority w:val="0"/>
    <w:rPr>
      <w:rFonts w:eastAsia="宋体"/>
      <w:kern w:val="2"/>
      <w:sz w:val="18"/>
      <w:szCs w:val="18"/>
      <w:lang w:val="en-US" w:eastAsia="zh-CN" w:bidi="ar-SA"/>
    </w:rPr>
  </w:style>
  <w:style w:type="character" w:customStyle="1" w:styleId="267">
    <w:name w:val="方案正文 Char"/>
    <w:autoRedefine/>
    <w:qFormat/>
    <w:uiPriority w:val="0"/>
    <w:rPr>
      <w:rFonts w:ascii="仿宋_GB2312" w:eastAsia="仿宋_GB2312"/>
      <w:b/>
      <w:color w:val="000000"/>
      <w:kern w:val="2"/>
      <w:sz w:val="24"/>
      <w:lang w:val="en-US" w:eastAsia="zh-CN" w:bidi="ar-SA"/>
    </w:rPr>
  </w:style>
  <w:style w:type="character" w:customStyle="1" w:styleId="268">
    <w:name w:val="Char Char30"/>
    <w:autoRedefine/>
    <w:qFormat/>
    <w:uiPriority w:val="6"/>
    <w:rPr>
      <w:rFonts w:ascii="Arial" w:hAnsi="Arial" w:eastAsia="黑体"/>
      <w:kern w:val="1"/>
      <w:sz w:val="21"/>
      <w:szCs w:val="21"/>
    </w:rPr>
  </w:style>
  <w:style w:type="character" w:customStyle="1" w:styleId="269">
    <w:name w:val="正文文本缩进 Char3"/>
    <w:link w:val="7"/>
    <w:autoRedefine/>
    <w:qFormat/>
    <w:uiPriority w:val="0"/>
    <w:rPr>
      <w:rFonts w:ascii="宋体" w:hAnsi="宋体"/>
      <w:kern w:val="2"/>
      <w:sz w:val="24"/>
      <w:szCs w:val="24"/>
    </w:rPr>
  </w:style>
  <w:style w:type="character" w:customStyle="1" w:styleId="270">
    <w:name w:val="font01"/>
    <w:autoRedefine/>
    <w:qFormat/>
    <w:uiPriority w:val="0"/>
    <w:rPr>
      <w:rFonts w:hint="eastAsia" w:ascii="微软雅黑" w:hAnsi="微软雅黑" w:eastAsia="微软雅黑" w:cs="微软雅黑"/>
      <w:color w:val="000000"/>
      <w:sz w:val="20"/>
      <w:szCs w:val="20"/>
      <w:u w:val="none"/>
    </w:rPr>
  </w:style>
  <w:style w:type="character" w:customStyle="1" w:styleId="271">
    <w:name w:val="Char Char20"/>
    <w:autoRedefine/>
    <w:qFormat/>
    <w:uiPriority w:val="6"/>
    <w:rPr>
      <w:kern w:val="1"/>
      <w:sz w:val="24"/>
    </w:rPr>
  </w:style>
  <w:style w:type="character" w:customStyle="1" w:styleId="272">
    <w:name w:val="tw4winExternal"/>
    <w:autoRedefine/>
    <w:qFormat/>
    <w:uiPriority w:val="0"/>
    <w:rPr>
      <w:rFonts w:ascii="Courier New" w:hAnsi="Courier New" w:cs="Courier New"/>
      <w:color w:val="808080"/>
      <w:lang w:val="en-US" w:eastAsia="zh-CN"/>
    </w:rPr>
  </w:style>
  <w:style w:type="character" w:customStyle="1" w:styleId="273">
    <w:name w:val="标题 4 Char1"/>
    <w:autoRedefine/>
    <w:qFormat/>
    <w:uiPriority w:val="9"/>
    <w:rPr>
      <w:rFonts w:ascii="Cambria" w:hAnsi="Cambria" w:eastAsia="宋体" w:cs="Times New Roman"/>
      <w:b/>
      <w:bCs/>
      <w:kern w:val="2"/>
      <w:sz w:val="28"/>
      <w:szCs w:val="28"/>
    </w:rPr>
  </w:style>
  <w:style w:type="character" w:customStyle="1" w:styleId="274">
    <w:name w:val="批注文字 Char2"/>
    <w:autoRedefine/>
    <w:qFormat/>
    <w:uiPriority w:val="99"/>
    <w:rPr>
      <w:rFonts w:ascii="Times New Roman" w:hAnsi="Times New Roman" w:eastAsia="宋体" w:cs="Times New Roman"/>
      <w:snapToGrid w:val="0"/>
      <w:kern w:val="0"/>
      <w:szCs w:val="24"/>
    </w:rPr>
  </w:style>
  <w:style w:type="character" w:customStyle="1" w:styleId="275">
    <w:name w:val="正文文本 2 Char"/>
    <w:autoRedefine/>
    <w:qFormat/>
    <w:uiPriority w:val="0"/>
    <w:rPr>
      <w:rFonts w:eastAsia="宋体"/>
      <w:kern w:val="2"/>
      <w:sz w:val="21"/>
      <w:szCs w:val="24"/>
      <w:lang w:val="en-US" w:eastAsia="zh-CN" w:bidi="ar-SA"/>
    </w:rPr>
  </w:style>
  <w:style w:type="character" w:customStyle="1" w:styleId="276">
    <w:name w:val="Ò³Ã¼ Char Char"/>
    <w:autoRedefine/>
    <w:qFormat/>
    <w:uiPriority w:val="0"/>
    <w:rPr>
      <w:rFonts w:eastAsia="宋体"/>
      <w:kern w:val="2"/>
      <w:sz w:val="18"/>
      <w:lang w:val="en-US" w:eastAsia="zh-CN" w:bidi="ar-SA"/>
    </w:rPr>
  </w:style>
  <w:style w:type="character" w:customStyle="1" w:styleId="277">
    <w:name w:val="message1"/>
    <w:autoRedefine/>
    <w:qFormat/>
    <w:uiPriority w:val="0"/>
    <w:rPr>
      <w:rFonts w:hint="default" w:ascii="Tahoma" w:hAnsi="Tahoma" w:cs="Tahoma"/>
      <w:sz w:val="18"/>
      <w:szCs w:val="18"/>
    </w:rPr>
  </w:style>
  <w:style w:type="character" w:customStyle="1" w:styleId="278">
    <w:name w:val="Char Char23"/>
    <w:autoRedefine/>
    <w:qFormat/>
    <w:uiPriority w:val="6"/>
    <w:rPr>
      <w:color w:val="0000FF"/>
      <w:sz w:val="21"/>
    </w:rPr>
  </w:style>
  <w:style w:type="character" w:customStyle="1" w:styleId="279">
    <w:name w:val="批注框文本 字符"/>
    <w:autoRedefine/>
    <w:qFormat/>
    <w:uiPriority w:val="0"/>
    <w:rPr>
      <w:rFonts w:ascii="Arial" w:hAnsi="Arial" w:eastAsia="黑体" w:cs="Arial"/>
      <w:snapToGrid w:val="0"/>
      <w:kern w:val="0"/>
      <w:sz w:val="18"/>
      <w:szCs w:val="18"/>
    </w:rPr>
  </w:style>
  <w:style w:type="character" w:customStyle="1" w:styleId="280">
    <w:name w:val="纯文本 Char2"/>
    <w:autoRedefine/>
    <w:qFormat/>
    <w:uiPriority w:val="99"/>
    <w:rPr>
      <w:rFonts w:ascii="宋体" w:hAnsi="Courier New" w:eastAsia="宋体" w:cs="Courier New"/>
    </w:rPr>
  </w:style>
  <w:style w:type="character" w:customStyle="1" w:styleId="281">
    <w:name w:val="Char Char25"/>
    <w:autoRedefine/>
    <w:qFormat/>
    <w:uiPriority w:val="6"/>
    <w:rPr>
      <w:rFonts w:ascii="宋体" w:hAnsi="宋体"/>
      <w:kern w:val="1"/>
      <w:sz w:val="24"/>
      <w:lang w:val="zh-CN"/>
    </w:rPr>
  </w:style>
  <w:style w:type="character" w:customStyle="1" w:styleId="282">
    <w:name w:val="Char Char411"/>
    <w:autoRedefine/>
    <w:qFormat/>
    <w:uiPriority w:val="0"/>
    <w:rPr>
      <w:rFonts w:eastAsia="宋体"/>
      <w:b/>
      <w:sz w:val="24"/>
      <w:lang w:val="en-GB" w:eastAsia="zh-CN" w:bidi="ar-SA"/>
    </w:rPr>
  </w:style>
  <w:style w:type="character" w:customStyle="1" w:styleId="283">
    <w:name w:val="Heading 7 Char_856f206f-2151-488a-bf44-70c62fd33d46"/>
    <w:autoRedefine/>
    <w:qFormat/>
    <w:uiPriority w:val="0"/>
    <w:rPr>
      <w:rFonts w:ascii="宋体" w:hAnsi="宋体" w:eastAsia="宋体"/>
      <w:b/>
      <w:bCs/>
      <w:kern w:val="2"/>
      <w:sz w:val="24"/>
      <w:szCs w:val="24"/>
      <w:lang w:val="en-US" w:eastAsia="zh-CN" w:bidi="ar-SA"/>
    </w:rPr>
  </w:style>
  <w:style w:type="character" w:customStyle="1" w:styleId="284">
    <w:name w:val="此正文 Char"/>
    <w:link w:val="285"/>
    <w:autoRedefine/>
    <w:qFormat/>
    <w:uiPriority w:val="0"/>
    <w:rPr>
      <w:kern w:val="2"/>
      <w:sz w:val="24"/>
      <w:szCs w:val="24"/>
    </w:rPr>
  </w:style>
  <w:style w:type="paragraph" w:customStyle="1" w:styleId="285">
    <w:name w:val="此正文"/>
    <w:basedOn w:val="1"/>
    <w:link w:val="284"/>
    <w:autoRedefine/>
    <w:qFormat/>
    <w:uiPriority w:val="0"/>
    <w:pPr>
      <w:adjustRightInd/>
      <w:spacing w:line="360" w:lineRule="auto"/>
      <w:ind w:firstLine="200" w:firstLineChars="200"/>
    </w:pPr>
    <w:rPr>
      <w:sz w:val="24"/>
    </w:rPr>
  </w:style>
  <w:style w:type="character" w:customStyle="1" w:styleId="286">
    <w:name w:val="Char Char2"/>
    <w:autoRedefine/>
    <w:qFormat/>
    <w:uiPriority w:val="0"/>
    <w:rPr>
      <w:rFonts w:eastAsia="宋体"/>
      <w:b/>
      <w:bCs/>
      <w:kern w:val="2"/>
      <w:sz w:val="21"/>
      <w:szCs w:val="24"/>
      <w:lang w:val="en-US" w:eastAsia="zh-CN" w:bidi="ar-SA"/>
    </w:rPr>
  </w:style>
  <w:style w:type="character" w:customStyle="1" w:styleId="287">
    <w:name w:val="Footer-Even Char1"/>
    <w:autoRedefine/>
    <w:qFormat/>
    <w:uiPriority w:val="0"/>
    <w:rPr>
      <w:rFonts w:eastAsia="宋体"/>
      <w:kern w:val="2"/>
      <w:sz w:val="18"/>
      <w:szCs w:val="18"/>
      <w:lang w:val="en-US" w:eastAsia="zh-CN" w:bidi="ar-SA"/>
    </w:rPr>
  </w:style>
  <w:style w:type="character" w:customStyle="1" w:styleId="288">
    <w:name w:val="Char Char29"/>
    <w:autoRedefine/>
    <w:qFormat/>
    <w:uiPriority w:val="6"/>
    <w:rPr>
      <w:rFonts w:ascii="Arial" w:hAnsi="Arial" w:eastAsia="微软雅黑"/>
      <w:b/>
      <w:kern w:val="1"/>
      <w:sz w:val="44"/>
      <w:szCs w:val="32"/>
      <w:lang w:val="en-US" w:eastAsia="zh-CN" w:bidi="ar-SA"/>
    </w:rPr>
  </w:style>
  <w:style w:type="character" w:customStyle="1" w:styleId="289">
    <w:name w:val="标题 Char2"/>
    <w:link w:val="60"/>
    <w:autoRedefine/>
    <w:qFormat/>
    <w:uiPriority w:val="10"/>
    <w:rPr>
      <w:b/>
      <w:sz w:val="24"/>
      <w:lang w:val="en-GB"/>
    </w:rPr>
  </w:style>
  <w:style w:type="character" w:customStyle="1" w:styleId="290">
    <w:name w:val="font81"/>
    <w:autoRedefine/>
    <w:qFormat/>
    <w:uiPriority w:val="0"/>
    <w:rPr>
      <w:rFonts w:ascii="微软雅黑" w:hAnsi="微软雅黑" w:eastAsia="微软雅黑" w:cs="微软雅黑"/>
      <w:color w:val="000000"/>
      <w:sz w:val="20"/>
      <w:szCs w:val="20"/>
      <w:u w:val="none"/>
    </w:rPr>
  </w:style>
  <w:style w:type="character" w:customStyle="1" w:styleId="29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2">
    <w:name w:val="t21"/>
    <w:autoRedefine/>
    <w:qFormat/>
    <w:uiPriority w:val="0"/>
    <w:rPr>
      <w:rFonts w:ascii="仿宋_GB2312" w:eastAsia="微软雅黑"/>
      <w:b/>
      <w:kern w:val="2"/>
      <w:sz w:val="23"/>
      <w:szCs w:val="23"/>
      <w:lang w:val="en-US" w:eastAsia="zh-CN" w:bidi="ar-SA"/>
    </w:rPr>
  </w:style>
  <w:style w:type="character" w:customStyle="1" w:styleId="293">
    <w:name w:val="样式8 Char"/>
    <w:autoRedefine/>
    <w:qFormat/>
    <w:uiPriority w:val="0"/>
    <w:rPr>
      <w:rFonts w:ascii="仿宋_GB2312" w:hAnsi="宋体" w:eastAsia="仿宋_GB2312"/>
      <w:b/>
      <w:bCs/>
      <w:kern w:val="2"/>
      <w:sz w:val="24"/>
      <w:szCs w:val="24"/>
    </w:rPr>
  </w:style>
  <w:style w:type="character" w:customStyle="1" w:styleId="294">
    <w:name w:val="表格 Char Char"/>
    <w:autoRedefine/>
    <w:qFormat/>
    <w:uiPriority w:val="0"/>
    <w:rPr>
      <w:rFonts w:ascii="宋体" w:hAnsi="宋体" w:eastAsia="宋体"/>
      <w:lang w:bidi="ar-SA"/>
    </w:rPr>
  </w:style>
  <w:style w:type="character" w:customStyle="1" w:styleId="295">
    <w:name w:val="正文文本 字符1"/>
    <w:autoRedefine/>
    <w:qFormat/>
    <w:uiPriority w:val="0"/>
    <w:rPr>
      <w:rFonts w:ascii="Calibri" w:hAnsi="Calibri" w:eastAsia="黑体" w:cs="Arial"/>
      <w:snapToGrid w:val="0"/>
      <w:kern w:val="2"/>
      <w:sz w:val="28"/>
      <w:szCs w:val="21"/>
    </w:rPr>
  </w:style>
  <w:style w:type="character" w:customStyle="1" w:styleId="296">
    <w:name w:val="标题 5 Char"/>
    <w:link w:val="9"/>
    <w:autoRedefine/>
    <w:qFormat/>
    <w:uiPriority w:val="9"/>
    <w:rPr>
      <w:b/>
      <w:bCs/>
      <w:kern w:val="2"/>
      <w:sz w:val="28"/>
      <w:szCs w:val="28"/>
    </w:rPr>
  </w:style>
  <w:style w:type="character" w:customStyle="1" w:styleId="297">
    <w:name w:val="标题 6 Char1"/>
    <w:autoRedefine/>
    <w:qFormat/>
    <w:uiPriority w:val="0"/>
    <w:rPr>
      <w:rFonts w:ascii="Arial" w:hAnsi="Arial" w:eastAsia="黑体" w:cs="Times New Roman"/>
      <w:b/>
      <w:sz w:val="24"/>
      <w:szCs w:val="20"/>
      <w:lang w:bidi="ar-SA"/>
    </w:rPr>
  </w:style>
  <w:style w:type="character" w:customStyle="1" w:styleId="298">
    <w:name w:val="带编号样式 Char"/>
    <w:autoRedefine/>
    <w:qFormat/>
    <w:uiPriority w:val="0"/>
    <w:rPr>
      <w:rFonts w:ascii="仿宋_GB2312" w:eastAsia="仿宋_GB2312"/>
      <w:color w:val="000000"/>
      <w:sz w:val="24"/>
      <w:lang w:bidi="ar-SA"/>
    </w:rPr>
  </w:style>
  <w:style w:type="character" w:customStyle="1" w:styleId="299">
    <w:name w:val="unnamed31"/>
    <w:autoRedefine/>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autoRedefine/>
    <w:qFormat/>
    <w:uiPriority w:val="0"/>
    <w:rPr>
      <w:rFonts w:ascii="宋体" w:eastAsia="宋体"/>
      <w:kern w:val="2"/>
      <w:sz w:val="24"/>
      <w:szCs w:val="24"/>
      <w:lang w:val="zh-CN" w:bidi="ar-SA"/>
    </w:rPr>
  </w:style>
  <w:style w:type="character" w:customStyle="1" w:styleId="301">
    <w:name w:val="称呼 Char"/>
    <w:link w:val="22"/>
    <w:autoRedefine/>
    <w:qFormat/>
    <w:uiPriority w:val="0"/>
    <w:rPr>
      <w:rFonts w:ascii="仿宋_GB2312" w:eastAsia="仿宋_GB2312"/>
      <w:kern w:val="2"/>
      <w:sz w:val="28"/>
    </w:rPr>
  </w:style>
  <w:style w:type="character" w:customStyle="1" w:styleId="302">
    <w:name w:val="文本正文 Char Char"/>
    <w:autoRedefine/>
    <w:qFormat/>
    <w:uiPriority w:val="0"/>
    <w:rPr>
      <w:sz w:val="24"/>
      <w:lang w:bidi="ar-SA"/>
    </w:rPr>
  </w:style>
  <w:style w:type="character" w:customStyle="1" w:styleId="303">
    <w:name w:val="正文缩进 字符"/>
    <w:autoRedefine/>
    <w:qFormat/>
    <w:uiPriority w:val="0"/>
    <w:rPr>
      <w:rFonts w:ascii="宋体" w:eastAsia="宋体"/>
      <w:snapToGrid w:val="0"/>
      <w:color w:val="000000"/>
      <w:kern w:val="28"/>
      <w:sz w:val="28"/>
      <w:lang w:val="en-US" w:eastAsia="zh-CN" w:bidi="ar-SA"/>
    </w:rPr>
  </w:style>
  <w:style w:type="character" w:customStyle="1" w:styleId="304">
    <w:name w:val="HTML 预设格式 Char"/>
    <w:link w:val="58"/>
    <w:autoRedefine/>
    <w:qFormat/>
    <w:uiPriority w:val="0"/>
    <w:rPr>
      <w:rFonts w:ascii="黑体" w:hAnsi="Courier New" w:eastAsia="黑体"/>
    </w:rPr>
  </w:style>
  <w:style w:type="character" w:customStyle="1" w:styleId="305">
    <w:name w:val="正文文本 2 Char1"/>
    <w:link w:val="57"/>
    <w:autoRedefine/>
    <w:qFormat/>
    <w:uiPriority w:val="0"/>
    <w:rPr>
      <w:kern w:val="2"/>
      <w:sz w:val="21"/>
      <w:szCs w:val="24"/>
    </w:rPr>
  </w:style>
  <w:style w:type="character" w:customStyle="1" w:styleId="306">
    <w:name w:val="样式 样式 标题 4h4H4Fab-4T5Ref Heading 1rh1Heading sqlsect 1.2.3.... +... Char"/>
    <w:link w:val="307"/>
    <w:autoRedefine/>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autoRedefine/>
    <w:qFormat/>
    <w:uiPriority w:val="0"/>
    <w:pPr>
      <w:tabs>
        <w:tab w:val="left" w:pos="2356"/>
      </w:tabs>
    </w:pPr>
  </w:style>
  <w:style w:type="paragraph" w:customStyle="1" w:styleId="308">
    <w:name w:val="样式 标题 4h4H4Fab-4T5Ref Heading 1rh1Heading sqlsect 1.2.3...."/>
    <w:basedOn w:val="8"/>
    <w:link w:val="416"/>
    <w:autoRedefine/>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autoRedefine/>
    <w:qFormat/>
    <w:uiPriority w:val="0"/>
    <w:rPr>
      <w:rFonts w:ascii="宋体" w:eastAsia="宋体"/>
      <w:snapToGrid w:val="0"/>
      <w:color w:val="000000"/>
      <w:kern w:val="28"/>
      <w:sz w:val="28"/>
      <w:lang w:val="en-US" w:eastAsia="zh-CN" w:bidi="ar-SA"/>
    </w:rPr>
  </w:style>
  <w:style w:type="character" w:customStyle="1" w:styleId="310">
    <w:name w:val="标题 7 Char"/>
    <w:link w:val="11"/>
    <w:autoRedefine/>
    <w:qFormat/>
    <w:uiPriority w:val="0"/>
    <w:rPr>
      <w:b/>
      <w:bCs/>
      <w:kern w:val="2"/>
      <w:sz w:val="24"/>
      <w:szCs w:val="24"/>
    </w:rPr>
  </w:style>
  <w:style w:type="character" w:customStyle="1" w:styleId="311">
    <w:name w:val="正文文本缩进 2 Char"/>
    <w:link w:val="38"/>
    <w:autoRedefine/>
    <w:qFormat/>
    <w:uiPriority w:val="0"/>
    <w:rPr>
      <w:rFonts w:ascii="宋体"/>
      <w:sz w:val="28"/>
    </w:rPr>
  </w:style>
  <w:style w:type="character" w:customStyle="1" w:styleId="312">
    <w:name w:val="Char Char5"/>
    <w:autoRedefine/>
    <w:qFormat/>
    <w:uiPriority w:val="0"/>
    <w:rPr>
      <w:rFonts w:ascii="宋体" w:hAnsi="Courier New" w:eastAsia="宋体"/>
      <w:kern w:val="2"/>
      <w:sz w:val="21"/>
      <w:lang w:val="en-US" w:eastAsia="zh-CN"/>
    </w:rPr>
  </w:style>
  <w:style w:type="character" w:customStyle="1" w:styleId="313">
    <w:name w:val="脚注文本 Char"/>
    <w:link w:val="51"/>
    <w:autoRedefine/>
    <w:qFormat/>
    <w:uiPriority w:val="0"/>
    <w:rPr>
      <w:color w:val="0000FF"/>
      <w:sz w:val="21"/>
    </w:rPr>
  </w:style>
  <w:style w:type="character" w:customStyle="1" w:styleId="314">
    <w:name w:val="称呼 Char1"/>
    <w:autoRedefine/>
    <w:qFormat/>
    <w:uiPriority w:val="0"/>
    <w:rPr>
      <w:rFonts w:ascii="Times New Roman" w:hAnsi="Times New Roman" w:eastAsia="宋体" w:cs="Times New Roman"/>
      <w:szCs w:val="24"/>
    </w:rPr>
  </w:style>
  <w:style w:type="character" w:customStyle="1" w:styleId="315">
    <w:name w:val="正文1 Char"/>
    <w:autoRedefine/>
    <w:qFormat/>
    <w:uiPriority w:val="0"/>
    <w:rPr>
      <w:rFonts w:ascii="宋体" w:eastAsia="宋体"/>
      <w:snapToGrid w:val="0"/>
      <w:color w:val="000000"/>
      <w:kern w:val="28"/>
      <w:sz w:val="28"/>
      <w:lang w:val="en-US" w:eastAsia="zh-CN" w:bidi="ar-SA"/>
    </w:rPr>
  </w:style>
  <w:style w:type="character" w:customStyle="1" w:styleId="316">
    <w:name w:val="正文缩进 Char1"/>
    <w:autoRedefine/>
    <w:qFormat/>
    <w:uiPriority w:val="0"/>
    <w:rPr>
      <w:rFonts w:ascii="宋体" w:eastAsia="宋体"/>
      <w:snapToGrid w:val="0"/>
      <w:color w:val="000000"/>
      <w:kern w:val="28"/>
      <w:sz w:val="28"/>
      <w:lang w:val="en-US" w:eastAsia="zh-CN" w:bidi="ar-SA"/>
    </w:rPr>
  </w:style>
  <w:style w:type="character" w:customStyle="1" w:styleId="317">
    <w:name w:val="font21"/>
    <w:basedOn w:val="69"/>
    <w:autoRedefine/>
    <w:qFormat/>
    <w:uiPriority w:val="0"/>
    <w:rPr>
      <w:rFonts w:hint="eastAsia" w:ascii="宋体" w:hAnsi="宋体" w:eastAsia="宋体"/>
      <w:kern w:val="2"/>
      <w:sz w:val="28"/>
      <w:szCs w:val="28"/>
      <w:lang w:val="en-US" w:eastAsia="zh-CN" w:bidi="ar-SA"/>
    </w:rPr>
  </w:style>
  <w:style w:type="character" w:customStyle="1" w:styleId="318">
    <w:name w:val="Char Char26"/>
    <w:autoRedefine/>
    <w:qFormat/>
    <w:uiPriority w:val="6"/>
    <w:rPr>
      <w:kern w:val="1"/>
      <w:sz w:val="21"/>
      <w:szCs w:val="24"/>
    </w:rPr>
  </w:style>
  <w:style w:type="character" w:customStyle="1" w:styleId="319">
    <w:name w:val="Item List Char"/>
    <w:link w:val="320"/>
    <w:autoRedefine/>
    <w:qFormat/>
    <w:uiPriority w:val="0"/>
    <w:rPr>
      <w:rFonts w:ascii="Arial"/>
      <w:bCs/>
      <w:sz w:val="21"/>
      <w:szCs w:val="21"/>
      <w:lang w:val="en-US" w:eastAsia="zh-CN" w:bidi="ar-SA"/>
    </w:rPr>
  </w:style>
  <w:style w:type="paragraph" w:customStyle="1" w:styleId="320">
    <w:name w:val="Item List"/>
    <w:link w:val="319"/>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autoRedefine/>
    <w:qFormat/>
    <w:uiPriority w:val="0"/>
    <w:rPr>
      <w:rFonts w:ascii="Times New Roman" w:hAnsi="Times New Roman" w:eastAsia="宋体" w:cs="Times New Roman"/>
      <w:sz w:val="18"/>
      <w:szCs w:val="18"/>
    </w:rPr>
  </w:style>
  <w:style w:type="character" w:customStyle="1" w:styleId="322">
    <w:name w:val="纯文本 Char1"/>
    <w:link w:val="323"/>
    <w:autoRedefine/>
    <w:qFormat/>
    <w:uiPriority w:val="0"/>
    <w:rPr>
      <w:rFonts w:ascii="宋体" w:hAnsi="Courier New"/>
    </w:rPr>
  </w:style>
  <w:style w:type="paragraph" w:customStyle="1" w:styleId="323">
    <w:name w:val="纯文本1"/>
    <w:basedOn w:val="1"/>
    <w:link w:val="322"/>
    <w:autoRedefine/>
    <w:qFormat/>
    <w:uiPriority w:val="0"/>
    <w:pPr>
      <w:adjustRightInd/>
    </w:pPr>
    <w:rPr>
      <w:rFonts w:ascii="宋体" w:hAnsi="Courier New"/>
      <w:kern w:val="0"/>
      <w:sz w:val="20"/>
      <w:szCs w:val="20"/>
    </w:rPr>
  </w:style>
  <w:style w:type="character" w:customStyle="1" w:styleId="324">
    <w:name w:val="正文首行缩进 Char"/>
    <w:link w:val="26"/>
    <w:autoRedefine/>
    <w:qFormat/>
    <w:uiPriority w:val="0"/>
    <w:rPr>
      <w:rFonts w:ascii="宋体"/>
      <w:kern w:val="2"/>
      <w:sz w:val="24"/>
      <w:lang w:val="zh-CN"/>
    </w:rPr>
  </w:style>
  <w:style w:type="character" w:customStyle="1" w:styleId="325">
    <w:name w:val="h3 Char"/>
    <w:autoRedefine/>
    <w:qFormat/>
    <w:uiPriority w:val="0"/>
    <w:rPr>
      <w:rFonts w:eastAsia="宋体"/>
      <w:b/>
      <w:kern w:val="2"/>
      <w:sz w:val="32"/>
      <w:lang w:val="en-US" w:eastAsia="zh-CN" w:bidi="ar-SA"/>
    </w:rPr>
  </w:style>
  <w:style w:type="character" w:customStyle="1" w:styleId="326">
    <w:name w:val="dandyren_title1"/>
    <w:autoRedefine/>
    <w:qFormat/>
    <w:uiPriority w:val="0"/>
    <w:rPr>
      <w:b/>
      <w:bCs/>
      <w:color w:val="FF6633"/>
      <w:sz w:val="18"/>
      <w:szCs w:val="18"/>
    </w:rPr>
  </w:style>
  <w:style w:type="character" w:customStyle="1" w:styleId="327">
    <w:name w:val="Char Char31"/>
    <w:autoRedefine/>
    <w:qFormat/>
    <w:uiPriority w:val="6"/>
    <w:rPr>
      <w:rFonts w:ascii="Arial" w:hAnsi="Arial" w:eastAsia="黑体"/>
      <w:kern w:val="1"/>
      <w:sz w:val="24"/>
      <w:szCs w:val="24"/>
    </w:rPr>
  </w:style>
  <w:style w:type="character" w:customStyle="1" w:styleId="328">
    <w:name w:val="h Char1"/>
    <w:autoRedefine/>
    <w:qFormat/>
    <w:uiPriority w:val="0"/>
    <w:rPr>
      <w:sz w:val="18"/>
      <w:szCs w:val="18"/>
    </w:rPr>
  </w:style>
  <w:style w:type="character" w:customStyle="1" w:styleId="329">
    <w:name w:val="solutionfonts"/>
    <w:autoRedefine/>
    <w:qFormat/>
    <w:uiPriority w:val="0"/>
  </w:style>
  <w:style w:type="character" w:customStyle="1" w:styleId="330">
    <w:name w:val="标题 4 Char2"/>
    <w:link w:val="8"/>
    <w:autoRedefine/>
    <w:qFormat/>
    <w:uiPriority w:val="9"/>
    <w:rPr>
      <w:rFonts w:ascii="Arial" w:hAnsi="Arial" w:eastAsia="黑体"/>
      <w:b/>
      <w:bCs/>
      <w:kern w:val="2"/>
      <w:sz w:val="28"/>
      <w:szCs w:val="28"/>
      <w:lang w:val="zh-CN"/>
    </w:rPr>
  </w:style>
  <w:style w:type="character" w:customStyle="1" w:styleId="331">
    <w:name w:val="首行缩进 Char"/>
    <w:autoRedefine/>
    <w:qFormat/>
    <w:uiPriority w:val="0"/>
    <w:rPr>
      <w:rFonts w:ascii="宋体" w:eastAsia="宋体"/>
      <w:kern w:val="2"/>
      <w:sz w:val="24"/>
      <w:lang w:val="en-US" w:eastAsia="zh-CN" w:bidi="ar-SA"/>
    </w:rPr>
  </w:style>
  <w:style w:type="character" w:customStyle="1" w:styleId="332">
    <w:name w:val="Char Char52"/>
    <w:autoRedefine/>
    <w:qFormat/>
    <w:uiPriority w:val="0"/>
    <w:rPr>
      <w:rFonts w:ascii="宋体" w:hAnsi="Courier New" w:eastAsia="宋体"/>
      <w:kern w:val="2"/>
      <w:sz w:val="21"/>
      <w:lang w:val="en-US" w:eastAsia="zh-CN"/>
    </w:rPr>
  </w:style>
  <w:style w:type="character" w:customStyle="1" w:styleId="333">
    <w:name w:val="正文文本 3 Char"/>
    <w:link w:val="23"/>
    <w:autoRedefine/>
    <w:qFormat/>
    <w:uiPriority w:val="0"/>
    <w:rPr>
      <w:kern w:val="2"/>
      <w:sz w:val="21"/>
    </w:rPr>
  </w:style>
  <w:style w:type="character" w:customStyle="1" w:styleId="334">
    <w:name w:val="font31"/>
    <w:basedOn w:val="69"/>
    <w:autoRedefine/>
    <w:qFormat/>
    <w:uiPriority w:val="0"/>
    <w:rPr>
      <w:rFonts w:hint="eastAsia" w:ascii="仿宋" w:hAnsi="仿宋" w:eastAsia="仿宋" w:cs="仿宋"/>
      <w:color w:val="000000"/>
      <w:sz w:val="20"/>
      <w:szCs w:val="20"/>
      <w:u w:val="none"/>
    </w:rPr>
  </w:style>
  <w:style w:type="character" w:customStyle="1" w:styleId="335">
    <w:name w:val="正文说明 Char"/>
    <w:link w:val="336"/>
    <w:autoRedefine/>
    <w:qFormat/>
    <w:uiPriority w:val="0"/>
    <w:rPr>
      <w:sz w:val="24"/>
      <w:szCs w:val="24"/>
    </w:rPr>
  </w:style>
  <w:style w:type="paragraph" w:customStyle="1" w:styleId="336">
    <w:name w:val="正文说明"/>
    <w:basedOn w:val="1"/>
    <w:link w:val="335"/>
    <w:autoRedefine/>
    <w:qFormat/>
    <w:uiPriority w:val="0"/>
    <w:pPr>
      <w:adjustRightInd/>
      <w:spacing w:line="360" w:lineRule="auto"/>
    </w:pPr>
    <w:rPr>
      <w:kern w:val="0"/>
      <w:sz w:val="24"/>
    </w:rPr>
  </w:style>
  <w:style w:type="character" w:customStyle="1" w:styleId="337">
    <w:name w:val="脚注文本 Char1"/>
    <w:autoRedefine/>
    <w:qFormat/>
    <w:uiPriority w:val="0"/>
    <w:rPr>
      <w:rFonts w:ascii="Times New Roman" w:hAnsi="Times New Roman" w:eastAsia="宋体" w:cs="Times New Roman"/>
      <w:sz w:val="18"/>
      <w:szCs w:val="18"/>
    </w:rPr>
  </w:style>
  <w:style w:type="character" w:customStyle="1" w:styleId="338">
    <w:name w:val="Char Char1211"/>
    <w:autoRedefine/>
    <w:qFormat/>
    <w:uiPriority w:val="0"/>
    <w:rPr>
      <w:rFonts w:ascii="仿宋_GB2312" w:eastAsia="仿宋_GB2312"/>
      <w:b/>
      <w:bCs/>
      <w:kern w:val="2"/>
      <w:sz w:val="24"/>
      <w:szCs w:val="24"/>
      <w:lang w:val="zh-CN" w:eastAsia="zh-CN" w:bidi="ar-SA"/>
    </w:rPr>
  </w:style>
  <w:style w:type="character" w:customStyle="1" w:styleId="339">
    <w:name w:val="标题 Char"/>
    <w:autoRedefine/>
    <w:qFormat/>
    <w:uiPriority w:val="0"/>
    <w:rPr>
      <w:rFonts w:eastAsia="宋体"/>
      <w:b/>
      <w:sz w:val="24"/>
      <w:lang w:val="en-GB" w:eastAsia="zh-CN" w:bidi="ar-SA"/>
    </w:rPr>
  </w:style>
  <w:style w:type="character" w:customStyle="1" w:styleId="340">
    <w:name w:val="Char Char35"/>
    <w:autoRedefine/>
    <w:qFormat/>
    <w:uiPriority w:val="6"/>
    <w:rPr>
      <w:rFonts w:ascii="Arial" w:hAnsi="Arial" w:eastAsia="黑体"/>
      <w:b/>
      <w:kern w:val="1"/>
      <w:sz w:val="28"/>
      <w:szCs w:val="28"/>
      <w:lang w:val="zh-CN"/>
    </w:rPr>
  </w:style>
  <w:style w:type="character" w:customStyle="1" w:styleId="341">
    <w:name w:val="纯文本 Char Char Char"/>
    <w:autoRedefine/>
    <w:qFormat/>
    <w:uiPriority w:val="0"/>
    <w:rPr>
      <w:rFonts w:ascii="宋体" w:hAnsi="Courier New" w:eastAsia="宋体"/>
      <w:kern w:val="2"/>
      <w:sz w:val="21"/>
      <w:lang w:val="en-US" w:eastAsia="zh-CN" w:bidi="ar-SA"/>
    </w:rPr>
  </w:style>
  <w:style w:type="character" w:customStyle="1" w:styleId="342">
    <w:name w:val="Table Text Char"/>
    <w:link w:val="343"/>
    <w:autoRedefine/>
    <w:qFormat/>
    <w:uiPriority w:val="0"/>
    <w:rPr>
      <w:sz w:val="24"/>
      <w:szCs w:val="24"/>
    </w:rPr>
  </w:style>
  <w:style w:type="paragraph" w:customStyle="1" w:styleId="343">
    <w:name w:val="Table Text"/>
    <w:basedOn w:val="1"/>
    <w:link w:val="342"/>
    <w:autoRedefine/>
    <w:qFormat/>
    <w:uiPriority w:val="0"/>
    <w:pPr>
      <w:widowControl/>
      <w:spacing w:before="60" w:after="60"/>
      <w:jc w:val="left"/>
    </w:pPr>
    <w:rPr>
      <w:kern w:val="0"/>
      <w:sz w:val="24"/>
    </w:rPr>
  </w:style>
  <w:style w:type="character" w:customStyle="1" w:styleId="344">
    <w:name w:val="正文1 Char1"/>
    <w:autoRedefine/>
    <w:qFormat/>
    <w:uiPriority w:val="0"/>
    <w:rPr>
      <w:rFonts w:ascii="仿宋_GB2312" w:hAnsi="Courier New" w:eastAsia="仿宋_GB2312"/>
      <w:kern w:val="28"/>
      <w:sz w:val="24"/>
      <w:szCs w:val="24"/>
      <w:lang w:val="en-US" w:eastAsia="zh-CN"/>
    </w:rPr>
  </w:style>
  <w:style w:type="character" w:customStyle="1" w:styleId="345">
    <w:name w:val="页脚 Char1"/>
    <w:autoRedefine/>
    <w:qFormat/>
    <w:uiPriority w:val="0"/>
    <w:rPr>
      <w:rFonts w:eastAsia="宋体"/>
      <w:kern w:val="2"/>
      <w:sz w:val="18"/>
      <w:szCs w:val="18"/>
      <w:lang w:val="en-US" w:eastAsia="zh-CN" w:bidi="ar-SA"/>
    </w:rPr>
  </w:style>
  <w:style w:type="character" w:customStyle="1" w:styleId="346">
    <w:name w:val="Bold"/>
    <w:autoRedefine/>
    <w:qFormat/>
    <w:uiPriority w:val="0"/>
    <w:rPr>
      <w:rFonts w:ascii="Arial" w:hAnsi="Arial" w:eastAsia="黑体" w:cs="Times New Roman"/>
      <w:b/>
      <w:kern w:val="2"/>
      <w:sz w:val="32"/>
      <w:szCs w:val="32"/>
      <w:lang w:val="en-US" w:eastAsia="zh-CN" w:bidi="ar-SA"/>
    </w:rPr>
  </w:style>
  <w:style w:type="character" w:customStyle="1" w:styleId="347">
    <w:name w:val="批注文字 Char1"/>
    <w:link w:val="21"/>
    <w:autoRedefine/>
    <w:qFormat/>
    <w:uiPriority w:val="99"/>
    <w:rPr>
      <w:kern w:val="2"/>
      <w:sz w:val="21"/>
      <w:szCs w:val="24"/>
    </w:rPr>
  </w:style>
  <w:style w:type="character" w:customStyle="1" w:styleId="348">
    <w:name w:val="签名 Char"/>
    <w:link w:val="43"/>
    <w:autoRedefine/>
    <w:qFormat/>
    <w:uiPriority w:val="0"/>
    <w:rPr>
      <w:rFonts w:eastAsia="仿宋_GB2312"/>
      <w:sz w:val="24"/>
    </w:rPr>
  </w:style>
  <w:style w:type="character" w:customStyle="1" w:styleId="349">
    <w:name w:val="hui3"/>
    <w:autoRedefine/>
    <w:qFormat/>
    <w:uiPriority w:val="0"/>
    <w:rPr>
      <w:color w:val="333333"/>
    </w:rPr>
  </w:style>
  <w:style w:type="character" w:customStyle="1" w:styleId="350">
    <w:name w:val="Char Char17"/>
    <w:autoRedefine/>
    <w:qFormat/>
    <w:uiPriority w:val="6"/>
    <w:rPr>
      <w:rFonts w:eastAsia="仿宋_GB2312"/>
      <w:sz w:val="24"/>
    </w:rPr>
  </w:style>
  <w:style w:type="character" w:customStyle="1" w:styleId="351">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2">
    <w:name w:val="Char Char37"/>
    <w:autoRedefine/>
    <w:qFormat/>
    <w:uiPriority w:val="6"/>
    <w:rPr>
      <w:b/>
      <w:kern w:val="1"/>
      <w:sz w:val="44"/>
      <w:szCs w:val="44"/>
    </w:rPr>
  </w:style>
  <w:style w:type="character" w:customStyle="1" w:styleId="353">
    <w:name w:val="列出段落 Char"/>
    <w:autoRedefine/>
    <w:qFormat/>
    <w:uiPriority w:val="0"/>
    <w:rPr>
      <w:rFonts w:eastAsia="楷体_GB2312" w:cs="Lucida Sans"/>
      <w:kern w:val="2"/>
      <w:sz w:val="24"/>
      <w:szCs w:val="24"/>
      <w:lang w:val="en-US" w:eastAsia="zh-CN" w:bidi="ar-SA"/>
    </w:rPr>
  </w:style>
  <w:style w:type="character" w:customStyle="1" w:styleId="354">
    <w:name w:val="正文文本缩进 3 Char1"/>
    <w:autoRedefine/>
    <w:qFormat/>
    <w:uiPriority w:val="99"/>
    <w:rPr>
      <w:rFonts w:ascii="Times New Roman" w:hAnsi="Times New Roman" w:eastAsia="宋体" w:cs="Times New Roman"/>
      <w:sz w:val="16"/>
      <w:szCs w:val="16"/>
    </w:rPr>
  </w:style>
  <w:style w:type="character" w:customStyle="1" w:styleId="355">
    <w:name w:val="公文正文 Char Char"/>
    <w:link w:val="356"/>
    <w:autoRedefine/>
    <w:qFormat/>
    <w:uiPriority w:val="0"/>
    <w:rPr>
      <w:rFonts w:ascii="仿宋_GB2312" w:eastAsia="仿宋_GB2312"/>
      <w:kern w:val="2"/>
      <w:sz w:val="24"/>
      <w:szCs w:val="24"/>
    </w:rPr>
  </w:style>
  <w:style w:type="paragraph" w:customStyle="1" w:styleId="356">
    <w:name w:val="公文正文"/>
    <w:basedOn w:val="1"/>
    <w:link w:val="355"/>
    <w:autoRedefine/>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autoRedefine/>
    <w:qFormat/>
    <w:uiPriority w:val="0"/>
    <w:rPr>
      <w:rFonts w:eastAsia="宋体"/>
      <w:sz w:val="24"/>
      <w:szCs w:val="24"/>
      <w:lang w:val="en-US" w:eastAsia="zh-CN" w:bidi="ar-SA"/>
    </w:rPr>
  </w:style>
  <w:style w:type="character" w:customStyle="1" w:styleId="358">
    <w:name w:val="标题 1 Char Char"/>
    <w:autoRedefine/>
    <w:qFormat/>
    <w:uiPriority w:val="0"/>
    <w:rPr>
      <w:rFonts w:hint="eastAsia" w:ascii="宋体" w:hAnsi="宋体" w:eastAsia="宋体"/>
      <w:b/>
      <w:spacing w:val="-2"/>
      <w:sz w:val="24"/>
      <w:lang w:val="en-US" w:eastAsia="zh-CN" w:bidi="ar-SA"/>
    </w:rPr>
  </w:style>
  <w:style w:type="character" w:customStyle="1" w:styleId="359">
    <w:name w:val="正文（缩进2汉字） Char"/>
    <w:link w:val="360"/>
    <w:autoRedefine/>
    <w:qFormat/>
    <w:uiPriority w:val="0"/>
    <w:rPr>
      <w:rFonts w:ascii="宋体"/>
    </w:rPr>
  </w:style>
  <w:style w:type="paragraph" w:customStyle="1" w:styleId="360">
    <w:name w:val="正文（缩进2汉字）"/>
    <w:basedOn w:val="1"/>
    <w:link w:val="35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2"/>
    <w:autoRedefine/>
    <w:qFormat/>
    <w:uiPriority w:val="0"/>
    <w:rPr>
      <w:rFonts w:ascii="Arial" w:hAnsi="Arial" w:eastAsia="黑体"/>
      <w:kern w:val="2"/>
      <w:sz w:val="24"/>
      <w:szCs w:val="24"/>
    </w:rPr>
  </w:style>
  <w:style w:type="character" w:customStyle="1" w:styleId="362">
    <w:name w:val="标书表格字体格式 Char"/>
    <w:autoRedefine/>
    <w:qFormat/>
    <w:uiPriority w:val="0"/>
    <w:rPr>
      <w:kern w:val="2"/>
      <w:sz w:val="21"/>
      <w:szCs w:val="24"/>
      <w:lang w:bidi="ar-SA"/>
    </w:rPr>
  </w:style>
  <w:style w:type="character" w:customStyle="1" w:styleId="363">
    <w:name w:val="tw4winError"/>
    <w:autoRedefine/>
    <w:qFormat/>
    <w:uiPriority w:val="0"/>
    <w:rPr>
      <w:rFonts w:ascii="Courier New" w:hAnsi="Courier New" w:cs="Courier New"/>
      <w:color w:val="00FF00"/>
      <w:sz w:val="40"/>
      <w:szCs w:val="40"/>
    </w:rPr>
  </w:style>
  <w:style w:type="character" w:customStyle="1" w:styleId="364">
    <w:name w:val="Body Text(ch) Char Char"/>
    <w:autoRedefine/>
    <w:qFormat/>
    <w:uiPriority w:val="0"/>
    <w:rPr>
      <w:rFonts w:ascii="宋体"/>
      <w:kern w:val="2"/>
      <w:sz w:val="24"/>
      <w:szCs w:val="21"/>
      <w:lang w:val="zh-CN"/>
    </w:rPr>
  </w:style>
  <w:style w:type="character" w:customStyle="1" w:styleId="365">
    <w:name w:val="正文首行缩进两字 Char"/>
    <w:autoRedefine/>
    <w:qFormat/>
    <w:uiPriority w:val="0"/>
    <w:rPr>
      <w:sz w:val="24"/>
      <w:szCs w:val="24"/>
      <w:lang w:val="en-US" w:eastAsia="zh-CN" w:bidi="ar-SA"/>
    </w:rPr>
  </w:style>
  <w:style w:type="character" w:customStyle="1" w:styleId="366">
    <w:name w:val="正文文本 Char"/>
    <w:autoRedefine/>
    <w:qFormat/>
    <w:uiPriority w:val="0"/>
    <w:rPr>
      <w:rFonts w:eastAsia="宋体"/>
      <w:kern w:val="2"/>
      <w:sz w:val="24"/>
      <w:szCs w:val="24"/>
      <w:lang w:val="en-US" w:eastAsia="zh-CN" w:bidi="ar-SA"/>
    </w:rPr>
  </w:style>
  <w:style w:type="character" w:customStyle="1" w:styleId="367">
    <w:name w:val="文档结构图 字符1"/>
    <w:autoRedefine/>
    <w:qFormat/>
    <w:uiPriority w:val="0"/>
    <w:rPr>
      <w:rFonts w:ascii="宋体" w:hAnsi="Calibri" w:eastAsia="黑体" w:cs="Arial"/>
      <w:snapToGrid w:val="0"/>
      <w:kern w:val="2"/>
      <w:sz w:val="18"/>
      <w:szCs w:val="18"/>
    </w:rPr>
  </w:style>
  <w:style w:type="character" w:customStyle="1" w:styleId="368">
    <w:name w:val="content"/>
    <w:autoRedefine/>
    <w:qFormat/>
    <w:uiPriority w:val="0"/>
  </w:style>
  <w:style w:type="character" w:customStyle="1" w:styleId="369">
    <w:name w:val="tw4winPopup"/>
    <w:autoRedefine/>
    <w:qFormat/>
    <w:uiPriority w:val="0"/>
    <w:rPr>
      <w:rFonts w:ascii="Courier New" w:hAnsi="Courier New" w:cs="Courier New"/>
      <w:color w:val="008000"/>
      <w:lang w:val="en-US" w:eastAsia="zh-CN"/>
    </w:rPr>
  </w:style>
  <w:style w:type="character" w:customStyle="1" w:styleId="370">
    <w:name w:val="param-name"/>
    <w:autoRedefine/>
    <w:qFormat/>
    <w:uiPriority w:val="99"/>
    <w:rPr>
      <w:rFonts w:ascii="Arial" w:hAnsi="Arial" w:eastAsia="黑体" w:cs="Arial"/>
      <w:snapToGrid w:val="0"/>
      <w:kern w:val="0"/>
      <w:szCs w:val="21"/>
    </w:rPr>
  </w:style>
  <w:style w:type="character" w:customStyle="1" w:styleId="371">
    <w:name w:val="标准正文格式 Char"/>
    <w:autoRedefine/>
    <w:qFormat/>
    <w:uiPriority w:val="0"/>
    <w:rPr>
      <w:rFonts w:ascii="宋体" w:eastAsia="仿宋_GB2312" w:cs="宋体"/>
      <w:color w:val="000000"/>
      <w:sz w:val="24"/>
      <w:lang w:val="en-US" w:eastAsia="zh-CN" w:bidi="ar-SA"/>
    </w:rPr>
  </w:style>
  <w:style w:type="character" w:customStyle="1" w:styleId="372">
    <w:name w:val="Char Char212"/>
    <w:autoRedefine/>
    <w:qFormat/>
    <w:uiPriority w:val="0"/>
    <w:rPr>
      <w:rFonts w:eastAsia="宋体"/>
      <w:b/>
      <w:bCs/>
      <w:kern w:val="2"/>
      <w:sz w:val="21"/>
      <w:szCs w:val="24"/>
      <w:lang w:val="en-US" w:eastAsia="zh-CN" w:bidi="ar-SA"/>
    </w:rPr>
  </w:style>
  <w:style w:type="character" w:customStyle="1" w:styleId="373">
    <w:name w:val="文档结构图 Char"/>
    <w:autoRedefine/>
    <w:qFormat/>
    <w:uiPriority w:val="0"/>
    <w:rPr>
      <w:rFonts w:eastAsia="宋体"/>
      <w:kern w:val="2"/>
      <w:sz w:val="21"/>
      <w:szCs w:val="24"/>
      <w:lang w:val="en-US" w:eastAsia="zh-CN" w:bidi="ar-SA"/>
    </w:rPr>
  </w:style>
  <w:style w:type="character" w:customStyle="1" w:styleId="374">
    <w:name w:val="zbggmain style9"/>
    <w:autoRedefine/>
    <w:qFormat/>
    <w:uiPriority w:val="0"/>
  </w:style>
  <w:style w:type="character" w:customStyle="1" w:styleId="375">
    <w:name w:val="Char Char16"/>
    <w:autoRedefine/>
    <w:qFormat/>
    <w:uiPriority w:val="6"/>
    <w:rPr>
      <w:kern w:val="1"/>
      <w:sz w:val="18"/>
      <w:szCs w:val="18"/>
    </w:rPr>
  </w:style>
  <w:style w:type="character" w:customStyle="1" w:styleId="376">
    <w:name w:val="font51"/>
    <w:autoRedefine/>
    <w:qFormat/>
    <w:uiPriority w:val="0"/>
    <w:rPr>
      <w:rFonts w:hint="eastAsia" w:ascii="仿宋" w:hAnsi="仿宋" w:eastAsia="仿宋" w:cs="仿宋"/>
      <w:color w:val="000000"/>
      <w:sz w:val="20"/>
      <w:szCs w:val="20"/>
      <w:u w:val="none"/>
    </w:rPr>
  </w:style>
  <w:style w:type="character" w:customStyle="1" w:styleId="377">
    <w:name w:val="Char Char82"/>
    <w:autoRedefine/>
    <w:qFormat/>
    <w:uiPriority w:val="0"/>
    <w:rPr>
      <w:rFonts w:eastAsia="宋体"/>
      <w:b/>
      <w:sz w:val="24"/>
      <w:lang w:val="en-GB" w:eastAsia="zh-CN"/>
    </w:rPr>
  </w:style>
  <w:style w:type="character" w:customStyle="1" w:styleId="378">
    <w:name w:val="正文文本缩进 3 Char"/>
    <w:link w:val="54"/>
    <w:autoRedefine/>
    <w:qFormat/>
    <w:uiPriority w:val="0"/>
    <w:rPr>
      <w:kern w:val="2"/>
      <w:sz w:val="24"/>
    </w:rPr>
  </w:style>
  <w:style w:type="character" w:customStyle="1" w:styleId="379">
    <w:name w:val="日期 Char1"/>
    <w:autoRedefine/>
    <w:qFormat/>
    <w:uiPriority w:val="99"/>
    <w:rPr>
      <w:rFonts w:ascii="Times New Roman" w:hAnsi="Times New Roman" w:eastAsia="宋体" w:cs="Times New Roman"/>
      <w:szCs w:val="24"/>
    </w:rPr>
  </w:style>
  <w:style w:type="character" w:customStyle="1" w:styleId="380">
    <w:name w:val="页眉 字符"/>
    <w:autoRedefine/>
    <w:qFormat/>
    <w:uiPriority w:val="99"/>
    <w:rPr>
      <w:kern w:val="2"/>
      <w:sz w:val="18"/>
      <w:szCs w:val="18"/>
    </w:rPr>
  </w:style>
  <w:style w:type="character" w:customStyle="1" w:styleId="381">
    <w:name w:val="Char Char33"/>
    <w:autoRedefine/>
    <w:qFormat/>
    <w:uiPriority w:val="6"/>
    <w:rPr>
      <w:rFonts w:ascii="Arial" w:hAnsi="Arial" w:eastAsia="黑体"/>
      <w:b/>
      <w:kern w:val="1"/>
      <w:sz w:val="24"/>
      <w:szCs w:val="24"/>
    </w:rPr>
  </w:style>
  <w:style w:type="character" w:customStyle="1" w:styleId="382">
    <w:name w:val="b11_01b Char"/>
    <w:link w:val="383"/>
    <w:autoRedefine/>
    <w:qFormat/>
    <w:uiPriority w:val="0"/>
    <w:rPr>
      <w:rFonts w:ascii="Verdana" w:hAnsi="Verdana"/>
      <w:b/>
      <w:bCs/>
      <w:color w:val="4A82CA"/>
      <w:sz w:val="17"/>
      <w:szCs w:val="17"/>
    </w:rPr>
  </w:style>
  <w:style w:type="paragraph" w:customStyle="1" w:styleId="383">
    <w:name w:val="b11_01b"/>
    <w:basedOn w:val="1"/>
    <w:next w:val="1"/>
    <w:link w:val="382"/>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autoRedefine/>
    <w:qFormat/>
    <w:uiPriority w:val="6"/>
    <w:rPr>
      <w:rFonts w:ascii="仿宋_GB2312" w:eastAsia="仿宋_GB2312"/>
      <w:b/>
      <w:bCs/>
      <w:kern w:val="2"/>
      <w:sz w:val="24"/>
      <w:szCs w:val="24"/>
      <w:lang w:val="zh-CN" w:eastAsia="zh-CN" w:bidi="ar-SA"/>
    </w:rPr>
  </w:style>
  <w:style w:type="character" w:customStyle="1" w:styleId="385">
    <w:name w:val="Footer-Even Char"/>
    <w:autoRedefine/>
    <w:qFormat/>
    <w:uiPriority w:val="0"/>
    <w:rPr>
      <w:rFonts w:eastAsia="宋体"/>
      <w:kern w:val="2"/>
      <w:sz w:val="18"/>
      <w:lang w:val="en-US" w:eastAsia="zh-CN" w:bidi="ar-SA"/>
    </w:rPr>
  </w:style>
  <w:style w:type="character" w:customStyle="1" w:styleId="386">
    <w:name w:val="页脚 Char2"/>
    <w:link w:val="41"/>
    <w:autoRedefine/>
    <w:qFormat/>
    <w:uiPriority w:val="99"/>
    <w:rPr>
      <w:kern w:val="2"/>
      <w:sz w:val="18"/>
      <w:szCs w:val="18"/>
    </w:rPr>
  </w:style>
  <w:style w:type="character" w:customStyle="1" w:styleId="38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8">
    <w:name w:val="Char Char61"/>
    <w:autoRedefine/>
    <w:qFormat/>
    <w:uiPriority w:val="6"/>
    <w:rPr>
      <w:rFonts w:eastAsia="宋体"/>
      <w:kern w:val="2"/>
      <w:sz w:val="21"/>
      <w:szCs w:val="24"/>
      <w:lang w:val="en-US" w:eastAsia="zh-CN" w:bidi="ar-SA"/>
    </w:rPr>
  </w:style>
  <w:style w:type="character" w:customStyle="1" w:styleId="389">
    <w:name w:val="正文文字缩进 2 Char Char"/>
    <w:autoRedefine/>
    <w:qFormat/>
    <w:uiPriority w:val="0"/>
    <w:rPr>
      <w:rFonts w:ascii="宋体"/>
      <w:sz w:val="28"/>
    </w:rPr>
  </w:style>
  <w:style w:type="character" w:customStyle="1" w:styleId="390">
    <w:name w:val="f141"/>
    <w:autoRedefine/>
    <w:qFormat/>
    <w:uiPriority w:val="0"/>
    <w:rPr>
      <w:rFonts w:ascii="Tahoma" w:hAnsi="Tahoma" w:eastAsia="宋体"/>
      <w:b/>
      <w:kern w:val="2"/>
      <w:sz w:val="21"/>
      <w:szCs w:val="21"/>
      <w:lang w:val="en-US" w:eastAsia="zh-CN" w:bidi="ar-SA"/>
    </w:rPr>
  </w:style>
  <w:style w:type="character" w:customStyle="1" w:styleId="391">
    <w:name w:val="段落 Char Char"/>
    <w:link w:val="392"/>
    <w:autoRedefine/>
    <w:qFormat/>
    <w:uiPriority w:val="0"/>
    <w:rPr>
      <w:rFonts w:ascii="宋体" w:hAnsi="宋体"/>
      <w:sz w:val="24"/>
    </w:rPr>
  </w:style>
  <w:style w:type="paragraph" w:customStyle="1" w:styleId="392">
    <w:name w:val="段落"/>
    <w:basedOn w:val="1"/>
    <w:link w:val="391"/>
    <w:autoRedefine/>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autoRedefine/>
    <w:qFormat/>
    <w:uiPriority w:val="0"/>
    <w:rPr>
      <w:rFonts w:eastAsia="宋体"/>
      <w:b/>
      <w:bCs/>
      <w:kern w:val="2"/>
      <w:sz w:val="32"/>
      <w:szCs w:val="32"/>
      <w:lang w:val="en-US" w:eastAsia="zh-CN" w:bidi="ar-SA"/>
    </w:rPr>
  </w:style>
  <w:style w:type="character" w:customStyle="1" w:styleId="394">
    <w:name w:val="apple-converted-space"/>
    <w:autoRedefine/>
    <w:qFormat/>
    <w:uiPriority w:val="0"/>
  </w:style>
  <w:style w:type="character" w:customStyle="1" w:styleId="395">
    <w:name w:val="页眉 Char2"/>
    <w:link w:val="42"/>
    <w:autoRedefine/>
    <w:qFormat/>
    <w:uiPriority w:val="99"/>
    <w:rPr>
      <w:kern w:val="2"/>
      <w:sz w:val="18"/>
      <w:szCs w:val="18"/>
    </w:rPr>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156"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样式 标题 4h4H4Fab-4T5Ref Heading 1rh1Heading sqlsect 1.2.3.... Char"/>
    <w:link w:val="308"/>
    <w:autoRedefine/>
    <w:qFormat/>
    <w:uiPriority w:val="0"/>
    <w:rPr>
      <w:rFonts w:ascii="微软雅黑" w:hAnsi="微软雅黑" w:eastAsia="微软雅黑"/>
      <w:b/>
      <w:bCs/>
      <w:kern w:val="2"/>
      <w:sz w:val="24"/>
      <w:szCs w:val="28"/>
    </w:rPr>
  </w:style>
  <w:style w:type="character" w:customStyle="1" w:styleId="417">
    <w:name w:val="h Char Char"/>
    <w:autoRedefine/>
    <w:qFormat/>
    <w:uiPriority w:val="0"/>
    <w:rPr>
      <w:rFonts w:eastAsia="宋体"/>
      <w:kern w:val="2"/>
      <w:sz w:val="18"/>
      <w:lang w:val="en-US" w:eastAsia="zh-CN" w:bidi="ar-SA"/>
    </w:rPr>
  </w:style>
  <w:style w:type="character" w:customStyle="1" w:styleId="418">
    <w:name w:val="仿宋正文 Char"/>
    <w:link w:val="419"/>
    <w:autoRedefine/>
    <w:qFormat/>
    <w:uiPriority w:val="0"/>
    <w:rPr>
      <w:rFonts w:ascii="仿宋_GB2312" w:eastAsia="仿宋_GB2312"/>
      <w:kern w:val="2"/>
      <w:sz w:val="24"/>
      <w:lang w:val="en-US" w:eastAsia="zh-CN" w:bidi="ar-SA"/>
    </w:rPr>
  </w:style>
  <w:style w:type="paragraph" w:customStyle="1" w:styleId="419">
    <w:name w:val="仿宋正文"/>
    <w:basedOn w:val="1"/>
    <w:link w:val="418"/>
    <w:autoRedefine/>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autoRedefine/>
    <w:qFormat/>
    <w:uiPriority w:val="0"/>
    <w:rPr>
      <w:rFonts w:ascii="宋体" w:eastAsia="宋体"/>
      <w:kern w:val="2"/>
      <w:sz w:val="24"/>
      <w:lang w:val="zh-CN" w:bidi="ar-SA"/>
    </w:rPr>
  </w:style>
  <w:style w:type="character" w:customStyle="1" w:styleId="421">
    <w:name w:val="样式 宋体"/>
    <w:autoRedefine/>
    <w:qFormat/>
    <w:uiPriority w:val="0"/>
    <w:rPr>
      <w:rFonts w:ascii="宋体" w:hAnsi="宋体"/>
      <w:sz w:val="24"/>
    </w:rPr>
  </w:style>
  <w:style w:type="character" w:customStyle="1" w:styleId="422">
    <w:name w:val="tw4winJump"/>
    <w:autoRedefine/>
    <w:qFormat/>
    <w:uiPriority w:val="0"/>
    <w:rPr>
      <w:rFonts w:ascii="Courier New" w:hAnsi="Courier New" w:cs="Courier New"/>
      <w:color w:val="008080"/>
      <w:lang w:val="en-US" w:eastAsia="zh-CN"/>
    </w:rPr>
  </w:style>
  <w:style w:type="character" w:customStyle="1" w:styleId="423">
    <w:name w:val="标题 1 字符"/>
    <w:autoRedefine/>
    <w:qFormat/>
    <w:uiPriority w:val="9"/>
    <w:rPr>
      <w:rFonts w:ascii="Arial" w:hAnsi="Arial" w:eastAsia="黑体" w:cs="Arial"/>
      <w:b/>
      <w:bCs/>
      <w:snapToGrid w:val="0"/>
      <w:kern w:val="44"/>
      <w:sz w:val="44"/>
      <w:szCs w:val="44"/>
    </w:rPr>
  </w:style>
  <w:style w:type="character" w:customStyle="1" w:styleId="424">
    <w:name w:val="style36"/>
    <w:basedOn w:val="69"/>
    <w:autoRedefine/>
    <w:qFormat/>
    <w:uiPriority w:val="0"/>
    <w:rPr>
      <w:rFonts w:ascii="Arial" w:hAnsi="Arial" w:eastAsia="黑体" w:cs="Arial"/>
      <w:snapToGrid w:val="0"/>
      <w:kern w:val="0"/>
      <w:szCs w:val="21"/>
    </w:rPr>
  </w:style>
  <w:style w:type="character" w:customStyle="1" w:styleId="425">
    <w:name w:val="pt9"/>
    <w:autoRedefine/>
    <w:qFormat/>
    <w:uiPriority w:val="0"/>
    <w:rPr>
      <w:rFonts w:ascii="仿宋_GB2312" w:eastAsia="微软雅黑"/>
      <w:b/>
      <w:kern w:val="2"/>
      <w:sz w:val="32"/>
      <w:szCs w:val="32"/>
      <w:lang w:val="en-US" w:eastAsia="zh-CN" w:bidi="ar-SA"/>
    </w:rPr>
  </w:style>
  <w:style w:type="character" w:customStyle="1" w:styleId="426">
    <w:name w:val="DO_NOT_TRANSLATE"/>
    <w:autoRedefine/>
    <w:qFormat/>
    <w:uiPriority w:val="0"/>
    <w:rPr>
      <w:rFonts w:ascii="Courier New" w:hAnsi="Courier New" w:cs="Courier New"/>
      <w:color w:val="800000"/>
      <w:lang w:val="en-US" w:eastAsia="zh-CN"/>
    </w:rPr>
  </w:style>
  <w:style w:type="character" w:customStyle="1" w:styleId="427">
    <w:name w:val="标书1 Char1"/>
    <w:autoRedefine/>
    <w:qFormat/>
    <w:uiPriority w:val="0"/>
    <w:rPr>
      <w:rFonts w:eastAsia="宋体"/>
      <w:b/>
      <w:bCs/>
      <w:kern w:val="44"/>
      <w:sz w:val="44"/>
      <w:szCs w:val="44"/>
      <w:lang w:val="en-US" w:eastAsia="zh-CN" w:bidi="ar-SA"/>
    </w:rPr>
  </w:style>
  <w:style w:type="character" w:customStyle="1" w:styleId="428">
    <w:name w:val="页脚 字符"/>
    <w:autoRedefine/>
    <w:qFormat/>
    <w:uiPriority w:val="99"/>
    <w:rPr>
      <w:kern w:val="2"/>
      <w:sz w:val="18"/>
      <w:szCs w:val="18"/>
    </w:rPr>
  </w:style>
  <w:style w:type="character" w:customStyle="1" w:styleId="429">
    <w:name w:val="正文2 Char"/>
    <w:autoRedefine/>
    <w:qFormat/>
    <w:uiPriority w:val="0"/>
    <w:rPr>
      <w:rFonts w:eastAsia="宋体"/>
      <w:kern w:val="2"/>
      <w:sz w:val="24"/>
      <w:lang w:val="en-US" w:eastAsia="zh-CN" w:bidi="ar-SA"/>
    </w:rPr>
  </w:style>
  <w:style w:type="character" w:customStyle="1" w:styleId="430">
    <w:name w:val="Char Char21"/>
    <w:autoRedefine/>
    <w:qFormat/>
    <w:uiPriority w:val="6"/>
    <w:rPr>
      <w:rFonts w:ascii="宋体" w:hAnsi="宋体"/>
      <w:kern w:val="1"/>
      <w:sz w:val="24"/>
      <w:szCs w:val="21"/>
      <w:lang w:val="zh-CN"/>
    </w:rPr>
  </w:style>
  <w:style w:type="character" w:customStyle="1" w:styleId="431">
    <w:name w:val="样式 正文缩进 + 首行缩进:  2 字符 Char Char"/>
    <w:link w:val="432"/>
    <w:autoRedefine/>
    <w:qFormat/>
    <w:uiPriority w:val="0"/>
    <w:rPr>
      <w:rFonts w:cs="宋体"/>
      <w:kern w:val="2"/>
      <w:sz w:val="24"/>
    </w:rPr>
  </w:style>
  <w:style w:type="paragraph" w:customStyle="1" w:styleId="432">
    <w:name w:val="样式 正文缩进 + 首行缩进:  2 字符"/>
    <w:basedOn w:val="2"/>
    <w:link w:val="431"/>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34">
    <w:name w:val="gray6"/>
    <w:basedOn w:val="69"/>
    <w:autoRedefine/>
    <w:qFormat/>
    <w:uiPriority w:val="0"/>
    <w:rPr>
      <w:rFonts w:ascii="Arial" w:hAnsi="Arial" w:eastAsia="黑体" w:cs="Arial"/>
      <w:snapToGrid w:val="0"/>
      <w:kern w:val="0"/>
      <w:szCs w:val="21"/>
    </w:rPr>
  </w:style>
  <w:style w:type="character" w:customStyle="1" w:styleId="435">
    <w:name w:val="hui"/>
    <w:basedOn w:val="69"/>
    <w:autoRedefine/>
    <w:qFormat/>
    <w:uiPriority w:val="0"/>
    <w:rPr>
      <w:rFonts w:ascii="Arial" w:hAnsi="Arial" w:eastAsia="黑体" w:cs="Arial"/>
      <w:snapToGrid w:val="0"/>
      <w:kern w:val="0"/>
      <w:szCs w:val="21"/>
    </w:rPr>
  </w:style>
  <w:style w:type="character" w:customStyle="1" w:styleId="436">
    <w:name w:val="哈哈正文 Char Char"/>
    <w:autoRedefine/>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autoRedefine/>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0"/>
    <w:pPr>
      <w:spacing w:before="120" w:line="360" w:lineRule="auto"/>
      <w:ind w:firstLine="567"/>
    </w:pPr>
    <w:rPr>
      <w:rFonts w:ascii="Arial" w:hAnsi="Arial"/>
      <w:sz w:val="20"/>
      <w:szCs w:val="20"/>
    </w:rPr>
  </w:style>
  <w:style w:type="paragraph" w:customStyle="1" w:styleId="44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0"/>
    <w:pPr>
      <w:adjustRightInd/>
      <w:ind w:firstLine="200" w:firstLineChars="200"/>
    </w:pPr>
    <w:rPr>
      <w:rFonts w:ascii="Tahoma" w:hAnsi="Tahoma"/>
      <w:sz w:val="24"/>
      <w:szCs w:val="20"/>
    </w:rPr>
  </w:style>
  <w:style w:type="paragraph" w:customStyle="1" w:styleId="4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0"/>
    <w:pPr>
      <w:tabs>
        <w:tab w:val="left" w:pos="360"/>
      </w:tabs>
    </w:pPr>
    <w:rPr>
      <w:sz w:val="24"/>
      <w:szCs w:val="20"/>
    </w:rPr>
  </w:style>
  <w:style w:type="paragraph" w:customStyle="1" w:styleId="459">
    <w:name w:val="Char Char11 Char Char Char"/>
    <w:basedOn w:val="1"/>
    <w:autoRedefine/>
    <w:qFormat/>
    <w:uiPriority w:val="0"/>
    <w:pPr>
      <w:spacing w:line="360" w:lineRule="auto"/>
    </w:pPr>
    <w:rPr>
      <w:szCs w:val="20"/>
    </w:rPr>
  </w:style>
  <w:style w:type="paragraph" w:customStyle="1" w:styleId="46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autoRedefine/>
    <w:qFormat/>
    <w:uiPriority w:val="0"/>
    <w:pPr>
      <w:tabs>
        <w:tab w:val="left" w:pos="2790"/>
        <w:tab w:val="left" w:pos="4230"/>
      </w:tabs>
      <w:spacing w:before="312" w:beforeLines="100"/>
      <w:jc w:val="left"/>
    </w:pPr>
  </w:style>
  <w:style w:type="paragraph" w:customStyle="1" w:styleId="46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0"/>
    <w:pPr>
      <w:tabs>
        <w:tab w:val="left" w:pos="840"/>
      </w:tabs>
      <w:ind w:left="840" w:hanging="420"/>
    </w:pPr>
    <w:rPr>
      <w:rFonts w:ascii="Tahoma" w:hAnsi="Tahoma"/>
      <w:sz w:val="24"/>
    </w:rPr>
  </w:style>
  <w:style w:type="paragraph" w:customStyle="1" w:styleId="46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4"/>
    <w:autoRedefine/>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0"/>
    <w:pPr>
      <w:adjustRightInd/>
      <w:spacing w:before="156" w:line="360" w:lineRule="auto"/>
      <w:ind w:firstLine="510" w:firstLineChars="200"/>
    </w:pPr>
    <w:rPr>
      <w:sz w:val="24"/>
      <w:szCs w:val="20"/>
    </w:rPr>
  </w:style>
  <w:style w:type="paragraph" w:customStyle="1" w:styleId="469">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0"/>
    <w:rPr>
      <w:rFonts w:ascii="仿宋_GB2312" w:eastAsia="仿宋_GB2312"/>
      <w:b/>
      <w:sz w:val="32"/>
      <w:szCs w:val="32"/>
    </w:rPr>
  </w:style>
  <w:style w:type="paragraph" w:customStyle="1" w:styleId="47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0"/>
    <w:pPr>
      <w:keepNext/>
      <w:tabs>
        <w:tab w:val="left" w:pos="360"/>
      </w:tabs>
      <w:spacing w:before="0" w:after="0"/>
      <w:outlineLvl w:val="5"/>
    </w:pPr>
  </w:style>
  <w:style w:type="paragraph" w:customStyle="1" w:styleId="477">
    <w:name w:val="5级标题"/>
    <w:basedOn w:val="478"/>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2"/>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0">
    <w:name w:val="Char2 Char Char"/>
    <w:basedOn w:val="1"/>
    <w:autoRedefine/>
    <w:qFormat/>
    <w:uiPriority w:val="0"/>
    <w:pPr>
      <w:adjustRightInd/>
    </w:pPr>
    <w:rPr>
      <w:rFonts w:ascii="Tahoma" w:hAnsi="Tahoma"/>
      <w:sz w:val="24"/>
      <w:szCs w:val="20"/>
    </w:rPr>
  </w:style>
  <w:style w:type="paragraph" w:customStyle="1" w:styleId="481">
    <w:name w:val="_Style 11"/>
    <w:basedOn w:val="1"/>
    <w:autoRedefine/>
    <w:qFormat/>
    <w:uiPriority w:val="34"/>
    <w:pPr>
      <w:adjustRightInd/>
      <w:ind w:firstLine="420" w:firstLineChars="200"/>
    </w:pPr>
    <w:rPr>
      <w:rFonts w:eastAsia="仿宋_GB2312"/>
      <w:sz w:val="28"/>
    </w:rPr>
  </w:style>
  <w:style w:type="paragraph" w:customStyle="1" w:styleId="48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0"/>
    <w:rPr>
      <w:rFonts w:ascii="Tahoma" w:hAnsi="Tahoma"/>
      <w:sz w:val="24"/>
      <w:szCs w:val="20"/>
    </w:rPr>
  </w:style>
  <w:style w:type="paragraph" w:customStyle="1" w:styleId="484">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No Spacing"/>
    <w:basedOn w:val="1"/>
    <w:link w:val="936"/>
    <w:autoRedefine/>
    <w:qFormat/>
    <w:uiPriority w:val="99"/>
    <w:rPr>
      <w:szCs w:val="22"/>
    </w:rPr>
  </w:style>
  <w:style w:type="paragraph" w:customStyle="1" w:styleId="48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6"/>
    <w:rPr>
      <w:rFonts w:ascii="Tahoma" w:hAnsi="Tahoma" w:cs="仿宋_GB2312"/>
      <w:sz w:val="24"/>
      <w:szCs w:val="20"/>
    </w:rPr>
  </w:style>
  <w:style w:type="paragraph" w:customStyle="1" w:styleId="48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4"/>
    <w:autoRedefine/>
    <w:qFormat/>
    <w:uiPriority w:val="0"/>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0"/>
    <w:pPr>
      <w:adjustRightInd/>
    </w:pPr>
  </w:style>
  <w:style w:type="paragraph" w:customStyle="1" w:styleId="494">
    <w:name w:val="Char5"/>
    <w:basedOn w:val="1"/>
    <w:autoRedefine/>
    <w:qFormat/>
    <w:uiPriority w:val="0"/>
    <w:rPr>
      <w:rFonts w:ascii="仿宋_GB2312" w:eastAsia="仿宋_GB2312"/>
      <w:b/>
      <w:sz w:val="32"/>
      <w:szCs w:val="32"/>
    </w:rPr>
  </w:style>
  <w:style w:type="paragraph" w:customStyle="1" w:styleId="495">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autoRedefine/>
    <w:qFormat/>
    <w:uiPriority w:val="0"/>
    <w:rPr>
      <w:rFonts w:ascii="仿宋_GB2312" w:eastAsia="仿宋_GB2312"/>
      <w:b/>
      <w:sz w:val="32"/>
      <w:szCs w:val="32"/>
    </w:rPr>
  </w:style>
  <w:style w:type="paragraph" w:customStyle="1" w:styleId="499">
    <w:name w:val="数字标题3"/>
    <w:basedOn w:val="5"/>
    <w:next w:val="1"/>
    <w:autoRedefine/>
    <w:qFormat/>
    <w:uiPriority w:val="0"/>
    <w:pPr>
      <w:spacing w:line="240" w:lineRule="auto"/>
    </w:pPr>
    <w:rPr>
      <w:sz w:val="28"/>
      <w:szCs w:val="28"/>
    </w:rPr>
  </w:style>
  <w:style w:type="paragraph" w:customStyle="1" w:styleId="500">
    <w:name w:val="FA正文"/>
    <w:basedOn w:val="1"/>
    <w:autoRedefine/>
    <w:qFormat/>
    <w:uiPriority w:val="0"/>
    <w:pPr>
      <w:spacing w:line="360" w:lineRule="auto"/>
      <w:ind w:firstLine="480" w:firstLineChars="200"/>
    </w:pPr>
    <w:rPr>
      <w:rFonts w:hAnsi="宋体"/>
      <w:sz w:val="24"/>
      <w:szCs w:val="20"/>
    </w:rPr>
  </w:style>
  <w:style w:type="paragraph" w:customStyle="1" w:styleId="501">
    <w:name w:val="MM Topic 5"/>
    <w:basedOn w:val="9"/>
    <w:autoRedefine/>
    <w:qFormat/>
    <w:uiPriority w:val="0"/>
    <w:pPr>
      <w:tabs>
        <w:tab w:val="left" w:pos="2520"/>
      </w:tabs>
      <w:adjustRightInd/>
      <w:ind w:left="2520" w:hanging="420"/>
    </w:pPr>
  </w:style>
  <w:style w:type="paragraph" w:customStyle="1" w:styleId="502">
    <w:name w:val="Char Char Char Char Char Char Char Char Char Char1"/>
    <w:basedOn w:val="1"/>
    <w:autoRedefine/>
    <w:qFormat/>
    <w:uiPriority w:val="0"/>
    <w:rPr>
      <w:rFonts w:ascii="仿宋_GB2312" w:eastAsia="仿宋_GB2312"/>
      <w:b/>
      <w:sz w:val="32"/>
      <w:szCs w:val="32"/>
    </w:rPr>
  </w:style>
  <w:style w:type="paragraph" w:customStyle="1" w:styleId="50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0"/>
    <w:rPr>
      <w:rFonts w:ascii="仿宋_GB2312" w:eastAsia="仿宋_GB2312"/>
      <w:b/>
      <w:sz w:val="32"/>
      <w:szCs w:val="32"/>
    </w:rPr>
  </w:style>
  <w:style w:type="paragraph" w:customStyle="1" w:styleId="506">
    <w:name w:val="Char2 Char Char Char1"/>
    <w:basedOn w:val="1"/>
    <w:autoRedefine/>
    <w:qFormat/>
    <w:uiPriority w:val="6"/>
    <w:rPr>
      <w:rFonts w:ascii="仿宋_GB2312" w:eastAsia="仿宋_GB2312"/>
      <w:b/>
      <w:sz w:val="32"/>
      <w:szCs w:val="32"/>
    </w:rPr>
  </w:style>
  <w:style w:type="paragraph" w:customStyle="1" w:styleId="507">
    <w:name w:val="默认段落样式"/>
    <w:basedOn w:val="136"/>
    <w:autoRedefine/>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5"/>
    <w:autoRedefine/>
    <w:qFormat/>
    <w:uiPriority w:val="0"/>
    <w:pPr>
      <w:tabs>
        <w:tab w:val="left" w:pos="1680"/>
      </w:tabs>
      <w:adjustRightInd/>
      <w:ind w:left="1680" w:hanging="420"/>
    </w:pPr>
  </w:style>
  <w:style w:type="paragraph" w:customStyle="1" w:styleId="511">
    <w:name w:val="标准小四"/>
    <w:basedOn w:val="1"/>
    <w:autoRedefine/>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0"/>
    <w:pPr>
      <w:adjustRightInd/>
      <w:snapToGrid w:val="0"/>
      <w:spacing w:line="300" w:lineRule="auto"/>
    </w:pPr>
    <w:rPr>
      <w:rFonts w:eastAsia="仿宋"/>
      <w:szCs w:val="21"/>
    </w:rPr>
  </w:style>
  <w:style w:type="paragraph" w:customStyle="1" w:styleId="5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6"/>
    <w:pPr>
      <w:adjustRightInd/>
    </w:pPr>
    <w:rPr>
      <w:rFonts w:ascii="Tahoma" w:hAnsi="Tahoma"/>
      <w:sz w:val="24"/>
      <w:szCs w:val="20"/>
    </w:rPr>
  </w:style>
  <w:style w:type="paragraph" w:customStyle="1" w:styleId="51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2">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autoRedefine/>
    <w:qFormat/>
    <w:uiPriority w:val="0"/>
    <w:pPr>
      <w:adjustRightInd/>
      <w:ind w:firstLine="420" w:firstLineChars="200"/>
    </w:pPr>
    <w:rPr>
      <w:rFonts w:eastAsia="仿宋_GB2312"/>
      <w:sz w:val="28"/>
    </w:rPr>
  </w:style>
  <w:style w:type="paragraph" w:customStyle="1" w:styleId="524">
    <w:name w:val="xl39"/>
    <w:basedOn w:val="1"/>
    <w:next w:val="525"/>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分手多日，近况如何？"/>
    <w:next w:val="1"/>
    <w:autoRedefine/>
    <w:qFormat/>
    <w:uiPriority w:val="0"/>
    <w:pPr>
      <w:widowControl w:val="0"/>
      <w:jc w:val="both"/>
    </w:pPr>
    <w:rPr>
      <w:rFonts w:ascii="Times New Roman" w:hAnsi="Times New Roman" w:eastAsia="宋体" w:cs="Times New Roman"/>
      <w:sz w:val="21"/>
      <w:lang w:val="en-US" w:eastAsia="zh-CN" w:bidi="ar-SA"/>
    </w:rPr>
  </w:style>
  <w:style w:type="paragraph" w:customStyle="1" w:styleId="526">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autoRedefine/>
    <w:qFormat/>
    <w:uiPriority w:val="0"/>
    <w:pPr>
      <w:adjustRightInd/>
      <w:ind w:firstLine="200" w:firstLineChars="200"/>
      <w:jc w:val="right"/>
    </w:pPr>
  </w:style>
  <w:style w:type="paragraph" w:customStyle="1" w:styleId="528">
    <w:name w:val="Char Char11 Char Char Char Char Char Char Char Char Char"/>
    <w:basedOn w:val="1"/>
    <w:autoRedefine/>
    <w:qFormat/>
    <w:uiPriority w:val="0"/>
    <w:pPr>
      <w:spacing w:line="360" w:lineRule="auto"/>
    </w:pPr>
    <w:rPr>
      <w:szCs w:val="20"/>
    </w:rPr>
  </w:style>
  <w:style w:type="paragraph" w:customStyle="1" w:styleId="529">
    <w:name w:val="正文1.25"/>
    <w:basedOn w:val="1"/>
    <w:autoRedefine/>
    <w:qFormat/>
    <w:uiPriority w:val="0"/>
    <w:pPr>
      <w:adjustRightInd/>
      <w:spacing w:line="300" w:lineRule="auto"/>
      <w:ind w:firstLine="480" w:firstLineChars="200"/>
    </w:pPr>
    <w:rPr>
      <w:sz w:val="24"/>
      <w:szCs w:val="20"/>
    </w:rPr>
  </w:style>
  <w:style w:type="paragraph" w:customStyle="1" w:styleId="530">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autoRedefine/>
    <w:qFormat/>
    <w:uiPriority w:val="6"/>
    <w:rPr>
      <w:rFonts w:ascii="仿宋_GB2312" w:eastAsia="仿宋_GB2312"/>
      <w:b/>
      <w:sz w:val="32"/>
      <w:szCs w:val="20"/>
    </w:rPr>
  </w:style>
  <w:style w:type="paragraph" w:customStyle="1" w:styleId="534">
    <w:name w:val="列出段落2"/>
    <w:basedOn w:val="1"/>
    <w:autoRedefine/>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autoRedefine/>
    <w:qFormat/>
    <w:uiPriority w:val="0"/>
    <w:rPr>
      <w:rFonts w:eastAsia="仿宋_GB2312"/>
      <w:sz w:val="28"/>
      <w:szCs w:val="20"/>
    </w:rPr>
  </w:style>
  <w:style w:type="paragraph" w:customStyle="1" w:styleId="536">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8"/>
    <w:autoRedefine/>
    <w:qFormat/>
    <w:uiPriority w:val="0"/>
    <w:pPr>
      <w:widowControl/>
      <w:jc w:val="left"/>
    </w:pPr>
    <w:rPr>
      <w:rFonts w:cs="宋体"/>
      <w:sz w:val="24"/>
      <w:szCs w:val="20"/>
    </w:rPr>
  </w:style>
  <w:style w:type="paragraph" w:customStyle="1" w:styleId="538">
    <w:name w:val="彩色列表 - 强调文字颜色 11"/>
    <w:basedOn w:val="1"/>
    <w:autoRedefine/>
    <w:qFormat/>
    <w:uiPriority w:val="0"/>
    <w:pPr>
      <w:adjustRightInd/>
      <w:ind w:firstLine="420" w:firstLineChars="200"/>
    </w:pPr>
    <w:rPr>
      <w:rFonts w:ascii="Calibri" w:hAnsi="Calibri"/>
      <w:szCs w:val="22"/>
    </w:rPr>
  </w:style>
  <w:style w:type="paragraph" w:customStyle="1" w:styleId="53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autoRedefine/>
    <w:qFormat/>
    <w:uiPriority w:val="6"/>
    <w:rPr>
      <w:szCs w:val="20"/>
    </w:rPr>
  </w:style>
  <w:style w:type="paragraph" w:customStyle="1" w:styleId="54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4"/>
    <w:autoRedefine/>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85"/>
    <w:next w:val="85"/>
    <w:autoRedefine/>
    <w:qFormat/>
    <w:uiPriority w:val="0"/>
    <w:pPr>
      <w:spacing w:after="68"/>
    </w:pPr>
    <w:rPr>
      <w:rFonts w:ascii="FHLHE E+ Futura Bk" w:eastAsia="FHLHE E+ Futura Bk" w:cs="Times New Roman"/>
      <w:color w:val="auto"/>
    </w:rPr>
  </w:style>
  <w:style w:type="paragraph" w:customStyle="1" w:styleId="549">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85"/>
    <w:next w:val="85"/>
    <w:autoRedefine/>
    <w:qFormat/>
    <w:uiPriority w:val="0"/>
    <w:rPr>
      <w:rFonts w:ascii="宋体" w:eastAsia="宋体" w:cs="Times New Roman"/>
      <w:color w:val="auto"/>
    </w:rPr>
  </w:style>
  <w:style w:type="paragraph" w:customStyle="1" w:styleId="553">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autoRedefine/>
    <w:qFormat/>
    <w:uiPriority w:val="0"/>
    <w:rPr>
      <w:rFonts w:ascii="仿宋_GB2312" w:eastAsia="仿宋_GB2312"/>
      <w:b/>
      <w:sz w:val="32"/>
      <w:szCs w:val="32"/>
    </w:rPr>
  </w:style>
  <w:style w:type="paragraph" w:customStyle="1" w:styleId="555">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autoRedefine/>
    <w:qFormat/>
    <w:uiPriority w:val="0"/>
    <w:pPr>
      <w:spacing w:line="360" w:lineRule="auto"/>
    </w:pPr>
    <w:rPr>
      <w:szCs w:val="20"/>
    </w:rPr>
  </w:style>
  <w:style w:type="paragraph" w:customStyle="1" w:styleId="558">
    <w:name w:val="Char"/>
    <w:basedOn w:val="1"/>
    <w:autoRedefine/>
    <w:qFormat/>
    <w:uiPriority w:val="0"/>
    <w:rPr>
      <w:rFonts w:ascii="仿宋_GB2312" w:eastAsia="仿宋_GB2312"/>
      <w:b/>
      <w:sz w:val="32"/>
      <w:szCs w:val="32"/>
    </w:rPr>
  </w:style>
  <w:style w:type="paragraph" w:customStyle="1" w:styleId="559">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autoRedefine/>
    <w:qFormat/>
    <w:uiPriority w:val="0"/>
    <w:rPr>
      <w:szCs w:val="20"/>
    </w:rPr>
  </w:style>
  <w:style w:type="paragraph" w:customStyle="1" w:styleId="56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5">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2"/>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autoRedefine/>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7">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8">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7"/>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autoRedefine/>
    <w:qFormat/>
    <w:uiPriority w:val="0"/>
    <w:rPr>
      <w:szCs w:val="20"/>
    </w:rPr>
  </w:style>
  <w:style w:type="paragraph" w:customStyle="1" w:styleId="585">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autoRedefine/>
    <w:qFormat/>
    <w:uiPriority w:val="0"/>
    <w:rPr>
      <w:rFonts w:ascii="Tahoma" w:hAnsi="Tahoma"/>
      <w:sz w:val="24"/>
      <w:szCs w:val="20"/>
    </w:rPr>
  </w:style>
  <w:style w:type="paragraph" w:customStyle="1" w:styleId="587">
    <w:name w:val="标题五"/>
    <w:basedOn w:val="1"/>
    <w:autoRedefine/>
    <w:qFormat/>
    <w:uiPriority w:val="0"/>
    <w:pPr>
      <w:adjustRightInd/>
      <w:spacing w:before="156" w:beforeLines="50" w:line="360" w:lineRule="auto"/>
    </w:pPr>
    <w:rPr>
      <w:b/>
      <w:sz w:val="24"/>
    </w:rPr>
  </w:style>
  <w:style w:type="paragraph" w:customStyle="1" w:styleId="588">
    <w:name w:val="Char Char1101"/>
    <w:basedOn w:val="1"/>
    <w:autoRedefine/>
    <w:qFormat/>
    <w:uiPriority w:val="0"/>
    <w:pPr>
      <w:spacing w:line="360" w:lineRule="auto"/>
    </w:pPr>
    <w:rPr>
      <w:rFonts w:ascii="Tahoma" w:hAnsi="Tahoma"/>
      <w:sz w:val="24"/>
      <w:szCs w:val="20"/>
    </w:rPr>
  </w:style>
  <w:style w:type="paragraph" w:customStyle="1" w:styleId="589">
    <w:name w:val="Char Char Char Char Char Char Char Char1"/>
    <w:basedOn w:val="1"/>
    <w:autoRedefine/>
    <w:qFormat/>
    <w:uiPriority w:val="0"/>
    <w:pPr>
      <w:tabs>
        <w:tab w:val="left" w:pos="360"/>
      </w:tabs>
    </w:pPr>
    <w:rPr>
      <w:sz w:val="24"/>
      <w:szCs w:val="20"/>
    </w:rPr>
  </w:style>
  <w:style w:type="paragraph" w:customStyle="1" w:styleId="590">
    <w:name w:val="Char Char Char 字元 字元"/>
    <w:basedOn w:val="1"/>
    <w:autoRedefine/>
    <w:qFormat/>
    <w:uiPriority w:val="0"/>
    <w:pPr>
      <w:adjustRightInd/>
      <w:spacing w:line="360" w:lineRule="auto"/>
      <w:ind w:firstLine="200" w:firstLineChars="200"/>
    </w:pPr>
    <w:rPr>
      <w:szCs w:val="20"/>
    </w:rPr>
  </w:style>
  <w:style w:type="paragraph" w:customStyle="1" w:styleId="591">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autoRedefine/>
    <w:qFormat/>
    <w:uiPriority w:val="0"/>
    <w:rPr>
      <w:rFonts w:ascii="仿宋_GB2312" w:eastAsia="仿宋_GB2312"/>
      <w:b/>
      <w:sz w:val="32"/>
      <w:szCs w:val="32"/>
    </w:rPr>
  </w:style>
  <w:style w:type="paragraph" w:customStyle="1" w:styleId="59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4"/>
    <w:next w:val="1"/>
    <w:autoRedefine/>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autoRedefine/>
    <w:qFormat/>
    <w:uiPriority w:val="0"/>
    <w:pPr>
      <w:adjustRightInd/>
    </w:pPr>
    <w:rPr>
      <w:sz w:val="18"/>
      <w:szCs w:val="20"/>
    </w:rPr>
  </w:style>
  <w:style w:type="paragraph" w:customStyle="1" w:styleId="598">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3">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autoRedefine/>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7"/>
    <w:autoRedefine/>
    <w:qFormat/>
    <w:uiPriority w:val="0"/>
    <w:pPr>
      <w:snapToGrid w:val="0"/>
      <w:spacing w:line="360" w:lineRule="auto"/>
    </w:pPr>
    <w:rPr>
      <w:rFonts w:ascii="宋体"/>
      <w:b/>
      <w:sz w:val="24"/>
      <w:szCs w:val="20"/>
    </w:rPr>
  </w:style>
  <w:style w:type="paragraph" w:customStyle="1" w:styleId="608">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autoRedefine/>
    <w:qFormat/>
    <w:uiPriority w:val="7"/>
    <w:pPr>
      <w:adjustRightInd/>
    </w:pPr>
    <w:rPr>
      <w:rFonts w:ascii="宋体" w:hAnsi="Courier New"/>
    </w:rPr>
  </w:style>
  <w:style w:type="paragraph" w:customStyle="1" w:styleId="611">
    <w:name w:val="Char3"/>
    <w:basedOn w:val="1"/>
    <w:autoRedefine/>
    <w:qFormat/>
    <w:uiPriority w:val="0"/>
    <w:pPr>
      <w:adjustRightInd/>
    </w:pPr>
    <w:rPr>
      <w:rFonts w:ascii="仿宋_GB2312" w:eastAsia="仿宋_GB2312"/>
      <w:b/>
      <w:sz w:val="32"/>
      <w:szCs w:val="32"/>
    </w:rPr>
  </w:style>
  <w:style w:type="paragraph" w:customStyle="1" w:styleId="612">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autoRedefine/>
    <w:qFormat/>
    <w:uiPriority w:val="0"/>
    <w:pPr>
      <w:widowControl/>
      <w:adjustRightInd/>
      <w:spacing w:after="160" w:line="240" w:lineRule="exact"/>
      <w:jc w:val="left"/>
    </w:pPr>
    <w:rPr>
      <w:szCs w:val="20"/>
    </w:rPr>
  </w:style>
  <w:style w:type="paragraph" w:customStyle="1" w:styleId="620">
    <w:name w:val="表格标题2"/>
    <w:basedOn w:val="621"/>
    <w:autoRedefine/>
    <w:qFormat/>
    <w:uiPriority w:val="0"/>
    <w:rPr>
      <w:b/>
    </w:rPr>
  </w:style>
  <w:style w:type="paragraph" w:customStyle="1" w:styleId="621">
    <w:name w:val="表格内文"/>
    <w:basedOn w:val="1"/>
    <w:autoRedefine/>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autoRedefine/>
    <w:qFormat/>
    <w:uiPriority w:val="0"/>
    <w:rPr>
      <w:rFonts w:ascii="仿宋_GB2312" w:eastAsia="仿宋_GB2312"/>
      <w:b/>
      <w:sz w:val="32"/>
      <w:szCs w:val="32"/>
    </w:rPr>
  </w:style>
  <w:style w:type="paragraph" w:customStyle="1" w:styleId="623">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autoRedefine/>
    <w:qFormat/>
    <w:uiPriority w:val="0"/>
    <w:pPr>
      <w:spacing w:line="360" w:lineRule="auto"/>
    </w:pPr>
    <w:rPr>
      <w:szCs w:val="20"/>
    </w:rPr>
  </w:style>
  <w:style w:type="paragraph" w:customStyle="1" w:styleId="626">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8">
    <w:name w:val="MM Topic 1"/>
    <w:basedOn w:val="3"/>
    <w:autoRedefine/>
    <w:qFormat/>
    <w:uiPriority w:val="0"/>
    <w:pPr>
      <w:tabs>
        <w:tab w:val="left" w:pos="840"/>
      </w:tabs>
      <w:adjustRightInd/>
      <w:ind w:left="840" w:hanging="420"/>
    </w:pPr>
  </w:style>
  <w:style w:type="paragraph" w:customStyle="1" w:styleId="629">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autoRedefine/>
    <w:qFormat/>
    <w:uiPriority w:val="0"/>
    <w:pPr>
      <w:spacing w:line="360" w:lineRule="auto"/>
      <w:ind w:firstLine="200" w:firstLineChars="200"/>
    </w:pPr>
    <w:rPr>
      <w:kern w:val="0"/>
      <w:sz w:val="24"/>
      <w:szCs w:val="20"/>
    </w:rPr>
  </w:style>
  <w:style w:type="paragraph" w:customStyle="1" w:styleId="631">
    <w:name w:val="表格"/>
    <w:basedOn w:val="1"/>
    <w:autoRedefine/>
    <w:qFormat/>
    <w:uiPriority w:val="0"/>
    <w:pPr>
      <w:snapToGrid w:val="0"/>
      <w:ind w:firstLine="42" w:firstLineChars="21"/>
    </w:pPr>
    <w:rPr>
      <w:rFonts w:ascii="宋体" w:hAnsi="宋体"/>
      <w:kern w:val="0"/>
      <w:sz w:val="20"/>
      <w:szCs w:val="20"/>
    </w:rPr>
  </w:style>
  <w:style w:type="paragraph" w:customStyle="1" w:styleId="632">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autoRedefine/>
    <w:qFormat/>
    <w:uiPriority w:val="0"/>
    <w:pPr>
      <w:adjustRightInd/>
      <w:spacing w:line="300" w:lineRule="auto"/>
      <w:jc w:val="center"/>
    </w:pPr>
  </w:style>
  <w:style w:type="paragraph" w:customStyle="1" w:styleId="637">
    <w:name w:val="_Style 6"/>
    <w:basedOn w:val="1"/>
    <w:autoRedefine/>
    <w:qFormat/>
    <w:uiPriority w:val="34"/>
    <w:pPr>
      <w:adjustRightInd/>
      <w:ind w:firstLine="420" w:firstLineChars="200"/>
    </w:pPr>
    <w:rPr>
      <w:rFonts w:eastAsia="仿宋_GB2312"/>
      <w:sz w:val="28"/>
    </w:rPr>
  </w:style>
  <w:style w:type="paragraph" w:customStyle="1" w:styleId="638">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autoRedefine/>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autoRedefine/>
    <w:qFormat/>
    <w:uiPriority w:val="0"/>
    <w:rPr>
      <w:rFonts w:ascii="仿宋_GB2312" w:eastAsia="仿宋_GB2312"/>
      <w:b/>
      <w:sz w:val="32"/>
      <w:szCs w:val="20"/>
    </w:rPr>
  </w:style>
  <w:style w:type="paragraph" w:customStyle="1" w:styleId="648">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autoRedefine/>
    <w:qFormat/>
    <w:uiPriority w:val="0"/>
    <w:pPr>
      <w:adjustRightInd/>
      <w:ind w:firstLine="200" w:firstLineChars="200"/>
    </w:pPr>
    <w:rPr>
      <w:rFonts w:ascii="Tahoma" w:hAnsi="Tahoma"/>
      <w:sz w:val="24"/>
      <w:szCs w:val="20"/>
    </w:rPr>
  </w:style>
  <w:style w:type="paragraph" w:customStyle="1" w:styleId="650">
    <w:name w:val="a1"/>
    <w:basedOn w:val="1"/>
    <w:autoRedefine/>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autoRedefine/>
    <w:qFormat/>
    <w:uiPriority w:val="0"/>
    <w:pPr>
      <w:spacing w:after="156" w:afterLines="50"/>
      <w:jc w:val="left"/>
      <w:outlineLvl w:val="3"/>
    </w:pPr>
    <w:rPr>
      <w:sz w:val="24"/>
      <w:szCs w:val="24"/>
    </w:rPr>
  </w:style>
  <w:style w:type="paragraph" w:customStyle="1" w:styleId="65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autoRedefine/>
    <w:qFormat/>
    <w:uiPriority w:val="0"/>
    <w:pPr>
      <w:adjustRightInd/>
    </w:pPr>
    <w:rPr>
      <w:rFonts w:ascii="Tahoma" w:hAnsi="Tahoma"/>
      <w:sz w:val="24"/>
      <w:szCs w:val="20"/>
    </w:rPr>
  </w:style>
  <w:style w:type="paragraph" w:customStyle="1" w:styleId="65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autoRedefine/>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autoRedefine/>
    <w:qFormat/>
    <w:uiPriority w:val="0"/>
    <w:pPr>
      <w:tabs>
        <w:tab w:val="left" w:pos="1260"/>
        <w:tab w:val="left" w:pos="1680"/>
        <w:tab w:val="left" w:pos="2100"/>
      </w:tabs>
      <w:ind w:left="0"/>
      <w:outlineLvl w:val="3"/>
    </w:pPr>
  </w:style>
  <w:style w:type="paragraph" w:customStyle="1" w:styleId="660">
    <w:name w:val="一级条标题"/>
    <w:basedOn w:val="661"/>
    <w:next w:val="643"/>
    <w:autoRedefine/>
    <w:qFormat/>
    <w:uiPriority w:val="0"/>
    <w:pPr>
      <w:tabs>
        <w:tab w:val="left" w:pos="1260"/>
        <w:tab w:val="left" w:pos="1680"/>
      </w:tabs>
      <w:spacing w:before="0" w:after="0"/>
      <w:ind w:left="1680"/>
      <w:outlineLvl w:val="2"/>
    </w:pPr>
  </w:style>
  <w:style w:type="paragraph" w:customStyle="1" w:styleId="661">
    <w:name w:val="章标题"/>
    <w:next w:val="643"/>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autoRedefine/>
    <w:qFormat/>
    <w:uiPriority w:val="0"/>
    <w:pPr>
      <w:tabs>
        <w:tab w:val="left" w:pos="840"/>
      </w:tabs>
      <w:spacing w:after="0"/>
      <w:ind w:left="900"/>
    </w:pPr>
  </w:style>
  <w:style w:type="paragraph" w:customStyle="1" w:styleId="66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autoRedefine/>
    <w:qFormat/>
    <w:uiPriority w:val="6"/>
    <w:pPr>
      <w:widowControl/>
      <w:adjustRightInd/>
      <w:ind w:left="720" w:hanging="720"/>
    </w:pPr>
    <w:rPr>
      <w:color w:val="000000"/>
      <w:kern w:val="0"/>
      <w:sz w:val="24"/>
      <w:szCs w:val="20"/>
      <w:lang w:val="en-GB"/>
    </w:rPr>
  </w:style>
  <w:style w:type="paragraph" w:customStyle="1" w:styleId="671">
    <w:name w:val="表1"/>
    <w:basedOn w:val="1"/>
    <w:autoRedefine/>
    <w:qFormat/>
    <w:uiPriority w:val="0"/>
    <w:pPr>
      <w:tabs>
        <w:tab w:val="left" w:pos="703"/>
      </w:tabs>
      <w:adjustRightInd/>
      <w:spacing w:line="360" w:lineRule="auto"/>
      <w:ind w:left="703"/>
      <w:jc w:val="center"/>
    </w:pPr>
  </w:style>
  <w:style w:type="paragraph" w:customStyle="1" w:styleId="672">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autoRedefine/>
    <w:qFormat/>
    <w:uiPriority w:val="0"/>
    <w:pPr>
      <w:jc w:val="left"/>
      <w:outlineLvl w:val="1"/>
    </w:pPr>
    <w:rPr>
      <w:rFonts w:ascii="Times New Roman" w:hAnsi="Times New Roman" w:eastAsia="仿宋"/>
      <w:sz w:val="30"/>
    </w:rPr>
  </w:style>
  <w:style w:type="paragraph" w:customStyle="1" w:styleId="676">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autoRedefine/>
    <w:qFormat/>
    <w:uiPriority w:val="0"/>
    <w:pPr>
      <w:tabs>
        <w:tab w:val="left" w:pos="840"/>
      </w:tabs>
      <w:adjustRightInd/>
      <w:ind w:left="840" w:hanging="420"/>
    </w:pPr>
  </w:style>
  <w:style w:type="paragraph" w:customStyle="1" w:styleId="682">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8"/>
    <w:autoRedefine/>
    <w:qFormat/>
    <w:uiPriority w:val="0"/>
    <w:pPr>
      <w:tabs>
        <w:tab w:val="left" w:pos="2100"/>
      </w:tabs>
      <w:adjustRightInd/>
      <w:ind w:left="2100" w:hanging="420"/>
    </w:pPr>
    <w:rPr>
      <w:lang w:val="en-US"/>
    </w:rPr>
  </w:style>
  <w:style w:type="paragraph" w:customStyle="1" w:styleId="69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autoRedefine/>
    <w:qFormat/>
    <w:uiPriority w:val="6"/>
    <w:pPr>
      <w:spacing w:line="360" w:lineRule="auto"/>
    </w:pPr>
    <w:rPr>
      <w:szCs w:val="20"/>
    </w:rPr>
  </w:style>
  <w:style w:type="paragraph" w:customStyle="1" w:styleId="693">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9">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autoRedefine/>
    <w:qFormat/>
    <w:uiPriority w:val="0"/>
    <w:pPr>
      <w:adjustRightInd/>
      <w:spacing w:line="360" w:lineRule="auto"/>
      <w:jc w:val="center"/>
    </w:pPr>
    <w:rPr>
      <w:sz w:val="24"/>
    </w:rPr>
  </w:style>
  <w:style w:type="paragraph" w:customStyle="1" w:styleId="703">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autoRedefine/>
    <w:qFormat/>
    <w:uiPriority w:val="6"/>
    <w:rPr>
      <w:rFonts w:ascii="仿宋_GB2312" w:eastAsia="仿宋_GB2312"/>
      <w:b/>
      <w:sz w:val="32"/>
      <w:szCs w:val="32"/>
    </w:rPr>
  </w:style>
  <w:style w:type="paragraph" w:customStyle="1" w:styleId="705">
    <w:name w:val="正文缩进1"/>
    <w:basedOn w:val="1"/>
    <w:next w:val="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autoRedefine/>
    <w:qFormat/>
    <w:uiPriority w:val="0"/>
    <w:pPr>
      <w:widowControl/>
      <w:adjustRightInd/>
      <w:spacing w:after="160" w:line="240" w:lineRule="exact"/>
      <w:jc w:val="left"/>
    </w:pPr>
    <w:rPr>
      <w:szCs w:val="20"/>
    </w:rPr>
  </w:style>
  <w:style w:type="paragraph" w:customStyle="1" w:styleId="708">
    <w:name w:val="Char Char1121"/>
    <w:basedOn w:val="1"/>
    <w:autoRedefine/>
    <w:qFormat/>
    <w:uiPriority w:val="0"/>
    <w:pPr>
      <w:spacing w:line="360" w:lineRule="auto"/>
    </w:pPr>
    <w:rPr>
      <w:szCs w:val="20"/>
    </w:rPr>
  </w:style>
  <w:style w:type="paragraph" w:customStyle="1" w:styleId="709">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autoRedefine/>
    <w:qFormat/>
    <w:uiPriority w:val="0"/>
    <w:rPr>
      <w:rFonts w:ascii="Times New Roman" w:hAnsi="Times New Roman" w:eastAsia="宋体" w:cs="Times New Roman"/>
      <w:lang w:val="en-US" w:eastAsia="en-US" w:bidi="ar-SA"/>
    </w:rPr>
  </w:style>
  <w:style w:type="paragraph" w:customStyle="1" w:styleId="712">
    <w:name w:val="带编号样式"/>
    <w:basedOn w:val="630"/>
    <w:autoRedefine/>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6">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autoRedefine/>
    <w:qFormat/>
    <w:uiPriority w:val="0"/>
    <w:pPr>
      <w:spacing w:line="240" w:lineRule="atLeast"/>
      <w:ind w:left="420" w:firstLine="420"/>
    </w:pPr>
    <w:rPr>
      <w:sz w:val="24"/>
    </w:rPr>
  </w:style>
  <w:style w:type="paragraph" w:customStyle="1" w:styleId="719">
    <w:name w:val="WW-正文文字缩进 2"/>
    <w:basedOn w:val="1"/>
    <w:autoRedefine/>
    <w:qFormat/>
    <w:uiPriority w:val="0"/>
    <w:pPr>
      <w:suppressAutoHyphens/>
      <w:adjustRightInd/>
      <w:ind w:firstLine="420"/>
    </w:pPr>
    <w:rPr>
      <w:kern w:val="1"/>
      <w:szCs w:val="20"/>
    </w:rPr>
  </w:style>
  <w:style w:type="paragraph" w:customStyle="1" w:styleId="720">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autoRedefine/>
    <w:qFormat/>
    <w:uiPriority w:val="0"/>
    <w:pPr>
      <w:adjustRightInd/>
      <w:spacing w:line="400" w:lineRule="exact"/>
      <w:ind w:firstLine="200" w:firstLineChars="200"/>
    </w:pPr>
    <w:rPr>
      <w:rFonts w:ascii="Arial" w:hAnsi="Arial"/>
    </w:rPr>
  </w:style>
  <w:style w:type="paragraph" w:customStyle="1" w:styleId="723">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8"/>
    <w:autoRedefine/>
    <w:qFormat/>
    <w:uiPriority w:val="0"/>
    <w:pPr>
      <w:spacing w:after="120" w:line="480" w:lineRule="auto"/>
      <w:ind w:left="420" w:leftChars="200"/>
    </w:pPr>
    <w:rPr>
      <w:sz w:val="24"/>
      <w:szCs w:val="20"/>
    </w:rPr>
  </w:style>
  <w:style w:type="paragraph" w:customStyle="1" w:styleId="726">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0">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autoRedefine/>
    <w:qFormat/>
    <w:uiPriority w:val="0"/>
    <w:rPr>
      <w:rFonts w:ascii="仿宋_GB2312" w:eastAsia="仿宋_GB2312"/>
      <w:b/>
      <w:sz w:val="32"/>
      <w:szCs w:val="20"/>
    </w:rPr>
  </w:style>
  <w:style w:type="paragraph" w:customStyle="1" w:styleId="735">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autoRedefine/>
    <w:qFormat/>
    <w:uiPriority w:val="0"/>
    <w:rPr>
      <w:rFonts w:ascii="仿宋_GB2312" w:eastAsia="仿宋_GB2312"/>
      <w:b/>
      <w:sz w:val="32"/>
      <w:szCs w:val="32"/>
    </w:rPr>
  </w:style>
  <w:style w:type="paragraph" w:customStyle="1" w:styleId="739">
    <w:name w:val="Char3 Char Char Char1"/>
    <w:basedOn w:val="1"/>
    <w:autoRedefine/>
    <w:qFormat/>
    <w:uiPriority w:val="6"/>
    <w:pPr>
      <w:widowControl/>
      <w:adjustRightInd/>
      <w:spacing w:after="160" w:line="240" w:lineRule="exact"/>
      <w:jc w:val="left"/>
    </w:pPr>
    <w:rPr>
      <w:szCs w:val="20"/>
    </w:rPr>
  </w:style>
  <w:style w:type="paragraph" w:customStyle="1" w:styleId="740">
    <w:name w:val="Char1 Char Char Char21"/>
    <w:basedOn w:val="1"/>
    <w:autoRedefine/>
    <w:qFormat/>
    <w:uiPriority w:val="0"/>
    <w:rPr>
      <w:rFonts w:ascii="Tahoma" w:hAnsi="Tahoma"/>
      <w:sz w:val="24"/>
      <w:szCs w:val="20"/>
    </w:rPr>
  </w:style>
  <w:style w:type="paragraph" w:customStyle="1" w:styleId="741">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autoRedefine/>
    <w:qFormat/>
    <w:uiPriority w:val="0"/>
    <w:pPr>
      <w:spacing w:line="360" w:lineRule="auto"/>
      <w:ind w:firstLine="200" w:firstLineChars="200"/>
    </w:pPr>
    <w:rPr>
      <w:sz w:val="24"/>
    </w:rPr>
  </w:style>
  <w:style w:type="paragraph" w:customStyle="1" w:styleId="74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autoRedefine/>
    <w:qFormat/>
    <w:uiPriority w:val="0"/>
    <w:pPr>
      <w:adjustRightInd/>
      <w:ind w:firstLine="200" w:firstLineChars="200"/>
    </w:pPr>
    <w:rPr>
      <w:rFonts w:ascii="Tahoma" w:hAnsi="Tahoma"/>
      <w:sz w:val="24"/>
      <w:szCs w:val="20"/>
    </w:rPr>
  </w:style>
  <w:style w:type="paragraph" w:customStyle="1" w:styleId="749">
    <w:name w:val="_标题2"/>
    <w:basedOn w:val="716"/>
    <w:next w:val="716"/>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autoRedefine/>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autoRedefine/>
    <w:qFormat/>
    <w:uiPriority w:val="0"/>
    <w:pPr>
      <w:adjustRightInd/>
      <w:spacing w:line="360" w:lineRule="auto"/>
    </w:pPr>
    <w:rPr>
      <w:rFonts w:ascii="宋体" w:hAnsi="宋体"/>
      <w:szCs w:val="20"/>
    </w:rPr>
  </w:style>
  <w:style w:type="paragraph" w:customStyle="1" w:styleId="75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autoRedefine/>
    <w:qFormat/>
    <w:uiPriority w:val="0"/>
    <w:pPr>
      <w:adjustRightInd/>
    </w:pPr>
    <w:rPr>
      <w:rFonts w:ascii="Tahoma" w:hAnsi="Tahoma"/>
      <w:sz w:val="24"/>
    </w:rPr>
  </w:style>
  <w:style w:type="paragraph" w:customStyle="1" w:styleId="757">
    <w:name w:val="Char Char Char Char11"/>
    <w:basedOn w:val="1"/>
    <w:autoRedefine/>
    <w:qFormat/>
    <w:uiPriority w:val="0"/>
    <w:rPr>
      <w:rFonts w:ascii="Tahoma" w:hAnsi="Tahoma"/>
      <w:sz w:val="24"/>
      <w:szCs w:val="20"/>
    </w:rPr>
  </w:style>
  <w:style w:type="paragraph" w:customStyle="1" w:styleId="758">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autoRedefine/>
    <w:qFormat/>
    <w:uiPriority w:val="0"/>
    <w:rPr>
      <w:rFonts w:ascii="Tahoma" w:hAnsi="Tahoma"/>
      <w:sz w:val="24"/>
      <w:szCs w:val="20"/>
    </w:rPr>
  </w:style>
  <w:style w:type="paragraph" w:customStyle="1" w:styleId="760">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autoRedefine/>
    <w:qFormat/>
    <w:uiPriority w:val="0"/>
    <w:pPr>
      <w:adjustRightInd/>
    </w:pPr>
    <w:rPr>
      <w:szCs w:val="20"/>
    </w:rPr>
  </w:style>
  <w:style w:type="paragraph" w:customStyle="1" w:styleId="762">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autoRedefine/>
    <w:qFormat/>
    <w:uiPriority w:val="34"/>
    <w:pPr>
      <w:adjustRightInd/>
      <w:ind w:firstLine="420" w:firstLineChars="200"/>
    </w:pPr>
    <w:rPr>
      <w:rFonts w:eastAsia="仿宋_GB2312"/>
      <w:sz w:val="28"/>
    </w:rPr>
  </w:style>
  <w:style w:type="paragraph" w:customStyle="1" w:styleId="765">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autoRedefine/>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autoRedefine/>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73">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autoRedefine/>
    <w:qFormat/>
    <w:uiPriority w:val="0"/>
    <w:rPr>
      <w:rFonts w:ascii="宋体" w:hAnsi="Times New Roman" w:eastAsia="宋体" w:cs="Times New Roman"/>
      <w:kern w:val="2"/>
      <w:lang w:val="en-US" w:eastAsia="zh-CN" w:bidi="ar-SA"/>
    </w:rPr>
  </w:style>
  <w:style w:type="paragraph" w:customStyle="1" w:styleId="775">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autoRedefine/>
    <w:qFormat/>
    <w:uiPriority w:val="0"/>
    <w:pPr>
      <w:tabs>
        <w:tab w:val="left" w:pos="360"/>
      </w:tabs>
    </w:pPr>
    <w:rPr>
      <w:sz w:val="24"/>
      <w:szCs w:val="20"/>
    </w:rPr>
  </w:style>
  <w:style w:type="paragraph" w:customStyle="1" w:styleId="779">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2"/>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autoRedefine/>
    <w:qFormat/>
    <w:uiPriority w:val="0"/>
    <w:pPr>
      <w:widowControl/>
      <w:adjustRightInd/>
    </w:pPr>
    <w:rPr>
      <w:kern w:val="0"/>
      <w:szCs w:val="21"/>
    </w:rPr>
  </w:style>
  <w:style w:type="paragraph" w:customStyle="1" w:styleId="788">
    <w:name w:val="Char6"/>
    <w:basedOn w:val="1"/>
    <w:autoRedefine/>
    <w:qFormat/>
    <w:uiPriority w:val="0"/>
    <w:rPr>
      <w:rFonts w:ascii="仿宋_GB2312" w:eastAsia="仿宋_GB2312"/>
      <w:b/>
      <w:sz w:val="32"/>
      <w:szCs w:val="32"/>
    </w:rPr>
  </w:style>
  <w:style w:type="paragraph" w:customStyle="1" w:styleId="789">
    <w:name w:val="Char111"/>
    <w:basedOn w:val="1"/>
    <w:autoRedefine/>
    <w:qFormat/>
    <w:uiPriority w:val="0"/>
    <w:rPr>
      <w:rFonts w:ascii="仿宋_GB2312" w:eastAsia="仿宋_GB2312"/>
      <w:b/>
      <w:sz w:val="32"/>
      <w:szCs w:val="32"/>
    </w:rPr>
  </w:style>
  <w:style w:type="paragraph" w:customStyle="1" w:styleId="790">
    <w:name w:val="标题3"/>
    <w:basedOn w:val="5"/>
    <w:next w:val="54"/>
    <w:autoRedefine/>
    <w:qFormat/>
    <w:uiPriority w:val="0"/>
    <w:pPr>
      <w:tabs>
        <w:tab w:val="clear" w:pos="900"/>
      </w:tabs>
      <w:spacing w:after="0" w:line="360" w:lineRule="auto"/>
    </w:pPr>
    <w:rPr>
      <w:rFonts w:ascii="仿宋" w:hAnsi="仿宋" w:eastAsia="仿宋" w:cs="仿宋"/>
    </w:rPr>
  </w:style>
  <w:style w:type="paragraph" w:customStyle="1" w:styleId="79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autoRedefine/>
    <w:qFormat/>
    <w:uiPriority w:val="0"/>
    <w:pPr>
      <w:adjustRightInd/>
      <w:ind w:firstLine="200" w:firstLineChars="200"/>
    </w:pPr>
    <w:rPr>
      <w:rFonts w:ascii="Tahoma" w:hAnsi="Tahoma"/>
      <w:sz w:val="24"/>
      <w:szCs w:val="20"/>
    </w:rPr>
  </w:style>
  <w:style w:type="paragraph" w:customStyle="1" w:styleId="794">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autoRedefine/>
    <w:qFormat/>
    <w:uiPriority w:val="0"/>
    <w:rPr>
      <w:rFonts w:ascii="仿宋_GB2312" w:eastAsia="仿宋_GB2312"/>
      <w:b/>
      <w:sz w:val="32"/>
      <w:szCs w:val="32"/>
    </w:rPr>
  </w:style>
  <w:style w:type="paragraph" w:customStyle="1" w:styleId="797">
    <w:name w:val="五级条标题"/>
    <w:basedOn w:val="798"/>
    <w:next w:val="643"/>
    <w:autoRedefine/>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autoRedefine/>
    <w:qFormat/>
    <w:uiPriority w:val="0"/>
    <w:pPr>
      <w:tabs>
        <w:tab w:val="clear" w:pos="2520"/>
      </w:tabs>
      <w:ind w:left="2940"/>
      <w:outlineLvl w:val="5"/>
    </w:pPr>
  </w:style>
  <w:style w:type="paragraph" w:customStyle="1" w:styleId="79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autoRedefine/>
    <w:qFormat/>
    <w:uiPriority w:val="0"/>
    <w:rPr>
      <w:rFonts w:ascii="仿宋_GB2312" w:eastAsia="仿宋_GB2312"/>
      <w:b/>
      <w:sz w:val="32"/>
      <w:szCs w:val="32"/>
    </w:rPr>
  </w:style>
  <w:style w:type="paragraph" w:customStyle="1" w:styleId="80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4">
    <w:name w:val="单元格左对齐"/>
    <w:basedOn w:val="1"/>
    <w:autoRedefine/>
    <w:qFormat/>
    <w:uiPriority w:val="0"/>
    <w:pPr>
      <w:adjustRightInd/>
      <w:spacing w:line="360" w:lineRule="auto"/>
    </w:pPr>
    <w:rPr>
      <w:sz w:val="24"/>
    </w:rPr>
  </w:style>
  <w:style w:type="paragraph" w:customStyle="1" w:styleId="805">
    <w:name w:val="正文主体"/>
    <w:basedOn w:val="627"/>
    <w:autoRedefine/>
    <w:qFormat/>
    <w:uiPriority w:val="0"/>
  </w:style>
  <w:style w:type="paragraph" w:customStyle="1" w:styleId="806">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0"/>
    <w:pPr>
      <w:adjustRightInd/>
      <w:spacing w:line="360" w:lineRule="auto"/>
      <w:ind w:firstLine="480" w:firstLineChars="200"/>
    </w:pPr>
    <w:rPr>
      <w:sz w:val="24"/>
      <w:szCs w:val="20"/>
    </w:rPr>
  </w:style>
  <w:style w:type="paragraph" w:customStyle="1" w:styleId="810">
    <w:name w:val="P1"/>
    <w:basedOn w:val="1"/>
    <w:autoRedefine/>
    <w:qFormat/>
    <w:uiPriority w:val="0"/>
    <w:pPr>
      <w:adjustRightInd/>
      <w:spacing w:line="288" w:lineRule="auto"/>
      <w:ind w:firstLine="425" w:firstLineChars="200"/>
    </w:pPr>
  </w:style>
  <w:style w:type="paragraph" w:customStyle="1" w:styleId="811">
    <w:name w:val="列表内容"/>
    <w:basedOn w:val="1"/>
    <w:next w:val="1"/>
    <w:autoRedefine/>
    <w:qFormat/>
    <w:uiPriority w:val="0"/>
    <w:pPr>
      <w:widowControl/>
      <w:tabs>
        <w:tab w:val="left" w:pos="840"/>
      </w:tabs>
      <w:ind w:left="840" w:hanging="420"/>
      <w:jc w:val="left"/>
    </w:pPr>
    <w:rPr>
      <w:kern w:val="0"/>
      <w:sz w:val="18"/>
    </w:rPr>
  </w:style>
  <w:style w:type="paragraph" w:customStyle="1" w:styleId="812">
    <w:name w:val="Char Char11 Char Char Char1"/>
    <w:basedOn w:val="1"/>
    <w:autoRedefine/>
    <w:qFormat/>
    <w:uiPriority w:val="6"/>
    <w:pPr>
      <w:spacing w:line="360" w:lineRule="auto"/>
    </w:pPr>
    <w:rPr>
      <w:szCs w:val="20"/>
    </w:rPr>
  </w:style>
  <w:style w:type="paragraph" w:customStyle="1" w:styleId="813">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4">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autoRedefine/>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autoRedefine/>
    <w:qFormat/>
    <w:uiPriority w:val="0"/>
    <w:pPr>
      <w:spacing w:line="360" w:lineRule="auto"/>
    </w:pPr>
    <w:rPr>
      <w:szCs w:val="20"/>
    </w:rPr>
  </w:style>
  <w:style w:type="paragraph" w:customStyle="1" w:styleId="81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0"/>
    <w:rPr>
      <w:rFonts w:ascii="仿宋_GB2312" w:eastAsia="仿宋_GB2312"/>
      <w:b/>
      <w:sz w:val="32"/>
      <w:szCs w:val="32"/>
    </w:rPr>
  </w:style>
  <w:style w:type="paragraph" w:customStyle="1" w:styleId="822">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5">
    <w:name w:val="Char Char4 Char Char"/>
    <w:basedOn w:val="1"/>
    <w:autoRedefine/>
    <w:qFormat/>
    <w:uiPriority w:val="0"/>
    <w:pPr>
      <w:widowControl/>
      <w:adjustRightInd/>
      <w:spacing w:after="160" w:line="240" w:lineRule="exact"/>
      <w:jc w:val="left"/>
    </w:pPr>
  </w:style>
  <w:style w:type="paragraph" w:customStyle="1" w:styleId="82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0"/>
    <w:pPr>
      <w:spacing w:line="360" w:lineRule="auto"/>
    </w:pPr>
    <w:rPr>
      <w:szCs w:val="20"/>
    </w:rPr>
  </w:style>
  <w:style w:type="paragraph" w:customStyle="1" w:styleId="828">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8"/>
    <w:autoRedefine/>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autoRedefine/>
    <w:qFormat/>
    <w:uiPriority w:val="0"/>
    <w:pPr>
      <w:adjustRightInd/>
      <w:ind w:firstLine="200" w:firstLineChars="200"/>
    </w:pPr>
    <w:rPr>
      <w:rFonts w:ascii="Tahoma" w:hAnsi="Tahoma"/>
      <w:sz w:val="24"/>
      <w:szCs w:val="20"/>
    </w:rPr>
  </w:style>
  <w:style w:type="paragraph" w:customStyle="1" w:styleId="835">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3"/>
    <w:autoRedefine/>
    <w:qFormat/>
    <w:uiPriority w:val="0"/>
    <w:pPr>
      <w:tabs>
        <w:tab w:val="left" w:pos="0"/>
      </w:tabs>
      <w:ind w:left="900" w:firstLine="0" w:firstLineChars="0"/>
    </w:pPr>
  </w:style>
  <w:style w:type="paragraph" w:customStyle="1" w:styleId="838">
    <w:name w:val="Bulleted List"/>
    <w:basedOn w:val="1"/>
    <w:autoRedefine/>
    <w:qFormat/>
    <w:uiPriority w:val="0"/>
    <w:pPr>
      <w:tabs>
        <w:tab w:val="left" w:pos="1260"/>
      </w:tabs>
      <w:adjustRightInd/>
      <w:ind w:left="1260" w:hanging="420"/>
    </w:pPr>
  </w:style>
  <w:style w:type="paragraph" w:customStyle="1" w:styleId="839">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autoRedefine/>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autoRedefine/>
    <w:qFormat/>
    <w:uiPriority w:val="0"/>
    <w:rPr>
      <w:rFonts w:ascii="Tahoma" w:hAnsi="Tahoma" w:cs="仿宋_GB2312"/>
      <w:sz w:val="24"/>
      <w:szCs w:val="20"/>
    </w:rPr>
  </w:style>
  <w:style w:type="paragraph" w:customStyle="1" w:styleId="842">
    <w:name w:val="正文1"/>
    <w:basedOn w:val="33"/>
    <w:next w:val="843"/>
    <w:autoRedefine/>
    <w:qFormat/>
    <w:uiPriority w:val="0"/>
    <w:pPr>
      <w:ind w:left="0" w:leftChars="0" w:firstLine="480" w:firstLineChars="200"/>
    </w:pPr>
    <w:rPr>
      <w:rFonts w:ascii="仿宋_GB2312" w:hAnsi="Courier New" w:eastAsia="仿宋_GB2312"/>
      <w:kern w:val="28"/>
      <w:sz w:val="24"/>
    </w:rPr>
  </w:style>
  <w:style w:type="paragraph" w:customStyle="1" w:styleId="843">
    <w:name w:val="自动更正"/>
    <w:next w:val="52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4">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5">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6">
    <w:name w:val="模板普通正文"/>
    <w:basedOn w:val="7"/>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7">
    <w:name w:val="Char Char1 Char Char Char Char Char Char"/>
    <w:basedOn w:val="1"/>
    <w:autoRedefine/>
    <w:qFormat/>
    <w:uiPriority w:val="0"/>
    <w:rPr>
      <w:rFonts w:ascii="仿宋_GB2312" w:eastAsia="仿宋_GB2312"/>
      <w:b/>
      <w:sz w:val="32"/>
      <w:szCs w:val="20"/>
    </w:rPr>
  </w:style>
  <w:style w:type="paragraph" w:customStyle="1" w:styleId="848">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9">
    <w:name w:val="Char Char1 Char Char Char Char Char Char2"/>
    <w:basedOn w:val="1"/>
    <w:autoRedefine/>
    <w:qFormat/>
    <w:uiPriority w:val="0"/>
    <w:rPr>
      <w:rFonts w:ascii="仿宋_GB2312" w:eastAsia="仿宋_GB2312"/>
      <w:b/>
      <w:sz w:val="32"/>
      <w:szCs w:val="20"/>
    </w:rPr>
  </w:style>
  <w:style w:type="paragraph" w:customStyle="1" w:styleId="850">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1">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2">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3">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4">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5">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7">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8">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9">
    <w:name w:val="Char31"/>
    <w:basedOn w:val="1"/>
    <w:autoRedefine/>
    <w:qFormat/>
    <w:uiPriority w:val="0"/>
    <w:pPr>
      <w:adjustRightInd/>
    </w:pPr>
    <w:rPr>
      <w:rFonts w:ascii="仿宋_GB2312" w:eastAsia="仿宋_GB2312"/>
      <w:b/>
      <w:sz w:val="32"/>
      <w:szCs w:val="32"/>
    </w:rPr>
  </w:style>
  <w:style w:type="paragraph" w:customStyle="1" w:styleId="860">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61">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2">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3">
    <w:name w:val="Char Char1"/>
    <w:basedOn w:val="1"/>
    <w:autoRedefine/>
    <w:qFormat/>
    <w:uiPriority w:val="0"/>
    <w:pPr>
      <w:widowControl/>
      <w:spacing w:after="160" w:line="240" w:lineRule="exact"/>
      <w:jc w:val="left"/>
    </w:pPr>
    <w:rPr>
      <w:rFonts w:eastAsia="仿宋_GB2312"/>
      <w:sz w:val="28"/>
    </w:rPr>
  </w:style>
  <w:style w:type="paragraph" w:customStyle="1" w:styleId="864">
    <w:name w:val="Char21"/>
    <w:basedOn w:val="1"/>
    <w:autoRedefine/>
    <w:qFormat/>
    <w:uiPriority w:val="0"/>
    <w:pPr>
      <w:adjustRightInd/>
      <w:ind w:firstLine="200" w:firstLineChars="200"/>
    </w:pPr>
    <w:rPr>
      <w:rFonts w:ascii="仿宋_GB2312" w:eastAsia="仿宋_GB2312"/>
      <w:b/>
      <w:sz w:val="32"/>
      <w:szCs w:val="32"/>
    </w:rPr>
  </w:style>
  <w:style w:type="paragraph" w:customStyle="1" w:styleId="865">
    <w:name w:val="列表段落1"/>
    <w:basedOn w:val="1"/>
    <w:autoRedefine/>
    <w:qFormat/>
    <w:uiPriority w:val="34"/>
    <w:pPr>
      <w:adjustRightInd/>
      <w:ind w:right="238" w:firstLine="420"/>
    </w:pPr>
    <w:rPr>
      <w:rFonts w:ascii="Calibri" w:hAnsi="Calibri"/>
      <w:sz w:val="24"/>
    </w:rPr>
  </w:style>
  <w:style w:type="paragraph" w:customStyle="1" w:styleId="866">
    <w:name w:val="Char Char110"/>
    <w:basedOn w:val="1"/>
    <w:autoRedefine/>
    <w:qFormat/>
    <w:uiPriority w:val="6"/>
    <w:pPr>
      <w:spacing w:line="360" w:lineRule="auto"/>
    </w:pPr>
    <w:rPr>
      <w:rFonts w:ascii="Tahoma" w:hAnsi="Tahoma"/>
      <w:sz w:val="24"/>
      <w:szCs w:val="20"/>
    </w:rPr>
  </w:style>
  <w:style w:type="paragraph" w:customStyle="1" w:styleId="867">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8">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9">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0">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1">
    <w:name w:val="Char Char Char Char Char Char Char Char Char Char Char Char1 Char2"/>
    <w:basedOn w:val="1"/>
    <w:autoRedefine/>
    <w:qFormat/>
    <w:uiPriority w:val="0"/>
    <w:rPr>
      <w:rFonts w:ascii="Tahoma" w:hAnsi="Tahoma" w:cs="仿宋_GB2312"/>
      <w:sz w:val="24"/>
      <w:szCs w:val="20"/>
    </w:rPr>
  </w:style>
  <w:style w:type="paragraph" w:customStyle="1" w:styleId="872">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3">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4">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6">
    <w:name w:val="_Style 12"/>
    <w:basedOn w:val="20"/>
    <w:autoRedefine/>
    <w:qFormat/>
    <w:uiPriority w:val="0"/>
    <w:pPr>
      <w:snapToGrid w:val="0"/>
      <w:spacing w:line="360" w:lineRule="auto"/>
    </w:pPr>
  </w:style>
  <w:style w:type="paragraph" w:customStyle="1" w:styleId="877">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8">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9">
    <w:name w:val="_Style 94"/>
    <w:basedOn w:val="1"/>
    <w:next w:val="262"/>
    <w:autoRedefine/>
    <w:qFormat/>
    <w:uiPriority w:val="34"/>
    <w:pPr>
      <w:adjustRightInd/>
      <w:spacing w:line="360" w:lineRule="auto"/>
      <w:ind w:firstLine="200" w:firstLineChars="200"/>
    </w:pPr>
    <w:rPr>
      <w:rFonts w:ascii="Calibri" w:hAnsi="Calibri"/>
      <w:sz w:val="28"/>
      <w:szCs w:val="20"/>
    </w:rPr>
  </w:style>
  <w:style w:type="paragraph" w:customStyle="1" w:styleId="88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1">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2">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3">
    <w:name w:val="3级标题"/>
    <w:basedOn w:val="675"/>
    <w:autoRedefine/>
    <w:qFormat/>
    <w:uiPriority w:val="0"/>
    <w:pPr>
      <w:outlineLvl w:val="2"/>
    </w:pPr>
  </w:style>
  <w:style w:type="paragraph" w:customStyle="1" w:styleId="884">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5">
    <w:name w:val="Char1 Char Char Char3"/>
    <w:basedOn w:val="1"/>
    <w:autoRedefine/>
    <w:qFormat/>
    <w:uiPriority w:val="0"/>
    <w:pPr>
      <w:adjustRightInd/>
      <w:ind w:firstLine="200" w:firstLineChars="200"/>
    </w:pPr>
    <w:rPr>
      <w:rFonts w:ascii="Tahoma" w:hAnsi="Tahoma"/>
      <w:sz w:val="24"/>
      <w:szCs w:val="20"/>
    </w:rPr>
  </w:style>
  <w:style w:type="paragraph" w:customStyle="1" w:styleId="886">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7">
    <w:name w:val="MM Empty"/>
    <w:basedOn w:val="1"/>
    <w:autoRedefine/>
    <w:qFormat/>
    <w:uiPriority w:val="0"/>
    <w:pPr>
      <w:adjustRightInd/>
    </w:pPr>
  </w:style>
  <w:style w:type="paragraph" w:customStyle="1" w:styleId="888">
    <w:name w:val="Char24"/>
    <w:basedOn w:val="1"/>
    <w:autoRedefine/>
    <w:qFormat/>
    <w:uiPriority w:val="0"/>
    <w:rPr>
      <w:rFonts w:ascii="仿宋_GB2312" w:eastAsia="仿宋_GB2312"/>
      <w:b/>
      <w:sz w:val="32"/>
      <w:szCs w:val="32"/>
    </w:rPr>
  </w:style>
  <w:style w:type="paragraph" w:customStyle="1" w:styleId="889">
    <w:name w:val="正文箭头"/>
    <w:basedOn w:val="541"/>
    <w:autoRedefine/>
    <w:qFormat/>
    <w:uiPriority w:val="0"/>
  </w:style>
  <w:style w:type="paragraph" w:customStyle="1" w:styleId="890">
    <w:name w:val="U_编号2"/>
    <w:basedOn w:val="1"/>
    <w:autoRedefine/>
    <w:qFormat/>
    <w:uiPriority w:val="0"/>
    <w:pPr>
      <w:tabs>
        <w:tab w:val="left" w:pos="785"/>
      </w:tabs>
      <w:adjustRightInd/>
      <w:spacing w:beforeLines="10" w:afterLines="10" w:line="300" w:lineRule="auto"/>
    </w:pPr>
    <w:rPr>
      <w:sz w:val="24"/>
    </w:rPr>
  </w:style>
  <w:style w:type="paragraph" w:customStyle="1" w:styleId="891">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2">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3">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4">
    <w:name w:val="TOC 标题11"/>
    <w:basedOn w:val="3"/>
    <w:next w:val="1"/>
    <w:autoRedefine/>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5">
    <w:name w:val="_Style 1"/>
    <w:basedOn w:val="1"/>
    <w:autoRedefine/>
    <w:qFormat/>
    <w:uiPriority w:val="34"/>
    <w:pPr>
      <w:adjustRightInd/>
      <w:ind w:firstLine="420" w:firstLineChars="200"/>
    </w:pPr>
    <w:rPr>
      <w:rFonts w:eastAsia="仿宋_GB2312"/>
      <w:sz w:val="28"/>
    </w:rPr>
  </w:style>
  <w:style w:type="paragraph" w:customStyle="1" w:styleId="896">
    <w:name w:val="表格 内容"/>
    <w:basedOn w:val="732"/>
    <w:autoRedefine/>
    <w:qFormat/>
    <w:uiPriority w:val="0"/>
    <w:rPr>
      <w:b w:val="0"/>
      <w:sz w:val="20"/>
    </w:rPr>
  </w:style>
  <w:style w:type="paragraph" w:customStyle="1" w:styleId="897">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8">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9">
    <w:name w:val="数字标题5"/>
    <w:basedOn w:val="9"/>
    <w:next w:val="1"/>
    <w:autoRedefine/>
    <w:qFormat/>
    <w:uiPriority w:val="0"/>
    <w:pPr>
      <w:tabs>
        <w:tab w:val="left" w:pos="1080"/>
      </w:tabs>
      <w:ind w:left="1080" w:hanging="1080"/>
    </w:pPr>
  </w:style>
  <w:style w:type="paragraph" w:customStyle="1" w:styleId="900">
    <w:name w:val="数字标题1"/>
    <w:basedOn w:val="3"/>
    <w:next w:val="1"/>
    <w:autoRedefine/>
    <w:qFormat/>
    <w:uiPriority w:val="0"/>
    <w:pPr>
      <w:tabs>
        <w:tab w:val="left" w:pos="480"/>
      </w:tabs>
      <w:ind w:left="480" w:hanging="480"/>
    </w:pPr>
  </w:style>
  <w:style w:type="paragraph" w:customStyle="1" w:styleId="901">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3">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4">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5">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6">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7">
    <w:name w:val="0"/>
    <w:basedOn w:val="1"/>
    <w:autoRedefine/>
    <w:qFormat/>
    <w:uiPriority w:val="0"/>
    <w:pPr>
      <w:widowControl/>
    </w:pPr>
    <w:rPr>
      <w:kern w:val="0"/>
      <w:sz w:val="24"/>
      <w:szCs w:val="20"/>
    </w:rPr>
  </w:style>
  <w:style w:type="paragraph" w:customStyle="1" w:styleId="908">
    <w:name w:val="Char Char113"/>
    <w:basedOn w:val="1"/>
    <w:autoRedefine/>
    <w:qFormat/>
    <w:uiPriority w:val="0"/>
    <w:pPr>
      <w:widowControl/>
      <w:spacing w:after="160" w:line="240" w:lineRule="exact"/>
      <w:jc w:val="left"/>
    </w:pPr>
    <w:rPr>
      <w:rFonts w:eastAsia="仿宋_GB2312"/>
      <w:sz w:val="28"/>
    </w:rPr>
  </w:style>
  <w:style w:type="paragraph" w:customStyle="1" w:styleId="909">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10">
    <w:name w:val="_Style 8"/>
    <w:basedOn w:val="1"/>
    <w:autoRedefine/>
    <w:qFormat/>
    <w:uiPriority w:val="34"/>
    <w:pPr>
      <w:adjustRightInd/>
      <w:ind w:firstLine="420" w:firstLineChars="200"/>
    </w:pPr>
    <w:rPr>
      <w:rFonts w:eastAsia="仿宋_GB2312"/>
      <w:sz w:val="28"/>
    </w:rPr>
  </w:style>
  <w:style w:type="paragraph" w:customStyle="1" w:styleId="911">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2">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3">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4">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6">
    <w:name w:val="Char Char112"/>
    <w:basedOn w:val="1"/>
    <w:autoRedefine/>
    <w:qFormat/>
    <w:uiPriority w:val="6"/>
    <w:pPr>
      <w:widowControl/>
      <w:spacing w:after="160" w:line="240" w:lineRule="exact"/>
      <w:jc w:val="left"/>
    </w:pPr>
    <w:rPr>
      <w:rFonts w:eastAsia="仿宋_GB2312"/>
      <w:sz w:val="28"/>
    </w:rPr>
  </w:style>
  <w:style w:type="paragraph" w:customStyle="1" w:styleId="917">
    <w:name w:val="正文 图"/>
    <w:basedOn w:val="446"/>
    <w:autoRedefine/>
    <w:qFormat/>
    <w:uiPriority w:val="0"/>
    <w:pPr>
      <w:adjustRightInd/>
      <w:spacing w:before="0"/>
      <w:ind w:firstLine="0"/>
      <w:jc w:val="center"/>
    </w:pPr>
    <w:rPr>
      <w:rFonts w:ascii="微软雅黑" w:hAnsi="微软雅黑"/>
    </w:rPr>
  </w:style>
  <w:style w:type="paragraph" w:customStyle="1" w:styleId="918">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9">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0">
    <w:name w:val="Thf"/>
    <w:basedOn w:val="565"/>
    <w:autoRedefine/>
    <w:qFormat/>
    <w:uiPriority w:val="0"/>
    <w:pPr>
      <w:ind w:left="0"/>
    </w:pPr>
  </w:style>
  <w:style w:type="paragraph" w:customStyle="1" w:styleId="921">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2">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3">
    <w:name w:val="注释"/>
    <w:basedOn w:val="1"/>
    <w:autoRedefine/>
    <w:qFormat/>
    <w:uiPriority w:val="0"/>
    <w:pPr>
      <w:adjustRightInd/>
      <w:spacing w:line="360" w:lineRule="auto"/>
      <w:ind w:firstLine="480"/>
    </w:pPr>
    <w:rPr>
      <w:sz w:val="24"/>
    </w:rPr>
  </w:style>
  <w:style w:type="table" w:customStyle="1" w:styleId="924">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0">
    <w:name w:val="列出段落111"/>
    <w:basedOn w:val="1"/>
    <w:autoRedefine/>
    <w:qFormat/>
    <w:uiPriority w:val="34"/>
    <w:pPr>
      <w:ind w:firstLine="420" w:firstLineChars="200"/>
    </w:pPr>
  </w:style>
  <w:style w:type="character" w:customStyle="1" w:styleId="931">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2">
    <w:name w:val="正文缩进 字符1"/>
    <w:autoRedefine/>
    <w:qFormat/>
    <w:uiPriority w:val="0"/>
    <w:rPr>
      <w:rFonts w:ascii="宋体" w:eastAsia="宋体"/>
      <w:snapToGrid w:val="0"/>
      <w:color w:val="000000"/>
      <w:kern w:val="28"/>
      <w:sz w:val="28"/>
      <w:lang w:val="en-US" w:eastAsia="zh-CN" w:bidi="ar-SA"/>
    </w:rPr>
  </w:style>
  <w:style w:type="character" w:customStyle="1" w:styleId="933">
    <w:name w:val="页脚 字符1"/>
    <w:autoRedefine/>
    <w:qFormat/>
    <w:uiPriority w:val="99"/>
    <w:rPr>
      <w:kern w:val="2"/>
      <w:sz w:val="18"/>
      <w:szCs w:val="18"/>
    </w:rPr>
  </w:style>
  <w:style w:type="character" w:customStyle="1" w:styleId="934">
    <w:name w:val="页眉 字符1"/>
    <w:autoRedefine/>
    <w:qFormat/>
    <w:uiPriority w:val="99"/>
    <w:rPr>
      <w:kern w:val="2"/>
      <w:sz w:val="18"/>
      <w:szCs w:val="18"/>
    </w:rPr>
  </w:style>
  <w:style w:type="character" w:customStyle="1" w:styleId="935">
    <w:name w:val="尾注文本 Char"/>
    <w:link w:val="39"/>
    <w:autoRedefine/>
    <w:qFormat/>
    <w:uiPriority w:val="0"/>
    <w:rPr>
      <w:kern w:val="2"/>
      <w:sz w:val="21"/>
      <w:szCs w:val="24"/>
      <w:lang w:val="zh-CN"/>
    </w:rPr>
  </w:style>
  <w:style w:type="character" w:customStyle="1" w:styleId="936">
    <w:name w:val="无间隔 Char"/>
    <w:link w:val="486"/>
    <w:autoRedefine/>
    <w:qFormat/>
    <w:uiPriority w:val="99"/>
    <w:rPr>
      <w:kern w:val="2"/>
      <w:sz w:val="21"/>
      <w:szCs w:val="22"/>
    </w:rPr>
  </w:style>
  <w:style w:type="character" w:customStyle="1" w:styleId="937">
    <w:name w:val="标准文本 Char Char"/>
    <w:link w:val="938"/>
    <w:autoRedefine/>
    <w:qFormat/>
    <w:uiPriority w:val="0"/>
    <w:rPr>
      <w:rFonts w:cs="宋体"/>
      <w:kern w:val="2"/>
      <w:sz w:val="24"/>
    </w:rPr>
  </w:style>
  <w:style w:type="paragraph" w:customStyle="1" w:styleId="938">
    <w:name w:val="标准文本"/>
    <w:basedOn w:val="1"/>
    <w:link w:val="937"/>
    <w:autoRedefine/>
    <w:qFormat/>
    <w:uiPriority w:val="0"/>
    <w:pPr>
      <w:adjustRightInd/>
      <w:spacing w:line="360" w:lineRule="auto"/>
      <w:ind w:firstLine="480" w:firstLineChars="200"/>
    </w:pPr>
    <w:rPr>
      <w:rFonts w:cs="宋体"/>
      <w:sz w:val="24"/>
      <w:szCs w:val="20"/>
    </w:rPr>
  </w:style>
  <w:style w:type="character" w:customStyle="1" w:styleId="939">
    <w:name w:val="Char Char213"/>
    <w:autoRedefine/>
    <w:qFormat/>
    <w:uiPriority w:val="0"/>
    <w:rPr>
      <w:rFonts w:eastAsia="Century Gothic"/>
      <w:b/>
      <w:bCs/>
      <w:kern w:val="44"/>
      <w:sz w:val="32"/>
      <w:szCs w:val="44"/>
      <w:lang w:val="en-US" w:eastAsia="zh-CN" w:bidi="ar-SA"/>
    </w:rPr>
  </w:style>
  <w:style w:type="character" w:customStyle="1" w:styleId="940">
    <w:name w:val="apple-style-span"/>
    <w:autoRedefine/>
    <w:qFormat/>
    <w:uiPriority w:val="0"/>
    <w:rPr>
      <w:rFonts w:ascii="Arial" w:hAnsi="Arial" w:eastAsia="黑体" w:cs="Arial"/>
      <w:snapToGrid w:val="0"/>
      <w:kern w:val="0"/>
      <w:szCs w:val="21"/>
    </w:rPr>
  </w:style>
  <w:style w:type="character" w:customStyle="1" w:styleId="941">
    <w:name w:val="15"/>
    <w:autoRedefine/>
    <w:qFormat/>
    <w:uiPriority w:val="0"/>
    <w:rPr>
      <w:rFonts w:hint="default" w:ascii="Calibri" w:hAnsi="Calibri"/>
      <w:color w:val="0000FF"/>
      <w:u w:val="single"/>
    </w:rPr>
  </w:style>
  <w:style w:type="character" w:customStyle="1" w:styleId="942">
    <w:name w:val="16"/>
    <w:autoRedefine/>
    <w:qFormat/>
    <w:uiPriority w:val="0"/>
    <w:rPr>
      <w:rFonts w:hint="eastAsia" w:ascii="宋体" w:hAnsi="宋体" w:eastAsia="宋体"/>
      <w:color w:val="000000"/>
      <w:sz w:val="20"/>
      <w:szCs w:val="20"/>
    </w:rPr>
  </w:style>
  <w:style w:type="character" w:customStyle="1" w:styleId="943">
    <w:name w:val="edui-unclickable"/>
    <w:autoRedefine/>
    <w:qFormat/>
    <w:uiPriority w:val="0"/>
    <w:rPr>
      <w:color w:val="808080"/>
    </w:rPr>
  </w:style>
  <w:style w:type="character" w:customStyle="1" w:styleId="944">
    <w:name w:val="tpc_content1"/>
    <w:autoRedefine/>
    <w:qFormat/>
    <w:uiPriority w:val="0"/>
    <w:rPr>
      <w:sz w:val="20"/>
      <w:szCs w:val="20"/>
    </w:rPr>
  </w:style>
  <w:style w:type="character" w:customStyle="1" w:styleId="945">
    <w:name w:val="正文文本缩进 字符"/>
    <w:autoRedefine/>
    <w:qFormat/>
    <w:uiPriority w:val="0"/>
    <w:rPr>
      <w:rFonts w:ascii="Century Gothic" w:hAnsi="Century Gothic" w:eastAsia="Century Gothic"/>
      <w:kern w:val="2"/>
      <w:sz w:val="24"/>
      <w:lang w:val="en-US" w:eastAsia="zh-CN" w:bidi="ar-SA"/>
    </w:rPr>
  </w:style>
  <w:style w:type="character" w:customStyle="1" w:styleId="946">
    <w:name w:val="正文文本 2 字符"/>
    <w:autoRedefine/>
    <w:qFormat/>
    <w:uiPriority w:val="0"/>
    <w:rPr>
      <w:rFonts w:ascii="Arial" w:hAnsi="Arial" w:eastAsia="宋体"/>
      <w:kern w:val="2"/>
      <w:sz w:val="24"/>
      <w:szCs w:val="24"/>
      <w:lang w:val="en-US" w:eastAsia="zh-CN" w:bidi="ar-SA"/>
    </w:rPr>
  </w:style>
  <w:style w:type="character" w:customStyle="1" w:styleId="947">
    <w:name w:val="edui-clickable2"/>
    <w:autoRedefine/>
    <w:qFormat/>
    <w:uiPriority w:val="0"/>
    <w:rPr>
      <w:color w:val="0000FF"/>
      <w:u w:val="single"/>
    </w:rPr>
  </w:style>
  <w:style w:type="character" w:customStyle="1" w:styleId="948">
    <w:name w:val="style1"/>
    <w:autoRedefine/>
    <w:qFormat/>
    <w:uiPriority w:val="0"/>
    <w:rPr>
      <w:rFonts w:ascii="Arial" w:hAnsi="Arial" w:eastAsia="黑体" w:cs="Arial"/>
      <w:snapToGrid w:val="0"/>
      <w:kern w:val="0"/>
      <w:szCs w:val="21"/>
    </w:rPr>
  </w:style>
  <w:style w:type="character" w:customStyle="1" w:styleId="949">
    <w:name w:val="zbggtop11 style5"/>
    <w:autoRedefine/>
    <w:qFormat/>
    <w:uiPriority w:val="0"/>
    <w:rPr>
      <w:rFonts w:ascii="Arial" w:hAnsi="Arial" w:eastAsia="黑体" w:cs="Arial"/>
      <w:snapToGrid w:val="0"/>
      <w:kern w:val="0"/>
      <w:szCs w:val="21"/>
    </w:rPr>
  </w:style>
  <w:style w:type="character" w:customStyle="1" w:styleId="950">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1">
    <w:name w:val="bulletintext1"/>
    <w:autoRedefine/>
    <w:qFormat/>
    <w:uiPriority w:val="0"/>
    <w:rPr>
      <w:color w:val="000000"/>
      <w:sz w:val="18"/>
    </w:rPr>
  </w:style>
  <w:style w:type="paragraph" w:customStyle="1" w:styleId="952">
    <w:name w:val="_Style 947"/>
    <w:basedOn w:val="1"/>
    <w:next w:val="262"/>
    <w:autoRedefine/>
    <w:qFormat/>
    <w:uiPriority w:val="34"/>
    <w:pPr>
      <w:adjustRightInd/>
      <w:ind w:firstLine="420" w:firstLineChars="200"/>
    </w:pPr>
  </w:style>
  <w:style w:type="paragraph" w:customStyle="1" w:styleId="953">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4">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5">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6">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7">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8">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9">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60">
    <w:name w:val="Table Paragraph"/>
    <w:basedOn w:val="1"/>
    <w:autoRedefine/>
    <w:qFormat/>
    <w:uiPriority w:val="0"/>
    <w:pPr>
      <w:adjustRightInd/>
      <w:jc w:val="left"/>
    </w:pPr>
    <w:rPr>
      <w:rFonts w:ascii="Calibri" w:hAnsi="Calibri"/>
      <w:kern w:val="0"/>
      <w:sz w:val="22"/>
      <w:szCs w:val="22"/>
      <w:lang w:eastAsia="en-US"/>
    </w:rPr>
  </w:style>
  <w:style w:type="paragraph" w:customStyle="1" w:styleId="961">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2">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3">
    <w:name w:val="text-tag"/>
    <w:basedOn w:val="1"/>
    <w:autoRedefine/>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4">
    <w:name w:val="ksfind_class_select1"/>
    <w:basedOn w:val="69"/>
    <w:autoRedefine/>
    <w:qFormat/>
    <w:uiPriority w:val="0"/>
    <w:rPr>
      <w:color w:val="000000"/>
      <w:shd w:val="clear" w:color="auto" w:fill="EFD200"/>
    </w:rPr>
  </w:style>
  <w:style w:type="character" w:customStyle="1" w:styleId="965">
    <w:name w:val="font71"/>
    <w:autoRedefine/>
    <w:qFormat/>
    <w:uiPriority w:val="0"/>
    <w:rPr>
      <w:rFonts w:hint="eastAsia" w:ascii="宋体" w:hAnsi="宋体" w:eastAsia="宋体" w:cs="宋体"/>
      <w:color w:val="000000"/>
      <w:sz w:val="22"/>
      <w:szCs w:val="22"/>
      <w:u w:val="none"/>
    </w:rPr>
  </w:style>
  <w:style w:type="character" w:customStyle="1" w:styleId="966">
    <w:name w:val="font91"/>
    <w:autoRedefine/>
    <w:qFormat/>
    <w:uiPriority w:val="0"/>
    <w:rPr>
      <w:rFonts w:hint="eastAsia" w:ascii="仿宋" w:hAnsi="仿宋" w:eastAsia="仿宋" w:cs="仿宋"/>
      <w:color w:val="000000"/>
      <w:sz w:val="22"/>
      <w:szCs w:val="22"/>
      <w:u w:val="none"/>
    </w:rPr>
  </w:style>
  <w:style w:type="paragraph" w:customStyle="1" w:styleId="967">
    <w:name w:val="修订4"/>
    <w:autoRedefine/>
    <w:qFormat/>
    <w:uiPriority w:val="99"/>
    <w:rPr>
      <w:rFonts w:ascii="Times New Roman" w:hAnsi="Times New Roman" w:eastAsia="宋体" w:cs="Times New Roman"/>
      <w:kern w:val="2"/>
      <w:sz w:val="21"/>
      <w:szCs w:val="24"/>
      <w:lang w:val="en-US" w:eastAsia="zh-CN" w:bidi="ar-SA"/>
    </w:rPr>
  </w:style>
  <w:style w:type="paragraph" w:customStyle="1" w:styleId="968">
    <w:name w:val="[Normal]"/>
    <w:autoRedefine/>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character" w:customStyle="1" w:styleId="969">
    <w:name w:val="无"/>
    <w:autoRedefine/>
    <w:qFormat/>
    <w:uiPriority w:val="99"/>
  </w:style>
  <w:style w:type="character" w:customStyle="1" w:styleId="970">
    <w:name w:val="bookmark-item"/>
    <w:basedOn w:val="69"/>
    <w:autoRedefine/>
    <w:qFormat/>
    <w:uiPriority w:val="0"/>
  </w:style>
  <w:style w:type="character" w:customStyle="1" w:styleId="971">
    <w:name w:val="font101"/>
    <w:basedOn w:val="69"/>
    <w:autoRedefine/>
    <w:qFormat/>
    <w:uiPriority w:val="0"/>
    <w:rPr>
      <w:rFonts w:hint="default" w:ascii="Calibri" w:hAnsi="Calibri" w:cs="Calibri"/>
      <w:color w:val="000000"/>
      <w:sz w:val="21"/>
      <w:szCs w:val="21"/>
      <w:u w:val="none"/>
    </w:rPr>
  </w:style>
  <w:style w:type="paragraph" w:customStyle="1" w:styleId="972">
    <w:name w:val="Body Text First Indent 21"/>
    <w:basedOn w:val="973"/>
    <w:qFormat/>
    <w:uiPriority w:val="0"/>
    <w:pPr>
      <w:spacing w:after="120" w:line="240" w:lineRule="auto"/>
      <w:ind w:left="420" w:leftChars="200" w:firstLine="420" w:firstLineChars="200"/>
    </w:pPr>
    <w:rPr>
      <w:rFonts w:ascii="等线" w:hAnsi="等线" w:eastAsia="等线"/>
      <w:sz w:val="21"/>
    </w:rPr>
  </w:style>
  <w:style w:type="paragraph" w:customStyle="1" w:styleId="973">
    <w:name w:val="Body Text Indent1"/>
    <w:basedOn w:val="1"/>
    <w:qFormat/>
    <w:uiPriority w:val="0"/>
    <w:pPr>
      <w:spacing w:line="360" w:lineRule="auto"/>
      <w:ind w:firstLine="435"/>
    </w:pPr>
    <w:rPr>
      <w:sz w:val="28"/>
    </w:rPr>
  </w:style>
  <w:style w:type="paragraph" w:customStyle="1" w:styleId="974">
    <w:name w:val="标准中文版式_正文"/>
    <w:basedOn w:val="1"/>
    <w:qFormat/>
    <w:uiPriority w:val="0"/>
    <w:pPr>
      <w:spacing w:before="30"/>
      <w:ind w:firstLineChars="200"/>
    </w:pPr>
    <w:rPr>
      <w:rFonts w:ascii="Arial" w:hAnsi="Arial"/>
      <w:sz w:val="24"/>
    </w:rPr>
  </w:style>
  <w:style w:type="paragraph" w:customStyle="1" w:styleId="975">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976">
    <w:name w:val="!表格正文"/>
    <w:basedOn w:val="1"/>
    <w:qFormat/>
    <w:uiPriority w:val="0"/>
    <w:pPr>
      <w:ind w:firstLine="0" w:firstLineChars="0"/>
    </w:pPr>
    <w:rPr>
      <w:rFonts w:ascii="Calibri" w:hAnsi="Calibri" w:cs="Calibri"/>
      <w:kern w:val="0"/>
      <w:szCs w:val="21"/>
    </w:rPr>
  </w:style>
  <w:style w:type="paragraph" w:customStyle="1" w:styleId="977">
    <w:name w:val="Heading #2|1"/>
    <w:basedOn w:val="1"/>
    <w:qFormat/>
    <w:uiPriority w:val="0"/>
    <w:pPr>
      <w:spacing w:after="720" w:line="648" w:lineRule="exact"/>
      <w:ind w:firstLine="310"/>
      <w:jc w:val="center"/>
      <w:outlineLvl w:val="1"/>
    </w:pPr>
    <w:rPr>
      <w:rFonts w:ascii="宋体" w:hAnsi="宋体" w:cs="宋体"/>
      <w:sz w:val="42"/>
      <w:szCs w:val="42"/>
      <w:lang w:val="zh-TW" w:eastAsia="zh-TW" w:bidi="zh-TW"/>
    </w:rPr>
  </w:style>
  <w:style w:type="paragraph" w:customStyle="1" w:styleId="978">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979">
    <w:name w:val="NormalCharacter"/>
    <w:qFormat/>
    <w:uiPriority w:val="0"/>
    <w:rPr>
      <w:rFonts w:ascii="Times New Roman" w:hAnsi="Times New Roman" w:eastAsia="宋体"/>
      <w:lang w:val="en-US" w:eastAsia="zh-CN" w:bidi="ar-SA"/>
    </w:rPr>
  </w:style>
  <w:style w:type="paragraph" w:customStyle="1" w:styleId="980">
    <w:name w:val="普通(网站)_0"/>
    <w:basedOn w:val="981"/>
    <w:qFormat/>
    <w:uiPriority w:val="99"/>
    <w:pPr>
      <w:widowControl/>
      <w:spacing w:before="100" w:beforeAutospacing="1" w:after="100" w:afterAutospacing="1"/>
      <w:jc w:val="left"/>
    </w:pPr>
    <w:rPr>
      <w:rFonts w:ascii="宋体" w:hAnsi="宋体"/>
      <w:kern w:val="0"/>
      <w:sz w:val="24"/>
      <w:szCs w:val="22"/>
    </w:rPr>
  </w:style>
  <w:style w:type="paragraph" w:customStyle="1" w:styleId="981">
    <w:name w:val="正文_1"/>
    <w:qFormat/>
    <w:uiPriority w:val="99"/>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3" Type="http://schemas.openxmlformats.org/officeDocument/2006/relationships/fontTable" Target="fontTable.xml"/><Relationship Id="rId62" Type="http://schemas.openxmlformats.org/officeDocument/2006/relationships/numbering" Target="numbering.xml"/><Relationship Id="rId61" Type="http://schemas.openxmlformats.org/officeDocument/2006/relationships/customXml" Target="../customXml/item1.xml"/><Relationship Id="rId60" Type="http://schemas.openxmlformats.org/officeDocument/2006/relationships/image" Target="media/image46.png"/><Relationship Id="rId6" Type="http://schemas.openxmlformats.org/officeDocument/2006/relationships/footer" Target="footer2.xml"/><Relationship Id="rId59" Type="http://schemas.openxmlformats.org/officeDocument/2006/relationships/image" Target="media/image45.png"/><Relationship Id="rId58" Type="http://schemas.openxmlformats.org/officeDocument/2006/relationships/image" Target="media/image44.png"/><Relationship Id="rId57" Type="http://schemas.openxmlformats.org/officeDocument/2006/relationships/image" Target="media/image43.png"/><Relationship Id="rId56" Type="http://schemas.openxmlformats.org/officeDocument/2006/relationships/image" Target="media/image42.png"/><Relationship Id="rId55" Type="http://schemas.openxmlformats.org/officeDocument/2006/relationships/image" Target="media/image41.png"/><Relationship Id="rId54" Type="http://schemas.openxmlformats.org/officeDocument/2006/relationships/image" Target="media/image40.png"/><Relationship Id="rId53" Type="http://schemas.openxmlformats.org/officeDocument/2006/relationships/image" Target="media/image39.png"/><Relationship Id="rId52" Type="http://schemas.openxmlformats.org/officeDocument/2006/relationships/image" Target="media/image38.png"/><Relationship Id="rId51" Type="http://schemas.openxmlformats.org/officeDocument/2006/relationships/image" Target="media/image37.png"/><Relationship Id="rId50" Type="http://schemas.openxmlformats.org/officeDocument/2006/relationships/image" Target="media/image36.png"/><Relationship Id="rId5" Type="http://schemas.openxmlformats.org/officeDocument/2006/relationships/footer" Target="footer1.xml"/><Relationship Id="rId49" Type="http://schemas.openxmlformats.org/officeDocument/2006/relationships/image" Target="media/image35.png"/><Relationship Id="rId48" Type="http://schemas.openxmlformats.org/officeDocument/2006/relationships/image" Target="media/image34.png"/><Relationship Id="rId47" Type="http://schemas.openxmlformats.org/officeDocument/2006/relationships/image" Target="media/image33.png"/><Relationship Id="rId46" Type="http://schemas.openxmlformats.org/officeDocument/2006/relationships/image" Target="media/image32.png"/><Relationship Id="rId45" Type="http://schemas.openxmlformats.org/officeDocument/2006/relationships/image" Target="media/image31.png"/><Relationship Id="rId44" Type="http://schemas.openxmlformats.org/officeDocument/2006/relationships/image" Target="media/image30.png"/><Relationship Id="rId43" Type="http://schemas.openxmlformats.org/officeDocument/2006/relationships/image" Target="media/image29.png"/><Relationship Id="rId42" Type="http://schemas.openxmlformats.org/officeDocument/2006/relationships/image" Target="media/image28.png"/><Relationship Id="rId41" Type="http://schemas.openxmlformats.org/officeDocument/2006/relationships/image" Target="media/image27.png"/><Relationship Id="rId40" Type="http://schemas.openxmlformats.org/officeDocument/2006/relationships/image" Target="media/image26.png"/><Relationship Id="rId4" Type="http://schemas.openxmlformats.org/officeDocument/2006/relationships/header" Target="header2.xml"/><Relationship Id="rId39" Type="http://schemas.openxmlformats.org/officeDocument/2006/relationships/image" Target="media/image25.png"/><Relationship Id="rId38" Type="http://schemas.openxmlformats.org/officeDocument/2006/relationships/image" Target="media/image24.png"/><Relationship Id="rId37" Type="http://schemas.openxmlformats.org/officeDocument/2006/relationships/image" Target="media/image23.png"/><Relationship Id="rId36" Type="http://schemas.openxmlformats.org/officeDocument/2006/relationships/image" Target="media/image22.png"/><Relationship Id="rId35" Type="http://schemas.openxmlformats.org/officeDocument/2006/relationships/image" Target="media/image21.png"/><Relationship Id="rId34" Type="http://schemas.openxmlformats.org/officeDocument/2006/relationships/image" Target="media/image20.png"/><Relationship Id="rId33" Type="http://schemas.openxmlformats.org/officeDocument/2006/relationships/image" Target="media/image19.png"/><Relationship Id="rId32" Type="http://schemas.openxmlformats.org/officeDocument/2006/relationships/image" Target="media/image18.png"/><Relationship Id="rId31" Type="http://schemas.openxmlformats.org/officeDocument/2006/relationships/image" Target="media/image17.png"/><Relationship Id="rId30" Type="http://schemas.openxmlformats.org/officeDocument/2006/relationships/image" Target="media/image16.png"/><Relationship Id="rId3" Type="http://schemas.openxmlformats.org/officeDocument/2006/relationships/header" Target="header1.xml"/><Relationship Id="rId29" Type="http://schemas.openxmlformats.org/officeDocument/2006/relationships/image" Target="media/image15.png"/><Relationship Id="rId28" Type="http://schemas.openxmlformats.org/officeDocument/2006/relationships/image" Target="media/image14.png"/><Relationship Id="rId27" Type="http://schemas.openxmlformats.org/officeDocument/2006/relationships/image" Target="media/image13.png"/><Relationship Id="rId26" Type="http://schemas.openxmlformats.org/officeDocument/2006/relationships/image" Target="media/image12.png"/><Relationship Id="rId25" Type="http://schemas.openxmlformats.org/officeDocument/2006/relationships/image" Target="media/image11.png"/><Relationship Id="rId24" Type="http://schemas.openxmlformats.org/officeDocument/2006/relationships/image" Target="media/image10.png"/><Relationship Id="rId23" Type="http://schemas.openxmlformats.org/officeDocument/2006/relationships/image" Target="media/image9.png"/><Relationship Id="rId22" Type="http://schemas.openxmlformats.org/officeDocument/2006/relationships/image" Target="media/image8.png"/><Relationship Id="rId21" Type="http://schemas.openxmlformats.org/officeDocument/2006/relationships/image" Target="media/image7.png"/><Relationship Id="rId20" Type="http://schemas.openxmlformats.org/officeDocument/2006/relationships/image" Target="media/image6.png"/><Relationship Id="rId2" Type="http://schemas.openxmlformats.org/officeDocument/2006/relationships/settings" Target="settings.xml"/><Relationship Id="rId19" Type="http://schemas.openxmlformats.org/officeDocument/2006/relationships/image" Target="media/image5.png"/><Relationship Id="rId18" Type="http://schemas.openxmlformats.org/officeDocument/2006/relationships/image" Target="media/image4.png"/><Relationship Id="rId17" Type="http://schemas.openxmlformats.org/officeDocument/2006/relationships/image" Target="media/image3.png"/><Relationship Id="rId16" Type="http://schemas.openxmlformats.org/officeDocument/2006/relationships/image" Target="media/image2.png"/><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70</Pages>
  <Words>16789</Words>
  <Characters>18018</Characters>
  <Paragraphs>1943</Paragraphs>
  <TotalTime>322</TotalTime>
  <ScaleCrop>false</ScaleCrop>
  <LinksUpToDate>false</LinksUpToDate>
  <CharactersWithSpaces>19579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2021-08-01T08:22:00Z</dcterms:created>
  <dc:creator>玥</dc:creator>
  <cp:lastModifiedBy>Administrator</cp:lastModifiedBy>
  <cp:lastPrinted>2025-03-28T09:08:00Z</cp:lastPrinted>
  <dcterms:modified xsi:type="dcterms:W3CDTF">2025-04-02T06:30:46Z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C029F1A10D4B4536B27CD989F0A05F65_13</vt:lpwstr>
  </property>
  <property fmtid="{D5CDD505-2E9C-101B-9397-08002B2CF9AE}" pid="5" name="KSOTemplateDocerSaveRecord">
    <vt:lpwstr>eyJoZGlkIjoiZjgzYjUyMjdkYjMzMTU5MzJkZWY3MzNjNWQwYjI5YzciLCJ1c2VySWQiOiIxMjgzOTgwMTgwIn0=</vt:lpwstr>
  </property>
</Properties>
</file>