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52C60B">
      <w:pPr>
        <w:pStyle w:val="26"/>
        <w:ind w:left="0" w:leftChars="0" w:firstLine="0" w:firstLineChars="0"/>
        <w:jc w:val="center"/>
        <w:rPr>
          <w:rFonts w:hint="eastAsia" w:ascii="仿宋" w:hAnsi="仿宋" w:eastAsia="仿宋" w:cs="仿宋"/>
          <w:b/>
          <w:bCs w:val="0"/>
          <w:color w:val="000000" w:themeColor="text1"/>
          <w:spacing w:val="0"/>
          <w:sz w:val="48"/>
          <w:szCs w:val="48"/>
          <w:highlight w:val="none"/>
          <w:lang w:val="en-US" w:eastAsia="zh-CN"/>
          <w14:textFill>
            <w14:solidFill>
              <w14:schemeClr w14:val="tx1"/>
            </w14:solidFill>
          </w14:textFill>
        </w:rPr>
      </w:pPr>
    </w:p>
    <w:p w14:paraId="1D6A7786">
      <w:pPr>
        <w:pStyle w:val="26"/>
        <w:ind w:left="0" w:leftChars="0" w:firstLine="0" w:firstLineChars="0"/>
        <w:jc w:val="center"/>
        <w:rPr>
          <w:rFonts w:hint="eastAsia" w:ascii="仿宋" w:hAnsi="仿宋" w:eastAsia="仿宋" w:cs="仿宋"/>
          <w:color w:val="000000" w:themeColor="text1"/>
          <w:sz w:val="44"/>
          <w:szCs w:val="44"/>
          <w:highlight w:val="none"/>
          <w14:textFill>
            <w14:solidFill>
              <w14:schemeClr w14:val="tx1"/>
            </w14:solidFill>
          </w14:textFill>
        </w:rPr>
      </w:pPr>
      <w:r>
        <w:rPr>
          <w:rFonts w:hint="eastAsia" w:ascii="仿宋" w:hAnsi="仿宋" w:eastAsia="仿宋" w:cs="仿宋"/>
          <w:b/>
          <w:bCs w:val="0"/>
          <w:color w:val="000000" w:themeColor="text1"/>
          <w:spacing w:val="0"/>
          <w:sz w:val="44"/>
          <w:szCs w:val="44"/>
          <w:highlight w:val="none"/>
          <w:lang w:val="en-US" w:eastAsia="zh-CN"/>
          <w14:textFill>
            <w14:solidFill>
              <w14:schemeClr w14:val="tx1"/>
            </w14:solidFill>
          </w14:textFill>
        </w:rPr>
        <w:t>衢州市柯城区白云街道社区居家养老服务照料中心建设设备物品采购项目</w:t>
      </w:r>
    </w:p>
    <w:p w14:paraId="53FA6D9E">
      <w:pPr>
        <w:pStyle w:val="26"/>
        <w:spacing w:line="240" w:lineRule="auto"/>
        <w:ind w:firstLine="210"/>
        <w:rPr>
          <w:rFonts w:hint="eastAsia" w:ascii="仿宋" w:hAnsi="仿宋" w:eastAsia="仿宋" w:cs="仿宋"/>
          <w:color w:val="000000" w:themeColor="text1"/>
          <w:highlight w:val="none"/>
          <w14:textFill>
            <w14:solidFill>
              <w14:schemeClr w14:val="tx1"/>
            </w14:solidFill>
          </w14:textFill>
        </w:rPr>
      </w:pPr>
    </w:p>
    <w:p w14:paraId="6097498D">
      <w:pPr>
        <w:spacing w:line="240" w:lineRule="auto"/>
        <w:rPr>
          <w:rFonts w:hint="eastAsia" w:ascii="仿宋" w:hAnsi="仿宋" w:eastAsia="仿宋" w:cs="仿宋"/>
          <w:color w:val="000000" w:themeColor="text1"/>
          <w:highlight w:val="none"/>
          <w14:textFill>
            <w14:solidFill>
              <w14:schemeClr w14:val="tx1"/>
            </w14:solidFill>
          </w14:textFill>
        </w:rPr>
      </w:pPr>
    </w:p>
    <w:p w14:paraId="156C357A">
      <w:pPr>
        <w:spacing w:line="240" w:lineRule="auto"/>
        <w:ind w:firstLine="1771" w:firstLineChars="245"/>
        <w:rPr>
          <w:rFonts w:hint="eastAsia" w:ascii="仿宋" w:hAnsi="仿宋" w:eastAsia="仿宋" w:cs="仿宋"/>
          <w:b/>
          <w:bCs/>
          <w:color w:val="000000" w:themeColor="text1"/>
          <w:sz w:val="72"/>
          <w:szCs w:val="72"/>
          <w:highlight w:val="none"/>
          <w14:textFill>
            <w14:solidFill>
              <w14:schemeClr w14:val="tx1"/>
            </w14:solidFill>
          </w14:textFill>
        </w:rPr>
      </w:pPr>
    </w:p>
    <w:p w14:paraId="1921BA45">
      <w:pPr>
        <w:ind w:firstLine="1771" w:firstLineChars="245"/>
        <w:rPr>
          <w:rFonts w:hint="eastAsia" w:ascii="仿宋" w:hAnsi="仿宋" w:eastAsia="仿宋" w:cs="仿宋"/>
          <w:b/>
          <w:bCs/>
          <w:color w:val="000000" w:themeColor="text1"/>
          <w:sz w:val="72"/>
          <w:szCs w:val="72"/>
          <w:highlight w:val="none"/>
          <w14:textFill>
            <w14:solidFill>
              <w14:schemeClr w14:val="tx1"/>
            </w14:solidFill>
          </w14:textFill>
        </w:rPr>
      </w:pPr>
      <w:r>
        <w:rPr>
          <w:rFonts w:hint="eastAsia" w:ascii="仿宋" w:hAnsi="仿宋" w:eastAsia="仿宋" w:cs="仿宋"/>
          <w:b/>
          <w:bCs/>
          <w:color w:val="000000" w:themeColor="text1"/>
          <w:sz w:val="72"/>
          <w:szCs w:val="72"/>
          <w:highlight w:val="none"/>
          <w14:textFill>
            <w14:solidFill>
              <w14:schemeClr w14:val="tx1"/>
            </w14:solidFill>
          </w14:textFill>
        </w:rPr>
        <w:t>公开招标采购文件</w:t>
      </w:r>
    </w:p>
    <w:p w14:paraId="475E2F19">
      <w:pPr>
        <w:pStyle w:val="972"/>
        <w:rPr>
          <w:rFonts w:hint="eastAsia" w:ascii="仿宋" w:hAnsi="仿宋" w:eastAsia="仿宋" w:cs="仿宋"/>
          <w:color w:val="000000" w:themeColor="text1"/>
          <w:highlight w:val="none"/>
          <w14:textFill>
            <w14:solidFill>
              <w14:schemeClr w14:val="tx1"/>
            </w14:solidFill>
          </w14:textFill>
        </w:rPr>
      </w:pPr>
    </w:p>
    <w:p w14:paraId="67B0F306">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58"/>
        <w:jc w:val="center"/>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color w:val="000000" w:themeColor="text1"/>
          <w:sz w:val="36"/>
          <w:highlight w:val="none"/>
          <w14:textFill>
            <w14:solidFill>
              <w14:schemeClr w14:val="tx1"/>
            </w14:solidFill>
          </w14:textFill>
        </w:rPr>
        <w:t>（线上电子标）</w:t>
      </w:r>
    </w:p>
    <w:p w14:paraId="39E5F901">
      <w:pPr>
        <w:spacing w:line="240" w:lineRule="auto"/>
        <w:jc w:val="center"/>
        <w:rPr>
          <w:rFonts w:hint="eastAsia" w:ascii="仿宋" w:hAnsi="仿宋" w:eastAsia="仿宋" w:cs="仿宋"/>
          <w:color w:val="000000" w:themeColor="text1"/>
          <w:spacing w:val="-20"/>
          <w:sz w:val="60"/>
          <w:szCs w:val="60"/>
          <w:highlight w:val="none"/>
          <w14:textFill>
            <w14:solidFill>
              <w14:schemeClr w14:val="tx1"/>
            </w14:solidFill>
          </w14:textFill>
        </w:rPr>
      </w:pPr>
    </w:p>
    <w:p w14:paraId="7FC26C51">
      <w:pPr>
        <w:spacing w:line="240" w:lineRule="auto"/>
        <w:jc w:val="both"/>
        <w:rPr>
          <w:rFonts w:hint="eastAsia" w:ascii="仿宋" w:hAnsi="仿宋" w:eastAsia="仿宋" w:cs="仿宋"/>
          <w:color w:val="000000" w:themeColor="text1"/>
          <w:highlight w:val="none"/>
          <w14:textFill>
            <w14:solidFill>
              <w14:schemeClr w14:val="tx1"/>
            </w14:solidFill>
          </w14:textFill>
        </w:rPr>
      </w:pPr>
    </w:p>
    <w:p w14:paraId="60D31DE8">
      <w:pPr>
        <w:spacing w:line="240" w:lineRule="auto"/>
        <w:jc w:val="center"/>
        <w:rPr>
          <w:rFonts w:hint="eastAsia" w:ascii="仿宋" w:hAnsi="仿宋" w:eastAsia="仿宋" w:cs="仿宋"/>
          <w:color w:val="000000" w:themeColor="text1"/>
          <w:highlight w:val="none"/>
          <w14:textFill>
            <w14:solidFill>
              <w14:schemeClr w14:val="tx1"/>
            </w14:solidFill>
          </w14:textFill>
        </w:rPr>
      </w:pPr>
    </w:p>
    <w:p w14:paraId="157E6D52">
      <w:pPr>
        <w:spacing w:line="460" w:lineRule="exact"/>
        <w:jc w:val="left"/>
        <w:rPr>
          <w:rFonts w:hint="eastAsia" w:ascii="仿宋" w:hAnsi="仿宋" w:eastAsia="仿宋" w:cs="仿宋"/>
          <w:b/>
          <w:color w:val="000000" w:themeColor="text1"/>
          <w:sz w:val="32"/>
          <w:szCs w:val="32"/>
          <w:highlight w:val="none"/>
          <w:lang w:val="en-US" w:eastAsia="zh-CN"/>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项目编号：</w:t>
      </w:r>
      <w:r>
        <w:rPr>
          <w:rFonts w:hint="eastAsia" w:ascii="仿宋" w:hAnsi="仿宋" w:eastAsia="仿宋" w:cs="仿宋"/>
          <w:b/>
          <w:color w:val="000000" w:themeColor="text1"/>
          <w:sz w:val="32"/>
          <w:szCs w:val="32"/>
          <w:highlight w:val="none"/>
          <w:lang w:eastAsia="zh-CN"/>
          <w14:textFill>
            <w14:solidFill>
              <w14:schemeClr w14:val="tx1"/>
            </w14:solidFill>
          </w14:textFill>
        </w:rPr>
        <w:t>kxqz2024196-1</w:t>
      </w:r>
    </w:p>
    <w:p w14:paraId="0A708884">
      <w:pPr>
        <w:spacing w:line="460" w:lineRule="exact"/>
        <w:ind w:left="2625" w:leftChars="406" w:hanging="1772" w:hangingChars="592"/>
        <w:jc w:val="left"/>
        <w:rPr>
          <w:rFonts w:hint="eastAsia" w:ascii="仿宋" w:hAnsi="仿宋" w:eastAsia="仿宋" w:cs="仿宋"/>
          <w:b/>
          <w:color w:val="000000" w:themeColor="text1"/>
          <w:spacing w:val="-11"/>
          <w:sz w:val="32"/>
          <w:szCs w:val="32"/>
          <w:highlight w:val="none"/>
          <w14:textFill>
            <w14:solidFill>
              <w14:schemeClr w14:val="tx1"/>
            </w14:solidFill>
          </w14:textFill>
        </w:rPr>
      </w:pPr>
    </w:p>
    <w:p w14:paraId="20E8A9B2">
      <w:pPr>
        <w:spacing w:before="24" w:beforeLines="10" w:line="360" w:lineRule="auto"/>
        <w:jc w:val="left"/>
        <w:rPr>
          <w:rFonts w:hint="eastAsia" w:ascii="仿宋" w:hAnsi="仿宋" w:eastAsia="仿宋" w:cs="仿宋"/>
          <w:b/>
          <w:color w:val="000000" w:themeColor="text1"/>
          <w:spacing w:val="0"/>
          <w:sz w:val="32"/>
          <w:szCs w:val="32"/>
          <w:highlight w:val="none"/>
          <w:lang w:eastAsia="zh-CN"/>
          <w14:textFill>
            <w14:solidFill>
              <w14:schemeClr w14:val="tx1"/>
            </w14:solidFill>
          </w14:textFill>
        </w:rPr>
      </w:pPr>
      <w:r>
        <w:rPr>
          <w:rFonts w:hint="eastAsia" w:ascii="仿宋" w:hAnsi="仿宋" w:eastAsia="仿宋" w:cs="仿宋"/>
          <w:b/>
          <w:color w:val="000000" w:themeColor="text1"/>
          <w:spacing w:val="0"/>
          <w:sz w:val="32"/>
          <w:szCs w:val="32"/>
          <w:highlight w:val="none"/>
          <w14:textFill>
            <w14:solidFill>
              <w14:schemeClr w14:val="tx1"/>
            </w14:solidFill>
          </w14:textFill>
        </w:rPr>
        <w:t>项目名称：</w:t>
      </w:r>
      <w:r>
        <w:rPr>
          <w:rFonts w:hint="eastAsia" w:ascii="仿宋" w:hAnsi="仿宋" w:eastAsia="仿宋" w:cs="仿宋"/>
          <w:b/>
          <w:color w:val="000000" w:themeColor="text1"/>
          <w:spacing w:val="0"/>
          <w:sz w:val="32"/>
          <w:szCs w:val="32"/>
          <w:highlight w:val="none"/>
          <w:lang w:eastAsia="zh-CN"/>
          <w14:textFill>
            <w14:solidFill>
              <w14:schemeClr w14:val="tx1"/>
            </w14:solidFill>
          </w14:textFill>
        </w:rPr>
        <w:t>衢州市柯城区白云街道社区居家养老服务照料中心建设设备物品采购项目</w:t>
      </w:r>
    </w:p>
    <w:p w14:paraId="59B2EEB9">
      <w:pPr>
        <w:spacing w:line="240" w:lineRule="auto"/>
        <w:jc w:val="both"/>
        <w:rPr>
          <w:rFonts w:hint="eastAsia" w:ascii="仿宋" w:hAnsi="仿宋" w:eastAsia="仿宋" w:cs="仿宋"/>
          <w:color w:val="000000" w:themeColor="text1"/>
          <w:highlight w:val="none"/>
          <w14:textFill>
            <w14:solidFill>
              <w14:schemeClr w14:val="tx1"/>
            </w14:solidFill>
          </w14:textFill>
        </w:rPr>
      </w:pPr>
    </w:p>
    <w:p w14:paraId="469E89B3">
      <w:pPr>
        <w:spacing w:line="460" w:lineRule="exact"/>
        <w:ind w:left="2300" w:leftChars="200" w:hanging="1880" w:hangingChars="683"/>
        <w:jc w:val="left"/>
        <w:rPr>
          <w:rFonts w:hint="eastAsia" w:ascii="仿宋" w:hAnsi="仿宋" w:eastAsia="仿宋" w:cs="仿宋"/>
          <w:b/>
          <w:color w:val="000000" w:themeColor="text1"/>
          <w:spacing w:val="-23"/>
          <w:sz w:val="32"/>
          <w:szCs w:val="32"/>
          <w:highlight w:val="none"/>
          <w:lang w:eastAsia="zh-CN"/>
          <w14:textFill>
            <w14:solidFill>
              <w14:schemeClr w14:val="tx1"/>
            </w14:solidFill>
          </w14:textFill>
        </w:rPr>
      </w:pPr>
    </w:p>
    <w:p w14:paraId="1C3C4507">
      <w:pPr>
        <w:pStyle w:val="36"/>
        <w:ind w:left="0"/>
        <w:rPr>
          <w:rFonts w:hint="eastAsia" w:ascii="仿宋" w:hAnsi="仿宋" w:eastAsia="仿宋" w:cs="仿宋"/>
          <w:b/>
          <w:color w:val="000000" w:themeColor="text1"/>
          <w:kern w:val="2"/>
          <w:sz w:val="32"/>
          <w:szCs w:val="32"/>
          <w:highlight w:val="none"/>
          <w:lang w:val="en-US" w:eastAsia="zh-CN" w:bidi="ar-SA"/>
          <w14:textFill>
            <w14:solidFill>
              <w14:schemeClr w14:val="tx1"/>
            </w14:solidFill>
          </w14:textFill>
        </w:rPr>
      </w:pPr>
    </w:p>
    <w:p w14:paraId="6AABD56E">
      <w:pPr>
        <w:ind w:right="840" w:rightChars="400"/>
        <w:jc w:val="left"/>
        <w:rPr>
          <w:rFonts w:hint="eastAsia" w:ascii="仿宋" w:hAnsi="仿宋" w:eastAsia="仿宋" w:cs="仿宋"/>
          <w:b/>
          <w:color w:val="000000" w:themeColor="text1"/>
          <w:kern w:val="2"/>
          <w:sz w:val="32"/>
          <w:szCs w:val="32"/>
          <w:highlight w:val="none"/>
          <w:lang w:val="en-US" w:eastAsia="zh-CN" w:bidi="ar-SA"/>
          <w14:textFill>
            <w14:solidFill>
              <w14:schemeClr w14:val="tx1"/>
            </w14:solidFill>
          </w14:textFill>
        </w:rPr>
      </w:pPr>
      <w:r>
        <w:rPr>
          <w:rFonts w:hint="eastAsia" w:ascii="仿宋" w:hAnsi="仿宋" w:eastAsia="仿宋" w:cs="仿宋"/>
          <w:b/>
          <w:color w:val="000000" w:themeColor="text1"/>
          <w:kern w:val="2"/>
          <w:sz w:val="32"/>
          <w:szCs w:val="32"/>
          <w:highlight w:val="none"/>
          <w:lang w:val="en-US" w:eastAsia="zh-CN" w:bidi="ar-SA"/>
          <w14:textFill>
            <w14:solidFill>
              <w14:schemeClr w14:val="tx1"/>
            </w14:solidFill>
          </w14:textFill>
        </w:rPr>
        <w:t>采   购   人：衢州市柯城区白云街道办事处</w:t>
      </w:r>
    </w:p>
    <w:p w14:paraId="1CD26F35">
      <w:pPr>
        <w:ind w:firstLine="321" w:firstLineChars="100"/>
        <w:rPr>
          <w:rFonts w:hint="eastAsia" w:ascii="仿宋" w:hAnsi="仿宋" w:eastAsia="仿宋" w:cs="仿宋"/>
          <w:b/>
          <w:color w:val="000000" w:themeColor="text1"/>
          <w:kern w:val="2"/>
          <w:sz w:val="32"/>
          <w:szCs w:val="32"/>
          <w:highlight w:val="none"/>
          <w:lang w:val="en-US" w:eastAsia="zh-CN" w:bidi="ar-SA"/>
          <w14:textFill>
            <w14:solidFill>
              <w14:schemeClr w14:val="tx1"/>
            </w14:solidFill>
          </w14:textFill>
        </w:rPr>
      </w:pPr>
    </w:p>
    <w:p w14:paraId="4F3F0F59">
      <w:pPr>
        <w:rPr>
          <w:rFonts w:hint="eastAsia" w:ascii="仿宋" w:hAnsi="仿宋" w:eastAsia="仿宋" w:cs="仿宋"/>
          <w:b/>
          <w:color w:val="000000" w:themeColor="text1"/>
          <w:kern w:val="2"/>
          <w:sz w:val="32"/>
          <w:szCs w:val="32"/>
          <w:highlight w:val="none"/>
          <w:lang w:val="en-US" w:eastAsia="zh-CN" w:bidi="ar-SA"/>
          <w14:textFill>
            <w14:solidFill>
              <w14:schemeClr w14:val="tx1"/>
            </w14:solidFill>
          </w14:textFill>
        </w:rPr>
      </w:pPr>
      <w:r>
        <w:rPr>
          <w:rFonts w:hint="eastAsia" w:ascii="仿宋" w:hAnsi="仿宋" w:eastAsia="仿宋" w:cs="仿宋"/>
          <w:b/>
          <w:color w:val="000000" w:themeColor="text1"/>
          <w:kern w:val="2"/>
          <w:sz w:val="32"/>
          <w:szCs w:val="32"/>
          <w:highlight w:val="none"/>
          <w:lang w:val="en-US" w:eastAsia="zh-CN" w:bidi="ar-SA"/>
          <w14:textFill>
            <w14:solidFill>
              <w14:schemeClr w14:val="tx1"/>
            </w14:solidFill>
          </w14:textFill>
        </w:rPr>
        <w:t>采购代理单位：科信联合工程咨询有限公司</w:t>
      </w:r>
    </w:p>
    <w:p w14:paraId="33A97C42">
      <w:pPr>
        <w:spacing w:line="700" w:lineRule="exact"/>
        <w:rPr>
          <w:rFonts w:hint="eastAsia" w:ascii="仿宋" w:hAnsi="仿宋" w:eastAsia="仿宋" w:cs="仿宋"/>
          <w:b/>
          <w:color w:val="000000" w:themeColor="text1"/>
          <w:kern w:val="2"/>
          <w:sz w:val="32"/>
          <w:szCs w:val="32"/>
          <w:highlight w:val="none"/>
          <w:lang w:val="en-US" w:eastAsia="zh-CN" w:bidi="ar-SA"/>
          <w14:textFill>
            <w14:solidFill>
              <w14:schemeClr w14:val="tx1"/>
            </w14:solidFill>
          </w14:textFill>
        </w:rPr>
      </w:pPr>
      <w:r>
        <w:rPr>
          <w:rFonts w:hint="eastAsia" w:ascii="仿宋" w:hAnsi="仿宋" w:eastAsia="仿宋" w:cs="仿宋"/>
          <w:b/>
          <w:color w:val="000000" w:themeColor="text1"/>
          <w:kern w:val="2"/>
          <w:sz w:val="32"/>
          <w:szCs w:val="32"/>
          <w:highlight w:val="none"/>
          <w:lang w:val="en-US" w:eastAsia="zh-CN" w:bidi="ar-SA"/>
          <w14:textFill>
            <w14:solidFill>
              <w14:schemeClr w14:val="tx1"/>
            </w14:solidFill>
          </w14:textFill>
        </w:rPr>
        <w:t xml:space="preserve"> </w:t>
      </w:r>
    </w:p>
    <w:p w14:paraId="6021D9F2">
      <w:pPr>
        <w:pStyle w:val="640"/>
        <w:pageBreakBefore w:val="0"/>
        <w:widowControl w:val="0"/>
        <w:kinsoku/>
        <w:wordWrap/>
        <w:overflowPunct/>
        <w:topLinePunct w:val="0"/>
        <w:autoSpaceDE/>
        <w:autoSpaceDN/>
        <w:bidi w:val="0"/>
        <w:spacing w:before="0" w:after="0" w:line="360" w:lineRule="auto"/>
        <w:ind w:left="0" w:firstLine="0" w:firstLineChars="0"/>
        <w:jc w:val="center"/>
        <w:textAlignment w:val="auto"/>
        <w:rPr>
          <w:rFonts w:hint="eastAsia" w:ascii="仿宋" w:hAnsi="仿宋" w:eastAsia="仿宋" w:cs="仿宋"/>
          <w:b/>
          <w:color w:val="000000" w:themeColor="text1"/>
          <w:kern w:val="2"/>
          <w:sz w:val="32"/>
          <w:szCs w:val="32"/>
          <w:highlight w:val="none"/>
          <w:lang w:val="en-US" w:eastAsia="zh-CN" w:bidi="ar-SA"/>
          <w14:textFill>
            <w14:solidFill>
              <w14:schemeClr w14:val="tx1"/>
            </w14:solidFill>
          </w14:textFill>
        </w:rPr>
      </w:pPr>
      <w:r>
        <w:rPr>
          <w:rFonts w:hint="eastAsia" w:ascii="仿宋" w:hAnsi="仿宋" w:eastAsia="仿宋" w:cs="仿宋"/>
          <w:b/>
          <w:color w:val="000000" w:themeColor="text1"/>
          <w:kern w:val="2"/>
          <w:sz w:val="32"/>
          <w:szCs w:val="32"/>
          <w:highlight w:val="none"/>
          <w:lang w:val="en-US" w:eastAsia="zh-CN" w:bidi="ar-SA"/>
          <w14:textFill>
            <w14:solidFill>
              <w14:schemeClr w14:val="tx1"/>
            </w14:solidFill>
          </w14:textFill>
        </w:rPr>
        <w:t>二○二五年三月</w:t>
      </w:r>
    </w:p>
    <w:p w14:paraId="32C1A9F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bookmarkStart w:id="0" w:name="_Hlt91233176"/>
      <w:bookmarkEnd w:id="0"/>
      <w:bookmarkStart w:id="1" w:name="_Toc91899869"/>
    </w:p>
    <w:p w14:paraId="6829677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sectPr>
          <w:headerReference r:id="rId4" w:type="first"/>
          <w:footerReference r:id="rId6" w:type="first"/>
          <w:headerReference r:id="rId3" w:type="default"/>
          <w:footerReference r:id="rId5" w:type="default"/>
          <w:pgSz w:w="11906" w:h="16838"/>
          <w:pgMar w:top="1276" w:right="1474" w:bottom="1247"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347069B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目录</w:t>
      </w:r>
    </w:p>
    <w:p w14:paraId="17369F5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000000" w:themeColor="text1"/>
          <w:highlight w:val="none"/>
          <w14:textFill>
            <w14:solidFill>
              <w14:schemeClr w14:val="tx1"/>
            </w14:solidFill>
          </w14:textFill>
        </w:rPr>
      </w:pPr>
    </w:p>
    <w:p w14:paraId="352D81F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5CDFA8A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投标须知</w:t>
      </w:r>
    </w:p>
    <w:p w14:paraId="7A27501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6C1A0660">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14:paraId="793D3ED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3D33B49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14:paraId="12F46A3C">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4570689">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0FADE5EB">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AF38CD8">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44DBEC0B">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0B98A26">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8FBEA42">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5DD93D62">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8881AF3">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45D762FE">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2563A94">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0E324794">
      <w:pPr>
        <w:spacing w:line="360" w:lineRule="auto"/>
        <w:rPr>
          <w:rFonts w:hint="eastAsia" w:ascii="仿宋" w:hAnsi="仿宋" w:eastAsia="仿宋" w:cs="仿宋"/>
          <w:color w:val="000000" w:themeColor="text1"/>
          <w:sz w:val="24"/>
          <w:highlight w:val="none"/>
          <w14:textFill>
            <w14:solidFill>
              <w14:schemeClr w14:val="tx1"/>
            </w14:solidFill>
          </w14:textFill>
        </w:rPr>
      </w:pPr>
    </w:p>
    <w:bookmarkEnd w:id="1"/>
    <w:p w14:paraId="1593BFF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bookmarkStart w:id="2" w:name="第二部分"/>
      <w:bookmarkStart w:id="3" w:name="_Toc91899870"/>
      <w:bookmarkStart w:id="4" w:name="_Toc91899871"/>
    </w:p>
    <w:p w14:paraId="7786D15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p>
    <w:p w14:paraId="7A1DA588">
      <w:pP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bookmarkStart w:id="44" w:name="_GoBack"/>
      <w:bookmarkEnd w:id="44"/>
    </w:p>
    <w:p w14:paraId="5FF9169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14:paraId="326FAD5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r>
        <w:rPr>
          <w:rFonts w:hint="eastAsia" w:ascii="仿宋" w:hAnsi="仿宋" w:eastAsia="仿宋" w:cs="仿宋"/>
          <w:color w:val="000000" w:themeColor="text1"/>
          <w:sz w:val="24"/>
          <w:highlight w:val="none"/>
          <w:lang w:eastAsia="zh-CN"/>
          <w14:textFill>
            <w14:solidFill>
              <w14:schemeClr w14:val="tx1"/>
            </w14:solidFill>
          </w14:textFill>
        </w:rPr>
        <w:t>：</w:t>
      </w:r>
    </w:p>
    <w:p w14:paraId="38FA45D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lang w:eastAsia="zh-CN"/>
          <w14:textFill>
            <w14:solidFill>
              <w14:schemeClr w14:val="tx1"/>
            </w14:solidFill>
          </w14:textFill>
        </w:rPr>
        <w:t>衢州市柯城区白云街道社区居家养老服务照料中心建设设备物品采购项目</w:t>
      </w:r>
      <w:r>
        <w:rPr>
          <w:rFonts w:hint="eastAsia" w:ascii="仿宋" w:hAnsi="仿宋" w:eastAsia="仿宋" w:cs="仿宋"/>
          <w:color w:val="000000" w:themeColor="text1"/>
          <w:sz w:val="24"/>
          <w:highlight w:val="none"/>
          <w14:textFill>
            <w14:solidFill>
              <w14:schemeClr w14:val="tx1"/>
            </w14:solidFill>
          </w14:textFill>
        </w:rPr>
        <w:t>招标项目的潜在投标人应在政采云平台（</w:t>
      </w: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highlight w:val="none"/>
          <w14:textFill>
            <w14:solidFill>
              <w14:schemeClr w14:val="tx1"/>
            </w14:solidFill>
          </w14:textFill>
        </w:rPr>
        <w:fldChar w:fldCharType="separate"/>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https://www.zcygov.cn/）获取（下载）招标文件，并于</w:t>
      </w:r>
      <w:r>
        <w:rPr>
          <w:rStyle w:val="76"/>
          <w:rFonts w:hint="eastAsia" w:ascii="仿宋" w:hAnsi="仿宋" w:eastAsia="仿宋" w:cs="仿宋"/>
          <w:snapToGrid/>
          <w:color w:val="000000" w:themeColor="text1"/>
          <w:kern w:val="2"/>
          <w:sz w:val="24"/>
          <w:szCs w:val="24"/>
          <w:highlight w:val="none"/>
          <w:lang w:eastAsia="zh-CN"/>
          <w14:textFill>
            <w14:solidFill>
              <w14:schemeClr w14:val="tx1"/>
            </w14:solidFill>
          </w14:textFill>
        </w:rPr>
        <w:t>2025年03月31日</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09</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点</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30</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分</w:t>
      </w:r>
      <w:r>
        <w:rPr>
          <w:rStyle w:val="76"/>
          <w:rFonts w:hint="eastAsia" w:ascii="仿宋" w:hAnsi="仿宋" w:eastAsia="仿宋" w:cs="仿宋"/>
          <w:bCs/>
          <w:snapToGrid/>
          <w:color w:val="000000" w:themeColor="text1"/>
          <w:kern w:val="2"/>
          <w:sz w:val="24"/>
          <w:szCs w:val="24"/>
          <w:highlight w:val="none"/>
          <w:lang w:val="en-US" w:eastAsia="zh-CN"/>
          <w14:textFill>
            <w14:solidFill>
              <w14:schemeClr w14:val="tx1"/>
            </w14:solidFill>
          </w14:textFill>
        </w:rPr>
        <w:t>00</w:t>
      </w:r>
      <w:r>
        <w:rPr>
          <w:rStyle w:val="76"/>
          <w:rFonts w:hint="eastAsia" w:ascii="仿宋" w:hAnsi="仿宋" w:eastAsia="仿宋" w:cs="仿宋"/>
          <w:bCs/>
          <w:snapToGrid/>
          <w:color w:val="000000" w:themeColor="text1"/>
          <w:kern w:val="2"/>
          <w:sz w:val="24"/>
          <w:szCs w:val="24"/>
          <w:highlight w:val="none"/>
          <w14:textFill>
            <w14:solidFill>
              <w14:schemeClr w14:val="tx1"/>
            </w14:solidFill>
          </w14:textFill>
        </w:rPr>
        <w:t>秒</w:t>
      </w:r>
      <w:r>
        <w:rPr>
          <w:rStyle w:val="76"/>
          <w:rFonts w:hint="eastAsia" w:ascii="仿宋" w:hAnsi="仿宋" w:eastAsia="仿宋" w:cs="仿宋"/>
          <w:bCs/>
          <w:snapToGrid/>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14:paraId="0A4E8149">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一、项目基本情况                                            </w:t>
      </w:r>
    </w:p>
    <w:p w14:paraId="2A52880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w:t>
      </w:r>
      <w:r>
        <w:rPr>
          <w:rFonts w:hint="eastAsia" w:ascii="仿宋" w:hAnsi="仿宋" w:eastAsia="仿宋" w:cs="仿宋"/>
          <w:bCs/>
          <w:color w:val="000000" w:themeColor="text1"/>
          <w:sz w:val="24"/>
          <w:highlight w:val="none"/>
          <w:lang w:val="zh-TW" w:eastAsia="zh-CN"/>
          <w14:textFill>
            <w14:solidFill>
              <w14:schemeClr w14:val="tx1"/>
            </w14:solidFill>
          </w14:textFill>
        </w:rPr>
        <w:t>kxqz2024196-1</w:t>
      </w:r>
    </w:p>
    <w:p w14:paraId="058C8EF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u w:val="none"/>
          <w:lang w:eastAsia="zh-CN"/>
          <w14:textFill>
            <w14:solidFill>
              <w14:schemeClr w14:val="tx1"/>
            </w14:solidFill>
          </w14:textFill>
        </w:rPr>
        <w:t>衢州市柯城区白云街道社区居家养老服务照料中心建设设备物品采购项目</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p>
    <w:p w14:paraId="5F79560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预算金额（元）：</w:t>
      </w:r>
      <w:r>
        <w:rPr>
          <w:rFonts w:hint="eastAsia" w:ascii="仿宋" w:hAnsi="仿宋" w:eastAsia="仿宋" w:cs="仿宋"/>
          <w:color w:val="000000" w:themeColor="text1"/>
          <w:sz w:val="24"/>
          <w:highlight w:val="none"/>
          <w:u w:val="none"/>
          <w:lang w:eastAsia="zh-CN"/>
          <w14:textFill>
            <w14:solidFill>
              <w14:schemeClr w14:val="tx1"/>
            </w14:solidFill>
          </w14:textFill>
        </w:rPr>
        <w:t xml:space="preserve">359060 </w:t>
      </w:r>
    </w:p>
    <w:p w14:paraId="7913ADB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000000" w:themeColor="text1"/>
          <w:sz w:val="24"/>
          <w:highlight w:val="none"/>
          <w:lang w:val="en-US"/>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最高限价（元）：</w:t>
      </w:r>
      <w:r>
        <w:rPr>
          <w:rFonts w:hint="eastAsia" w:ascii="仿宋" w:hAnsi="仿宋" w:eastAsia="仿宋" w:cs="仿宋"/>
          <w:color w:val="000000" w:themeColor="text1"/>
          <w:sz w:val="24"/>
          <w:highlight w:val="none"/>
          <w:u w:val="none"/>
          <w:lang w:val="en-US" w:eastAsia="zh-CN"/>
          <w14:textFill>
            <w14:solidFill>
              <w14:schemeClr w14:val="tx1"/>
            </w14:solidFill>
          </w14:textFill>
        </w:rPr>
        <w:t>359060</w:t>
      </w:r>
    </w:p>
    <w:p w14:paraId="2E32AE9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采购需求：</w:t>
      </w:r>
    </w:p>
    <w:p w14:paraId="23321C3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标项一：</w:t>
      </w:r>
    </w:p>
    <w:p w14:paraId="15FE07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标项名称：</w:t>
      </w:r>
      <w:r>
        <w:rPr>
          <w:rFonts w:hint="eastAsia" w:ascii="仿宋" w:hAnsi="仿宋" w:eastAsia="仿宋" w:cs="仿宋"/>
          <w:color w:val="000000" w:themeColor="text1"/>
          <w:sz w:val="24"/>
          <w:highlight w:val="none"/>
          <w:u w:val="none"/>
          <w:lang w:eastAsia="zh-CN"/>
          <w14:textFill>
            <w14:solidFill>
              <w14:schemeClr w14:val="tx1"/>
            </w14:solidFill>
          </w14:textFill>
        </w:rPr>
        <w:t>衢州市柯城区白云街道社区居家养老服务照料中心建设设备物品采购</w:t>
      </w:r>
      <w:r>
        <w:rPr>
          <w:rFonts w:hint="eastAsia" w:ascii="仿宋" w:hAnsi="仿宋" w:eastAsia="仿宋" w:cs="仿宋"/>
          <w:bCs/>
          <w:color w:val="000000" w:themeColor="text1"/>
          <w:sz w:val="24"/>
          <w:highlight w:val="none"/>
          <w:lang w:val="en-US" w:eastAsia="zh-CN"/>
          <w14:textFill>
            <w14:solidFill>
              <w14:schemeClr w14:val="tx1"/>
            </w14:solidFill>
          </w14:textFill>
        </w:rPr>
        <w:t>项目</w:t>
      </w:r>
    </w:p>
    <w:p w14:paraId="58B1AE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数量：1项</w:t>
      </w:r>
    </w:p>
    <w:p w14:paraId="70F88AE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预算金额：359060元</w:t>
      </w:r>
    </w:p>
    <w:p w14:paraId="74F832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主要内容：包括适老化家具、设备等采购；详见招标文件。</w:t>
      </w:r>
    </w:p>
    <w:p w14:paraId="7064E5F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合同履行期限：合同签订后40日内完成及验收合格交付使用。</w:t>
      </w:r>
    </w:p>
    <w:p w14:paraId="076BCD3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w:t>
      </w:r>
      <w:r>
        <w:rPr>
          <w:rFonts w:hint="eastAsia" w:ascii="仿宋" w:hAnsi="仿宋" w:eastAsia="仿宋" w:cs="仿宋"/>
          <w:b/>
          <w:color w:val="000000" w:themeColor="text1"/>
          <w:sz w:val="24"/>
          <w:highlight w:val="none"/>
          <w:lang w:val="en-US" w:eastAsia="zh-CN"/>
          <w14:textFill>
            <w14:solidFill>
              <w14:schemeClr w14:val="tx1"/>
            </w14:solidFill>
          </w14:textFill>
        </w:rPr>
        <w:t>是</w:t>
      </w:r>
      <w:r>
        <w:rPr>
          <w:rFonts w:hint="eastAsia" w:ascii="仿宋" w:hAnsi="仿宋" w:eastAsia="仿宋" w:cs="仿宋"/>
          <w:b/>
          <w:color w:val="000000" w:themeColor="text1"/>
          <w:sz w:val="24"/>
          <w:highlight w:val="none"/>
          <w14:textFill>
            <w14:solidFill>
              <w14:schemeClr w14:val="tx1"/>
            </w14:solidFill>
          </w14:textFill>
        </w:rPr>
        <w:t>）接受联合体投标。</w:t>
      </w:r>
    </w:p>
    <w:p w14:paraId="7F23B321">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二、申请人的资格要求：</w:t>
      </w:r>
    </w:p>
    <w:p w14:paraId="110A99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满足《中华人民共和国政府采购法》第二十二条规定；未被“信用中国”（www.creditchina.gov.cn)、中国政府采购网（www.ccgp.gov.cn）列入失信被执行人、重大税收违法案件当事人名单、政府采购严重违法失信行为记录名单；</w:t>
      </w:r>
    </w:p>
    <w:p w14:paraId="180E2F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000000" w:themeColor="text1"/>
          <w:kern w:val="28"/>
          <w:sz w:val="24"/>
          <w:szCs w:val="20"/>
          <w:highlight w:val="none"/>
          <w:lang w:eastAsia="zh-CN"/>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w:t>
      </w:r>
      <w:r>
        <w:rPr>
          <w:rFonts w:hint="eastAsia" w:ascii="仿宋" w:hAnsi="仿宋" w:eastAsia="仿宋" w:cs="仿宋"/>
          <w:snapToGrid w:val="0"/>
          <w:color w:val="000000" w:themeColor="text1"/>
          <w:kern w:val="28"/>
          <w:sz w:val="24"/>
          <w:szCs w:val="20"/>
          <w:highlight w:val="none"/>
          <w:lang w:val="en-US" w:eastAsia="zh-CN"/>
          <w14:textFill>
            <w14:solidFill>
              <w14:schemeClr w14:val="tx1"/>
            </w14:solidFill>
          </w14:textFill>
        </w:rPr>
        <w:t>.</w:t>
      </w:r>
      <w:r>
        <w:rPr>
          <w:rFonts w:hint="eastAsia" w:ascii="仿宋" w:hAnsi="仿宋" w:eastAsia="仿宋" w:cs="仿宋"/>
          <w:snapToGrid w:val="0"/>
          <w:color w:val="000000" w:themeColor="text1"/>
          <w:kern w:val="28"/>
          <w:sz w:val="24"/>
          <w:szCs w:val="20"/>
          <w:highlight w:val="none"/>
          <w14:textFill>
            <w14:solidFill>
              <w14:schemeClr w14:val="tx1"/>
            </w14:solidFill>
          </w14:textFill>
        </w:rPr>
        <w:t>落实政府采购政策需满足的资格要求：</w:t>
      </w:r>
      <w:r>
        <w:rPr>
          <w:rFonts w:hint="eastAsia" w:ascii="仿宋" w:hAnsi="仿宋" w:eastAsia="仿宋" w:cs="仿宋"/>
          <w:snapToGrid w:val="0"/>
          <w:color w:val="000000" w:themeColor="text1"/>
          <w:kern w:val="28"/>
          <w:sz w:val="24"/>
          <w:szCs w:val="20"/>
          <w:highlight w:val="none"/>
          <w:lang w:val="en-US" w:eastAsia="zh-CN"/>
          <w14:textFill>
            <w14:solidFill>
              <w14:schemeClr w14:val="tx1"/>
            </w14:solidFill>
          </w14:textFill>
        </w:rPr>
        <w:t>标项1：</w:t>
      </w:r>
      <w:r>
        <w:rPr>
          <w:rFonts w:hint="eastAsia" w:ascii="仿宋" w:hAnsi="仿宋" w:eastAsia="仿宋" w:cs="仿宋"/>
          <w:snapToGrid w:val="0"/>
          <w:color w:val="000000" w:themeColor="text1"/>
          <w:kern w:val="28"/>
          <w:sz w:val="24"/>
          <w:szCs w:val="20"/>
          <w:highlight w:val="none"/>
          <w14:textFill>
            <w14:solidFill>
              <w14:schemeClr w14:val="tx1"/>
            </w14:solidFill>
          </w14:textFill>
        </w:rPr>
        <w:t>本项目属于专门面向中小企业的项目</w:t>
      </w:r>
      <w:r>
        <w:rPr>
          <w:rFonts w:hint="eastAsia" w:ascii="仿宋" w:hAnsi="仿宋" w:eastAsia="仿宋" w:cs="仿宋"/>
          <w:snapToGrid w:val="0"/>
          <w:color w:val="000000" w:themeColor="text1"/>
          <w:kern w:val="28"/>
          <w:sz w:val="24"/>
          <w:szCs w:val="20"/>
          <w:highlight w:val="none"/>
          <w:lang w:eastAsia="zh-CN"/>
          <w14:textFill>
            <w14:solidFill>
              <w14:schemeClr w14:val="tx1"/>
            </w14:solidFill>
          </w14:textFill>
        </w:rPr>
        <w:t>。</w:t>
      </w:r>
    </w:p>
    <w:p w14:paraId="19AB8890">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.本项目的特定资格要求：</w:t>
      </w:r>
    </w:p>
    <w:p w14:paraId="725F8334">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3.1如是医疗器械，提供有效的投标产品《医疗器械注册证》或医疗器械备案表；</w:t>
      </w:r>
    </w:p>
    <w:p w14:paraId="5A6FFBB4">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供应商（如组成联合体投标的，联合体成员中至少有一家供应商）须具备下列条件之一：①供应商为医疗器械生产企业的：第二类、第三类医疗器械生产企业提供《医疗器械生产许可证》，第一类医疗器械生产企业提供第一类医疗器械生产备案凭证；②供应商为医疗器械经营企业的：第三类医疗器械经营企业提供《医疗器械经营许可证》，第一、第二类医疗器械经营企业提供第一、第二类医疗器械经营备案凭证；（如是医疗器械提供）；</w:t>
      </w:r>
    </w:p>
    <w:p w14:paraId="333B868F">
      <w:pPr>
        <w:numPr>
          <w:ilvl w:val="0"/>
          <w:numId w:val="1"/>
        </w:numPr>
        <w:autoSpaceDE w:val="0"/>
        <w:autoSpaceDN w:val="0"/>
        <w:adjustRightInd w:val="0"/>
        <w:spacing w:line="288" w:lineRule="auto"/>
        <w:ind w:right="-20"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单位负责人为同一人或者存在直接控股、管理关系的不同供应商，不得参加同一合同项下的政府采购活动</w:t>
      </w:r>
      <w:r>
        <w:rPr>
          <w:rFonts w:hint="eastAsia" w:ascii="仿宋" w:hAnsi="仿宋" w:eastAsia="仿宋" w:cs="仿宋"/>
          <w:color w:val="000000" w:themeColor="text1"/>
          <w:sz w:val="24"/>
          <w:highlight w:val="none"/>
          <w:lang w:val="en-US" w:eastAsia="zh-CN"/>
          <w14:textFill>
            <w14:solidFill>
              <w14:schemeClr w14:val="tx1"/>
            </w14:solidFill>
          </w14:textFill>
        </w:rPr>
        <w:t>；</w:t>
      </w:r>
    </w:p>
    <w:p w14:paraId="04F5A2EE">
      <w:pPr>
        <w:numPr>
          <w:ilvl w:val="0"/>
          <w:numId w:val="1"/>
        </w:numPr>
        <w:autoSpaceDE w:val="0"/>
        <w:autoSpaceDN w:val="0"/>
        <w:adjustRightInd w:val="0"/>
        <w:spacing w:line="288" w:lineRule="auto"/>
        <w:ind w:right="-20"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接受联合体，联合体参加本项目政府采购应满足以下条件：</w:t>
      </w:r>
    </w:p>
    <w:p w14:paraId="3EC7E5BA">
      <w:pPr>
        <w:autoSpaceDE w:val="0"/>
        <w:autoSpaceDN w:val="0"/>
        <w:adjustRightInd w:val="0"/>
        <w:spacing w:line="288" w:lineRule="auto"/>
        <w:ind w:right="-20"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①两个以上的自然人、法人或者其他组织可以组成一个联合体，以一个投标人的身份共同参加本项目政府采购活动，联合体在投标文件中提供联合体协议并明确分工；</w:t>
      </w:r>
    </w:p>
    <w:p w14:paraId="3A4233E5">
      <w:pPr>
        <w:autoSpaceDE w:val="0"/>
        <w:autoSpaceDN w:val="0"/>
        <w:adjustRightInd w:val="0"/>
        <w:spacing w:line="288" w:lineRule="auto"/>
        <w:ind w:right="-20" w:firstLine="480" w:firstLineChars="20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②联合体中有同类资质的供应商按照联合体分工承担相同工作，按资质等级较低的供应商确定资质等级；</w:t>
      </w:r>
      <w:r>
        <w:rPr>
          <w:rFonts w:hint="eastAsia" w:ascii="仿宋" w:hAnsi="仿宋" w:eastAsia="仿宋" w:cs="仿宋"/>
          <w:color w:val="000000" w:themeColor="text1"/>
          <w:sz w:val="24"/>
          <w:szCs w:val="24"/>
          <w:highlight w:val="none"/>
          <w:lang w:val="en-US" w:eastAsia="zh-CN"/>
          <w14:textFill>
            <w14:solidFill>
              <w14:schemeClr w14:val="tx1"/>
            </w14:solidFill>
          </w14:textFill>
        </w:rPr>
        <w:t>联合体中特定资格按照联合体分工承担的工作确定资格；</w:t>
      </w:r>
    </w:p>
    <w:p w14:paraId="7D1EB853">
      <w:pPr>
        <w:autoSpaceDE w:val="0"/>
        <w:autoSpaceDN w:val="0"/>
        <w:adjustRightInd w:val="0"/>
        <w:spacing w:line="288" w:lineRule="auto"/>
        <w:ind w:right="-20"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③联合体各方不得再单独参加或与其他供应商另外组成联合体参加本项目政府采购活动。</w:t>
      </w:r>
    </w:p>
    <w:p w14:paraId="4749301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三、获取招标文件 </w:t>
      </w:r>
    </w:p>
    <w:p w14:paraId="53CCE9D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Fonts w:hint="eastAsia" w:ascii="仿宋" w:hAnsi="仿宋" w:eastAsia="仿宋" w:cs="仿宋"/>
          <w:color w:val="000000" w:themeColor="text1"/>
          <w:sz w:val="24"/>
          <w:highlight w:val="none"/>
          <w:lang w:eastAsia="zh-CN"/>
          <w14:textFill>
            <w14:solidFill>
              <w14:schemeClr w14:val="tx1"/>
            </w14:solidFill>
          </w14:textFill>
        </w:rPr>
        <w:t>2025年03月31日</w:t>
      </w:r>
      <w:r>
        <w:rPr>
          <w:rFonts w:hint="eastAsia" w:ascii="仿宋" w:hAnsi="仿宋" w:eastAsia="仿宋"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1B51BC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6294074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5B91AF3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0</w:t>
      </w:r>
    </w:p>
    <w:p w14:paraId="12626A0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四、提交投标文件截止时间、开标时间和地点</w:t>
      </w:r>
    </w:p>
    <w:p w14:paraId="584205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eastAsia="zh-CN"/>
          <w14:textFill>
            <w14:solidFill>
              <w14:schemeClr w14:val="tx1"/>
            </w14:solidFill>
          </w14:textFill>
        </w:rPr>
        <w:t>2025年03月31日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09</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highlight w:val="none"/>
          <w:u w:val="single"/>
          <w14:textFill>
            <w14:solidFill>
              <w14:schemeClr w14:val="tx1"/>
            </w14:solidFill>
          </w14:textFill>
        </w:rPr>
        <w:t>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00</w:t>
      </w:r>
      <w:r>
        <w:rPr>
          <w:rFonts w:hint="eastAsia" w:ascii="仿宋" w:hAnsi="仿宋" w:eastAsia="仿宋" w:cs="仿宋"/>
          <w:color w:val="000000" w:themeColor="text1"/>
          <w:sz w:val="24"/>
          <w:highlight w:val="none"/>
          <w:u w:val="single"/>
          <w14:textFill>
            <w14:solidFill>
              <w14:schemeClr w14:val="tx1"/>
            </w14:solidFill>
          </w14:textFill>
        </w:rPr>
        <w:t>秒</w:t>
      </w:r>
      <w:r>
        <w:rPr>
          <w:rFonts w:hint="eastAsia" w:ascii="仿宋" w:hAnsi="仿宋" w:eastAsia="仿宋" w:cs="仿宋"/>
          <w:color w:val="000000" w:themeColor="text1"/>
          <w:sz w:val="24"/>
          <w:highlight w:val="none"/>
          <w14:textFill>
            <w14:solidFill>
              <w14:schemeClr w14:val="tx1"/>
            </w14:solidFill>
          </w14:textFill>
        </w:rPr>
        <w:t>（北京时间）</w:t>
      </w:r>
    </w:p>
    <w:p w14:paraId="744B729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72107A2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eastAsia="zh-CN"/>
          <w14:textFill>
            <w14:solidFill>
              <w14:schemeClr w14:val="tx1"/>
            </w14:solidFill>
          </w14:textFill>
        </w:rPr>
        <w:t>2025年03月31日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09</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highlight w:val="none"/>
          <w:u w:val="single"/>
          <w14:textFill>
            <w14:solidFill>
              <w14:schemeClr w14:val="tx1"/>
            </w14:solidFill>
          </w14:textFill>
        </w:rPr>
        <w:t>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00</w:t>
      </w:r>
      <w:r>
        <w:rPr>
          <w:rFonts w:hint="eastAsia" w:ascii="仿宋" w:hAnsi="仿宋" w:eastAsia="仿宋" w:cs="仿宋"/>
          <w:color w:val="000000" w:themeColor="text1"/>
          <w:sz w:val="24"/>
          <w:highlight w:val="none"/>
          <w:u w:val="single"/>
          <w14:textFill>
            <w14:solidFill>
              <w14:schemeClr w14:val="tx1"/>
            </w14:solidFill>
          </w14:textFill>
        </w:rPr>
        <w:t>秒</w:t>
      </w:r>
    </w:p>
    <w:p w14:paraId="49DDCA3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开标地点（网址）：</w:t>
      </w:r>
      <w:r>
        <w:rPr>
          <w:rFonts w:hint="eastAsia" w:ascii="仿宋" w:hAnsi="仿宋" w:eastAsia="仿宋" w:cs="仿宋"/>
          <w:color w:val="000000" w:themeColor="text1"/>
          <w:sz w:val="24"/>
          <w:highlight w:val="none"/>
          <w14:textFill>
            <w14:solidFill>
              <w14:schemeClr w14:val="tx1"/>
            </w14:solidFill>
          </w14:textFill>
        </w:rPr>
        <w:t>政采云平台（https://www.zcygov.cn/）</w:t>
      </w:r>
    </w:p>
    <w:p w14:paraId="13F2A35A">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五、公告期限 </w:t>
      </w:r>
    </w:p>
    <w:p w14:paraId="43DEC38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14:paraId="6A3AC1D3">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六、其他补充事宜</w:t>
      </w:r>
    </w:p>
    <w:p w14:paraId="58B4352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（浙财采监（2022）8号）已分别于2022年1月29日、2022月1日和2022年7月1日开始实施，此前有关规定与上述文件内容不一致的，按上述文件要求执行。</w:t>
      </w:r>
    </w:p>
    <w:p w14:paraId="21314FF6">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0BC3796">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92796C0">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D15E26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七、对本次采购提出询问、质疑、投诉，请按以下方式联系</w:t>
      </w:r>
    </w:p>
    <w:p w14:paraId="5BB94B86">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5" w:name="_Toc28359019"/>
      <w:bookmarkStart w:id="6" w:name="_Toc35393637"/>
      <w:bookmarkStart w:id="7" w:name="_Toc35393806"/>
      <w:bookmarkStart w:id="8" w:name="_Toc28359096"/>
      <w:r>
        <w:rPr>
          <w:rFonts w:hint="eastAsia" w:ascii="仿宋" w:hAnsi="仿宋" w:eastAsia="仿宋" w:cs="仿宋"/>
          <w:color w:val="000000" w:themeColor="text1"/>
          <w:sz w:val="24"/>
          <w:szCs w:val="24"/>
          <w:highlight w:val="none"/>
          <w14:textFill>
            <w14:solidFill>
              <w14:schemeClr w14:val="tx1"/>
            </w14:solidFill>
          </w14:textFill>
        </w:rPr>
        <w:t>1.采购人信息</w:t>
      </w:r>
      <w:bookmarkEnd w:id="5"/>
      <w:bookmarkEnd w:id="6"/>
      <w:bookmarkEnd w:id="7"/>
      <w:bookmarkEnd w:id="8"/>
      <w:r>
        <w:rPr>
          <w:rFonts w:hint="eastAsia" w:ascii="仿宋" w:hAnsi="仿宋" w:eastAsia="仿宋" w:cs="仿宋"/>
          <w:color w:val="000000" w:themeColor="text1"/>
          <w:sz w:val="24"/>
          <w:szCs w:val="24"/>
          <w:highlight w:val="none"/>
          <w14:textFill>
            <w14:solidFill>
              <w14:schemeClr w14:val="tx1"/>
            </w14:solidFill>
          </w14:textFill>
        </w:rPr>
        <w:t>：</w:t>
      </w:r>
    </w:p>
    <w:p w14:paraId="2F1CFA8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eastAsia="zh-CN"/>
          <w14:textFill>
            <w14:solidFill>
              <w14:schemeClr w14:val="tx1"/>
            </w14:solidFill>
          </w14:textFill>
        </w:rPr>
        <w:t xml:space="preserve">衢州市柯城区白云街道办事处 </w:t>
      </w:r>
    </w:p>
    <w:p w14:paraId="332857B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lang w:eastAsia="zh-CN"/>
          <w14:textFill>
            <w14:solidFill>
              <w14:schemeClr w14:val="tx1"/>
            </w14:solidFill>
          </w14:textFill>
        </w:rPr>
        <w:t>衢州市柯城区白云街道九华北大道333号</w:t>
      </w:r>
    </w:p>
    <w:p w14:paraId="58107AF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w:t>
      </w:r>
      <w:r>
        <w:rPr>
          <w:rFonts w:hint="eastAsia" w:ascii="仿宋" w:hAnsi="仿宋" w:eastAsia="仿宋" w:cs="仿宋"/>
          <w:color w:val="000000" w:themeColor="text1"/>
          <w:sz w:val="24"/>
          <w:highlight w:val="none"/>
          <w:lang w:eastAsia="zh-CN"/>
          <w14:textFill>
            <w14:solidFill>
              <w14:schemeClr w14:val="tx1"/>
            </w14:solidFill>
          </w14:textFill>
        </w:rPr>
        <w:t>（询问）：</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傅炎伟  </w:t>
      </w:r>
    </w:p>
    <w:p w14:paraId="7065B5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项目联系方式（询问）：0570-3016557</w:t>
      </w:r>
    </w:p>
    <w:p w14:paraId="0392642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质疑联系人：田宏婷</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p>
    <w:p w14:paraId="21E459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质疑联系方式：0570-3016557</w:t>
      </w:r>
    </w:p>
    <w:p w14:paraId="4C333216">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9" w:name="_Toc28359097"/>
      <w:bookmarkStart w:id="10" w:name="_Toc28359020"/>
      <w:bookmarkStart w:id="11" w:name="_Toc35393638"/>
      <w:bookmarkStart w:id="12" w:name="_Toc35393807"/>
      <w:r>
        <w:rPr>
          <w:rFonts w:hint="eastAsia" w:ascii="仿宋" w:hAnsi="仿宋" w:eastAsia="仿宋" w:cs="仿宋"/>
          <w:color w:val="000000" w:themeColor="text1"/>
          <w:sz w:val="24"/>
          <w:szCs w:val="24"/>
          <w:highlight w:val="none"/>
          <w14:textFill>
            <w14:solidFill>
              <w14:schemeClr w14:val="tx1"/>
            </w14:solidFill>
          </w14:textFill>
        </w:rPr>
        <w:t>2.采购代理机构信息</w:t>
      </w:r>
      <w:bookmarkEnd w:id="9"/>
      <w:bookmarkEnd w:id="10"/>
      <w:bookmarkEnd w:id="11"/>
      <w:bookmarkEnd w:id="12"/>
      <w:r>
        <w:rPr>
          <w:rFonts w:hint="eastAsia" w:ascii="仿宋" w:hAnsi="仿宋" w:eastAsia="仿宋" w:cs="仿宋"/>
          <w:color w:val="000000" w:themeColor="text1"/>
          <w:sz w:val="24"/>
          <w:szCs w:val="24"/>
          <w:highlight w:val="none"/>
          <w14:textFill>
            <w14:solidFill>
              <w14:schemeClr w14:val="tx1"/>
            </w14:solidFill>
          </w14:textFill>
        </w:rPr>
        <w:t>：</w:t>
      </w:r>
    </w:p>
    <w:p w14:paraId="745218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名    称：科信联合工程咨询有限公司             </w:t>
      </w:r>
    </w:p>
    <w:p w14:paraId="29F5D5F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地    址：衢州市柯城区花园中大道91号鑫港大厦14楼1403室 </w:t>
      </w:r>
    </w:p>
    <w:p w14:paraId="0F419A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bookmarkStart w:id="13" w:name="_Toc28359098"/>
      <w:bookmarkStart w:id="14" w:name="_Toc35393639"/>
      <w:bookmarkStart w:id="15" w:name="_Toc28359021"/>
      <w:bookmarkStart w:id="16" w:name="_Toc35393808"/>
      <w:r>
        <w:rPr>
          <w:rFonts w:hint="eastAsia" w:ascii="仿宋" w:hAnsi="仿宋" w:eastAsia="仿宋" w:cs="仿宋"/>
          <w:color w:val="000000" w:themeColor="text1"/>
          <w:sz w:val="24"/>
          <w:highlight w:val="none"/>
          <w:lang w:eastAsia="zh-CN"/>
          <w14:textFill>
            <w14:solidFill>
              <w14:schemeClr w14:val="tx1"/>
            </w14:solidFill>
          </w14:textFill>
        </w:rPr>
        <w:t>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汪工</w:t>
      </w:r>
      <w:r>
        <w:rPr>
          <w:rFonts w:hint="eastAsia" w:ascii="仿宋" w:hAnsi="仿宋" w:eastAsia="仿宋" w:cs="仿宋"/>
          <w:color w:val="000000" w:themeColor="text1"/>
          <w:sz w:val="24"/>
          <w:highlight w:val="none"/>
          <w:lang w:eastAsia="zh-CN"/>
          <w14:textFill>
            <w14:solidFill>
              <w14:schemeClr w14:val="tx1"/>
            </w14:solidFill>
          </w14:textFill>
        </w:rPr>
        <w:t> </w:t>
      </w:r>
    </w:p>
    <w:p w14:paraId="051FF5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项目联系方式（询问）： 0570-</w:t>
      </w:r>
      <w:r>
        <w:rPr>
          <w:rFonts w:hint="eastAsia" w:ascii="仿宋" w:hAnsi="仿宋" w:eastAsia="仿宋" w:cs="仿宋"/>
          <w:color w:val="000000" w:themeColor="text1"/>
          <w:sz w:val="24"/>
          <w:highlight w:val="none"/>
          <w:lang w:val="en-US" w:eastAsia="zh-CN"/>
          <w14:textFill>
            <w14:solidFill>
              <w14:schemeClr w14:val="tx1"/>
            </w14:solidFill>
          </w14:textFill>
        </w:rPr>
        <w:t>3392898</w:t>
      </w:r>
    </w:p>
    <w:p w14:paraId="6A3BDD1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质疑联系人：</w:t>
      </w:r>
      <w:r>
        <w:rPr>
          <w:rFonts w:hint="eastAsia" w:ascii="仿宋" w:hAnsi="仿宋" w:eastAsia="仿宋" w:cs="仿宋"/>
          <w:color w:val="000000" w:themeColor="text1"/>
          <w:sz w:val="24"/>
          <w:highlight w:val="none"/>
          <w:lang w:val="en-US" w:eastAsia="zh-CN"/>
          <w14:textFill>
            <w14:solidFill>
              <w14:schemeClr w14:val="tx1"/>
            </w14:solidFill>
          </w14:textFill>
        </w:rPr>
        <w:t>毛红娟</w:t>
      </w:r>
    </w:p>
    <w:p w14:paraId="7DC37BD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质疑联系方式：0570-</w:t>
      </w:r>
      <w:r>
        <w:rPr>
          <w:rFonts w:hint="eastAsia" w:ascii="仿宋" w:hAnsi="仿宋" w:eastAsia="仿宋" w:cs="仿宋"/>
          <w:color w:val="000000" w:themeColor="text1"/>
          <w:sz w:val="24"/>
          <w:highlight w:val="none"/>
          <w:lang w:val="en-US" w:eastAsia="zh-CN"/>
          <w14:textFill>
            <w14:solidFill>
              <w14:schemeClr w14:val="tx1"/>
            </w14:solidFill>
          </w14:textFill>
        </w:rPr>
        <w:t>3392897</w:t>
      </w:r>
    </w:p>
    <w:p w14:paraId="6DBDD6D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 xml:space="preserve"> 同级政府采购监督管理部门：            </w:t>
      </w:r>
    </w:p>
    <w:bookmarkEnd w:id="13"/>
    <w:bookmarkEnd w:id="14"/>
    <w:bookmarkEnd w:id="15"/>
    <w:bookmarkEnd w:id="16"/>
    <w:p w14:paraId="548C2C2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名    称：</w:t>
      </w:r>
      <w:r>
        <w:rPr>
          <w:rFonts w:hint="eastAsia" w:ascii="仿宋" w:hAnsi="仿宋" w:eastAsia="仿宋" w:cs="仿宋"/>
          <w:color w:val="000000" w:themeColor="text1"/>
          <w:sz w:val="24"/>
          <w:highlight w:val="none"/>
          <w:lang w:val="en-US" w:eastAsia="zh-CN"/>
          <w14:textFill>
            <w14:solidFill>
              <w14:schemeClr w14:val="tx1"/>
            </w14:solidFill>
          </w14:textFill>
        </w:rPr>
        <w:t>柯城区</w:t>
      </w:r>
      <w:r>
        <w:rPr>
          <w:rFonts w:hint="eastAsia" w:ascii="仿宋" w:hAnsi="仿宋" w:eastAsia="仿宋" w:cs="仿宋"/>
          <w:color w:val="000000" w:themeColor="text1"/>
          <w:sz w:val="24"/>
          <w:highlight w:val="none"/>
          <w:lang w:eastAsia="zh-CN"/>
          <w14:textFill>
            <w14:solidFill>
              <w14:schemeClr w14:val="tx1"/>
            </w14:solidFill>
          </w14:textFill>
        </w:rPr>
        <w:t>财政局</w:t>
      </w:r>
    </w:p>
    <w:p w14:paraId="4A7F22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地    址：</w:t>
      </w:r>
      <w:r>
        <w:rPr>
          <w:rFonts w:hint="eastAsia" w:ascii="仿宋" w:hAnsi="仿宋" w:eastAsia="仿宋" w:cs="仿宋"/>
          <w:i w:val="0"/>
          <w:iCs w:val="0"/>
          <w:caps w:val="0"/>
          <w:color w:val="000000" w:themeColor="text1"/>
          <w:spacing w:val="0"/>
          <w:sz w:val="24"/>
          <w:szCs w:val="24"/>
          <w:highlight w:val="none"/>
          <w:shd w:val="clear"/>
          <w14:textFill>
            <w14:solidFill>
              <w14:schemeClr w14:val="tx1"/>
            </w14:solidFill>
          </w14:textFill>
        </w:rPr>
        <w:t>衢州市柯城区荷三路231号</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 xml:space="preserve"> </w:t>
      </w:r>
    </w:p>
    <w:p w14:paraId="14F26B1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联系人：</w:t>
      </w:r>
      <w:r>
        <w:rPr>
          <w:rFonts w:hint="eastAsia" w:ascii="仿宋" w:hAnsi="仿宋" w:eastAsia="仿宋" w:cs="仿宋"/>
          <w:color w:val="000000" w:themeColor="text1"/>
          <w:sz w:val="24"/>
          <w:highlight w:val="none"/>
          <w:lang w:val="en-US" w:eastAsia="zh-CN"/>
          <w14:textFill>
            <w14:solidFill>
              <w14:schemeClr w14:val="tx1"/>
            </w14:solidFill>
          </w14:textFill>
        </w:rPr>
        <w:t>蒋</w:t>
      </w:r>
      <w:r>
        <w:rPr>
          <w:rFonts w:hint="eastAsia" w:ascii="仿宋" w:hAnsi="仿宋" w:eastAsia="仿宋" w:cs="仿宋"/>
          <w:color w:val="000000" w:themeColor="text1"/>
          <w:sz w:val="24"/>
          <w:highlight w:val="none"/>
          <w:lang w:eastAsia="zh-CN"/>
          <w14:textFill>
            <w14:solidFill>
              <w14:schemeClr w14:val="tx1"/>
            </w14:solidFill>
          </w14:textFill>
        </w:rPr>
        <w:t>先生</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p>
    <w:p w14:paraId="71FE72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监督投诉电话：0570-</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3020829 </w:t>
      </w:r>
      <w:r>
        <w:rPr>
          <w:rFonts w:hint="eastAsia" w:ascii="仿宋" w:hAnsi="仿宋" w:eastAsia="仿宋" w:cs="仿宋"/>
          <w:color w:val="000000" w:themeColor="text1"/>
          <w:sz w:val="24"/>
          <w:highlight w:val="none"/>
          <w:lang w:eastAsia="zh-CN"/>
          <w14:textFill>
            <w14:solidFill>
              <w14:schemeClr w14:val="tx1"/>
            </w14:solidFill>
          </w14:textFill>
        </w:rPr>
        <w:t xml:space="preserve">    </w:t>
      </w:r>
    </w:p>
    <w:p w14:paraId="62E460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50270A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14:paraId="5D6E3B72">
      <w:pPr>
        <w:widowControl/>
        <w:adjustRightInd/>
        <w:jc w:val="left"/>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p w14:paraId="26244A5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w:t>
      </w:r>
      <w:bookmarkEnd w:id="2"/>
      <w:r>
        <w:rPr>
          <w:rFonts w:hint="eastAsia" w:ascii="仿宋" w:hAnsi="仿宋" w:eastAsia="仿宋" w:cs="仿宋"/>
          <w:b/>
          <w:color w:val="000000" w:themeColor="text1"/>
          <w:sz w:val="36"/>
          <w:szCs w:val="20"/>
          <w:highlight w:val="none"/>
          <w14:textFill>
            <w14:solidFill>
              <w14:schemeClr w14:val="tx1"/>
            </w14:solidFill>
          </w14:textFill>
        </w:rPr>
        <w:t xml:space="preserve"> 投标须知</w:t>
      </w:r>
      <w:bookmarkEnd w:id="3"/>
    </w:p>
    <w:p w14:paraId="7668A88E">
      <w:pPr>
        <w:adjustRightInd/>
        <w:spacing w:line="360" w:lineRule="auto"/>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412"/>
        <w:gridCol w:w="7195"/>
      </w:tblGrid>
      <w:tr w14:paraId="5EE2A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33" w:type="dxa"/>
            <w:vAlign w:val="center"/>
          </w:tcPr>
          <w:p w14:paraId="2FDEBC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607" w:type="dxa"/>
            <w:gridSpan w:val="2"/>
            <w:vAlign w:val="center"/>
          </w:tcPr>
          <w:p w14:paraId="6A4A24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6ABE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633" w:type="dxa"/>
            <w:vAlign w:val="center"/>
          </w:tcPr>
          <w:p w14:paraId="5E7D0AD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607" w:type="dxa"/>
            <w:gridSpan w:val="2"/>
            <w:vAlign w:val="center"/>
          </w:tcPr>
          <w:p w14:paraId="2D8E3B3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3CDED0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highlight w:val="none"/>
                <w14:textFill>
                  <w14:solidFill>
                    <w14:schemeClr w14:val="tx1"/>
                  </w14:solidFill>
                </w14:textFill>
              </w:rPr>
              <w:t>1.资格后审。</w:t>
            </w:r>
          </w:p>
          <w:p w14:paraId="4481C15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sz w:val="24"/>
                <w:highlight w:val="none"/>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000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3" w:type="dxa"/>
            <w:vAlign w:val="center"/>
          </w:tcPr>
          <w:p w14:paraId="31AA138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607" w:type="dxa"/>
            <w:gridSpan w:val="2"/>
            <w:vAlign w:val="center"/>
          </w:tcPr>
          <w:p w14:paraId="358E9C9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14:paraId="7A5B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3" w:type="dxa"/>
            <w:vAlign w:val="center"/>
          </w:tcPr>
          <w:p w14:paraId="4FEDD6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607" w:type="dxa"/>
            <w:gridSpan w:val="2"/>
            <w:vAlign w:val="center"/>
          </w:tcPr>
          <w:p w14:paraId="201D675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60B2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633" w:type="dxa"/>
            <w:vAlign w:val="center"/>
          </w:tcPr>
          <w:p w14:paraId="3EF3FD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607" w:type="dxa"/>
            <w:gridSpan w:val="2"/>
            <w:vAlign w:val="center"/>
          </w:tcPr>
          <w:p w14:paraId="499A5D5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1）</w:t>
            </w:r>
            <w:r>
              <w:rPr>
                <w:rFonts w:hint="eastAsia" w:ascii="仿宋" w:hAnsi="仿宋" w:eastAsia="仿宋" w:cs="仿宋"/>
                <w:b/>
                <w:color w:val="000000" w:themeColor="text1"/>
                <w:sz w:val="24"/>
                <w:highlight w:val="none"/>
                <w14:textFill>
                  <w14:solidFill>
                    <w14:schemeClr w14:val="tx1"/>
                  </w14:solidFill>
                </w14:textFill>
              </w:rPr>
              <w:t>是否接受联合体投标</w:t>
            </w:r>
          </w:p>
          <w:p w14:paraId="04070FD3">
            <w:pPr>
              <w:numPr>
                <w:ilvl w:val="0"/>
                <w:numId w:val="0"/>
              </w:numPr>
              <w:spacing w:line="288" w:lineRule="auto"/>
              <w:rPr>
                <w:rFonts w:hint="eastAsia" w:ascii="仿宋" w:hAnsi="仿宋" w:eastAsia="仿宋" w:cs="仿宋"/>
                <w:color w:val="000000" w:themeColor="text1"/>
                <w:spacing w:val="-2"/>
                <w:kern w:val="0"/>
                <w:position w:val="-3"/>
                <w:sz w:val="24"/>
                <w:szCs w:val="24"/>
                <w:highlight w:val="none"/>
                <w14:textFill>
                  <w14:solidFill>
                    <w14:schemeClr w14:val="tx1"/>
                  </w14:solidFill>
                </w14:textFill>
              </w:rPr>
            </w:pPr>
            <w:r>
              <w:rPr>
                <w:rFonts w:hint="eastAsia" w:ascii="仿宋" w:hAnsi="仿宋" w:eastAsia="仿宋" w:cs="仿宋"/>
                <w:color w:val="000000" w:themeColor="text1"/>
                <w:spacing w:val="0"/>
                <w:kern w:val="2"/>
                <w:position w:val="0"/>
                <w:sz w:val="24"/>
                <w:szCs w:val="24"/>
                <w:highlight w:val="none"/>
                <w14:textFill>
                  <w14:solidFill>
                    <w14:schemeClr w14:val="tx1"/>
                  </w14:solidFill>
                </w14:textFill>
              </w:rPr>
              <w:sym w:font="Wingdings" w:char="00FE"/>
            </w:r>
            <w:r>
              <w:rPr>
                <w:rFonts w:hint="eastAsia" w:ascii="仿宋" w:hAnsi="仿宋" w:eastAsia="仿宋" w:cs="仿宋"/>
                <w:color w:val="000000" w:themeColor="text1"/>
                <w:sz w:val="24"/>
                <w:szCs w:val="24"/>
                <w:highlight w:val="none"/>
                <w14:textFill>
                  <w14:solidFill>
                    <w14:schemeClr w14:val="tx1"/>
                  </w14:solidFill>
                </w14:textFill>
              </w:rPr>
              <w:t>是。1</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联合体各方必须授权联合体</w:t>
            </w:r>
            <w:r>
              <w:rPr>
                <w:rFonts w:hint="eastAsia" w:ascii="仿宋" w:hAnsi="仿宋" w:eastAsia="仿宋" w:cs="仿宋"/>
                <w:color w:val="000000" w:themeColor="text1"/>
                <w:sz w:val="24"/>
                <w:szCs w:val="24"/>
                <w:highlight w:val="none"/>
                <w:lang w:eastAsia="zh-CN"/>
                <w14:textFill>
                  <w14:solidFill>
                    <w14:schemeClr w14:val="tx1"/>
                  </w14:solidFill>
                </w14:textFill>
              </w:rPr>
              <w:t>牵头单位</w:t>
            </w:r>
            <w:r>
              <w:rPr>
                <w:rFonts w:hint="eastAsia" w:ascii="仿宋" w:hAnsi="仿宋" w:eastAsia="仿宋" w:cs="仿宋"/>
                <w:color w:val="000000" w:themeColor="text1"/>
                <w:sz w:val="24"/>
                <w:szCs w:val="24"/>
                <w:highlight w:val="none"/>
                <w14:textFill>
                  <w14:solidFill>
                    <w14:schemeClr w14:val="tx1"/>
                  </w14:solidFill>
                </w14:textFill>
              </w:rPr>
              <w:t>代表所有联合体成员单位负责</w:t>
            </w:r>
            <w:r>
              <w:rPr>
                <w:rFonts w:hint="eastAsia" w:ascii="仿宋" w:hAnsi="仿宋" w:eastAsia="仿宋" w:cs="仿宋"/>
                <w:color w:val="000000" w:themeColor="text1"/>
                <w:sz w:val="24"/>
                <w:szCs w:val="24"/>
                <w:highlight w:val="none"/>
                <w:lang w:eastAsia="zh-CN"/>
                <w14:textFill>
                  <w14:solidFill>
                    <w14:schemeClr w14:val="tx1"/>
                  </w14:solidFill>
                </w14:textFill>
              </w:rPr>
              <w:t>投标</w:t>
            </w:r>
            <w:r>
              <w:rPr>
                <w:rFonts w:hint="eastAsia" w:ascii="仿宋" w:hAnsi="仿宋" w:eastAsia="仿宋" w:cs="仿宋"/>
                <w:color w:val="000000" w:themeColor="text1"/>
                <w:sz w:val="24"/>
                <w:szCs w:val="24"/>
                <w:highlight w:val="none"/>
                <w14:textFill>
                  <w14:solidFill>
                    <w14:schemeClr w14:val="tx1"/>
                  </w14:solidFill>
                </w14:textFill>
              </w:rPr>
              <w:t>响应和合同实施工作。</w:t>
            </w:r>
          </w:p>
          <w:p w14:paraId="17D62B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pacing w:val="-2"/>
                <w:kern w:val="0"/>
                <w:position w:val="-3"/>
                <w:sz w:val="24"/>
                <w:szCs w:val="24"/>
                <w:highlight w:val="none"/>
                <w14:textFill>
                  <w14:solidFill>
                    <w14:schemeClr w14:val="tx1"/>
                  </w14:solidFill>
                </w14:textFill>
              </w:rPr>
              <w:t>联合体投标的，应按</w:t>
            </w:r>
            <w:r>
              <w:rPr>
                <w:rFonts w:hint="eastAsia" w:ascii="仿宋" w:hAnsi="仿宋" w:eastAsia="仿宋" w:cs="仿宋"/>
                <w:color w:val="000000" w:themeColor="text1"/>
                <w:spacing w:val="-2"/>
                <w:kern w:val="0"/>
                <w:position w:val="-3"/>
                <w:sz w:val="24"/>
                <w:szCs w:val="24"/>
                <w:highlight w:val="none"/>
                <w:lang w:eastAsia="zh-CN"/>
                <w14:textFill>
                  <w14:solidFill>
                    <w14:schemeClr w14:val="tx1"/>
                  </w14:solidFill>
                </w14:textFill>
              </w:rPr>
              <w:t>采购</w:t>
            </w:r>
            <w:r>
              <w:rPr>
                <w:rFonts w:hint="eastAsia" w:ascii="仿宋" w:hAnsi="仿宋" w:eastAsia="仿宋" w:cs="仿宋"/>
                <w:color w:val="000000" w:themeColor="text1"/>
                <w:spacing w:val="-2"/>
                <w:kern w:val="0"/>
                <w:position w:val="-3"/>
                <w:sz w:val="24"/>
                <w:szCs w:val="24"/>
                <w:highlight w:val="none"/>
                <w14:textFill>
                  <w14:solidFill>
                    <w14:schemeClr w14:val="tx1"/>
                  </w14:solidFill>
                </w14:textFill>
              </w:rPr>
              <w:t>文件要求提交联合体各成员的有关证件和资料。除非另有规定，本</w:t>
            </w:r>
            <w:r>
              <w:rPr>
                <w:rFonts w:hint="eastAsia" w:ascii="仿宋" w:hAnsi="仿宋" w:eastAsia="仿宋" w:cs="仿宋"/>
                <w:color w:val="000000" w:themeColor="text1"/>
                <w:spacing w:val="-2"/>
                <w:kern w:val="0"/>
                <w:position w:val="-3"/>
                <w:sz w:val="24"/>
                <w:szCs w:val="24"/>
                <w:highlight w:val="none"/>
                <w:lang w:eastAsia="zh-CN"/>
                <w14:textFill>
                  <w14:solidFill>
                    <w14:schemeClr w14:val="tx1"/>
                  </w14:solidFill>
                </w14:textFill>
              </w:rPr>
              <w:t>采购</w:t>
            </w:r>
            <w:r>
              <w:rPr>
                <w:rFonts w:hint="eastAsia" w:ascii="仿宋" w:hAnsi="仿宋" w:eastAsia="仿宋" w:cs="仿宋"/>
                <w:color w:val="000000" w:themeColor="text1"/>
                <w:spacing w:val="-2"/>
                <w:kern w:val="0"/>
                <w:position w:val="-3"/>
                <w:sz w:val="24"/>
                <w:szCs w:val="24"/>
                <w:highlight w:val="none"/>
                <w14:textFill>
                  <w14:solidFill>
                    <w14:schemeClr w14:val="tx1"/>
                  </w14:solidFill>
                </w14:textFill>
              </w:rPr>
              <w:t>文件中的“</w:t>
            </w:r>
            <w:r>
              <w:rPr>
                <w:rFonts w:hint="eastAsia" w:ascii="仿宋" w:hAnsi="仿宋" w:eastAsia="仿宋" w:cs="仿宋"/>
                <w:color w:val="000000" w:themeColor="text1"/>
                <w:sz w:val="24"/>
                <w:szCs w:val="24"/>
                <w:highlight w:val="none"/>
                <w14:textFill>
                  <w14:solidFill>
                    <w14:schemeClr w14:val="tx1"/>
                  </w14:solidFill>
                </w14:textFill>
              </w:rPr>
              <w:t>供应商”一词包括联合体各成员。</w:t>
            </w:r>
          </w:p>
          <w:p w14:paraId="782E404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 xml:space="preserve"> A</w:t>
            </w:r>
            <w:r>
              <w:rPr>
                <w:rFonts w:hint="eastAsia" w:ascii="仿宋" w:hAnsi="仿宋" w:eastAsia="仿宋" w:cs="仿宋"/>
                <w:color w:val="000000" w:themeColor="text1"/>
                <w:sz w:val="24"/>
                <w:highlight w:val="none"/>
                <w14:textFill>
                  <w14:solidFill>
                    <w14:schemeClr w14:val="tx1"/>
                  </w14:solidFill>
                </w14:textFill>
              </w:rPr>
              <w:t>同意将非主体、非关键性的工作分包。</w:t>
            </w:r>
          </w:p>
          <w:p w14:paraId="194A7CCD">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 xml:space="preserve"> 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0B9E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3" w:type="dxa"/>
            <w:vAlign w:val="center"/>
          </w:tcPr>
          <w:p w14:paraId="543F921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607" w:type="dxa"/>
            <w:gridSpan w:val="2"/>
            <w:vAlign w:val="center"/>
          </w:tcPr>
          <w:p w14:paraId="78164D6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14:paraId="0891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33" w:type="dxa"/>
            <w:vAlign w:val="center"/>
          </w:tcPr>
          <w:p w14:paraId="508B483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607" w:type="dxa"/>
            <w:gridSpan w:val="2"/>
            <w:vAlign w:val="center"/>
          </w:tcPr>
          <w:p w14:paraId="7932C07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6EC1326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14:paraId="53449A4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14:paraId="4924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633" w:type="dxa"/>
            <w:vAlign w:val="center"/>
          </w:tcPr>
          <w:p w14:paraId="4AED57A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607" w:type="dxa"/>
            <w:gridSpan w:val="2"/>
            <w:vAlign w:val="center"/>
          </w:tcPr>
          <w:p w14:paraId="4E1637B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248B0A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14:paraId="51DF9A4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B要求提供，</w:t>
            </w:r>
          </w:p>
          <w:p w14:paraId="2C4543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7F6D938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529F8FF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14:paraId="66C1A0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77DC73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53F04C6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44AFF1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tc>
      </w:tr>
      <w:tr w14:paraId="6026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33" w:type="dxa"/>
            <w:vAlign w:val="center"/>
          </w:tcPr>
          <w:p w14:paraId="2583B1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607" w:type="dxa"/>
            <w:gridSpan w:val="2"/>
            <w:vAlign w:val="center"/>
          </w:tcPr>
          <w:p w14:paraId="011D3BFF">
            <w:pPr>
              <w:spacing w:beforeLines="0" w:afterLines="0"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方案讲解演示：</w:t>
            </w:r>
          </w:p>
          <w:p w14:paraId="64E1CCE0">
            <w:pPr>
              <w:spacing w:beforeLines="0" w:afterLines="0"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A无方案讲解演示。</w:t>
            </w:r>
          </w:p>
          <w:p w14:paraId="50BA113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B有方案讲解演示</w:t>
            </w:r>
            <w:r>
              <w:rPr>
                <w:rFonts w:hint="eastAsia" w:ascii="仿宋" w:hAnsi="仿宋" w:eastAsia="仿宋" w:cs="仿宋"/>
                <w:b w:val="0"/>
                <w:bCs w:val="0"/>
                <w:color w:val="000000" w:themeColor="text1"/>
                <w:sz w:val="24"/>
                <w:szCs w:val="24"/>
                <w:highlight w:val="none"/>
                <w14:textFill>
                  <w14:solidFill>
                    <w14:schemeClr w14:val="tx1"/>
                  </w14:solidFill>
                </w14:textFill>
              </w:rPr>
              <w:t>：</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w:t>
            </w:r>
          </w:p>
        </w:tc>
      </w:tr>
      <w:tr w14:paraId="313E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633" w:type="dxa"/>
            <w:vAlign w:val="center"/>
          </w:tcPr>
          <w:p w14:paraId="44BDCF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9</w:t>
            </w:r>
          </w:p>
        </w:tc>
        <w:tc>
          <w:tcPr>
            <w:tcW w:w="1412" w:type="dxa"/>
            <w:vAlign w:val="center"/>
          </w:tcPr>
          <w:p w14:paraId="34E9EF11">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进口产品</w:t>
            </w:r>
          </w:p>
        </w:tc>
        <w:tc>
          <w:tcPr>
            <w:tcW w:w="7195" w:type="dxa"/>
            <w:vAlign w:val="center"/>
          </w:tcPr>
          <w:p w14:paraId="6B8472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r>
              <w:rPr>
                <w:rFonts w:hint="eastAsia" w:ascii="仿宋" w:hAnsi="仿宋" w:eastAsia="仿宋" w:cs="仿宋"/>
                <w:color w:val="000000" w:themeColor="text1"/>
                <w:kern w:val="0"/>
                <w:sz w:val="24"/>
                <w:highlight w:val="none"/>
                <w:lang w:val="en-US" w:eastAsia="zh-CN"/>
                <w14:textFill>
                  <w14:solidFill>
                    <w14:schemeClr w14:val="tx1"/>
                  </w14:solidFill>
                </w14:textFill>
              </w:rPr>
              <w:t>/服务</w:t>
            </w:r>
            <w:r>
              <w:rPr>
                <w:rFonts w:hint="eastAsia" w:ascii="仿宋" w:hAnsi="仿宋" w:eastAsia="仿宋" w:cs="仿宋"/>
                <w:color w:val="000000" w:themeColor="text1"/>
                <w:kern w:val="0"/>
                <w:sz w:val="24"/>
                <w:highlight w:val="none"/>
                <w14:textFill>
                  <w14:solidFill>
                    <w14:schemeClr w14:val="tx1"/>
                  </w14:solidFill>
                </w14:textFill>
              </w:rPr>
              <w:t>。</w:t>
            </w:r>
          </w:p>
          <w:p w14:paraId="57F334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95A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633" w:type="dxa"/>
            <w:vAlign w:val="center"/>
          </w:tcPr>
          <w:p w14:paraId="50F95B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0</w:t>
            </w:r>
          </w:p>
        </w:tc>
        <w:tc>
          <w:tcPr>
            <w:tcW w:w="1412" w:type="dxa"/>
            <w:vAlign w:val="center"/>
          </w:tcPr>
          <w:p w14:paraId="530218A3">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195" w:type="dxa"/>
            <w:vAlign w:val="center"/>
          </w:tcPr>
          <w:p w14:paraId="61D71FE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713D530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14:paraId="34A5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633" w:type="dxa"/>
            <w:vAlign w:val="center"/>
          </w:tcPr>
          <w:p w14:paraId="48EF0DA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1</w:t>
            </w:r>
          </w:p>
        </w:tc>
        <w:tc>
          <w:tcPr>
            <w:tcW w:w="1412" w:type="dxa"/>
            <w:vAlign w:val="center"/>
          </w:tcPr>
          <w:p w14:paraId="74F3E184">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195" w:type="dxa"/>
            <w:vAlign w:val="center"/>
          </w:tcPr>
          <w:p w14:paraId="06016B8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（1）标的：</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衢州市柯城区白云街道社区居家养老服务照料中心建设设备物品采购项目</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工业</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b w:val="0"/>
                <w:bCs w:val="0"/>
                <w:color w:val="000000" w:themeColor="text1"/>
                <w:kern w:val="0"/>
                <w:sz w:val="24"/>
                <w:highlight w:val="none"/>
                <w:lang w:val="en-US" w:eastAsia="zh-CN"/>
                <w14:textFill>
                  <w14:solidFill>
                    <w14:schemeClr w14:val="tx1"/>
                  </w14:solidFill>
                </w14:textFill>
              </w:rPr>
              <w:t>相关文件：</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工信部联企业〔2011〕300号</w:t>
            </w:r>
            <w:r>
              <w:rPr>
                <w:rFonts w:hint="eastAsia" w:ascii="仿宋" w:hAnsi="仿宋" w:eastAsia="仿宋" w:cs="仿宋"/>
                <w:b/>
                <w:bCs/>
                <w:color w:val="000000" w:themeColor="text1"/>
                <w:kern w:val="0"/>
                <w:sz w:val="24"/>
                <w:highlight w:val="none"/>
                <w:lang w:val="en-US" w:eastAsia="zh-CN"/>
                <w14:textFill>
                  <w14:solidFill>
                    <w14:schemeClr w14:val="tx1"/>
                  </w14:solidFill>
                </w14:textFill>
              </w:rPr>
              <w:t>。</w:t>
            </w:r>
          </w:p>
        </w:tc>
      </w:tr>
      <w:tr w14:paraId="03CD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3" w:type="dxa"/>
            <w:vMerge w:val="restart"/>
            <w:vAlign w:val="center"/>
          </w:tcPr>
          <w:p w14:paraId="4131F0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2</w:t>
            </w:r>
          </w:p>
        </w:tc>
        <w:tc>
          <w:tcPr>
            <w:tcW w:w="1412" w:type="dxa"/>
            <w:vMerge w:val="restart"/>
            <w:vAlign w:val="center"/>
          </w:tcPr>
          <w:p w14:paraId="138A40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195" w:type="dxa"/>
            <w:vAlign w:val="center"/>
          </w:tcPr>
          <w:p w14:paraId="61696DE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65C4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633" w:type="dxa"/>
            <w:vMerge w:val="continue"/>
            <w:vAlign w:val="center"/>
          </w:tcPr>
          <w:p w14:paraId="616685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1412" w:type="dxa"/>
            <w:vMerge w:val="continue"/>
            <w:vAlign w:val="center"/>
          </w:tcPr>
          <w:p w14:paraId="7164EFC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195" w:type="dxa"/>
            <w:vAlign w:val="center"/>
          </w:tcPr>
          <w:p w14:paraId="3DFF8C4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经查询列入失信被执行人名单、重大税收违法案件当事人名单、政府采购严重违法失信行为记录名单的投标人将被拒绝参与政府采购活动。</w:t>
            </w:r>
          </w:p>
        </w:tc>
      </w:tr>
      <w:tr w14:paraId="1489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633" w:type="dxa"/>
            <w:vMerge w:val="continue"/>
            <w:vAlign w:val="center"/>
          </w:tcPr>
          <w:p w14:paraId="33F999C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1412" w:type="dxa"/>
            <w:vMerge w:val="continue"/>
            <w:vAlign w:val="center"/>
          </w:tcPr>
          <w:p w14:paraId="5D5ECE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195" w:type="dxa"/>
            <w:vAlign w:val="center"/>
          </w:tcPr>
          <w:p w14:paraId="3B7393B2">
            <w:pPr>
              <w:adjustRightInd w:val="0"/>
              <w:snapToGrid w:val="0"/>
              <w:spacing w:line="288"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任意一方存在不良信用记录的，视同联合体存在不良信用记录。</w:t>
            </w:r>
          </w:p>
        </w:tc>
      </w:tr>
      <w:tr w14:paraId="1C9A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633" w:type="dxa"/>
            <w:vAlign w:val="center"/>
          </w:tcPr>
          <w:p w14:paraId="6F21BA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3</w:t>
            </w:r>
          </w:p>
        </w:tc>
        <w:tc>
          <w:tcPr>
            <w:tcW w:w="8607" w:type="dxa"/>
            <w:gridSpan w:val="2"/>
            <w:vAlign w:val="center"/>
          </w:tcPr>
          <w:p w14:paraId="12383A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14:paraId="0484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3" w:type="dxa"/>
            <w:vAlign w:val="center"/>
          </w:tcPr>
          <w:p w14:paraId="4A231BB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4</w:t>
            </w:r>
          </w:p>
        </w:tc>
        <w:tc>
          <w:tcPr>
            <w:tcW w:w="8607" w:type="dxa"/>
            <w:gridSpan w:val="2"/>
            <w:vAlign w:val="center"/>
          </w:tcPr>
          <w:p w14:paraId="17D4707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更正补充公告请自行登录浙江政府采购网查看下载。</w:t>
            </w:r>
          </w:p>
        </w:tc>
      </w:tr>
      <w:tr w14:paraId="6CE5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633" w:type="dxa"/>
            <w:vAlign w:val="center"/>
          </w:tcPr>
          <w:p w14:paraId="10AEA26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 xml:space="preserve">                                                                                                                                                                                                                                                                                                                                                                                                                                                                                                                                                                                                                                                                                                                                                                                                                                                                                                                                                                                                                                                                                                                                                                                                                                                                                                                                       </w:t>
            </w:r>
          </w:p>
        </w:tc>
        <w:tc>
          <w:tcPr>
            <w:tcW w:w="8607" w:type="dxa"/>
            <w:gridSpan w:val="2"/>
            <w:vAlign w:val="center"/>
          </w:tcPr>
          <w:p w14:paraId="3F7D20B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14:paraId="7AD0C3F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14:paraId="35A4E16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06031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14:paraId="5C66C2F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14:paraId="379870F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5C3A198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14:paraId="5B84C9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14:paraId="73BC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AD1593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14:paraId="741A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99CAA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w:t>
            </w:r>
            <w:r>
              <w:rPr>
                <w:rFonts w:hint="eastAsia" w:ascii="仿宋" w:hAnsi="仿宋" w:eastAsia="仿宋" w:cs="仿宋"/>
                <w:b/>
                <w:color w:val="000000" w:themeColor="text1"/>
                <w:sz w:val="24"/>
                <w:highlight w:val="none"/>
                <w:lang w:val="en-US" w:eastAsia="zh-CN"/>
                <w14:textFill>
                  <w14:solidFill>
                    <w14:schemeClr w14:val="tx1"/>
                  </w14:solidFill>
                </w14:textFill>
              </w:rPr>
              <w:t>采购人可以按照评审报告推荐的中标候选人名单排序,确定下一候选人为中标供应商，也可以重新开展政府采购活动。</w:t>
            </w:r>
          </w:p>
        </w:tc>
      </w:tr>
      <w:bookmarkEnd w:id="4"/>
    </w:tbl>
    <w:p w14:paraId="0AB73B5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bookmarkStart w:id="17" w:name="第三部分"/>
      <w:bookmarkStart w:id="18" w:name="_Toc164416483"/>
    </w:p>
    <w:p w14:paraId="55095419">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一、总则</w:t>
      </w:r>
    </w:p>
    <w:p w14:paraId="7816AB90">
      <w:pPr>
        <w:keepNext w:val="0"/>
        <w:keepLines w:val="0"/>
        <w:pageBreakBefore w:val="0"/>
        <w:kinsoku/>
        <w:wordWrap/>
        <w:overflowPunct/>
        <w:topLinePunct w:val="0"/>
        <w:autoSpaceDE/>
        <w:autoSpaceDN/>
        <w:bidi w:val="0"/>
        <w:snapToGrid w:val="0"/>
        <w:spacing w:beforeAutospacing="0" w:line="460" w:lineRule="exact"/>
        <w:ind w:left="0" w:leftChars="0" w:firstLine="0" w:firstLineChars="0"/>
        <w:jc w:val="left"/>
        <w:textAlignment w:val="auto"/>
        <w:outlineLvl w:val="1"/>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14:paraId="3AA340FE">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394F4E0E">
      <w:pPr>
        <w:keepNext w:val="0"/>
        <w:keepLines w:val="0"/>
        <w:pageBreakBefore w:val="0"/>
        <w:kinsoku/>
        <w:wordWrap/>
        <w:overflowPunct/>
        <w:topLinePunct w:val="0"/>
        <w:autoSpaceDE/>
        <w:autoSpaceDN/>
        <w:bidi w:val="0"/>
        <w:adjustRightInd/>
        <w:spacing w:beforeAutospacing="0" w:line="460" w:lineRule="exact"/>
        <w:ind w:left="0" w:leftChars="0" w:firstLine="0" w:firstLineChars="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14:paraId="43328227">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14:paraId="40E6C3D2">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”系指招标公告中载明的本项目的</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w:t>
      </w:r>
    </w:p>
    <w:p w14:paraId="01CAA5C0">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“投标人”“供应商”系指是指响应招标、参加投标竞争的法人、其他组织或者自然人</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z w:val="24"/>
          <w:szCs w:val="24"/>
          <w:highlight w:val="none"/>
          <w14:textFill>
            <w14:solidFill>
              <w14:schemeClr w14:val="tx1"/>
            </w14:solidFill>
          </w14:textFill>
        </w:rPr>
        <w:t>符合要求的联合体）</w:t>
      </w:r>
      <w:r>
        <w:rPr>
          <w:rFonts w:hint="eastAsia" w:ascii="仿宋" w:hAnsi="仿宋" w:eastAsia="仿宋" w:cs="仿宋"/>
          <w:color w:val="000000" w:themeColor="text1"/>
          <w:sz w:val="24"/>
          <w:highlight w:val="none"/>
          <w14:textFill>
            <w14:solidFill>
              <w14:schemeClr w14:val="tx1"/>
            </w14:solidFill>
          </w14:textFill>
        </w:rPr>
        <w:t>。</w:t>
      </w:r>
    </w:p>
    <w:p w14:paraId="05935256">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“监督单位”系指政府采购法定义监督管理部门</w:t>
      </w:r>
      <w:r>
        <w:rPr>
          <w:rFonts w:hint="eastAsia" w:ascii="仿宋" w:hAnsi="仿宋" w:eastAsia="仿宋" w:cs="仿宋"/>
          <w:color w:val="000000" w:themeColor="text1"/>
          <w:sz w:val="24"/>
          <w:highlight w:val="none"/>
          <w:lang w:val="en-US" w:eastAsia="zh-CN"/>
          <w14:textFill>
            <w14:solidFill>
              <w14:schemeClr w14:val="tx1"/>
            </w14:solidFill>
          </w14:textFill>
        </w:rPr>
        <w:t>。</w:t>
      </w:r>
    </w:p>
    <w:p w14:paraId="46C4AFE7">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 xml:space="preserve"> “负责人”系指法人企业的法定负责人，或其他组织为法律、行政法规规定代表单位行使职权的主要负责人，或自然人本人。</w:t>
      </w:r>
    </w:p>
    <w:p w14:paraId="7FCCDDB2">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w:t>
      </w:r>
    </w:p>
    <w:p w14:paraId="3A2FD1B4">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“电子交易平台”</w:t>
      </w:r>
      <w:r>
        <w:rPr>
          <w:rFonts w:hint="eastAsia" w:ascii="仿宋" w:hAnsi="仿宋" w:eastAsia="仿宋" w:cs="仿宋"/>
          <w:color w:val="000000" w:themeColor="text1"/>
          <w:sz w:val="24"/>
          <w:highlight w:val="none"/>
          <w:lang w:val="en-US" w:eastAsia="zh-CN"/>
          <w14:textFill>
            <w14:solidFill>
              <w14:schemeClr w14:val="tx1"/>
            </w14:solidFill>
          </w14:textFill>
        </w:rPr>
        <w:t>系</w:t>
      </w:r>
      <w:r>
        <w:rPr>
          <w:rFonts w:hint="eastAsia" w:ascii="仿宋" w:hAnsi="仿宋" w:eastAsia="仿宋" w:cs="仿宋"/>
          <w:color w:val="000000" w:themeColor="text1"/>
          <w:sz w:val="24"/>
          <w:highlight w:val="none"/>
          <w14:textFill>
            <w14:solidFill>
              <w14:schemeClr w14:val="tx1"/>
            </w14:solidFill>
          </w14:textFill>
        </w:rPr>
        <w:t>指本项目政府采购活动所依托的政府采购云平台（https://www.zcygov.cn/）。</w:t>
      </w:r>
    </w:p>
    <w:p w14:paraId="5597F541">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“▲”系指实质性指标要求条款，如任意一条打“▲”的指标出现负偏离视为实质性不响应招标文件要求，作无效投标处理。“</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”系指适用本项目的要求，“☐”系指不适用本项目的要求。</w:t>
      </w:r>
    </w:p>
    <w:p w14:paraId="4AC7D666">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3</w:t>
      </w:r>
      <w:r>
        <w:rPr>
          <w:rFonts w:hint="eastAsia" w:ascii="仿宋" w:hAnsi="仿宋" w:eastAsia="仿宋" w:cs="仿宋"/>
          <w:b/>
          <w:bCs/>
          <w:color w:val="000000" w:themeColor="text1"/>
          <w:sz w:val="24"/>
          <w:highlight w:val="none"/>
          <w:lang w:eastAsia="zh-CN"/>
          <w14:textFill>
            <w14:solidFill>
              <w14:schemeClr w14:val="tx1"/>
            </w14:solidFill>
          </w14:textFill>
        </w:rPr>
        <w:t>.关于中小企业参与政府采购活动的规定</w:t>
      </w:r>
    </w:p>
    <w:p w14:paraId="1202F820">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1根据《中小企业划型标准规定》（工信部联企业〔2011〕300号）、《政府采购促进中小企业发展管理办法》（财库〔2020〕46号）的有关规定，《政府采购促进中小企业发展管理办法》所称中小企业（含中型、小型、微型企业，下同）应当同时符合以下条件：</w:t>
      </w:r>
    </w:p>
    <w:p w14:paraId="7F53D3F5">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（一）在货物采购项目中，货物由中小企业制造，即货物由中小企业生产且使用该中小企业商号或者注册商标；</w:t>
      </w:r>
    </w:p>
    <w:p w14:paraId="29CDC361">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（二）在工程采购项目中，工程由中小企业承建，即工程施工单位为中小企业；</w:t>
      </w:r>
    </w:p>
    <w:p w14:paraId="6DB6509B">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（三）在服务采购项目中，服务由中小企业承接，即提供服务的人员为中小企业依照《中华人民共和国劳动合同法》订立劳动合同的从业人员。</w:t>
      </w:r>
    </w:p>
    <w:p w14:paraId="68828CC6">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在货物采购项目中，供应商提供的货物既有中小企业制造货物，也有大型企业制造货物的，不享受本办法规定的中小企业扶持政策。</w:t>
      </w:r>
    </w:p>
    <w:p w14:paraId="1893B501">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以联合体形式参加政府采购活动，联合体各方均为中小企业的，联合体视同中小企业。其中，联合体各方均为小微企业的，联合体视同小微企业。</w:t>
      </w:r>
    </w:p>
    <w:p w14:paraId="771575EE">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w:t>
      </w:r>
    </w:p>
    <w:p w14:paraId="32AA2BE7">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3根据财库〔2014〕68号的相关规定，在政府采购活动中，监狱企业视同小型、微型企业，享受评审中价格扣除政策，并在投标文件中提供由省级以上监狱管理局、戒毒管理局（含新疆生产建设兵团）出具的属于监狱企业的证明文件。</w:t>
      </w:r>
    </w:p>
    <w:p w14:paraId="35C3DF02">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4小型、微型企业参加投标时，应提供《中小企业声明函》；监狱或戒毒企业参加投标时应提供《省级以上监狱管理局、戒毒管理局（含新疆生产建设兵团）出具的属于监狱企业的证明文件》；残疾人福利性单位参加投标时应提供残疾人福利性单位声明函。</w:t>
      </w:r>
    </w:p>
    <w:p w14:paraId="5B5FEBCC">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4.特别说明：</w:t>
      </w:r>
    </w:p>
    <w:p w14:paraId="5C677FAF">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351D789E">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4.2供应商应仔细阅读招标文件的所有内容，按照招标文件的要求提交投标文件，并对所提供的全部资料的真实性承担法律责任。</w:t>
      </w:r>
    </w:p>
    <w:p w14:paraId="30942793">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0625362">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4.4本项目招标代理服务费、造价咨询费及其他相关服务费按实收取由中标单位支付，详情咨询代理机构，报价时不单列，综合考虑。</w:t>
      </w:r>
    </w:p>
    <w:p w14:paraId="4150D398">
      <w:pPr>
        <w:adjustRightInd w:val="0"/>
        <w:snapToGrid w:val="0"/>
        <w:spacing w:line="288" w:lineRule="auto"/>
        <w:ind w:firstLine="482"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5.</w:t>
      </w:r>
      <w:r>
        <w:rPr>
          <w:rFonts w:hint="eastAsia" w:ascii="仿宋" w:hAnsi="仿宋" w:eastAsia="仿宋" w:cs="仿宋"/>
          <w:b/>
          <w:color w:val="000000" w:themeColor="text1"/>
          <w:sz w:val="24"/>
          <w:szCs w:val="24"/>
          <w:highlight w:val="none"/>
          <w14:textFill>
            <w14:solidFill>
              <w14:schemeClr w14:val="tx1"/>
            </w14:solidFill>
          </w14:textFill>
        </w:rPr>
        <w:t>联合体投标</w:t>
      </w:r>
    </w:p>
    <w:p w14:paraId="65ECD838">
      <w:pPr>
        <w:adjustRightInd w:val="0"/>
        <w:snapToGrid w:val="0"/>
        <w:spacing w:line="288"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若本须知“前附表”规定接受联合体投标的，应遵守以下规定：</w:t>
      </w:r>
    </w:p>
    <w:p w14:paraId="4DDFCF45">
      <w:pPr>
        <w:adjustRightInd w:val="0"/>
        <w:snapToGrid w:val="0"/>
        <w:spacing w:line="288"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5.1两个以上的自然人、法人或者其他组织可以组成一个联合体，以一个供应商的身份共同参加本项目政府采购活动，联合体在投标文件中提供联合体协议并明确分工；</w:t>
      </w:r>
    </w:p>
    <w:p w14:paraId="7117A166">
      <w:pPr>
        <w:adjustRightInd w:val="0"/>
        <w:snapToGrid w:val="0"/>
        <w:spacing w:line="288" w:lineRule="auto"/>
        <w:ind w:firstLine="480" w:firstLineChars="20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5.2联合体中有同类资质的供应商按照联合体分工承担相同工作，按资质等级较低供应商确定资质等级；联合体中特定资格按照联合体分工承担的工作确定资格；</w:t>
      </w:r>
    </w:p>
    <w:p w14:paraId="68832800">
      <w:pPr>
        <w:adjustRightInd w:val="0"/>
        <w:snapToGrid w:val="0"/>
        <w:spacing w:line="288"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5.3联合体各方不得再单独参加或与其他供应商另外组成联合体参加本项目政府购活动。</w:t>
      </w:r>
    </w:p>
    <w:p w14:paraId="32CE1C13">
      <w:pPr>
        <w:adjustRightInd w:val="0"/>
        <w:snapToGrid w:val="0"/>
        <w:spacing w:line="288"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5.4以联合体形式参加本项目投标的，联合体的各成员均应当具备《中华人民共和国政府采购法》第二十二条第一款规定的条件同时未被“信用中国”网站(www.creditchina.gov.cn)列入失信被执行人、重大税收违法案件当事人名单；未被“中国政府采购网”(www.ccgp.gov.cn)列入政府采购严重违法失信行为记录名单；</w:t>
      </w:r>
    </w:p>
    <w:p w14:paraId="311DFD65">
      <w:pPr>
        <w:adjustRightInd w:val="0"/>
        <w:snapToGrid w:val="0"/>
        <w:spacing w:line="288"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5.6联合体各方之间须签订联合投标协议（成员中有小微企业或监狱企业的须附相应声明函），明确约定联合体各方承担的工作和相应的责任以及各方的协议合同金额比例，在联合投标协议中指定本项目联合体牵头人，并将联合投标协议作为投标响应文件组成的一部分；本项目的主体、关键性工作须由联合体牵头人完成，并在联合投标协议中进行说明；</w:t>
      </w:r>
    </w:p>
    <w:p w14:paraId="5B76F211">
      <w:pPr>
        <w:adjustRightInd w:val="0"/>
        <w:snapToGrid w:val="0"/>
        <w:spacing w:line="288"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5.7以联合体形式参加政府采购活动，联合体各方均为中小企业的，联合体视同中小企业。其中，联合体各方均为小微企业的，联合体视同小微企业。</w:t>
      </w:r>
    </w:p>
    <w:p w14:paraId="2A7B5BAB">
      <w:pPr>
        <w:pStyle w:val="2"/>
        <w:rPr>
          <w:rFonts w:hint="eastAsia"/>
          <w:color w:val="000000" w:themeColor="text1"/>
          <w:lang w:val="en-US" w:eastAsia="zh-CN"/>
          <w14:textFill>
            <w14:solidFill>
              <w14:schemeClr w14:val="tx1"/>
            </w14:solidFill>
          </w14:textFill>
        </w:rPr>
      </w:pPr>
    </w:p>
    <w:p w14:paraId="18082CEC">
      <w:pPr>
        <w:keepNext w:val="0"/>
        <w:keepLines w:val="0"/>
        <w:pageBreakBefore w:val="0"/>
        <w:widowControl w:val="0"/>
        <w:kinsoku/>
        <w:wordWrap/>
        <w:overflowPunct/>
        <w:topLinePunct w:val="0"/>
        <w:autoSpaceDE/>
        <w:autoSpaceDN/>
        <w:bidi w:val="0"/>
        <w:adjustRightInd/>
        <w:snapToGrid/>
        <w:spacing w:beforeAutospacing="0" w:line="460" w:lineRule="exact"/>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14:paraId="5351E76A">
      <w:pPr>
        <w:keepNext w:val="0"/>
        <w:keepLines w:val="0"/>
        <w:pageBreakBefore w:val="0"/>
        <w:kinsoku/>
        <w:wordWrap/>
        <w:overflowPunct/>
        <w:topLinePunct w:val="0"/>
        <w:autoSpaceDE/>
        <w:autoSpaceDN/>
        <w:bidi w:val="0"/>
        <w:snapToGrid w:val="0"/>
        <w:spacing w:line="46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14:paraId="0D44BBFF">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14:paraId="0DEA6836">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14:paraId="593AB5F2">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14:paraId="300CBFB3">
      <w:pPr>
        <w:pStyle w:val="7"/>
        <w:keepNext w:val="0"/>
        <w:keepLines w:val="0"/>
        <w:pageBreakBefore w:val="0"/>
        <w:kinsoku/>
        <w:wordWrap/>
        <w:overflowPunct/>
        <w:topLinePunct w:val="0"/>
        <w:autoSpaceDE/>
        <w:autoSpaceDN/>
        <w:bidi w:val="0"/>
        <w:snapToGrid w:val="0"/>
        <w:spacing w:line="460" w:lineRule="exact"/>
        <w:ind w:left="0" w:leftChars="0"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2.授权委托</w:t>
      </w:r>
    </w:p>
    <w:p w14:paraId="28C94258">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本项目为电子投标项目，投标人的法定代表人或其授权代表或个体工商户不需要参加现场投标和开标。</w:t>
      </w:r>
    </w:p>
    <w:p w14:paraId="5D4023F2">
      <w:pPr>
        <w:keepNext w:val="0"/>
        <w:keepLines w:val="0"/>
        <w:pageBreakBefore w:val="0"/>
        <w:kinsoku/>
        <w:wordWrap/>
        <w:overflowPunct/>
        <w:topLinePunct w:val="0"/>
        <w:autoSpaceDE/>
        <w:autoSpaceDN/>
        <w:bidi w:val="0"/>
        <w:snapToGrid w:val="0"/>
        <w:spacing w:line="46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投标费用</w:t>
      </w:r>
    </w:p>
    <w:p w14:paraId="120D07C9">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投标人应自行承担编制投标文件及参加本次投标所涉及的一切费用。不管投标结果如何，招标人对上述费用不负任何责任。</w:t>
      </w:r>
    </w:p>
    <w:p w14:paraId="7D2F072D">
      <w:pPr>
        <w:keepNext w:val="0"/>
        <w:keepLines w:val="0"/>
        <w:pageBreakBefore w:val="0"/>
        <w:kinsoku/>
        <w:wordWrap/>
        <w:overflowPunct/>
        <w:topLinePunct w:val="0"/>
        <w:autoSpaceDE/>
        <w:autoSpaceDN/>
        <w:bidi w:val="0"/>
        <w:snapToGrid w:val="0"/>
        <w:spacing w:line="46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 招标文件的修改</w:t>
      </w:r>
    </w:p>
    <w:p w14:paraId="22BC0BEB">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4.1招标文件包括本招标文件及所有的招标答疑记录（澄清、修改）和发出的补充通知。</w:t>
      </w:r>
    </w:p>
    <w:p w14:paraId="4F355BE0">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4.2招标文件的澄清 </w:t>
      </w:r>
    </w:p>
    <w:p w14:paraId="344A3643">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79B1F4D">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4.3招标文件的修改</w:t>
      </w:r>
    </w:p>
    <w:p w14:paraId="460DB919">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2266A6E">
      <w:pPr>
        <w:keepNext w:val="0"/>
        <w:keepLines w:val="0"/>
        <w:pageBreakBefore w:val="0"/>
        <w:widowControl w:val="0"/>
        <w:kinsoku/>
        <w:wordWrap/>
        <w:overflowPunct/>
        <w:topLinePunct w:val="0"/>
        <w:autoSpaceDE/>
        <w:autoSpaceDN/>
        <w:bidi w:val="0"/>
        <w:adjustRightInd w:val="0"/>
        <w:snapToGrid/>
        <w:spacing w:beforeAutospacing="0" w:line="46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8296B4A">
      <w:pPr>
        <w:pStyle w:val="25"/>
        <w:keepNext w:val="0"/>
        <w:keepLines w:val="0"/>
        <w:pageBreakBefore w:val="0"/>
        <w:widowControl w:val="0"/>
        <w:kinsoku/>
        <w:wordWrap/>
        <w:overflowPunct/>
        <w:topLinePunct w:val="0"/>
        <w:bidi w:val="0"/>
        <w:snapToGrid/>
        <w:spacing w:beforeAutospacing="0" w:line="460" w:lineRule="exact"/>
        <w:ind w:left="0" w:leftChars="0"/>
        <w:jc w:val="center"/>
        <w:textAlignment w:val="auto"/>
        <w:rPr>
          <w:rFonts w:hint="eastAsia" w:ascii="仿宋" w:hAnsi="仿宋" w:eastAsia="仿宋" w:cs="仿宋"/>
          <w:b/>
          <w:color w:val="000000" w:themeColor="text1"/>
          <w:sz w:val="32"/>
          <w:szCs w:val="32"/>
          <w:highlight w:val="none"/>
          <w:lang w:eastAsia="zh-CN"/>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w:t>
      </w:r>
      <w:r>
        <w:rPr>
          <w:rFonts w:hint="eastAsia" w:ascii="仿宋" w:hAnsi="仿宋" w:eastAsia="仿宋" w:cs="仿宋"/>
          <w:b/>
          <w:color w:val="000000" w:themeColor="text1"/>
          <w:sz w:val="32"/>
          <w:szCs w:val="32"/>
          <w:highlight w:val="none"/>
          <w:lang w:eastAsia="zh-CN"/>
          <w14:textFill>
            <w14:solidFill>
              <w14:schemeClr w14:val="tx1"/>
            </w14:solidFill>
          </w14:textFill>
        </w:rPr>
        <w:t>文件</w:t>
      </w:r>
    </w:p>
    <w:p w14:paraId="2828A7FC">
      <w:pPr>
        <w:keepNext w:val="0"/>
        <w:keepLines w:val="0"/>
        <w:pageBreakBefore w:val="0"/>
        <w:widowControl w:val="0"/>
        <w:kinsoku/>
        <w:wordWrap/>
        <w:overflowPunct/>
        <w:topLinePunct w:val="0"/>
        <w:autoSpaceDE/>
        <w:autoSpaceDN/>
        <w:bidi w:val="0"/>
        <w:adjustRightInd w:val="0"/>
        <w:snapToGrid w:val="0"/>
        <w:spacing w:line="460" w:lineRule="exact"/>
        <w:ind w:left="0" w:firstLine="0" w:firstLineChars="0"/>
        <w:jc w:val="left"/>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投标文件的语言、计量单位、形式及效力</w:t>
      </w:r>
    </w:p>
    <w:p w14:paraId="39E968B5">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14:paraId="72E8DA44">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14:paraId="66A64CA1">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14:paraId="4006A395">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14:paraId="0812C895">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14:paraId="51D703A8">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14:paraId="699BE319">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14:paraId="6EAFC176">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14:paraId="3F23C82D">
      <w:pPr>
        <w:pStyle w:val="34"/>
        <w:keepNext w:val="0"/>
        <w:keepLines w:val="0"/>
        <w:pageBreakBefore w:val="0"/>
        <w:widowControl w:val="0"/>
        <w:kinsoku/>
        <w:wordWrap/>
        <w:overflowPunct/>
        <w:topLinePunct w:val="0"/>
        <w:autoSpaceDE/>
        <w:autoSpaceDN/>
        <w:bidi w:val="0"/>
        <w:adjustRightInd w:val="0"/>
        <w:spacing w:beforeAutospacing="0" w:line="460" w:lineRule="exac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color w:val="000000" w:themeColor="text1"/>
          <w:sz w:val="24"/>
          <w:szCs w:val="24"/>
          <w:highlight w:val="none"/>
          <w14:textFill>
            <w14:solidFill>
              <w14:schemeClr w14:val="tx1"/>
            </w14:solidFill>
          </w14:textFill>
        </w:rPr>
        <w:t>. 投标文件的组成</w:t>
      </w:r>
    </w:p>
    <w:p w14:paraId="3E7E42E5">
      <w:pPr>
        <w:keepNext w:val="0"/>
        <w:keepLines w:val="0"/>
        <w:pageBreakBefore w:val="0"/>
        <w:kinsoku/>
        <w:wordWrap/>
        <w:overflowPunct/>
        <w:topLinePunct w:val="0"/>
        <w:bidi w:val="0"/>
        <w:spacing w:line="460" w:lineRule="exact"/>
        <w:ind w:firstLine="480" w:firstLineChars="200"/>
        <w:jc w:val="left"/>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w:t>
      </w:r>
      <w:r>
        <w:rPr>
          <w:rFonts w:hint="eastAsia" w:ascii="仿宋" w:hAnsi="仿宋" w:eastAsia="仿宋" w:cs="仿宋"/>
          <w:color w:val="000000" w:themeColor="text1"/>
          <w:sz w:val="24"/>
          <w:highlight w:val="none"/>
          <w:lang w:eastAsia="zh-CN"/>
          <w14:textFill>
            <w14:solidFill>
              <w14:schemeClr w14:val="tx1"/>
            </w14:solidFill>
          </w14:textFill>
        </w:rPr>
        <w:t>“资格文件”、“商务技术文件”、</w:t>
      </w:r>
      <w:r>
        <w:rPr>
          <w:rFonts w:hint="eastAsia" w:ascii="仿宋" w:hAnsi="仿宋" w:eastAsia="仿宋" w:cs="仿宋"/>
          <w:color w:val="000000" w:themeColor="text1"/>
          <w:sz w:val="24"/>
          <w:highlight w:val="none"/>
          <w14:textFill>
            <w14:solidFill>
              <w14:schemeClr w14:val="tx1"/>
            </w14:solidFill>
          </w14:textFill>
        </w:rPr>
        <w:t>“报价文件”</w:t>
      </w:r>
      <w:r>
        <w:rPr>
          <w:rFonts w:hint="eastAsia" w:ascii="仿宋" w:hAnsi="仿宋" w:eastAsia="仿宋" w:cs="仿宋"/>
          <w:color w:val="000000" w:themeColor="text1"/>
          <w:sz w:val="24"/>
          <w:highlight w:val="none"/>
          <w:lang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部分组成，其中</w:t>
      </w:r>
      <w:r>
        <w:rPr>
          <w:rFonts w:hint="eastAsia" w:ascii="仿宋" w:hAnsi="仿宋" w:eastAsia="仿宋" w:cs="仿宋"/>
          <w:b/>
          <w:bCs/>
          <w:color w:val="000000" w:themeColor="text1"/>
          <w:sz w:val="24"/>
          <w:highlight w:val="none"/>
          <w14:textFill>
            <w14:solidFill>
              <w14:schemeClr w14:val="tx1"/>
            </w14:solidFill>
          </w14:textFill>
        </w:rPr>
        <w:t>电子投标文件中所须加盖公章部分均应采用电子签章</w:t>
      </w:r>
      <w:r>
        <w:rPr>
          <w:rFonts w:hint="eastAsia" w:ascii="仿宋" w:hAnsi="仿宋" w:eastAsia="仿宋" w:cs="仿宋"/>
          <w:b/>
          <w:bCs/>
          <w:color w:val="000000" w:themeColor="text1"/>
          <w:sz w:val="24"/>
          <w:highlight w:val="none"/>
          <w:lang w:eastAsia="zh-CN"/>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但以下内容可不使用电子签章，联合体投标的，1.符合参加政府采购活动应当具备的一般条件的承诺函；2.联合体投标协议】。</w:t>
      </w:r>
    </w:p>
    <w:p w14:paraId="34C7BE0B">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14:paraId="54A55092">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.1.1▲营业执照(或事业法人登记证或其他工商等登记证明材料)彩色扫描件；</w:t>
      </w:r>
    </w:p>
    <w:p w14:paraId="0EAB7C42">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2.1.2▲符合参加政府采购活动应当具备的一般条件的承诺函；</w:t>
      </w:r>
    </w:p>
    <w:p w14:paraId="303B7CF5">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zh-CN" w:eastAsia="zh-CN"/>
          <w14:textFill>
            <w14:solidFill>
              <w14:schemeClr w14:val="tx1"/>
            </w14:solidFill>
          </w14:textFill>
        </w:rPr>
        <w:t>落实政府采购政策需满足的资格要求：</w:t>
      </w:r>
      <w:r>
        <w:rPr>
          <w:rFonts w:hint="eastAsia" w:ascii="仿宋" w:hAnsi="仿宋" w:eastAsia="仿宋" w:cs="仿宋"/>
          <w:color w:val="000000" w:themeColor="text1"/>
          <w:sz w:val="24"/>
          <w:highlight w:val="none"/>
          <w:lang w:val="en-US" w:eastAsia="zh-CN"/>
          <w14:textFill>
            <w14:solidFill>
              <w14:schemeClr w14:val="tx1"/>
            </w14:solidFill>
          </w14:textFill>
        </w:rPr>
        <w:t>提供</w:t>
      </w:r>
      <w:r>
        <w:rPr>
          <w:rFonts w:hint="eastAsia" w:ascii="仿宋" w:hAnsi="仿宋" w:eastAsia="仿宋" w:cs="仿宋"/>
          <w:color w:val="000000" w:themeColor="text1"/>
          <w:sz w:val="24"/>
          <w:highlight w:val="none"/>
          <w:lang w:val="zh-CN" w:eastAsia="zh-CN"/>
          <w14:textFill>
            <w14:solidFill>
              <w14:schemeClr w14:val="tx1"/>
            </w14:solidFill>
          </w14:textFill>
        </w:rPr>
        <w:t>《中小企业声明函》；</w:t>
      </w:r>
    </w:p>
    <w:p w14:paraId="1F449431">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2.1.4</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如是医疗器械，提供有效的投标产品《医疗器械注册证》或医疗器械备案表；</w:t>
      </w:r>
    </w:p>
    <w:p w14:paraId="1C521517">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2.1.5</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供应商为医疗器械生产企业的：第二类、第三类医疗器械生产企业提供《医疗器械生产许可证》，第一类医疗器械生产企业提供第一类医疗器械生产备案凭证；供应商为医疗器械经营企业的：第三类医疗器械经营企业提供《医疗器械经营许可证》，第一、第二类医疗器械经营企业提供第一、第二类医疗器械经营备案凭证；（如是医疗器械提供）；</w:t>
      </w:r>
    </w:p>
    <w:p w14:paraId="60F77724">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2.1.6联合体投标协议（如组成联合体形式投标的提供）；</w:t>
      </w:r>
    </w:p>
    <w:p w14:paraId="55AEA4F9">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2.1.7</w:t>
      </w:r>
      <w:r>
        <w:rPr>
          <w:rFonts w:hint="eastAsia" w:ascii="仿宋" w:hAnsi="仿宋" w:eastAsia="仿宋" w:cs="仿宋"/>
          <w:color w:val="000000" w:themeColor="text1"/>
          <w:sz w:val="24"/>
          <w:highlight w:val="none"/>
          <w:lang w:eastAsia="zh-CN"/>
          <w14:textFill>
            <w14:solidFill>
              <w14:schemeClr w14:val="tx1"/>
            </w14:solidFill>
          </w14:textFill>
        </w:rPr>
        <w:t>投标人需要说明的其他</w:t>
      </w:r>
      <w:r>
        <w:rPr>
          <w:rFonts w:hint="eastAsia" w:ascii="仿宋" w:hAnsi="仿宋" w:eastAsia="仿宋" w:cs="仿宋"/>
          <w:color w:val="000000" w:themeColor="text1"/>
          <w:sz w:val="24"/>
          <w:highlight w:val="none"/>
          <w:lang w:val="en-US" w:eastAsia="zh-CN"/>
          <w14:textFill>
            <w14:solidFill>
              <w14:schemeClr w14:val="tx1"/>
            </w14:solidFill>
          </w14:textFill>
        </w:rPr>
        <w:t>资格</w:t>
      </w:r>
      <w:r>
        <w:rPr>
          <w:rFonts w:hint="eastAsia" w:ascii="仿宋" w:hAnsi="仿宋" w:eastAsia="仿宋" w:cs="仿宋"/>
          <w:color w:val="000000" w:themeColor="text1"/>
          <w:sz w:val="24"/>
          <w:highlight w:val="none"/>
          <w:lang w:eastAsia="zh-CN"/>
          <w14:textFill>
            <w14:solidFill>
              <w14:schemeClr w14:val="tx1"/>
            </w14:solidFill>
          </w14:textFill>
        </w:rPr>
        <w:t>文件和说明（格式自拟）。</w:t>
      </w:r>
    </w:p>
    <w:p w14:paraId="0A790E33">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2商务技术</w:t>
      </w:r>
      <w:r>
        <w:rPr>
          <w:rFonts w:hint="eastAsia" w:ascii="仿宋" w:hAnsi="仿宋" w:eastAsia="仿宋" w:cs="仿宋"/>
          <w:b/>
          <w:color w:val="000000" w:themeColor="text1"/>
          <w:sz w:val="24"/>
          <w:highlight w:val="none"/>
          <w:lang w:val="zh-CN"/>
          <w14:textFill>
            <w14:solidFill>
              <w14:schemeClr w14:val="tx1"/>
            </w14:solidFill>
          </w14:textFill>
        </w:rPr>
        <w:t>文件：</w:t>
      </w:r>
    </w:p>
    <w:p w14:paraId="0248F295">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2.2.1▲投标函；</w:t>
      </w:r>
      <w:r>
        <w:rPr>
          <w:rFonts w:hint="eastAsia" w:ascii="仿宋" w:hAnsi="仿宋" w:eastAsia="仿宋" w:cs="仿宋"/>
          <w:color w:val="000000" w:themeColor="text1"/>
          <w:sz w:val="24"/>
          <w:highlight w:val="none"/>
          <w:lang w:val="zh-CN" w:eastAsia="zh-CN"/>
          <w14:textFill>
            <w14:solidFill>
              <w14:schemeClr w14:val="tx1"/>
            </w14:solidFill>
          </w14:textFill>
        </w:rPr>
        <w:t xml:space="preserve"> </w:t>
      </w:r>
    </w:p>
    <w:p w14:paraId="4D571C6F">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2.2.2法定代表人授权委托书；</w:t>
      </w:r>
    </w:p>
    <w:p w14:paraId="56F43121">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2.2.3授权代表社保证明；</w:t>
      </w:r>
    </w:p>
    <w:p w14:paraId="5460F597">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2.2.4法定代表人身份证明书；</w:t>
      </w:r>
    </w:p>
    <w:p w14:paraId="2EDC174D">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2.2.5技术响应偏离表；</w:t>
      </w:r>
    </w:p>
    <w:p w14:paraId="6C7FD540">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2.2.6</w:t>
      </w:r>
      <w:r>
        <w:rPr>
          <w:rFonts w:hint="eastAsia" w:ascii="仿宋" w:hAnsi="仿宋" w:eastAsia="仿宋" w:cs="仿宋"/>
          <w:color w:val="000000" w:themeColor="text1"/>
          <w:sz w:val="24"/>
          <w:highlight w:val="none"/>
          <w:lang w:eastAsia="zh-CN"/>
          <w14:textFill>
            <w14:solidFill>
              <w14:schemeClr w14:val="tx1"/>
            </w14:solidFill>
          </w14:textFill>
        </w:rPr>
        <w:t>商务技术文件</w:t>
      </w:r>
      <w:r>
        <w:rPr>
          <w:rFonts w:hint="eastAsia" w:ascii="仿宋" w:hAnsi="仿宋" w:eastAsia="仿宋" w:cs="仿宋"/>
          <w:color w:val="000000" w:themeColor="text1"/>
          <w:sz w:val="24"/>
          <w:highlight w:val="none"/>
          <w:lang w:val="en-US" w:eastAsia="zh-CN"/>
          <w14:textFill>
            <w14:solidFill>
              <w14:schemeClr w14:val="tx1"/>
            </w14:solidFill>
          </w14:textFill>
        </w:rPr>
        <w:t>其他内容（根据</w:t>
      </w:r>
      <w:r>
        <w:rPr>
          <w:rFonts w:hint="eastAsia" w:ascii="仿宋" w:hAnsi="仿宋" w:eastAsia="仿宋" w:cs="仿宋"/>
          <w:color w:val="000000" w:themeColor="text1"/>
          <w:sz w:val="24"/>
          <w:highlight w:val="none"/>
          <w:lang w:eastAsia="zh-CN"/>
          <w14:textFill>
            <w14:solidFill>
              <w14:schemeClr w14:val="tx1"/>
            </w14:solidFill>
          </w14:textFill>
        </w:rPr>
        <w:t>评分标准制作</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w:t>
      </w:r>
    </w:p>
    <w:p w14:paraId="627051C9">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lang w:eastAsia="zh-CN"/>
          <w14:textFill>
            <w14:solidFill>
              <w14:schemeClr w14:val="tx1"/>
            </w14:solidFill>
          </w14:textFill>
        </w:rPr>
        <w:t>投标人需要说明的其他文件和说明（格式自拟）。</w:t>
      </w:r>
    </w:p>
    <w:p w14:paraId="181A84BD">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14:paraId="4B4E4EF4">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2.3.1▲开标一览表</w:t>
      </w:r>
      <w:r>
        <w:rPr>
          <w:rFonts w:hint="eastAsia" w:ascii="仿宋" w:hAnsi="仿宋" w:eastAsia="仿宋" w:cs="仿宋"/>
          <w:color w:val="000000" w:themeColor="text1"/>
          <w:sz w:val="24"/>
          <w:highlight w:val="none"/>
          <w:lang w:val="en-US" w:eastAsia="zh-CN"/>
          <w14:textFill>
            <w14:solidFill>
              <w14:schemeClr w14:val="tx1"/>
            </w14:solidFill>
          </w14:textFill>
        </w:rPr>
        <w:t>（报价表）</w:t>
      </w:r>
      <w:r>
        <w:rPr>
          <w:rFonts w:hint="eastAsia" w:ascii="仿宋" w:hAnsi="仿宋" w:eastAsia="仿宋" w:cs="仿宋"/>
          <w:color w:val="000000" w:themeColor="text1"/>
          <w:sz w:val="24"/>
          <w:highlight w:val="none"/>
          <w:lang w:eastAsia="zh-CN"/>
          <w14:textFill>
            <w14:solidFill>
              <w14:schemeClr w14:val="tx1"/>
            </w14:solidFill>
          </w14:textFill>
        </w:rPr>
        <w:t>；</w:t>
      </w:r>
    </w:p>
    <w:p w14:paraId="5E8A7C07">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2.3.2</w:t>
      </w:r>
      <w:r>
        <w:rPr>
          <w:rFonts w:hint="eastAsia" w:ascii="仿宋" w:hAnsi="仿宋" w:eastAsia="仿宋" w:cs="仿宋"/>
          <w:color w:val="000000" w:themeColor="text1"/>
          <w:sz w:val="24"/>
          <w:highlight w:val="none"/>
          <w:lang w:eastAsia="zh-CN"/>
          <w14:textFill>
            <w14:solidFill>
              <w14:schemeClr w14:val="tx1"/>
            </w14:solidFill>
          </w14:textFill>
        </w:rPr>
        <w:t>投标人需要说明的其他文件和说明（格式自拟）。</w:t>
      </w:r>
    </w:p>
    <w:p w14:paraId="02F09175">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60" w:lineRule="exact"/>
        <w:ind w:firstLine="0"/>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14:textFill>
            <w14:solidFill>
              <w14:schemeClr w14:val="tx1"/>
            </w14:solidFill>
          </w14:textFill>
        </w:rPr>
        <w:t>3.</w:t>
      </w:r>
      <w:r>
        <w:rPr>
          <w:rFonts w:hint="eastAsia" w:ascii="仿宋" w:hAnsi="仿宋" w:eastAsia="仿宋" w:cs="仿宋"/>
          <w:b/>
          <w:bCs/>
          <w:color w:val="000000" w:themeColor="text1"/>
          <w:sz w:val="24"/>
          <w:highlight w:val="none"/>
          <w:lang w:val="en-US" w:eastAsia="zh-CN"/>
          <w14:textFill>
            <w14:solidFill>
              <w14:schemeClr w14:val="tx1"/>
            </w14:solidFill>
          </w14:textFill>
        </w:rPr>
        <w:t>投标报价</w:t>
      </w:r>
    </w:p>
    <w:p w14:paraId="28B4AEF4">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3.1供应商应按招标文件中《开标一览表》等附表要求填写。</w:t>
      </w:r>
    </w:p>
    <w:p w14:paraId="75FE91CE">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3.2报价为完成本项目所需的一切费用。</w:t>
      </w:r>
    </w:p>
    <w:p w14:paraId="4D70757E">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3.3招标文件未列明，而供应商认为必需的费用也需列入报价。</w:t>
      </w:r>
    </w:p>
    <w:p w14:paraId="4772ACEB">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60" w:lineRule="exact"/>
        <w:ind w:firstLine="482" w:firstLineChars="200"/>
        <w:textAlignment w:val="auto"/>
        <w:rPr>
          <w:rFonts w:hint="eastAsia" w:ascii="仿宋" w:hAnsi="仿宋" w:eastAsia="仿宋" w:cs="仿宋"/>
          <w:b/>
          <w:bCs/>
          <w:color w:val="000000" w:themeColor="text1"/>
          <w:sz w:val="24"/>
          <w:highlight w:val="none"/>
          <w:lang w:val="en-US"/>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3.4投标报价只允许有一个报价，有选择的报价将不予接受（除指定外）</w:t>
      </w:r>
      <w:r>
        <w:rPr>
          <w:rFonts w:hint="eastAsia" w:ascii="仿宋" w:hAnsi="仿宋" w:eastAsia="仿宋" w:cs="仿宋"/>
          <w:b/>
          <w:bCs/>
          <w:color w:val="000000" w:themeColor="text1"/>
          <w:sz w:val="24"/>
          <w:highlight w:val="none"/>
          <w:lang w:val="en-US"/>
          <w14:textFill>
            <w14:solidFill>
              <w14:schemeClr w14:val="tx1"/>
            </w14:solidFill>
          </w14:textFill>
        </w:rPr>
        <w:t>。</w:t>
      </w:r>
    </w:p>
    <w:p w14:paraId="583A5CCC">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60" w:lineRule="exact"/>
        <w:textAlignment w:val="auto"/>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14:textFill>
            <w14:solidFill>
              <w14:schemeClr w14:val="tx1"/>
            </w14:solidFill>
          </w14:textFill>
        </w:rPr>
        <w:t>4.</w:t>
      </w:r>
      <w:r>
        <w:rPr>
          <w:rFonts w:hint="eastAsia" w:ascii="仿宋" w:hAnsi="仿宋" w:eastAsia="仿宋" w:cs="仿宋"/>
          <w:b/>
          <w:bCs/>
          <w:color w:val="000000" w:themeColor="text1"/>
          <w:sz w:val="24"/>
          <w:highlight w:val="none"/>
          <w:lang w:val="zh-CN"/>
          <w14:textFill>
            <w14:solidFill>
              <w14:schemeClr w14:val="tx1"/>
            </w14:solidFill>
          </w14:textFill>
        </w:rPr>
        <w:t xml:space="preserve"> </w:t>
      </w:r>
      <w:r>
        <w:rPr>
          <w:rFonts w:hint="eastAsia" w:ascii="仿宋" w:hAnsi="仿宋" w:eastAsia="仿宋" w:cs="仿宋"/>
          <w:b/>
          <w:bCs/>
          <w:color w:val="000000" w:themeColor="text1"/>
          <w:sz w:val="24"/>
          <w:highlight w:val="none"/>
          <w:lang w:val="en-US"/>
          <w14:textFill>
            <w14:solidFill>
              <w14:schemeClr w14:val="tx1"/>
            </w14:solidFill>
          </w14:textFill>
        </w:rPr>
        <w:t>投标文件的编制</w:t>
      </w:r>
      <w:r>
        <w:rPr>
          <w:rFonts w:hint="eastAsia" w:ascii="仿宋" w:hAnsi="仿宋" w:eastAsia="仿宋" w:cs="仿宋"/>
          <w:b/>
          <w:bCs/>
          <w:color w:val="000000" w:themeColor="text1"/>
          <w:sz w:val="24"/>
          <w:highlight w:val="none"/>
          <w:lang w:val="en-US" w:eastAsia="zh-CN"/>
          <w14:textFill>
            <w14:solidFill>
              <w14:schemeClr w14:val="tx1"/>
            </w14:solidFill>
          </w14:textFill>
        </w:rPr>
        <w:t>和</w:t>
      </w:r>
      <w:r>
        <w:rPr>
          <w:rFonts w:hint="eastAsia" w:ascii="仿宋" w:hAnsi="仿宋" w:eastAsia="仿宋" w:cs="仿宋"/>
          <w:b/>
          <w:bCs/>
          <w:color w:val="000000" w:themeColor="text1"/>
          <w:sz w:val="24"/>
          <w:highlight w:val="none"/>
          <w:lang w:val="en-US"/>
          <w14:textFill>
            <w14:solidFill>
              <w14:schemeClr w14:val="tx1"/>
            </w14:solidFill>
          </w14:textFill>
        </w:rPr>
        <w:t>签署</w:t>
      </w:r>
    </w:p>
    <w:p w14:paraId="358D4A4D">
      <w:pPr>
        <w:keepNext w:val="0"/>
        <w:keepLines w:val="0"/>
        <w:pageBreakBefore w:val="0"/>
        <w:kinsoku/>
        <w:wordWrap/>
        <w:overflowPunct/>
        <w:topLinePunct w:val="0"/>
        <w:bidi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C90F77F">
      <w:pPr>
        <w:keepNext w:val="0"/>
        <w:keepLines w:val="0"/>
        <w:pageBreakBefore w:val="0"/>
        <w:kinsoku/>
        <w:wordWrap/>
        <w:overflowPunct/>
        <w:topLinePunct w:val="0"/>
        <w:bidi w:val="0"/>
        <w:snapToGrid w:val="0"/>
        <w:spacing w:line="460" w:lineRule="exact"/>
        <w:ind w:firstLine="480" w:firstLineChars="200"/>
        <w:jc w:val="left"/>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01DD11FA">
      <w:pPr>
        <w:keepNext w:val="0"/>
        <w:keepLines w:val="0"/>
        <w:pageBreakBefore w:val="0"/>
        <w:kinsoku/>
        <w:wordWrap/>
        <w:overflowPunct/>
        <w:topLinePunct w:val="0"/>
        <w:bidi w:val="0"/>
        <w:snapToGrid w:val="0"/>
        <w:spacing w:line="460" w:lineRule="exact"/>
        <w:ind w:firstLine="480" w:firstLineChars="200"/>
        <w:jc w:val="left"/>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2648AE28">
      <w:pPr>
        <w:keepNext w:val="0"/>
        <w:keepLines w:val="0"/>
        <w:pageBreakBefore w:val="0"/>
        <w:kinsoku/>
        <w:wordWrap/>
        <w:overflowPunct/>
        <w:topLinePunct w:val="0"/>
        <w:bidi w:val="0"/>
        <w:snapToGrid w:val="0"/>
        <w:spacing w:line="460" w:lineRule="exact"/>
        <w:ind w:firstLine="480" w:firstLineChars="200"/>
        <w:jc w:val="left"/>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14:paraId="127CDC52">
      <w:pPr>
        <w:keepNext w:val="0"/>
        <w:keepLines w:val="0"/>
        <w:pageBreakBefore w:val="0"/>
        <w:kinsoku/>
        <w:wordWrap/>
        <w:overflowPunct/>
        <w:topLinePunct w:val="0"/>
        <w:bidi w:val="0"/>
        <w:snapToGrid w:val="0"/>
        <w:spacing w:line="460" w:lineRule="exact"/>
        <w:ind w:firstLine="480" w:firstLineChars="200"/>
        <w:jc w:val="left"/>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0E23DEAE">
      <w:pPr>
        <w:keepNext w:val="0"/>
        <w:keepLines w:val="0"/>
        <w:pageBreakBefore w:val="0"/>
        <w:kinsoku/>
        <w:wordWrap/>
        <w:overflowPunct/>
        <w:topLinePunct w:val="0"/>
        <w:bidi w:val="0"/>
        <w:snapToGrid w:val="0"/>
        <w:spacing w:line="460" w:lineRule="exact"/>
        <w:ind w:firstLine="480" w:firstLineChars="200"/>
        <w:jc w:val="left"/>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14:paraId="0EB946C6">
      <w:pPr>
        <w:pStyle w:val="136"/>
        <w:keepNext w:val="0"/>
        <w:keepLines w:val="0"/>
        <w:pageBreakBefore w:val="0"/>
        <w:kinsoku/>
        <w:wordWrap/>
        <w:overflowPunct/>
        <w:topLinePunct w:val="0"/>
        <w:bidi w:val="0"/>
        <w:spacing w:before="0" w:line="460" w:lineRule="exact"/>
        <w:ind w:firstLine="0" w:firstLineChars="0"/>
        <w:textAlignment w:val="auto"/>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lang w:val="en-US" w:eastAsia="zh-CN"/>
          <w14:textFill>
            <w14:solidFill>
              <w14:schemeClr w14:val="tx1"/>
            </w14:solidFill>
          </w14:textFill>
        </w:rPr>
        <w:t>5</w:t>
      </w:r>
      <w:r>
        <w:rPr>
          <w:rFonts w:hint="eastAsia" w:ascii="仿宋" w:hAnsi="仿宋" w:eastAsia="仿宋" w:cs="仿宋"/>
          <w:b/>
          <w:color w:val="000000" w:themeColor="text1"/>
          <w:szCs w:val="24"/>
          <w:highlight w:val="none"/>
          <w14:textFill>
            <w14:solidFill>
              <w14:schemeClr w14:val="tx1"/>
            </w14:solidFill>
          </w14:textFill>
        </w:rPr>
        <w:t>. 投标文件的提交、补充、修改、撤回</w:t>
      </w:r>
    </w:p>
    <w:p w14:paraId="4D875020">
      <w:pPr>
        <w:keepNext w:val="0"/>
        <w:keepLines w:val="0"/>
        <w:pageBreakBefore w:val="0"/>
        <w:kinsoku/>
        <w:wordWrap/>
        <w:overflowPunct/>
        <w:topLinePunct w:val="0"/>
        <w:bidi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FB9583F">
      <w:pPr>
        <w:keepNext w:val="0"/>
        <w:keepLines w:val="0"/>
        <w:pageBreakBefore w:val="0"/>
        <w:kinsoku/>
        <w:wordWrap/>
        <w:overflowPunct/>
        <w:topLinePunct w:val="0"/>
        <w:bidi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14:paraId="5D0F1EF0">
      <w:pPr>
        <w:keepNext w:val="0"/>
        <w:keepLines w:val="0"/>
        <w:pageBreakBefore w:val="0"/>
        <w:kinsoku/>
        <w:wordWrap/>
        <w:overflowPunct/>
        <w:topLinePunct w:val="0"/>
        <w:bidi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14:paraId="5A9992ED">
      <w:pPr>
        <w:keepNext w:val="0"/>
        <w:keepLines w:val="0"/>
        <w:pageBreakBefore w:val="0"/>
        <w:kinsoku/>
        <w:wordWrap/>
        <w:overflowPunct/>
        <w:topLinePunct w:val="0"/>
        <w:bidi w:val="0"/>
        <w:adjustRightInd w:val="0"/>
        <w:spacing w:line="460" w:lineRule="exact"/>
        <w:ind w:left="0" w:leftChars="0" w:firstLine="0" w:firstLineChars="0"/>
        <w:jc w:val="both"/>
        <w:textAlignment w:val="auto"/>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6.投标有效期</w:t>
      </w:r>
    </w:p>
    <w:p w14:paraId="7BC34DD7">
      <w:pPr>
        <w:keepNext w:val="0"/>
        <w:keepLines w:val="0"/>
        <w:pageBreakBefore w:val="0"/>
        <w:kinsoku/>
        <w:wordWrap/>
        <w:overflowPunct/>
        <w:topLinePunct w:val="0"/>
        <w:bidi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6.1投标有效期为从提交投标文件的截止之日起90天。投标人的投标文件中承诺的投标有效期少于招标文件中载明的投标有效期的，投标无效。</w:t>
      </w:r>
    </w:p>
    <w:p w14:paraId="7359DA80">
      <w:pPr>
        <w:keepNext w:val="0"/>
        <w:keepLines w:val="0"/>
        <w:pageBreakBefore w:val="0"/>
        <w:kinsoku/>
        <w:wordWrap/>
        <w:overflowPunct/>
        <w:topLinePunct w:val="0"/>
        <w:bidi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6.2投标文件合格投递后，自投标截止日期起，在投标有效期内有效。</w:t>
      </w:r>
    </w:p>
    <w:p w14:paraId="4D915426">
      <w:pPr>
        <w:keepNext w:val="0"/>
        <w:keepLines w:val="0"/>
        <w:pageBreakBefore w:val="0"/>
        <w:kinsoku/>
        <w:wordWrap/>
        <w:overflowPunct/>
        <w:topLinePunct w:val="0"/>
        <w:bidi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688F1614">
      <w:pPr>
        <w:keepNext w:val="0"/>
        <w:keepLines w:val="0"/>
        <w:pageBreakBefore w:val="0"/>
        <w:widowControl w:val="0"/>
        <w:kinsoku/>
        <w:wordWrap/>
        <w:overflowPunct/>
        <w:topLinePunct w:val="0"/>
        <w:autoSpaceDE/>
        <w:autoSpaceDN/>
        <w:bidi w:val="0"/>
        <w:adjustRightInd w:val="0"/>
        <w:snapToGrid/>
        <w:spacing w:line="460" w:lineRule="exact"/>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19"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14:paraId="40A1B840">
      <w:pPr>
        <w:keepNext w:val="0"/>
        <w:keepLines w:val="0"/>
        <w:pageBreakBefore w:val="0"/>
        <w:kinsoku/>
        <w:wordWrap/>
        <w:overflowPunct/>
        <w:topLinePunct w:val="0"/>
        <w:autoSpaceDE/>
        <w:autoSpaceDN/>
        <w:bidi w:val="0"/>
        <w:snapToGrid w:val="0"/>
        <w:spacing w:line="46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14:paraId="10B316B1">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1.1投标截止时间后，主持人宣布开标会开始。</w:t>
      </w:r>
    </w:p>
    <w:p w14:paraId="622CF45F">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14:paraId="58AF1B8A">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1.3评标委员会对资格和商务技术响应文件进行评审。</w:t>
      </w:r>
    </w:p>
    <w:p w14:paraId="4EDA4D72">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1.4主持人宣布商务技术得分及无效（废）投标情形（如有），公布经商务技术评审符合招标文件要求的投标人名单及其商务技术得分。</w:t>
      </w:r>
    </w:p>
    <w:p w14:paraId="11E3CE30">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5D8EAEBB">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1.6评标委员会对投标文件报价文件资料进行评审，核准投标报价及计算价格分，汇总商务技术分、价格分，根据得分排序确定三名中标候选人。</w:t>
      </w:r>
    </w:p>
    <w:p w14:paraId="04551573">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1.7主持人公布评标结果。</w:t>
      </w:r>
    </w:p>
    <w:p w14:paraId="3BBAC158">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14:paraId="7722DAAC">
      <w:pPr>
        <w:keepNext w:val="0"/>
        <w:keepLines w:val="0"/>
        <w:pageBreakBefore w:val="0"/>
        <w:kinsoku/>
        <w:wordWrap/>
        <w:overflowPunct/>
        <w:topLinePunct w:val="0"/>
        <w:autoSpaceDE/>
        <w:autoSpaceDN/>
        <w:bidi w:val="0"/>
        <w:snapToGrid w:val="0"/>
        <w:spacing w:line="46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6C9A3D20">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2.1电子交易平台发生故障而无法登录访问的； </w:t>
      </w:r>
    </w:p>
    <w:p w14:paraId="2550EB9C">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2.2电子交易平台应用或数据库出现错误，不能进行正常操作的；</w:t>
      </w:r>
    </w:p>
    <w:p w14:paraId="787AC6FE">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2.3电子交易平台发现严重安全漏洞，有潜在泄密危险的；</w:t>
      </w:r>
    </w:p>
    <w:p w14:paraId="68E4D26A">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2.4病毒发作导致不能进行正常操作的； </w:t>
      </w:r>
    </w:p>
    <w:p w14:paraId="516BADDB">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2.5其他无法保证电子交易的公平、公正和安全的情况。</w:t>
      </w:r>
    </w:p>
    <w:p w14:paraId="4B9F0678">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2BF1D57C">
      <w:pPr>
        <w:keepNext w:val="0"/>
        <w:keepLines w:val="0"/>
        <w:pageBreakBefore w:val="0"/>
        <w:kinsoku/>
        <w:wordWrap/>
        <w:overflowPunct/>
        <w:topLinePunct w:val="0"/>
        <w:autoSpaceDE/>
        <w:autoSpaceDN/>
        <w:bidi w:val="0"/>
        <w:snapToGrid w:val="0"/>
        <w:spacing w:line="46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3．评标</w:t>
      </w:r>
    </w:p>
    <w:p w14:paraId="5974E54C">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3.1评标委员会由招标采购单位依法组建，负责评标活动。评标委员会遵循公开、公平、公正、科学合理、竞争择优的原则。</w:t>
      </w:r>
    </w:p>
    <w:p w14:paraId="6B3F15ED">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3.2评标委员会由采购人代表和有关方面的专家组成，成员人数为七人以上单数。</w:t>
      </w:r>
    </w:p>
    <w:p w14:paraId="10E0BF16">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3.3评标委员会负责对投标人资格的最终审定。</w:t>
      </w:r>
    </w:p>
    <w:p w14:paraId="68D4CC1D">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72A04485">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93797DF">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供应商通过政采云平台交换的数据电文必须进行电子签章。</w:t>
      </w:r>
    </w:p>
    <w:p w14:paraId="3584A100">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评分结果进行校对、核对并汇总统计；对明显畸高、畸低的评分情形（评审小组成员个人主观评分偏离所有评审小组成员主观评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9BCDFA3">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3.6评标委员会对投标文件的判定，只依据投标文件和招标文件内容本身，不依据任何外来证明。</w:t>
      </w:r>
    </w:p>
    <w:p w14:paraId="0AB06E33">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3.7评标委员会不向落标方解释落标的原因。</w:t>
      </w:r>
    </w:p>
    <w:p w14:paraId="5DEAEB66">
      <w:pPr>
        <w:keepNext w:val="0"/>
        <w:keepLines w:val="0"/>
        <w:pageBreakBefore w:val="0"/>
        <w:kinsoku/>
        <w:wordWrap/>
        <w:overflowPunct/>
        <w:topLinePunct w:val="0"/>
        <w:autoSpaceDE/>
        <w:autoSpaceDN/>
        <w:bidi w:val="0"/>
        <w:snapToGrid w:val="0"/>
        <w:spacing w:line="46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4．投标文件的初审鉴定</w:t>
      </w:r>
    </w:p>
    <w:p w14:paraId="05160582">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4.1资格性审查</w:t>
      </w:r>
    </w:p>
    <w:p w14:paraId="4B617305">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4.1.1依据法律、法规和招标文件规定，采购人或采购人代表对投标人进行资格审查，以确定投标人是否具备投标资格。</w:t>
      </w:r>
    </w:p>
    <w:p w14:paraId="3445510D">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4.2符合性审查</w:t>
      </w:r>
    </w:p>
    <w:p w14:paraId="641A2E4C">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0AD7522">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09A76E9E">
      <w:pPr>
        <w:keepNext w:val="0"/>
        <w:keepLines w:val="0"/>
        <w:pageBreakBefore w:val="0"/>
        <w:kinsoku/>
        <w:wordWrap/>
        <w:overflowPunct/>
        <w:topLinePunct w:val="0"/>
        <w:autoSpaceDE/>
        <w:autoSpaceDN/>
        <w:bidi w:val="0"/>
        <w:spacing w:line="46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 xml:space="preserve">5.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14:paraId="616F17B8">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5.1投标文件中开标一览表（报价表）内容与投标文件中相应内容不一致的，以开标一览表（报价表）为准；</w:t>
      </w:r>
    </w:p>
    <w:p w14:paraId="00DF30B4">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5.2大写金额和小写金额不一致的，以大写金额为准；</w:t>
      </w:r>
    </w:p>
    <w:p w14:paraId="68FC20FA">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5.3单价金额小数点或者百分比有明显错位的，以开标一览表的总价为准，并修改单价；</w:t>
      </w:r>
    </w:p>
    <w:p w14:paraId="34297AEB">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5.4总价金额与按单价汇总金额不一致的，以单价金额计算结果为准。</w:t>
      </w:r>
    </w:p>
    <w:p w14:paraId="77A5D7C3">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0387C22">
      <w:pPr>
        <w:keepNext w:val="0"/>
        <w:keepLines w:val="0"/>
        <w:pageBreakBefore w:val="0"/>
        <w:kinsoku/>
        <w:wordWrap/>
        <w:overflowPunct/>
        <w:topLinePunct w:val="0"/>
        <w:autoSpaceDE/>
        <w:autoSpaceDN/>
        <w:bidi w:val="0"/>
        <w:spacing w:line="46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6.投标文件的评审、比较和否决</w:t>
      </w:r>
    </w:p>
    <w:p w14:paraId="3B9A78E1">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6.1评标委员会将对在实质上响应招标文件要求的投标文件进行评估和比较。</w:t>
      </w:r>
    </w:p>
    <w:p w14:paraId="4BD08599">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C9F05DA">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6.3在评标过程中，如发现与招标文件要求相偏离的，评标委员会可对其偏离情形进行必要的核实。</w:t>
      </w:r>
    </w:p>
    <w:p w14:paraId="7492AD22">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725A6059">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6.5比较与评价。评标委员会应当按照评标标准，对符合性审查合格的投标文件进行商务和技术评估，综合比较与评价。</w:t>
      </w:r>
    </w:p>
    <w:p w14:paraId="1BDF430B">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6.6汇总（商务技术得分情况）。评标委员会各成员应当独立对每个投标人的商务技术文件进行评价，并汇总商务技术得分情况。</w:t>
      </w:r>
    </w:p>
    <w:p w14:paraId="607418A5">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 报价审核。对符合采购需求且通过商务技术评审的投标人的报价的合理性、准确性等进行审查核实。</w:t>
      </w:r>
    </w:p>
    <w:p w14:paraId="5A9BADF4">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525D77A">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0106E597">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6.7.3如需投标价格修正，按财政部87号令第五十九条的规定对投标价格进行修正。</w:t>
      </w:r>
    </w:p>
    <w:p w14:paraId="6C1B1912">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397A9A8B">
      <w:pPr>
        <w:pStyle w:val="17"/>
        <w:keepNext w:val="0"/>
        <w:keepLines w:val="0"/>
        <w:pageBreakBefore w:val="0"/>
        <w:widowControl w:val="0"/>
        <w:tabs>
          <w:tab w:val="clear" w:pos="390"/>
          <w:tab w:val="clear" w:pos="454"/>
        </w:tabs>
        <w:kinsoku/>
        <w:wordWrap/>
        <w:overflowPunct/>
        <w:topLinePunct w:val="0"/>
        <w:autoSpaceDE/>
        <w:autoSpaceDN/>
        <w:bidi w:val="0"/>
        <w:spacing w:after="0" w:afterLines="0" w:line="460" w:lineRule="exact"/>
        <w:ind w:left="0" w:firstLine="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7.投标文件的澄清</w:t>
      </w:r>
    </w:p>
    <w:p w14:paraId="21726094">
      <w:pPr>
        <w:pStyle w:val="17"/>
        <w:keepNext w:val="0"/>
        <w:keepLines w:val="0"/>
        <w:pageBreakBefore w:val="0"/>
        <w:widowControl w:val="0"/>
        <w:tabs>
          <w:tab w:val="clear" w:pos="390"/>
          <w:tab w:val="clear" w:pos="454"/>
        </w:tabs>
        <w:kinsoku/>
        <w:wordWrap/>
        <w:overflowPunct/>
        <w:topLinePunct w:val="0"/>
        <w:autoSpaceDE/>
        <w:autoSpaceDN/>
        <w:bidi w:val="0"/>
        <w:spacing w:after="0" w:afterLines="0" w:line="460" w:lineRule="exact"/>
        <w:ind w:left="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3BF23956">
      <w:pPr>
        <w:pStyle w:val="34"/>
        <w:keepNext w:val="0"/>
        <w:keepLines w:val="0"/>
        <w:pageBreakBefore w:val="0"/>
        <w:kinsoku/>
        <w:wordWrap/>
        <w:overflowPunct/>
        <w:topLinePunct w:val="0"/>
        <w:autoSpaceDE/>
        <w:autoSpaceDN/>
        <w:bidi w:val="0"/>
        <w:snapToGrid w:val="0"/>
        <w:spacing w:line="460" w:lineRule="exact"/>
        <w:jc w:val="lef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8.无效投标的情形</w:t>
      </w:r>
    </w:p>
    <w:p w14:paraId="50DCD515">
      <w:pPr>
        <w:keepNext w:val="0"/>
        <w:keepLines w:val="0"/>
        <w:pageBreakBefore w:val="0"/>
        <w:tabs>
          <w:tab w:val="left" w:pos="4085"/>
        </w:tabs>
        <w:kinsoku/>
        <w:wordWrap/>
        <w:overflowPunct/>
        <w:topLinePunct w:val="0"/>
        <w:autoSpaceDE/>
        <w:autoSpaceDN/>
        <w:bidi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14:paraId="5E04E6FD">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8.1未按照招标文件规定要求电子签章、签字或盖章的；</w:t>
      </w:r>
    </w:p>
    <w:p w14:paraId="1A5CBA74">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14:paraId="6D09243A">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default"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w:t>
      </w:r>
      <w:r>
        <w:rPr>
          <w:rFonts w:hint="eastAsia" w:ascii="仿宋" w:hAnsi="仿宋" w:eastAsia="仿宋" w:cs="仿宋"/>
          <w:b/>
          <w:color w:val="000000" w:themeColor="text1"/>
          <w:sz w:val="24"/>
          <w:highlight w:val="none"/>
          <w:lang w:val="en-US" w:eastAsia="zh-CN"/>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投标人未提供招标文件中规定的基本资格条件书面承诺函的，或投标人未提供有效的特定资格证明文件的，视为投标人不具备招标文件中规定的资格要求；</w:t>
      </w:r>
      <w:r>
        <w:rPr>
          <w:rFonts w:hint="eastAsia" w:ascii="仿宋" w:hAnsi="仿宋" w:eastAsia="仿宋" w:cs="仿宋"/>
          <w:b/>
          <w:color w:val="000000" w:themeColor="text1"/>
          <w:sz w:val="24"/>
          <w:highlight w:val="none"/>
          <w:lang w:val="en-US" w:eastAsia="zh-CN"/>
          <w14:textFill>
            <w14:solidFill>
              <w14:schemeClr w14:val="tx1"/>
            </w14:solidFill>
          </w14:textFill>
        </w:rPr>
        <w:t>组成联合体形式投标，未提供联合体投标协议的。</w:t>
      </w:r>
    </w:p>
    <w:p w14:paraId="10811AB2">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w:t>
      </w: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《法定代表人身份证明书》与提供的身份证复印件信息不符的；《法定代表人授权委托书》与提供的身份证复印件信息不符的；</w:t>
      </w:r>
    </w:p>
    <w:p w14:paraId="71464DDC">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w:t>
      </w: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《法定代表人授权委托书》或《法定代表人身份证明书》填写不全、错误、未电子签章(《法定代表人授权委托书》要求“电子签章”和“签字或盖章”缺一不可）的；</w:t>
      </w:r>
    </w:p>
    <w:p w14:paraId="4C348999">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w:t>
      </w: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授权代表非投标单位正式职工的（以社保证明为准，如授权代表为离退休返聘人员的，需提供退休证明及单位聘用证明），法定代表人及个体工商户除外；</w:t>
      </w:r>
    </w:p>
    <w:p w14:paraId="0B89320C">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w:t>
      </w: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投标文件中的投标函无投标人的电子签章或填写不全的；</w:t>
      </w:r>
    </w:p>
    <w:p w14:paraId="0005802F">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w:t>
      </w:r>
      <w:r>
        <w:rPr>
          <w:rFonts w:hint="eastAsia" w:ascii="仿宋" w:hAnsi="仿宋" w:eastAsia="仿宋" w:cs="仿宋"/>
          <w:b/>
          <w:color w:val="000000" w:themeColor="text1"/>
          <w:sz w:val="24"/>
          <w:highlight w:val="none"/>
          <w:lang w:val="en-US" w:eastAsia="zh-CN"/>
          <w14:textFill>
            <w14:solidFill>
              <w14:schemeClr w14:val="tx1"/>
            </w14:solidFill>
          </w14:textFill>
        </w:rPr>
        <w:t>8</w:t>
      </w:r>
      <w:r>
        <w:rPr>
          <w:rFonts w:hint="eastAsia" w:ascii="仿宋" w:hAnsi="仿宋" w:eastAsia="仿宋" w:cs="仿宋"/>
          <w:b/>
          <w:color w:val="000000" w:themeColor="text1"/>
          <w:sz w:val="24"/>
          <w:highlight w:val="none"/>
          <w14:textFill>
            <w14:solidFill>
              <w14:schemeClr w14:val="tx1"/>
            </w14:solidFill>
          </w14:textFill>
        </w:rPr>
        <w:t>报价一经涂改，未在涂改处加盖投标单位公章或者未经法定代表人或其授权代表签字或盖章的；</w:t>
      </w:r>
    </w:p>
    <w:p w14:paraId="5B6E008B">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w:t>
      </w:r>
      <w:r>
        <w:rPr>
          <w:rFonts w:hint="eastAsia" w:ascii="仿宋" w:hAnsi="仿宋" w:eastAsia="仿宋" w:cs="仿宋"/>
          <w:b/>
          <w:color w:val="000000" w:themeColor="text1"/>
          <w:sz w:val="24"/>
          <w:highlight w:val="none"/>
          <w:lang w:val="en-US" w:eastAsia="zh-CN"/>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未按招标文件规定的格式填写，或对招标服务或技术或产品等要求未详细应答或应答内容不全、有缺失的,经评标委员会认定为无法评审的；</w:t>
      </w:r>
    </w:p>
    <w:p w14:paraId="11BAAFFD">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w:t>
      </w:r>
      <w:r>
        <w:rPr>
          <w:rFonts w:hint="eastAsia" w:ascii="仿宋" w:hAnsi="仿宋" w:eastAsia="仿宋" w:cs="仿宋"/>
          <w:b/>
          <w:color w:val="000000" w:themeColor="text1"/>
          <w:sz w:val="24"/>
          <w:highlight w:val="none"/>
          <w:lang w:val="en-US" w:eastAsia="zh-CN"/>
          <w14:textFill>
            <w14:solidFill>
              <w14:schemeClr w14:val="tx1"/>
            </w14:solidFill>
          </w14:textFill>
        </w:rPr>
        <w:t>0</w:t>
      </w:r>
      <w:r>
        <w:rPr>
          <w:rFonts w:hint="eastAsia" w:ascii="仿宋" w:hAnsi="仿宋" w:eastAsia="仿宋" w:cs="仿宋"/>
          <w:b/>
          <w:color w:val="000000" w:themeColor="text1"/>
          <w:sz w:val="24"/>
          <w:highlight w:val="none"/>
          <w14:textFill>
            <w14:solidFill>
              <w14:schemeClr w14:val="tx1"/>
            </w14:solidFill>
          </w14:textFill>
        </w:rPr>
        <w:t>出现同一标的物或本次招标产品(服务)内的主要产品(重要组成部分)出现</w:t>
      </w:r>
      <w:r>
        <w:rPr>
          <w:rFonts w:hint="eastAsia" w:ascii="仿宋" w:hAnsi="仿宋" w:eastAsia="仿宋" w:cs="仿宋"/>
          <w:b/>
          <w:color w:val="000000" w:themeColor="text1"/>
          <w:sz w:val="24"/>
          <w:highlight w:val="none"/>
          <w:lang w:eastAsia="zh-CN"/>
          <w14:textFill>
            <w14:solidFill>
              <w14:schemeClr w14:val="tx1"/>
            </w14:solidFill>
          </w14:textFill>
        </w:rPr>
        <w:t>商务技术</w:t>
      </w:r>
      <w:r>
        <w:rPr>
          <w:rFonts w:hint="eastAsia" w:ascii="仿宋" w:hAnsi="仿宋" w:eastAsia="仿宋" w:cs="仿宋"/>
          <w:b/>
          <w:color w:val="000000" w:themeColor="text1"/>
          <w:sz w:val="24"/>
          <w:highlight w:val="none"/>
          <w14:textFill>
            <w14:solidFill>
              <w14:schemeClr w14:val="tx1"/>
            </w14:solidFill>
          </w14:textFill>
        </w:rPr>
        <w:t>文件资料、报价文件资料描述不一致或前后描述不一致，经评标委员会认定后为无法评审的；</w:t>
      </w:r>
    </w:p>
    <w:p w14:paraId="5829A299">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w:t>
      </w:r>
      <w:r>
        <w:rPr>
          <w:rFonts w:hint="eastAsia" w:ascii="仿宋" w:hAnsi="仿宋" w:eastAsia="仿宋" w:cs="仿宋"/>
          <w:b/>
          <w:color w:val="000000" w:themeColor="text1"/>
          <w:sz w:val="24"/>
          <w:highlight w:val="none"/>
          <w:lang w:val="en-US" w:eastAsia="zh-CN"/>
          <w14:textFill>
            <w14:solidFill>
              <w14:schemeClr w14:val="tx1"/>
            </w14:solidFill>
          </w14:textFill>
        </w:rPr>
        <w:t>1</w:t>
      </w:r>
      <w:r>
        <w:rPr>
          <w:rFonts w:hint="eastAsia" w:ascii="仿宋" w:hAnsi="仿宋" w:eastAsia="仿宋" w:cs="仿宋"/>
          <w:b/>
          <w:color w:val="000000" w:themeColor="text1"/>
          <w:sz w:val="24"/>
          <w:highlight w:val="none"/>
          <w14:textFill>
            <w14:solidFill>
              <w14:schemeClr w14:val="tx1"/>
            </w14:solidFill>
          </w14:textFill>
        </w:rPr>
        <w:t>《技术响应偏离表》不真实填写或弄虚作假的；</w:t>
      </w:r>
    </w:p>
    <w:p w14:paraId="0E032CD2">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w:t>
      </w: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w:t>
      </w:r>
    </w:p>
    <w:p w14:paraId="4379B22C">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w:t>
      </w:r>
      <w:r>
        <w:rPr>
          <w:rFonts w:hint="eastAsia" w:ascii="仿宋" w:hAnsi="仿宋" w:eastAsia="仿宋" w:cs="仿宋"/>
          <w:b/>
          <w:color w:val="000000" w:themeColor="text1"/>
          <w:sz w:val="24"/>
          <w:highlight w:val="none"/>
          <w:lang w:val="en-US" w:eastAsia="zh-CN"/>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评标委员会认为投标人的报价明显低于其他通过符合性审查投标人的报价，有可能影响产品质量或者不能诚信履约的，未能按要求提供书面说明或者提交相关证明材料证明其报价合理性的;</w:t>
      </w:r>
    </w:p>
    <w:p w14:paraId="0EF783EF">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w:t>
      </w: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报价超过招标文件中规定的预算金额或最高限价的；</w:t>
      </w:r>
    </w:p>
    <w:p w14:paraId="686E054B">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w:t>
      </w: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投标文件“</w:t>
      </w:r>
      <w:r>
        <w:rPr>
          <w:rFonts w:hint="eastAsia" w:ascii="仿宋" w:hAnsi="仿宋" w:eastAsia="仿宋" w:cs="仿宋"/>
          <w:b/>
          <w:color w:val="000000" w:themeColor="text1"/>
          <w:sz w:val="24"/>
          <w:highlight w:val="none"/>
          <w:lang w:eastAsia="zh-CN"/>
          <w14:textFill>
            <w14:solidFill>
              <w14:schemeClr w14:val="tx1"/>
            </w14:solidFill>
          </w14:textFill>
        </w:rPr>
        <w:t>商务技术</w:t>
      </w:r>
      <w:r>
        <w:rPr>
          <w:rFonts w:hint="eastAsia" w:ascii="仿宋" w:hAnsi="仿宋" w:eastAsia="仿宋" w:cs="仿宋"/>
          <w:b/>
          <w:color w:val="000000" w:themeColor="text1"/>
          <w:sz w:val="24"/>
          <w:highlight w:val="none"/>
          <w14:textFill>
            <w14:solidFill>
              <w14:schemeClr w14:val="tx1"/>
            </w14:solidFill>
          </w14:textFill>
        </w:rPr>
        <w:t>文件资料”部分中出现《开标一览表》相关内容的；</w:t>
      </w:r>
    </w:p>
    <w:p w14:paraId="71F69BDB">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w:t>
      </w: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采购人拟采购的产品属于政府强制采购的节能产品品目清单范围的，投标人未按招标文件要求提供国家确定的认证机构出具的、处于有效期之内的节能产品认证证书的；</w:t>
      </w:r>
    </w:p>
    <w:p w14:paraId="4B6EA959">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w:t>
      </w: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《开标一览表》填写不完整或字迹不能辨认或有漏项的，经评标委员会认定属于重大偏差的；</w:t>
      </w:r>
    </w:p>
    <w:p w14:paraId="6D60ADC8">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w:t>
      </w:r>
      <w:r>
        <w:rPr>
          <w:rFonts w:hint="eastAsia" w:ascii="仿宋" w:hAnsi="仿宋" w:eastAsia="仿宋" w:cs="仿宋"/>
          <w:b/>
          <w:color w:val="000000" w:themeColor="text1"/>
          <w:sz w:val="24"/>
          <w:highlight w:val="none"/>
          <w:lang w:val="en-US" w:eastAsia="zh-CN"/>
          <w14:textFill>
            <w14:solidFill>
              <w14:schemeClr w14:val="tx1"/>
            </w14:solidFill>
          </w14:textFill>
        </w:rPr>
        <w:t>8</w:t>
      </w:r>
      <w:r>
        <w:rPr>
          <w:rFonts w:hint="eastAsia" w:ascii="仿宋" w:hAnsi="仿宋" w:eastAsia="仿宋" w:cs="仿宋"/>
          <w:b/>
          <w:color w:val="000000" w:themeColor="text1"/>
          <w:sz w:val="24"/>
          <w:highlight w:val="none"/>
          <w14:textFill>
            <w14:solidFill>
              <w14:schemeClr w14:val="tx1"/>
            </w14:solidFill>
          </w14:textFill>
        </w:rPr>
        <w:t>投标人对根据修正原则修正后的报价不确认的；</w:t>
      </w:r>
    </w:p>
    <w:p w14:paraId="1831C77E">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w:t>
      </w:r>
      <w:r>
        <w:rPr>
          <w:rFonts w:hint="eastAsia" w:ascii="仿宋" w:hAnsi="仿宋" w:eastAsia="仿宋" w:cs="仿宋"/>
          <w:b/>
          <w:color w:val="000000" w:themeColor="text1"/>
          <w:sz w:val="24"/>
          <w:highlight w:val="none"/>
          <w:lang w:val="en-US" w:eastAsia="zh-CN"/>
          <w14:textFill>
            <w14:solidFill>
              <w14:schemeClr w14:val="tx1"/>
            </w14:solidFill>
          </w14:textFill>
        </w:rPr>
        <w:t>19</w:t>
      </w:r>
      <w:r>
        <w:rPr>
          <w:rFonts w:hint="eastAsia" w:ascii="仿宋" w:hAnsi="仿宋" w:eastAsia="仿宋" w:cs="仿宋"/>
          <w:b/>
          <w:color w:val="000000" w:themeColor="text1"/>
          <w:sz w:val="24"/>
          <w:highlight w:val="none"/>
          <w14:textFill>
            <w14:solidFill>
              <w14:schemeClr w14:val="tx1"/>
            </w14:solidFill>
          </w14:textFill>
        </w:rPr>
        <w:t>投标人提供虚假材料投标的（包括但不限于以下情节）；</w:t>
      </w:r>
    </w:p>
    <w:p w14:paraId="15402B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r>
        <w:rPr>
          <w:rFonts w:hint="eastAsia" w:ascii="仿宋" w:hAnsi="仿宋" w:eastAsia="仿宋" w:cs="仿宋"/>
          <w:color w:val="000000" w:themeColor="text1"/>
          <w:sz w:val="24"/>
          <w:highlight w:val="none"/>
          <w:lang w:val="en-US" w:eastAsia="zh-CN"/>
          <w14:textFill>
            <w14:solidFill>
              <w14:schemeClr w14:val="tx1"/>
            </w14:solidFill>
          </w14:textFill>
        </w:rPr>
        <w:t>19</w:t>
      </w:r>
      <w:r>
        <w:rPr>
          <w:rFonts w:hint="eastAsia" w:ascii="仿宋" w:hAnsi="仿宋" w:eastAsia="仿宋" w:cs="仿宋"/>
          <w:color w:val="000000" w:themeColor="text1"/>
          <w:sz w:val="24"/>
          <w:highlight w:val="none"/>
          <w14:textFill>
            <w14:solidFill>
              <w14:schemeClr w14:val="tx1"/>
            </w14:solidFill>
          </w14:textFill>
        </w:rPr>
        <w:t>.1使用伪造、变造的许可证件；</w:t>
      </w:r>
    </w:p>
    <w:p w14:paraId="680DCFD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r>
        <w:rPr>
          <w:rFonts w:hint="eastAsia" w:ascii="仿宋" w:hAnsi="仿宋" w:eastAsia="仿宋" w:cs="仿宋"/>
          <w:color w:val="000000" w:themeColor="text1"/>
          <w:sz w:val="24"/>
          <w:highlight w:val="none"/>
          <w:lang w:val="en-US" w:eastAsia="zh-CN"/>
          <w14:textFill>
            <w14:solidFill>
              <w14:schemeClr w14:val="tx1"/>
            </w14:solidFill>
          </w14:textFill>
        </w:rPr>
        <w:t>19</w:t>
      </w:r>
      <w:r>
        <w:rPr>
          <w:rFonts w:hint="eastAsia" w:ascii="仿宋" w:hAnsi="仿宋" w:eastAsia="仿宋" w:cs="仿宋"/>
          <w:color w:val="000000" w:themeColor="text1"/>
          <w:sz w:val="24"/>
          <w:highlight w:val="none"/>
          <w14:textFill>
            <w14:solidFill>
              <w14:schemeClr w14:val="tx1"/>
            </w14:solidFill>
          </w14:textFill>
        </w:rPr>
        <w:t>.2提供虚假的财务状况或者业绩；</w:t>
      </w:r>
    </w:p>
    <w:p w14:paraId="56FEEC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r>
        <w:rPr>
          <w:rFonts w:hint="eastAsia" w:ascii="仿宋" w:hAnsi="仿宋" w:eastAsia="仿宋" w:cs="仿宋"/>
          <w:color w:val="000000" w:themeColor="text1"/>
          <w:sz w:val="24"/>
          <w:highlight w:val="none"/>
          <w:lang w:val="en-US" w:eastAsia="zh-CN"/>
          <w14:textFill>
            <w14:solidFill>
              <w14:schemeClr w14:val="tx1"/>
            </w14:solidFill>
          </w14:textFill>
        </w:rPr>
        <w:t>19</w:t>
      </w:r>
      <w:r>
        <w:rPr>
          <w:rFonts w:hint="eastAsia" w:ascii="仿宋" w:hAnsi="仿宋" w:eastAsia="仿宋" w:cs="仿宋"/>
          <w:color w:val="000000" w:themeColor="text1"/>
          <w:sz w:val="24"/>
          <w:highlight w:val="none"/>
          <w14:textFill>
            <w14:solidFill>
              <w14:schemeClr w14:val="tx1"/>
            </w14:solidFill>
          </w14:textFill>
        </w:rPr>
        <w:t>.3提供虚假的项目负责人或者主要技术人员简历、劳动关系证明；</w:t>
      </w:r>
    </w:p>
    <w:p w14:paraId="4ACFF37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r>
        <w:rPr>
          <w:rFonts w:hint="eastAsia" w:ascii="仿宋" w:hAnsi="仿宋" w:eastAsia="仿宋" w:cs="仿宋"/>
          <w:color w:val="000000" w:themeColor="text1"/>
          <w:sz w:val="24"/>
          <w:highlight w:val="none"/>
          <w:lang w:val="en-US" w:eastAsia="zh-CN"/>
          <w14:textFill>
            <w14:solidFill>
              <w14:schemeClr w14:val="tx1"/>
            </w14:solidFill>
          </w14:textFill>
        </w:rPr>
        <w:t>19</w:t>
      </w:r>
      <w:r>
        <w:rPr>
          <w:rFonts w:hint="eastAsia" w:ascii="仿宋" w:hAnsi="仿宋" w:eastAsia="仿宋" w:cs="仿宋"/>
          <w:color w:val="000000" w:themeColor="text1"/>
          <w:sz w:val="24"/>
          <w:highlight w:val="none"/>
          <w14:textFill>
            <w14:solidFill>
              <w14:schemeClr w14:val="tx1"/>
            </w14:solidFill>
          </w14:textFill>
        </w:rPr>
        <w:t>.4提供虚假的信用状况；</w:t>
      </w:r>
    </w:p>
    <w:p w14:paraId="6D262D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r>
        <w:rPr>
          <w:rFonts w:hint="eastAsia" w:ascii="仿宋" w:hAnsi="仿宋" w:eastAsia="仿宋" w:cs="仿宋"/>
          <w:color w:val="000000" w:themeColor="text1"/>
          <w:sz w:val="24"/>
          <w:highlight w:val="none"/>
          <w:lang w:val="en-US" w:eastAsia="zh-CN"/>
          <w14:textFill>
            <w14:solidFill>
              <w14:schemeClr w14:val="tx1"/>
            </w14:solidFill>
          </w14:textFill>
        </w:rPr>
        <w:t>19</w:t>
      </w:r>
      <w:r>
        <w:rPr>
          <w:rFonts w:hint="eastAsia" w:ascii="仿宋" w:hAnsi="仿宋" w:eastAsia="仿宋" w:cs="仿宋"/>
          <w:color w:val="000000" w:themeColor="text1"/>
          <w:sz w:val="24"/>
          <w:highlight w:val="none"/>
          <w14:textFill>
            <w14:solidFill>
              <w14:schemeClr w14:val="tx1"/>
            </w14:solidFill>
          </w14:textFill>
        </w:rPr>
        <w:t>.5其他弄虚作假的行为。</w:t>
      </w:r>
    </w:p>
    <w:p w14:paraId="5A983275">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w:t>
      </w:r>
      <w:r>
        <w:rPr>
          <w:rFonts w:hint="eastAsia" w:ascii="仿宋" w:hAnsi="仿宋" w:eastAsia="仿宋" w:cs="仿宋"/>
          <w:b/>
          <w:color w:val="000000" w:themeColor="text1"/>
          <w:sz w:val="24"/>
          <w:highlight w:val="none"/>
          <w:lang w:val="en-US" w:eastAsia="zh-CN"/>
          <w14:textFill>
            <w14:solidFill>
              <w14:schemeClr w14:val="tx1"/>
            </w14:solidFill>
          </w14:textFill>
        </w:rPr>
        <w:t>0</w:t>
      </w:r>
      <w:r>
        <w:rPr>
          <w:rFonts w:hint="eastAsia" w:ascii="仿宋" w:hAnsi="仿宋" w:eastAsia="仿宋" w:cs="仿宋"/>
          <w:b/>
          <w:color w:val="000000" w:themeColor="text1"/>
          <w:sz w:val="24"/>
          <w:highlight w:val="none"/>
          <w14:textFill>
            <w14:solidFill>
              <w14:schemeClr w14:val="tx1"/>
            </w14:solidFill>
          </w14:textFill>
        </w:rPr>
        <w:t>下列情形之一的，视为投标人串通投标，其投标无效：</w:t>
      </w:r>
    </w:p>
    <w:p w14:paraId="438461E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w:t>
      </w:r>
      <w:r>
        <w:rPr>
          <w:rFonts w:hint="eastAsia" w:ascii="仿宋" w:hAnsi="仿宋" w:eastAsia="仿宋" w:cs="仿宋"/>
          <w:color w:val="000000" w:themeColor="text1"/>
          <w:sz w:val="24"/>
          <w:highlight w:val="none"/>
          <w:lang w:val="en-US" w:eastAsia="zh-CN"/>
          <w14:textFill>
            <w14:solidFill>
              <w14:schemeClr w14:val="tx1"/>
            </w14:solidFill>
          </w14:textFill>
        </w:rPr>
        <w:t>0</w:t>
      </w:r>
      <w:r>
        <w:rPr>
          <w:rFonts w:hint="eastAsia" w:ascii="仿宋" w:hAnsi="仿宋" w:eastAsia="仿宋" w:cs="仿宋"/>
          <w:color w:val="000000" w:themeColor="text1"/>
          <w:sz w:val="24"/>
          <w:highlight w:val="none"/>
          <w14:textFill>
            <w14:solidFill>
              <w14:schemeClr w14:val="tx1"/>
            </w14:solidFill>
          </w14:textFill>
        </w:rPr>
        <w:t>.1不同投标人的投标文件由同一单位或者个人编制；</w:t>
      </w:r>
    </w:p>
    <w:p w14:paraId="071C729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w:t>
      </w:r>
      <w:r>
        <w:rPr>
          <w:rFonts w:hint="eastAsia" w:ascii="仿宋" w:hAnsi="仿宋" w:eastAsia="仿宋" w:cs="仿宋"/>
          <w:color w:val="000000" w:themeColor="text1"/>
          <w:sz w:val="24"/>
          <w:highlight w:val="none"/>
          <w:lang w:val="en-US" w:eastAsia="zh-CN"/>
          <w14:textFill>
            <w14:solidFill>
              <w14:schemeClr w14:val="tx1"/>
            </w14:solidFill>
          </w14:textFill>
        </w:rPr>
        <w:t>0</w:t>
      </w:r>
      <w:r>
        <w:rPr>
          <w:rFonts w:hint="eastAsia" w:ascii="仿宋" w:hAnsi="仿宋" w:eastAsia="仿宋" w:cs="仿宋"/>
          <w:color w:val="000000" w:themeColor="text1"/>
          <w:sz w:val="24"/>
          <w:highlight w:val="none"/>
          <w14:textFill>
            <w14:solidFill>
              <w14:schemeClr w14:val="tx1"/>
            </w14:solidFill>
          </w14:textFill>
        </w:rPr>
        <w:t>.2不同投标人委托同一单位或者个人办理投标事宜；</w:t>
      </w:r>
    </w:p>
    <w:p w14:paraId="76F8964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w:t>
      </w:r>
      <w:r>
        <w:rPr>
          <w:rFonts w:hint="eastAsia" w:ascii="仿宋" w:hAnsi="仿宋" w:eastAsia="仿宋" w:cs="仿宋"/>
          <w:color w:val="000000" w:themeColor="text1"/>
          <w:sz w:val="24"/>
          <w:highlight w:val="none"/>
          <w:lang w:val="en-US" w:eastAsia="zh-CN"/>
          <w14:textFill>
            <w14:solidFill>
              <w14:schemeClr w14:val="tx1"/>
            </w14:solidFill>
          </w14:textFill>
        </w:rPr>
        <w:t>0</w:t>
      </w:r>
      <w:r>
        <w:rPr>
          <w:rFonts w:hint="eastAsia" w:ascii="仿宋" w:hAnsi="仿宋" w:eastAsia="仿宋" w:cs="仿宋"/>
          <w:color w:val="000000" w:themeColor="text1"/>
          <w:sz w:val="24"/>
          <w:highlight w:val="none"/>
          <w14:textFill>
            <w14:solidFill>
              <w14:schemeClr w14:val="tx1"/>
            </w14:solidFill>
          </w14:textFill>
        </w:rPr>
        <w:t>.3不同投标人的投标文件载明的项目管理成员或者联系人员为同一人；</w:t>
      </w:r>
    </w:p>
    <w:p w14:paraId="268B76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w:t>
      </w:r>
      <w:r>
        <w:rPr>
          <w:rFonts w:hint="eastAsia" w:ascii="仿宋" w:hAnsi="仿宋" w:eastAsia="仿宋" w:cs="仿宋"/>
          <w:color w:val="000000" w:themeColor="text1"/>
          <w:sz w:val="24"/>
          <w:highlight w:val="none"/>
          <w:lang w:val="en-US" w:eastAsia="zh-CN"/>
          <w14:textFill>
            <w14:solidFill>
              <w14:schemeClr w14:val="tx1"/>
            </w14:solidFill>
          </w14:textFill>
        </w:rPr>
        <w:t>0</w:t>
      </w:r>
      <w:r>
        <w:rPr>
          <w:rFonts w:hint="eastAsia" w:ascii="仿宋" w:hAnsi="仿宋" w:eastAsia="仿宋" w:cs="仿宋"/>
          <w:color w:val="000000" w:themeColor="text1"/>
          <w:sz w:val="24"/>
          <w:highlight w:val="none"/>
          <w14:textFill>
            <w14:solidFill>
              <w14:schemeClr w14:val="tx1"/>
            </w14:solidFill>
          </w14:textFill>
        </w:rPr>
        <w:t>.4不同投标人的投标文件异常一致或者投标报价呈规律性差异；</w:t>
      </w:r>
    </w:p>
    <w:p w14:paraId="3F0DA69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w:t>
      </w:r>
      <w:r>
        <w:rPr>
          <w:rFonts w:hint="eastAsia" w:ascii="仿宋" w:hAnsi="仿宋" w:eastAsia="仿宋" w:cs="仿宋"/>
          <w:color w:val="000000" w:themeColor="text1"/>
          <w:sz w:val="24"/>
          <w:highlight w:val="none"/>
          <w:lang w:val="en-US" w:eastAsia="zh-CN"/>
          <w14:textFill>
            <w14:solidFill>
              <w14:schemeClr w14:val="tx1"/>
            </w14:solidFill>
          </w14:textFill>
        </w:rPr>
        <w:t>0</w:t>
      </w:r>
      <w:r>
        <w:rPr>
          <w:rFonts w:hint="eastAsia" w:ascii="仿宋" w:hAnsi="仿宋" w:eastAsia="仿宋" w:cs="仿宋"/>
          <w:color w:val="000000" w:themeColor="text1"/>
          <w:sz w:val="24"/>
          <w:highlight w:val="none"/>
          <w14:textFill>
            <w14:solidFill>
              <w14:schemeClr w14:val="tx1"/>
            </w14:solidFill>
          </w14:textFill>
        </w:rPr>
        <w:t>.5不同投标人的投标文件相互混装；</w:t>
      </w:r>
    </w:p>
    <w:p w14:paraId="64724B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w:t>
      </w:r>
      <w:r>
        <w:rPr>
          <w:rFonts w:hint="eastAsia" w:ascii="仿宋" w:hAnsi="仿宋" w:eastAsia="仿宋" w:cs="仿宋"/>
          <w:color w:val="000000" w:themeColor="text1"/>
          <w:sz w:val="24"/>
          <w:highlight w:val="none"/>
          <w:lang w:val="en-US" w:eastAsia="zh-CN"/>
          <w14:textFill>
            <w14:solidFill>
              <w14:schemeClr w14:val="tx1"/>
            </w14:solidFill>
          </w14:textFill>
        </w:rPr>
        <w:t>0</w:t>
      </w:r>
      <w:r>
        <w:rPr>
          <w:rFonts w:hint="eastAsia" w:ascii="仿宋" w:hAnsi="仿宋" w:eastAsia="仿宋" w:cs="仿宋"/>
          <w:color w:val="000000" w:themeColor="text1"/>
          <w:sz w:val="24"/>
          <w:highlight w:val="none"/>
          <w14:textFill>
            <w14:solidFill>
              <w14:schemeClr w14:val="tx1"/>
            </w14:solidFill>
          </w14:textFill>
        </w:rPr>
        <w:t>.6有二份及二份以上投标文件的相互之间有特别相同或相似之处，且经询标澄清投标人无令人信服的理由和可靠证据证明其合理性的，经评标委员会半数以上成员确认有串通投标嫌疑的；</w:t>
      </w:r>
    </w:p>
    <w:p w14:paraId="090F16D4">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w:t>
      </w:r>
      <w:r>
        <w:rPr>
          <w:rFonts w:hint="eastAsia" w:ascii="仿宋" w:hAnsi="仿宋" w:eastAsia="仿宋" w:cs="仿宋"/>
          <w:b/>
          <w:color w:val="000000" w:themeColor="text1"/>
          <w:sz w:val="24"/>
          <w:highlight w:val="none"/>
          <w:lang w:val="en-US" w:eastAsia="zh-CN"/>
          <w14:textFill>
            <w14:solidFill>
              <w14:schemeClr w14:val="tx1"/>
            </w14:solidFill>
          </w14:textFill>
        </w:rPr>
        <w:t>1</w:t>
      </w:r>
      <w:r>
        <w:rPr>
          <w:rFonts w:hint="eastAsia" w:ascii="仿宋" w:hAnsi="仿宋" w:eastAsia="仿宋" w:cs="仿宋"/>
          <w:b/>
          <w:color w:val="000000" w:themeColor="text1"/>
          <w:sz w:val="24"/>
          <w:highlight w:val="none"/>
          <w14:textFill>
            <w14:solidFill>
              <w14:schemeClr w14:val="tx1"/>
            </w14:solidFill>
          </w14:textFill>
        </w:rPr>
        <w:t>有下列情形之一的，属于恶意串通，其投标无效：</w:t>
      </w:r>
    </w:p>
    <w:p w14:paraId="4B0AA1E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8.21</w:t>
      </w:r>
      <w:r>
        <w:rPr>
          <w:rFonts w:hint="eastAsia" w:ascii="仿宋" w:hAnsi="仿宋" w:eastAsia="仿宋" w:cs="仿宋"/>
          <w:color w:val="000000" w:themeColor="text1"/>
          <w:sz w:val="24"/>
          <w:highlight w:val="none"/>
          <w14:textFill>
            <w14:solidFill>
              <w14:schemeClr w14:val="tx1"/>
            </w14:solidFill>
          </w14:textFill>
        </w:rPr>
        <w:t>.1供应商直接或者间接从采购人或者采购机构处获得其他供应商的相关情况并修改其投标文件或者响应文件；</w:t>
      </w:r>
    </w:p>
    <w:p w14:paraId="4E35FD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8.21</w:t>
      </w:r>
      <w:r>
        <w:rPr>
          <w:rFonts w:hint="eastAsia" w:ascii="仿宋" w:hAnsi="仿宋" w:eastAsia="仿宋" w:cs="仿宋"/>
          <w:color w:val="000000" w:themeColor="text1"/>
          <w:sz w:val="24"/>
          <w:highlight w:val="none"/>
          <w14:textFill>
            <w14:solidFill>
              <w14:schemeClr w14:val="tx1"/>
            </w14:solidFill>
          </w14:textFill>
        </w:rPr>
        <w:t>.2供应商按照采购人或者采购机构的授意撤换、修改投标文件或者响应文件；</w:t>
      </w:r>
    </w:p>
    <w:p w14:paraId="275863C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8.21</w:t>
      </w:r>
      <w:r>
        <w:rPr>
          <w:rFonts w:hint="eastAsia" w:ascii="仿宋" w:hAnsi="仿宋" w:eastAsia="仿宋" w:cs="仿宋"/>
          <w:color w:val="000000" w:themeColor="text1"/>
          <w:sz w:val="24"/>
          <w:highlight w:val="none"/>
          <w14:textFill>
            <w14:solidFill>
              <w14:schemeClr w14:val="tx1"/>
            </w14:solidFill>
          </w14:textFill>
        </w:rPr>
        <w:t>.3供应商之间协商报价、技术方案等投标文件或者响应文件的实质性内容；</w:t>
      </w:r>
    </w:p>
    <w:p w14:paraId="68CD8FB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8.21</w:t>
      </w:r>
      <w:r>
        <w:rPr>
          <w:rFonts w:hint="eastAsia" w:ascii="仿宋" w:hAnsi="仿宋" w:eastAsia="仿宋" w:cs="仿宋"/>
          <w:color w:val="000000" w:themeColor="text1"/>
          <w:sz w:val="24"/>
          <w:highlight w:val="none"/>
          <w14:textFill>
            <w14:solidFill>
              <w14:schemeClr w14:val="tx1"/>
            </w14:solidFill>
          </w14:textFill>
        </w:rPr>
        <w:t>.4属于同一集团、协会、商会等组织成员的供应商按照该组织要求协同参加政府采购活动；</w:t>
      </w:r>
    </w:p>
    <w:p w14:paraId="5E42ABB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8.21</w:t>
      </w:r>
      <w:r>
        <w:rPr>
          <w:rFonts w:hint="eastAsia" w:ascii="仿宋" w:hAnsi="仿宋" w:eastAsia="仿宋" w:cs="仿宋"/>
          <w:color w:val="000000" w:themeColor="text1"/>
          <w:sz w:val="24"/>
          <w:highlight w:val="none"/>
          <w14:textFill>
            <w14:solidFill>
              <w14:schemeClr w14:val="tx1"/>
            </w14:solidFill>
          </w14:textFill>
        </w:rPr>
        <w:t>.5供应商之间事先约定由某一特定供应商中标、成交；</w:t>
      </w:r>
    </w:p>
    <w:p w14:paraId="1847D5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8.21</w:t>
      </w:r>
      <w:r>
        <w:rPr>
          <w:rFonts w:hint="eastAsia" w:ascii="仿宋" w:hAnsi="仿宋" w:eastAsia="仿宋" w:cs="仿宋"/>
          <w:color w:val="000000" w:themeColor="text1"/>
          <w:sz w:val="24"/>
          <w:highlight w:val="none"/>
          <w14:textFill>
            <w14:solidFill>
              <w14:schemeClr w14:val="tx1"/>
            </w14:solidFill>
          </w14:textFill>
        </w:rPr>
        <w:t>.6供应商之间商定部分供应商放弃参加政府采购活动或者放弃中标、成交；</w:t>
      </w:r>
    </w:p>
    <w:p w14:paraId="71B3D7A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8.21</w:t>
      </w:r>
      <w:r>
        <w:rPr>
          <w:rFonts w:hint="eastAsia" w:ascii="仿宋" w:hAnsi="仿宋" w:eastAsia="仿宋" w:cs="仿宋"/>
          <w:color w:val="000000" w:themeColor="text1"/>
          <w:sz w:val="24"/>
          <w:highlight w:val="none"/>
          <w14:textFill>
            <w14:solidFill>
              <w14:schemeClr w14:val="tx1"/>
            </w14:solidFill>
          </w14:textFill>
        </w:rPr>
        <w:t>.7供应商与采购人或者采购机构之间、供应商相互之间，为谋求特定供应商中标、成交或者排斥其他供应商的其他串通行为。</w:t>
      </w:r>
    </w:p>
    <w:p w14:paraId="382DA2AC">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w:t>
      </w: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评标委员会认定有重大偏差或实质性不响应招标文件要求的；</w:t>
      </w:r>
    </w:p>
    <w:p w14:paraId="37DB336B">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w:t>
      </w:r>
      <w:r>
        <w:rPr>
          <w:rFonts w:hint="eastAsia" w:ascii="仿宋" w:hAnsi="仿宋" w:eastAsia="仿宋" w:cs="仿宋"/>
          <w:b/>
          <w:color w:val="000000" w:themeColor="text1"/>
          <w:sz w:val="24"/>
          <w:highlight w:val="none"/>
          <w:lang w:val="en-US" w:eastAsia="zh-CN"/>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投标文件出现不是唯一的、有选择性投标报价的；</w:t>
      </w:r>
    </w:p>
    <w:p w14:paraId="7A011C24">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w:t>
      </w: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其他违反法律、法规的情形。</w:t>
      </w:r>
    </w:p>
    <w:p w14:paraId="1E34F2E1">
      <w:pPr>
        <w:keepNext w:val="0"/>
        <w:keepLines w:val="0"/>
        <w:pageBreakBefore w:val="0"/>
        <w:kinsoku/>
        <w:wordWrap/>
        <w:overflowPunct/>
        <w:topLinePunct w:val="0"/>
        <w:autoSpaceDE/>
        <w:autoSpaceDN/>
        <w:bidi w:val="0"/>
        <w:snapToGrid w:val="0"/>
        <w:spacing w:line="460" w:lineRule="exact"/>
        <w:textAlignment w:val="auto"/>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 评标过程保密</w:t>
      </w:r>
    </w:p>
    <w:p w14:paraId="79709B4C">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A3E30A8">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9.2 在评标期间，投标人企图影响招标人或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bookmarkEnd w:id="19"/>
    <w:p w14:paraId="0A8BDD55">
      <w:pPr>
        <w:pStyle w:val="34"/>
        <w:keepNext w:val="0"/>
        <w:keepLines w:val="0"/>
        <w:pageBreakBefore w:val="0"/>
        <w:widowControl w:val="0"/>
        <w:kinsoku/>
        <w:wordWrap/>
        <w:overflowPunct/>
        <w:topLinePunct w:val="0"/>
        <w:autoSpaceDE/>
        <w:autoSpaceDN/>
        <w:bidi w:val="0"/>
        <w:adjustRightInd w:val="0"/>
        <w:spacing w:line="460" w:lineRule="exact"/>
        <w:ind w:firstLine="726"/>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20" w:name="_Hlt75236290"/>
      <w:bookmarkEnd w:id="20"/>
      <w:bookmarkStart w:id="21" w:name="_Hlt68057669"/>
      <w:bookmarkEnd w:id="21"/>
      <w:bookmarkStart w:id="22" w:name="_Hlt68403820"/>
      <w:bookmarkEnd w:id="22"/>
      <w:bookmarkStart w:id="23" w:name="_Hlt68072998"/>
      <w:bookmarkEnd w:id="23"/>
      <w:bookmarkStart w:id="24" w:name="_Hlt75236101"/>
      <w:bookmarkEnd w:id="24"/>
      <w:bookmarkStart w:id="25" w:name="_Hlt75236011"/>
      <w:bookmarkEnd w:id="25"/>
      <w:bookmarkStart w:id="26" w:name="_Hlt68073093"/>
      <w:bookmarkEnd w:id="26"/>
      <w:bookmarkStart w:id="27" w:name="_Hlt74730295"/>
      <w:bookmarkEnd w:id="27"/>
      <w:bookmarkStart w:id="28" w:name="_Hlt68072990"/>
      <w:bookmarkEnd w:id="28"/>
      <w:bookmarkStart w:id="29" w:name="_Hlt74729768"/>
      <w:bookmarkEnd w:id="29"/>
      <w:bookmarkStart w:id="30" w:name="_Hlt74707468"/>
      <w:bookmarkEnd w:id="30"/>
      <w:bookmarkStart w:id="31" w:name="_Hlt74714665"/>
      <w:bookmarkEnd w:id="31"/>
      <w:bookmarkStart w:id="32" w:name="_Toc81372776"/>
      <w:bookmarkStart w:id="33" w:name="_Toc81372953"/>
      <w:bookmarkStart w:id="34" w:name="_Toc84325929"/>
      <w:r>
        <w:rPr>
          <w:rFonts w:hint="eastAsia" w:ascii="仿宋" w:hAnsi="仿宋" w:eastAsia="仿宋" w:cs="仿宋"/>
          <w:b/>
          <w:color w:val="000000" w:themeColor="text1"/>
          <w:sz w:val="32"/>
          <w:szCs w:val="32"/>
          <w:highlight w:val="none"/>
          <w14:textFill>
            <w14:solidFill>
              <w14:schemeClr w14:val="tx1"/>
            </w14:solidFill>
          </w14:textFill>
        </w:rPr>
        <w:t>五、授予合同</w:t>
      </w:r>
    </w:p>
    <w:bookmarkEnd w:id="32"/>
    <w:bookmarkEnd w:id="33"/>
    <w:bookmarkEnd w:id="34"/>
    <w:p w14:paraId="2FD197EF">
      <w:pPr>
        <w:pStyle w:val="17"/>
        <w:keepNext w:val="0"/>
        <w:keepLines w:val="0"/>
        <w:pageBreakBefore w:val="0"/>
        <w:tabs>
          <w:tab w:val="clear" w:pos="390"/>
          <w:tab w:val="clear" w:pos="454"/>
        </w:tabs>
        <w:kinsoku/>
        <w:wordWrap/>
        <w:overflowPunct/>
        <w:topLinePunct w:val="0"/>
        <w:autoSpaceDE/>
        <w:autoSpaceDN/>
        <w:bidi w:val="0"/>
        <w:snapToGrid/>
        <w:spacing w:after="0" w:afterLines="0" w:line="460" w:lineRule="exact"/>
        <w:ind w:left="0" w:firstLine="0"/>
        <w:textAlignment w:val="auto"/>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14:paraId="3EE3B6FF">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14:paraId="1C11C05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14:paraId="0CD4C8F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1.3实施方案最合理并对招标人最为有利，最大限度满足招标文件的要求；</w:t>
      </w:r>
    </w:p>
    <w:p w14:paraId="58F5BD73">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r>
        <w:rPr>
          <w:rFonts w:hint="eastAsia" w:ascii="仿宋" w:hAnsi="仿宋" w:eastAsia="仿宋" w:cs="仿宋"/>
          <w:color w:val="000000" w:themeColor="text1"/>
          <w:sz w:val="24"/>
          <w:highlight w:val="none"/>
          <w:lang w:eastAsia="zh-CN"/>
          <w14:textFill>
            <w14:solidFill>
              <w14:schemeClr w14:val="tx1"/>
            </w14:solidFill>
          </w14:textFill>
        </w:rPr>
        <w:t>；</w:t>
      </w:r>
    </w:p>
    <w:p w14:paraId="59D2AD96">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1.5招标人将把中标通知书授予最佳投标者，但最低价不是中标的绝对保证。</w:t>
      </w:r>
    </w:p>
    <w:p w14:paraId="562BCBE1">
      <w:pPr>
        <w:keepNext w:val="0"/>
        <w:keepLines w:val="0"/>
        <w:pageBreakBefore w:val="0"/>
        <w:kinsoku/>
        <w:wordWrap/>
        <w:overflowPunct/>
        <w:topLinePunct w:val="0"/>
        <w:autoSpaceDE/>
        <w:autoSpaceDN/>
        <w:bidi w:val="0"/>
        <w:snapToGrid/>
        <w:spacing w:line="46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14:paraId="344D24BC">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14:paraId="5DC6E5A8">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6634A2C2">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14:paraId="32544B30">
      <w:pPr>
        <w:keepNext w:val="0"/>
        <w:keepLines w:val="0"/>
        <w:pageBreakBefore w:val="0"/>
        <w:kinsoku/>
        <w:wordWrap/>
        <w:overflowPunct/>
        <w:topLinePunct w:val="0"/>
        <w:autoSpaceDE/>
        <w:autoSpaceDN/>
        <w:bidi w:val="0"/>
        <w:snapToGrid/>
        <w:spacing w:line="46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14:paraId="2F17C3BA">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"http://www.zjzfcg.gov.cn"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，中标公告期限为1个工作日。</w:t>
      </w:r>
    </w:p>
    <w:p w14:paraId="6545E97C">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14:paraId="0A66F15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14:paraId="3491796D">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．履约保证金</w:t>
      </w:r>
    </w:p>
    <w:p w14:paraId="50AF5157">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4.1中标人在合同签订后7日内缴纳合同总金额1%的履约保证金。</w:t>
      </w:r>
    </w:p>
    <w:p w14:paraId="63F747E2">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4.2履约保证金以支票、汇票、本票或者金融机构、保险公司、担保机构出具的保函/保险等非现金形式提交。</w:t>
      </w:r>
    </w:p>
    <w:p w14:paraId="4D251651">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4.3履约保证金的退回：在履约期满后无息退还履约保证金。</w:t>
      </w:r>
    </w:p>
    <w:p w14:paraId="225AC0AE">
      <w:pPr>
        <w:keepNext w:val="0"/>
        <w:keepLines w:val="0"/>
        <w:pageBreakBefore w:val="0"/>
        <w:kinsoku/>
        <w:wordWrap/>
        <w:overflowPunct/>
        <w:topLinePunct w:val="0"/>
        <w:autoSpaceDE/>
        <w:autoSpaceDN/>
        <w:bidi w:val="0"/>
        <w:adjustRightInd w:val="0"/>
        <w:spacing w:line="46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．合同签订</w:t>
      </w:r>
    </w:p>
    <w:p w14:paraId="6D7278D1">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5.1中标人应当在中标通知书发出之日起30天内与采购人签订合同（如中标人为联合体的，由联合体成员各方法定代表人或其授权代表与招标人代表签订合同）。</w:t>
      </w:r>
    </w:p>
    <w:p w14:paraId="659807F8">
      <w:pPr>
        <w:keepNext w:val="0"/>
        <w:keepLines w:val="0"/>
        <w:pageBreakBefore w:val="0"/>
        <w:kinsoku/>
        <w:wordWrap/>
        <w:overflowPunct/>
        <w:topLinePunct w:val="0"/>
        <w:autoSpaceDE/>
        <w:autoSpaceDN/>
        <w:bidi w:val="0"/>
        <w:adjustRightInd w:val="0"/>
        <w:spacing w:line="46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.验收</w:t>
      </w:r>
    </w:p>
    <w:p w14:paraId="46464122">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8C1B72C">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42FDD252">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7906FF14">
      <w:pPr>
        <w:keepNext w:val="0"/>
        <w:keepLines w:val="0"/>
        <w:pageBreakBefore w:val="0"/>
        <w:kinsoku/>
        <w:wordWrap/>
        <w:overflowPunct/>
        <w:topLinePunct w:val="0"/>
        <w:autoSpaceDE/>
        <w:autoSpaceDN/>
        <w:bidi w:val="0"/>
        <w:adjustRightInd w:val="0"/>
        <w:spacing w:line="46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.售后服务考核</w:t>
      </w:r>
    </w:p>
    <w:p w14:paraId="7BA03B7E">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w:t>
      </w:r>
      <w:r>
        <w:rPr>
          <w:rFonts w:hint="eastAsia" w:ascii="仿宋" w:hAnsi="仿宋" w:eastAsia="仿宋" w:cs="仿宋"/>
          <w:color w:val="000000" w:themeColor="text1"/>
          <w:sz w:val="24"/>
          <w:highlight w:val="none"/>
          <w:lang w:eastAsia="zh-CN"/>
          <w14:textFill>
            <w14:solidFill>
              <w14:schemeClr w14:val="tx1"/>
            </w14:solidFill>
          </w14:textFill>
        </w:rPr>
        <w:t>商务技术</w:t>
      </w:r>
      <w:r>
        <w:rPr>
          <w:rFonts w:hint="eastAsia" w:ascii="仿宋" w:hAnsi="仿宋" w:eastAsia="仿宋" w:cs="仿宋"/>
          <w:color w:val="000000" w:themeColor="text1"/>
          <w:sz w:val="24"/>
          <w:highlight w:val="none"/>
          <w14:textFill>
            <w14:solidFill>
              <w14:schemeClr w14:val="tx1"/>
            </w14:solidFill>
          </w14:textFill>
        </w:rPr>
        <w:t>文件规定的，一经查实，由政府采购监督管理部门给予相应处罚。</w:t>
      </w:r>
    </w:p>
    <w:p w14:paraId="04E25A7B">
      <w:pPr>
        <w:keepNext w:val="0"/>
        <w:keepLines w:val="0"/>
        <w:pageBreakBefore w:val="0"/>
        <w:kinsoku/>
        <w:wordWrap/>
        <w:overflowPunct/>
        <w:topLinePunct w:val="0"/>
        <w:bidi w:val="0"/>
        <w:adjustRightInd/>
        <w:spacing w:line="460" w:lineRule="exact"/>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hint="eastAsia" w:ascii="仿宋" w:hAnsi="仿宋" w:eastAsia="仿宋" w:cs="仿宋"/>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14:paraId="32D50812">
      <w:pPr>
        <w:keepNext w:val="0"/>
        <w:keepLines w:val="0"/>
        <w:pageBreakBefore w:val="0"/>
        <w:kinsoku/>
        <w:wordWrap/>
        <w:overflowPunct/>
        <w:topLinePunct w:val="0"/>
        <w:bidi w:val="0"/>
        <w:adjustRightInd w:val="0"/>
        <w:spacing w:line="460" w:lineRule="exact"/>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14:paraId="7CAC6447">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AE610B1">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color w:val="000000" w:themeColor="text1"/>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以联合体形式参加政府采购活动的，其询问、质疑、投诉应当由组成联合体的所有供应商共同提出。</w:t>
      </w:r>
    </w:p>
    <w:p w14:paraId="12EE725E">
      <w:pPr>
        <w:keepNext w:val="0"/>
        <w:keepLines w:val="0"/>
        <w:pageBreakBefore w:val="0"/>
        <w:kinsoku/>
        <w:wordWrap/>
        <w:overflowPunct/>
        <w:topLinePunct w:val="0"/>
        <w:bidi w:val="0"/>
        <w:adjustRightInd w:val="0"/>
        <w:spacing w:line="460" w:lineRule="exact"/>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 供应商询问</w:t>
      </w:r>
    </w:p>
    <w:p w14:paraId="1E670BB5">
      <w:pPr>
        <w:keepNext w:val="0"/>
        <w:keepLines w:val="0"/>
        <w:pageBreakBefore w:val="0"/>
        <w:kinsoku/>
        <w:wordWrap/>
        <w:overflowPunct/>
        <w:topLinePunct w:val="0"/>
        <w:autoSpaceDE w:val="0"/>
        <w:autoSpaceDN w:val="0"/>
        <w:bidi w:val="0"/>
        <w:adjustRightInd w:val="0"/>
        <w:spacing w:line="460" w:lineRule="exact"/>
        <w:ind w:firstLine="480" w:firstLineChars="200"/>
        <w:jc w:val="left"/>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5364AD9">
      <w:pPr>
        <w:keepNext w:val="0"/>
        <w:keepLines w:val="0"/>
        <w:pageBreakBefore w:val="0"/>
        <w:kinsoku/>
        <w:wordWrap/>
        <w:overflowPunct/>
        <w:topLinePunct w:val="0"/>
        <w:bidi w:val="0"/>
        <w:adjustRightInd w:val="0"/>
        <w:spacing w:line="460" w:lineRule="exact"/>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 供应商质疑</w:t>
      </w:r>
    </w:p>
    <w:p w14:paraId="330DE2BA">
      <w:pPr>
        <w:keepNext w:val="0"/>
        <w:keepLines w:val="0"/>
        <w:pageBreakBefore w:val="0"/>
        <w:kinsoku/>
        <w:wordWrap/>
        <w:overflowPunct/>
        <w:topLinePunct w:val="0"/>
        <w:bidi w:val="0"/>
        <w:adjustRightInd w:val="0"/>
        <w:spacing w:line="460" w:lineRule="exact"/>
        <w:ind w:firstLine="482"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eastAsia"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14:paraId="79297F3C">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14:paraId="69FFCCAE">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D685F71">
      <w:pPr>
        <w:keepNext w:val="0"/>
        <w:keepLines w:val="0"/>
        <w:pageBreakBefore w:val="0"/>
        <w:widowControl/>
        <w:kinsoku/>
        <w:wordWrap/>
        <w:overflowPunct/>
        <w:topLinePunct w:val="0"/>
        <w:bidi w:val="0"/>
        <w:adjustRightInd w:val="0"/>
        <w:snapToGrid w:val="0"/>
        <w:spacing w:line="460" w:lineRule="exact"/>
        <w:ind w:firstLine="434" w:firstLineChars="181"/>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7B6A96E1">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14:paraId="0164361C">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14:paraId="2ADB48DF">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14:paraId="00867DBB">
      <w:pPr>
        <w:keepNext w:val="0"/>
        <w:keepLines w:val="0"/>
        <w:pageBreakBefore w:val="0"/>
        <w:kinsoku/>
        <w:wordWrap/>
        <w:overflowPunct/>
        <w:topLinePunct w:val="0"/>
        <w:bidi w:val="0"/>
        <w:adjustRightInd w:val="0"/>
        <w:spacing w:line="460" w:lineRule="exact"/>
        <w:ind w:firstLine="482"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eastAsia"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eastAsia"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14:paraId="27E18D56">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14:paraId="13583D04">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14:paraId="0EDE7EB9">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14:paraId="5CCF3A72">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14:paraId="5B126286">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14:paraId="5CAE3A85">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14:paraId="34A98500">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14:paraId="0594FF03">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2C652E4C">
      <w:pPr>
        <w:keepNext w:val="0"/>
        <w:keepLines w:val="0"/>
        <w:pageBreakBefore w:val="0"/>
        <w:kinsoku/>
        <w:wordWrap/>
        <w:overflowPunct/>
        <w:topLinePunct w:val="0"/>
        <w:bidi w:val="0"/>
        <w:adjustRightInd w:val="0"/>
        <w:spacing w:line="460" w:lineRule="exact"/>
        <w:ind w:firstLine="482"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14:paraId="16D9D806">
      <w:pPr>
        <w:keepNext w:val="0"/>
        <w:keepLines w:val="0"/>
        <w:pageBreakBefore w:val="0"/>
        <w:kinsoku/>
        <w:wordWrap/>
        <w:overflowPunct/>
        <w:topLinePunct w:val="0"/>
        <w:bidi w:val="0"/>
        <w:adjustRightInd w:val="0"/>
        <w:spacing w:line="460" w:lineRule="exact"/>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14:paraId="09223D1C">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4BF83FED">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14:paraId="27DAEB03">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14:paraId="52282443">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14:paraId="3187441A">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left"/>
        <w:textAlignment w:val="auto"/>
        <w:outlineLvl w:val="0"/>
        <w:rPr>
          <w:rFonts w:hint="eastAsia"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p w14:paraId="2332E9E9">
      <w:pP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br w:type="page"/>
      </w:r>
    </w:p>
    <w:p w14:paraId="5C8DDB37">
      <w:pPr>
        <w:pStyle w:val="262"/>
        <w:numPr>
          <w:ilvl w:val="0"/>
          <w:numId w:val="0"/>
        </w:numPr>
        <w:autoSpaceDE w:val="0"/>
        <w:spacing w:line="560" w:lineRule="exact"/>
        <w:ind w:left="0" w:leftChars="0" w:firstLine="0" w:firstLineChars="0"/>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bookmarkEnd w:id="17"/>
    <w:bookmarkEnd w:id="18"/>
    <w:p w14:paraId="3E37FE4C">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bookmarkStart w:id="35" w:name="_Toc114052559"/>
      <w:bookmarkStart w:id="36" w:name="第五部分"/>
      <w:bookmarkStart w:id="37" w:name="_Toc86217003"/>
    </w:p>
    <w:p w14:paraId="64EB0E90">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default" w:eastAsia="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一、项目背景</w:t>
      </w:r>
    </w:p>
    <w:p w14:paraId="422DCB84">
      <w:pPr>
        <w:keepNext w:val="0"/>
        <w:keepLines w:val="0"/>
        <w:pageBreakBefore w:val="0"/>
        <w:kinsoku/>
        <w:wordWrap/>
        <w:overflowPunct/>
        <w:topLinePunct w:val="0"/>
        <w:bidi w:val="0"/>
        <w:adjustRightInd w:val="0"/>
        <w:spacing w:line="460" w:lineRule="exact"/>
        <w:ind w:firstLine="480" w:firstLineChars="200"/>
        <w:jc w:val="both"/>
        <w:textAlignment w:val="auto"/>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为满足老年人基本生活需求，保障老年人安全，营造尊老敬老的社会氛围，促进和谐与稳定，实施衢州市柯城区白云街道社区居家养老服务照料中心建设项目。</w:t>
      </w:r>
    </w:p>
    <w:p w14:paraId="2B038655">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2965C07B">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二</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、项目清单内容</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43"/>
        <w:gridCol w:w="1110"/>
        <w:gridCol w:w="4110"/>
        <w:gridCol w:w="640"/>
        <w:gridCol w:w="936"/>
        <w:gridCol w:w="1835"/>
      </w:tblGrid>
      <w:tr w14:paraId="6126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69EE58C7">
            <w:pPr>
              <w:keepNext w:val="0"/>
              <w:keepLines w:val="0"/>
              <w:widowControl/>
              <w:suppressLineNumbers w:val="0"/>
              <w:jc w:val="center"/>
              <w:textAlignment w:val="center"/>
              <w:rPr>
                <w:rFonts w:hint="eastAsia" w:ascii="仿宋" w:hAnsi="仿宋" w:eastAsia="仿宋" w:cs="仿宋"/>
                <w:b/>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bidi="ar-SA"/>
                <w14:textFill>
                  <w14:solidFill>
                    <w14:schemeClr w14:val="tx1"/>
                  </w14:solidFill>
                </w14:textFill>
              </w:rPr>
              <w:t>序号</w:t>
            </w:r>
          </w:p>
        </w:tc>
        <w:tc>
          <w:tcPr>
            <w:tcW w:w="1110" w:type="dxa"/>
            <w:shd w:val="clear" w:color="auto" w:fill="auto"/>
            <w:vAlign w:val="center"/>
          </w:tcPr>
          <w:p w14:paraId="35ADAAFF">
            <w:pPr>
              <w:keepNext w:val="0"/>
              <w:keepLines w:val="0"/>
              <w:widowControl/>
              <w:suppressLineNumbers w:val="0"/>
              <w:jc w:val="center"/>
              <w:textAlignment w:val="center"/>
              <w:rPr>
                <w:rFonts w:hint="eastAsia" w:ascii="仿宋" w:hAnsi="仿宋" w:eastAsia="仿宋" w:cs="仿宋"/>
                <w:b/>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bidi="ar-SA"/>
                <w14:textFill>
                  <w14:solidFill>
                    <w14:schemeClr w14:val="tx1"/>
                  </w14:solidFill>
                </w14:textFill>
              </w:rPr>
              <w:t>名称</w:t>
            </w:r>
          </w:p>
        </w:tc>
        <w:tc>
          <w:tcPr>
            <w:tcW w:w="4110" w:type="dxa"/>
            <w:shd w:val="clear" w:color="auto" w:fill="auto"/>
            <w:vAlign w:val="center"/>
          </w:tcPr>
          <w:p w14:paraId="2B3BB29E">
            <w:pPr>
              <w:keepNext w:val="0"/>
              <w:keepLines w:val="0"/>
              <w:widowControl/>
              <w:suppressLineNumbers w:val="0"/>
              <w:jc w:val="center"/>
              <w:textAlignment w:val="center"/>
              <w:rPr>
                <w:rFonts w:hint="default" w:ascii="仿宋" w:hAnsi="仿宋" w:eastAsia="仿宋" w:cs="仿宋"/>
                <w:b/>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bidi="ar-SA"/>
                <w14:textFill>
                  <w14:solidFill>
                    <w14:schemeClr w14:val="tx1"/>
                  </w14:solidFill>
                </w14:textFill>
              </w:rPr>
              <w:t>规格及参数</w:t>
            </w:r>
          </w:p>
        </w:tc>
        <w:tc>
          <w:tcPr>
            <w:tcW w:w="640" w:type="dxa"/>
            <w:shd w:val="clear" w:color="auto" w:fill="auto"/>
            <w:vAlign w:val="center"/>
          </w:tcPr>
          <w:p w14:paraId="492570AC">
            <w:pPr>
              <w:keepNext w:val="0"/>
              <w:keepLines w:val="0"/>
              <w:widowControl/>
              <w:suppressLineNumbers w:val="0"/>
              <w:jc w:val="center"/>
              <w:textAlignment w:val="center"/>
              <w:rPr>
                <w:rFonts w:hint="eastAsia" w:ascii="仿宋" w:hAnsi="仿宋" w:eastAsia="仿宋" w:cs="仿宋"/>
                <w:b/>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bidi="ar-SA"/>
                <w14:textFill>
                  <w14:solidFill>
                    <w14:schemeClr w14:val="tx1"/>
                  </w14:solidFill>
                </w14:textFill>
              </w:rPr>
              <w:t>计量</w:t>
            </w:r>
          </w:p>
          <w:p w14:paraId="425C5B84">
            <w:pPr>
              <w:keepNext w:val="0"/>
              <w:keepLines w:val="0"/>
              <w:widowControl/>
              <w:suppressLineNumbers w:val="0"/>
              <w:jc w:val="center"/>
              <w:textAlignment w:val="center"/>
              <w:rPr>
                <w:rFonts w:hint="eastAsia" w:ascii="仿宋" w:hAnsi="仿宋" w:eastAsia="仿宋" w:cs="仿宋"/>
                <w:b/>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bidi="ar-SA"/>
                <w14:textFill>
                  <w14:solidFill>
                    <w14:schemeClr w14:val="tx1"/>
                  </w14:solidFill>
                </w14:textFill>
              </w:rPr>
              <w:t>单位</w:t>
            </w:r>
          </w:p>
        </w:tc>
        <w:tc>
          <w:tcPr>
            <w:tcW w:w="936" w:type="dxa"/>
            <w:shd w:val="clear" w:color="auto" w:fill="auto"/>
            <w:vAlign w:val="center"/>
          </w:tcPr>
          <w:p w14:paraId="77861DD1">
            <w:pPr>
              <w:keepNext w:val="0"/>
              <w:keepLines w:val="0"/>
              <w:widowControl/>
              <w:suppressLineNumbers w:val="0"/>
              <w:jc w:val="center"/>
              <w:textAlignment w:val="center"/>
              <w:rPr>
                <w:rFonts w:hint="eastAsia" w:ascii="仿宋" w:hAnsi="仿宋" w:eastAsia="仿宋" w:cs="仿宋"/>
                <w:b/>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bidi="ar-SA"/>
                <w14:textFill>
                  <w14:solidFill>
                    <w14:schemeClr w14:val="tx1"/>
                  </w14:solidFill>
                </w14:textFill>
              </w:rPr>
              <w:t>工程量</w:t>
            </w:r>
          </w:p>
        </w:tc>
        <w:tc>
          <w:tcPr>
            <w:tcW w:w="1835" w:type="dxa"/>
            <w:shd w:val="clear" w:color="auto" w:fill="auto"/>
            <w:vAlign w:val="center"/>
          </w:tcPr>
          <w:p w14:paraId="42F23364">
            <w:pPr>
              <w:keepNext w:val="0"/>
              <w:keepLines w:val="0"/>
              <w:widowControl/>
              <w:suppressLineNumbers w:val="0"/>
              <w:jc w:val="center"/>
              <w:textAlignment w:val="center"/>
              <w:rPr>
                <w:rFonts w:hint="eastAsia" w:ascii="仿宋" w:hAnsi="仿宋" w:eastAsia="仿宋" w:cs="仿宋"/>
                <w:b/>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bidi="ar-SA"/>
                <w14:textFill>
                  <w14:solidFill>
                    <w14:schemeClr w14:val="tx1"/>
                  </w14:solidFill>
                </w14:textFill>
              </w:rPr>
              <w:t>参考图片</w:t>
            </w:r>
          </w:p>
        </w:tc>
      </w:tr>
      <w:tr w14:paraId="61BD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33CB91F7">
            <w:pPr>
              <w:pStyle w:val="60"/>
              <w:jc w:val="cente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1</w:t>
            </w:r>
          </w:p>
        </w:tc>
        <w:tc>
          <w:tcPr>
            <w:tcW w:w="1110" w:type="dxa"/>
            <w:shd w:val="clear" w:color="auto" w:fill="auto"/>
            <w:vAlign w:val="center"/>
          </w:tcPr>
          <w:p w14:paraId="0BB3846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适老化活动桌子</w:t>
            </w:r>
          </w:p>
        </w:tc>
        <w:tc>
          <w:tcPr>
            <w:tcW w:w="4110" w:type="dxa"/>
            <w:shd w:val="clear" w:color="auto" w:fill="auto"/>
            <w:vAlign w:val="center"/>
          </w:tcPr>
          <w:p w14:paraId="1252DCB5">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1.尺寸：长120cm宽60cm高75cm </w:t>
            </w:r>
          </w:p>
          <w:p w14:paraId="2B6570BD">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2.面材：优质耐磨三聚氰胺浸渍饰面，覆面拼贴严密、平整、无脱胶、鼓泡，无裂纹、压痕和划伤；</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3.基材：三聚氰胺板通过GB 18580-2017《室内装饰装修材料 人造板及其制品中甲醛释放限量》、GB/T 15102-2017《浸渍胶膜饰面纤维板和刨花板》、HJ 571-2010《环境标志产品认证技术要求 人造板及其制品》标准；</w:t>
            </w:r>
          </w:p>
          <w:p w14:paraId="63904741">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4.封边：优质同色加厚PVC封边条，通过QB/T 4463-2036《家具用封边技术要求》标准。</w:t>
            </w:r>
          </w:p>
        </w:tc>
        <w:tc>
          <w:tcPr>
            <w:tcW w:w="640" w:type="dxa"/>
            <w:shd w:val="clear" w:color="auto" w:fill="auto"/>
            <w:vAlign w:val="center"/>
          </w:tcPr>
          <w:p w14:paraId="4EBDA08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张</w:t>
            </w:r>
          </w:p>
        </w:tc>
        <w:tc>
          <w:tcPr>
            <w:tcW w:w="936" w:type="dxa"/>
            <w:shd w:val="clear" w:color="auto" w:fill="auto"/>
            <w:vAlign w:val="center"/>
          </w:tcPr>
          <w:p w14:paraId="3BDE11C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34</w:t>
            </w:r>
          </w:p>
        </w:tc>
        <w:tc>
          <w:tcPr>
            <w:tcW w:w="1835" w:type="dxa"/>
            <w:shd w:val="clear" w:color="auto" w:fill="auto"/>
          </w:tcPr>
          <w:p w14:paraId="1E8747C6">
            <w:pPr>
              <w:pStyle w:val="60"/>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-8890</wp:posOffset>
                  </wp:positionH>
                  <wp:positionV relativeFrom="paragraph">
                    <wp:posOffset>480695</wp:posOffset>
                  </wp:positionV>
                  <wp:extent cx="1092200" cy="1111250"/>
                  <wp:effectExtent l="0" t="0" r="0" b="0"/>
                  <wp:wrapNone/>
                  <wp:docPr id="59" name="图片_1"/>
                  <wp:cNvGraphicFramePr/>
                  <a:graphic xmlns:a="http://schemas.openxmlformats.org/drawingml/2006/main">
                    <a:graphicData uri="http://schemas.openxmlformats.org/drawingml/2006/picture">
                      <pic:pic xmlns:pic="http://schemas.openxmlformats.org/drawingml/2006/picture">
                        <pic:nvPicPr>
                          <pic:cNvPr id="59" name="图片_1"/>
                          <pic:cNvPicPr/>
                        </pic:nvPicPr>
                        <pic:blipFill>
                          <a:blip r:embed="rId15"/>
                          <a:srcRect r="3479" b="12935"/>
                          <a:stretch>
                            <a:fillRect/>
                          </a:stretch>
                        </pic:blipFill>
                        <pic:spPr>
                          <a:xfrm>
                            <a:off x="0" y="0"/>
                            <a:ext cx="1092200" cy="1111250"/>
                          </a:xfrm>
                          <a:prstGeom prst="rect">
                            <a:avLst/>
                          </a:prstGeom>
                          <a:noFill/>
                          <a:ln>
                            <a:noFill/>
                          </a:ln>
                        </pic:spPr>
                      </pic:pic>
                    </a:graphicData>
                  </a:graphic>
                </wp:anchor>
              </w:drawing>
            </w:r>
          </w:p>
        </w:tc>
      </w:tr>
      <w:tr w14:paraId="33F3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62DBACE6">
            <w:pPr>
              <w:pStyle w:val="60"/>
              <w:jc w:val="cente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2</w:t>
            </w:r>
          </w:p>
        </w:tc>
        <w:tc>
          <w:tcPr>
            <w:tcW w:w="1110" w:type="dxa"/>
            <w:shd w:val="clear" w:color="auto" w:fill="auto"/>
            <w:vAlign w:val="center"/>
          </w:tcPr>
          <w:p w14:paraId="12B1A94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适老化椅子</w:t>
            </w:r>
          </w:p>
        </w:tc>
        <w:tc>
          <w:tcPr>
            <w:tcW w:w="4110" w:type="dxa"/>
            <w:shd w:val="clear" w:color="auto" w:fill="auto"/>
            <w:vAlign w:val="center"/>
          </w:tcPr>
          <w:p w14:paraId="614EF155">
            <w:pPr>
              <w:keepNext w:val="0"/>
              <w:keepLines w:val="0"/>
              <w:pageBreakBefore w:val="0"/>
              <w:widowControl/>
              <w:suppressLineNumbers w:val="0"/>
              <w:kinsoku/>
              <w:wordWrap/>
              <w:overflowPunct/>
              <w:topLinePunct w:val="0"/>
              <w:autoSpaceDE/>
              <w:autoSpaceDN/>
              <w:bidi w:val="0"/>
              <w:adjustRightInd w:val="0"/>
              <w:snapToGrid/>
              <w:jc w:val="both"/>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1.尺寸：57*52*88cm；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color w:val="000000" w:themeColor="text1"/>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3711575</wp:posOffset>
                  </wp:positionH>
                  <wp:positionV relativeFrom="paragraph">
                    <wp:posOffset>66675</wp:posOffset>
                  </wp:positionV>
                  <wp:extent cx="708660" cy="809625"/>
                  <wp:effectExtent l="0" t="0" r="1524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708660" cy="809625"/>
                          </a:xfrm>
                          <a:prstGeom prst="rect">
                            <a:avLst/>
                          </a:prstGeom>
                          <a:noFill/>
                          <a:ln>
                            <a:noFill/>
                          </a:ln>
                        </pic:spPr>
                      </pic:pic>
                    </a:graphicData>
                  </a:graphic>
                </wp:anchor>
              </w:draw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2.材料：采用曲木支架，高频热压、经防潮、 防腐、防虫化学处理；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3.品牌环保油漆：底漆面漆均采用环保油漆，健康环保；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4.品牌高回弹海绵，柔软舒适有支撑力，采用优质布纹皮。</w:t>
            </w:r>
          </w:p>
        </w:tc>
        <w:tc>
          <w:tcPr>
            <w:tcW w:w="640" w:type="dxa"/>
            <w:shd w:val="clear" w:color="auto" w:fill="auto"/>
            <w:vAlign w:val="center"/>
          </w:tcPr>
          <w:p w14:paraId="3298FC3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条</w:t>
            </w:r>
          </w:p>
        </w:tc>
        <w:tc>
          <w:tcPr>
            <w:tcW w:w="936" w:type="dxa"/>
            <w:shd w:val="clear" w:color="auto" w:fill="auto"/>
            <w:vAlign w:val="center"/>
          </w:tcPr>
          <w:p w14:paraId="32BE37E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220</w:t>
            </w:r>
          </w:p>
        </w:tc>
        <w:tc>
          <w:tcPr>
            <w:tcW w:w="1835" w:type="dxa"/>
            <w:shd w:val="clear" w:color="auto" w:fill="auto"/>
          </w:tcPr>
          <w:p w14:paraId="625F32DC">
            <w:pPr>
              <w:pStyle w:val="60"/>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pPr>
          </w:p>
        </w:tc>
      </w:tr>
      <w:tr w14:paraId="229B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0FA99FE6">
            <w:pPr>
              <w:pStyle w:val="60"/>
              <w:jc w:val="cente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3</w:t>
            </w:r>
          </w:p>
        </w:tc>
        <w:tc>
          <w:tcPr>
            <w:tcW w:w="1110" w:type="dxa"/>
            <w:shd w:val="clear" w:color="auto" w:fill="auto"/>
            <w:vAlign w:val="center"/>
          </w:tcPr>
          <w:p w14:paraId="6814D41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适老化圆桌</w:t>
            </w:r>
          </w:p>
        </w:tc>
        <w:tc>
          <w:tcPr>
            <w:tcW w:w="4110" w:type="dxa"/>
            <w:shd w:val="clear" w:color="auto" w:fill="auto"/>
            <w:vAlign w:val="center"/>
          </w:tcPr>
          <w:p w14:paraId="7C0671A6">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1.实木框架尺寸：直径120cm高75cm；</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2.实木框架：采用优质橡胶木实木，木质细腻、硬度高，具有较良好的总体强度性能，良好的抗震力；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3.台面：实木多层板贴水曲柳实木木皮，设计安全角，无缝拼接边角处采用倒圆工艺；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4.油漆：成品纹理清晰、表层饱满、光泽润亮。涂装要求无桔皮、发白、流挂、泪油现象。结实耐用，耐磨损，耐腐蚀。</w:t>
            </w:r>
          </w:p>
        </w:tc>
        <w:tc>
          <w:tcPr>
            <w:tcW w:w="640" w:type="dxa"/>
            <w:shd w:val="clear" w:color="auto" w:fill="auto"/>
            <w:vAlign w:val="center"/>
          </w:tcPr>
          <w:p w14:paraId="21D2F94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张</w:t>
            </w:r>
          </w:p>
        </w:tc>
        <w:tc>
          <w:tcPr>
            <w:tcW w:w="936" w:type="dxa"/>
            <w:shd w:val="clear" w:color="auto" w:fill="auto"/>
            <w:vAlign w:val="center"/>
          </w:tcPr>
          <w:p w14:paraId="493C727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w:t>
            </w:r>
          </w:p>
        </w:tc>
        <w:tc>
          <w:tcPr>
            <w:tcW w:w="1835" w:type="dxa"/>
            <w:shd w:val="clear" w:color="auto" w:fill="auto"/>
          </w:tcPr>
          <w:p w14:paraId="16B9F07D">
            <w:pPr>
              <w:pStyle w:val="60"/>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-49530</wp:posOffset>
                  </wp:positionH>
                  <wp:positionV relativeFrom="paragraph">
                    <wp:posOffset>450850</wp:posOffset>
                  </wp:positionV>
                  <wp:extent cx="939800" cy="723900"/>
                  <wp:effectExtent l="0" t="0" r="12700" b="0"/>
                  <wp:wrapNone/>
                  <wp:docPr id="53" name="图片_3"/>
                  <wp:cNvGraphicFramePr/>
                  <a:graphic xmlns:a="http://schemas.openxmlformats.org/drawingml/2006/main">
                    <a:graphicData uri="http://schemas.openxmlformats.org/drawingml/2006/picture">
                      <pic:pic xmlns:pic="http://schemas.openxmlformats.org/drawingml/2006/picture">
                        <pic:nvPicPr>
                          <pic:cNvPr id="53" name="图片_3"/>
                          <pic:cNvPicPr/>
                        </pic:nvPicPr>
                        <pic:blipFill>
                          <a:blip r:embed="rId17"/>
                          <a:srcRect b="14941"/>
                          <a:stretch>
                            <a:fillRect/>
                          </a:stretch>
                        </pic:blipFill>
                        <pic:spPr>
                          <a:xfrm>
                            <a:off x="0" y="0"/>
                            <a:ext cx="939800" cy="723900"/>
                          </a:xfrm>
                          <a:prstGeom prst="rect">
                            <a:avLst/>
                          </a:prstGeom>
                          <a:noFill/>
                          <a:ln>
                            <a:noFill/>
                          </a:ln>
                        </pic:spPr>
                      </pic:pic>
                    </a:graphicData>
                  </a:graphic>
                </wp:anchor>
              </w:drawing>
            </w:r>
          </w:p>
        </w:tc>
      </w:tr>
      <w:tr w14:paraId="4A89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55B453CA">
            <w:pPr>
              <w:pStyle w:val="60"/>
              <w:jc w:val="cente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4</w:t>
            </w:r>
          </w:p>
        </w:tc>
        <w:tc>
          <w:tcPr>
            <w:tcW w:w="1110" w:type="dxa"/>
            <w:shd w:val="clear" w:color="auto" w:fill="auto"/>
            <w:vAlign w:val="center"/>
          </w:tcPr>
          <w:p w14:paraId="2EF47F9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适老化自理床</w:t>
            </w:r>
          </w:p>
        </w:tc>
        <w:tc>
          <w:tcPr>
            <w:tcW w:w="4110" w:type="dxa"/>
            <w:shd w:val="clear" w:color="auto" w:fill="auto"/>
            <w:vAlign w:val="center"/>
          </w:tcPr>
          <w:p w14:paraId="7A18601F">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1.尺寸：长2000cm宽120cm；</w:t>
            </w:r>
          </w:p>
          <w:p w14:paraId="27DCCD56">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2.实木多层板床头、床尾，床尾皮革软包，实木多层板护帮，更具家居风格；</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3.五柱推到式铝合金养老专用护栏，操作方便，安全美观。背部减压式设计，减小背部升高时床面对背部的挤压；</w:t>
            </w:r>
          </w:p>
          <w:p w14:paraId="5B5F0032">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4.床面网状设计，增强透气性；</w:t>
            </w:r>
          </w:p>
          <w:p w14:paraId="30FC8B26">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5.轮各具备独立刹车功能；</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6.最大承重：240kg。</w:t>
            </w:r>
          </w:p>
        </w:tc>
        <w:tc>
          <w:tcPr>
            <w:tcW w:w="640" w:type="dxa"/>
            <w:shd w:val="clear" w:color="auto" w:fill="auto"/>
            <w:vAlign w:val="center"/>
          </w:tcPr>
          <w:p w14:paraId="2B31864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张</w:t>
            </w:r>
          </w:p>
        </w:tc>
        <w:tc>
          <w:tcPr>
            <w:tcW w:w="936" w:type="dxa"/>
            <w:shd w:val="clear" w:color="auto" w:fill="auto"/>
            <w:vAlign w:val="center"/>
          </w:tcPr>
          <w:p w14:paraId="254A283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10</w:t>
            </w:r>
          </w:p>
        </w:tc>
        <w:tc>
          <w:tcPr>
            <w:tcW w:w="1835" w:type="dxa"/>
            <w:shd w:val="clear" w:color="auto" w:fill="auto"/>
          </w:tcPr>
          <w:p w14:paraId="05246B1C">
            <w:pPr>
              <w:pStyle w:val="60"/>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4384" behindDoc="0" locked="0" layoutInCell="1" allowOverlap="1">
                  <wp:simplePos x="0" y="0"/>
                  <wp:positionH relativeFrom="column">
                    <wp:posOffset>-18415</wp:posOffset>
                  </wp:positionH>
                  <wp:positionV relativeFrom="paragraph">
                    <wp:posOffset>356235</wp:posOffset>
                  </wp:positionV>
                  <wp:extent cx="1077595" cy="500380"/>
                  <wp:effectExtent l="0" t="0" r="8255" b="13970"/>
                  <wp:wrapNone/>
                  <wp:docPr id="60" name="图片_4"/>
                  <wp:cNvGraphicFramePr/>
                  <a:graphic xmlns:a="http://schemas.openxmlformats.org/drawingml/2006/main">
                    <a:graphicData uri="http://schemas.openxmlformats.org/drawingml/2006/picture">
                      <pic:pic xmlns:pic="http://schemas.openxmlformats.org/drawingml/2006/picture">
                        <pic:nvPicPr>
                          <pic:cNvPr id="60" name="图片_4"/>
                          <pic:cNvPicPr/>
                        </pic:nvPicPr>
                        <pic:blipFill>
                          <a:blip r:embed="rId18"/>
                          <a:srcRect r="1579" b="15124"/>
                          <a:stretch>
                            <a:fillRect/>
                          </a:stretch>
                        </pic:blipFill>
                        <pic:spPr>
                          <a:xfrm>
                            <a:off x="0" y="0"/>
                            <a:ext cx="1077595" cy="500380"/>
                          </a:xfrm>
                          <a:prstGeom prst="rect">
                            <a:avLst/>
                          </a:prstGeom>
                          <a:noFill/>
                          <a:ln>
                            <a:noFill/>
                          </a:ln>
                        </pic:spPr>
                      </pic:pic>
                    </a:graphicData>
                  </a:graphic>
                </wp:anchor>
              </w:drawing>
            </w:r>
          </w:p>
        </w:tc>
      </w:tr>
      <w:tr w14:paraId="5968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6CB274D7">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5</w:t>
            </w:r>
          </w:p>
        </w:tc>
        <w:tc>
          <w:tcPr>
            <w:tcW w:w="1110" w:type="dxa"/>
            <w:shd w:val="clear" w:color="auto" w:fill="auto"/>
            <w:vAlign w:val="center"/>
          </w:tcPr>
          <w:p w14:paraId="1B41988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终端显示器</w:t>
            </w:r>
          </w:p>
        </w:tc>
        <w:tc>
          <w:tcPr>
            <w:tcW w:w="4110" w:type="dxa"/>
            <w:shd w:val="clear" w:color="auto" w:fill="auto"/>
            <w:vAlign w:val="center"/>
          </w:tcPr>
          <w:p w14:paraId="65F14081">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1.尺寸:32英寸；</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2.主体颜色:黑色；</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3.分辨率:1366×768；</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4.能效等级:≥二级；</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5.屏幕类型:全面屏；</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6.网络连接方式:有线/无线；</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7.存储:运行内存≥1G，存储≥8G；</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8.屏显比例:16:9；</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9.USB2.0接口≥1个，HDMI接口≥1个；</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10.整机额定功率：≤45W；</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11.待机功耗：≤0.3W；</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12.使用要求：电视要求无开机广告，无限制安装APK程序，支持用户自行更换开机画面/视频，U盘克隆功能。</w:t>
            </w:r>
          </w:p>
        </w:tc>
        <w:tc>
          <w:tcPr>
            <w:tcW w:w="640" w:type="dxa"/>
            <w:shd w:val="clear" w:color="auto" w:fill="auto"/>
            <w:vAlign w:val="center"/>
          </w:tcPr>
          <w:p w14:paraId="61786CD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个</w:t>
            </w:r>
          </w:p>
        </w:tc>
        <w:tc>
          <w:tcPr>
            <w:tcW w:w="936" w:type="dxa"/>
            <w:shd w:val="clear" w:color="auto" w:fill="auto"/>
            <w:vAlign w:val="center"/>
          </w:tcPr>
          <w:p w14:paraId="485C466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w:t>
            </w:r>
          </w:p>
        </w:tc>
        <w:tc>
          <w:tcPr>
            <w:tcW w:w="1835" w:type="dxa"/>
            <w:shd w:val="clear" w:color="auto" w:fill="auto"/>
          </w:tcPr>
          <w:p w14:paraId="0E467ACE">
            <w:pPr>
              <w:pStyle w:val="60"/>
              <w:rPr>
                <w:rFonts w:hint="eastAsia" w:ascii="宋体" w:hAnsi="宋体" w:eastAsia="宋体" w:cs="宋体"/>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5408" behindDoc="0" locked="0" layoutInCell="1" allowOverlap="1">
                  <wp:simplePos x="0" y="0"/>
                  <wp:positionH relativeFrom="column">
                    <wp:posOffset>-51435</wp:posOffset>
                  </wp:positionH>
                  <wp:positionV relativeFrom="paragraph">
                    <wp:posOffset>943610</wp:posOffset>
                  </wp:positionV>
                  <wp:extent cx="1092835" cy="866140"/>
                  <wp:effectExtent l="0" t="0" r="12065" b="1016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1092835" cy="866140"/>
                          </a:xfrm>
                          <a:prstGeom prst="rect">
                            <a:avLst/>
                          </a:prstGeom>
                          <a:noFill/>
                          <a:ln>
                            <a:noFill/>
                          </a:ln>
                        </pic:spPr>
                      </pic:pic>
                    </a:graphicData>
                  </a:graphic>
                </wp:anchor>
              </w:drawing>
            </w:r>
          </w:p>
        </w:tc>
      </w:tr>
      <w:tr w14:paraId="5752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27C8046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w:t>
            </w:r>
          </w:p>
        </w:tc>
        <w:tc>
          <w:tcPr>
            <w:tcW w:w="1110" w:type="dxa"/>
            <w:shd w:val="clear" w:color="auto" w:fill="auto"/>
            <w:vAlign w:val="center"/>
          </w:tcPr>
          <w:p w14:paraId="63C70EE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适老化床头柜</w:t>
            </w:r>
          </w:p>
        </w:tc>
        <w:tc>
          <w:tcPr>
            <w:tcW w:w="4110" w:type="dxa"/>
            <w:shd w:val="clear" w:color="auto" w:fill="auto"/>
            <w:vAlign w:val="center"/>
          </w:tcPr>
          <w:p w14:paraId="47BE5D4F">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1.尺寸：长45宽40高60（cm）；</w:t>
            </w:r>
          </w:p>
          <w:p w14:paraId="28C436AB">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2.面材：优质耐磨三聚氰胺浸渍饰面，覆面拼贴严密、平整、无脱胶、鼓泡，无裂纹、压痕和划伤；</w:t>
            </w:r>
          </w:p>
          <w:p w14:paraId="1CD3D831">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3.基材：三聚氰胺板通过GB 18580-2017《室内装饰装修材料 人造板及其制品中甲醛释放限量》、GB/T 15102-2017《浸渍胶膜饰面纤维板和刨花板》、HJ 571-2010《环境标志产品认证技术要求 人造板及其制品》标准；</w:t>
            </w:r>
          </w:p>
          <w:p w14:paraId="61EDC6A9">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4.封边：优质同色加厚PVC封边条，通过QB/T 4463-2016《家具用封边技术要求》标准。</w:t>
            </w:r>
          </w:p>
        </w:tc>
        <w:tc>
          <w:tcPr>
            <w:tcW w:w="640" w:type="dxa"/>
            <w:shd w:val="clear" w:color="auto" w:fill="auto"/>
            <w:vAlign w:val="center"/>
          </w:tcPr>
          <w:p w14:paraId="50357E0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个</w:t>
            </w:r>
          </w:p>
        </w:tc>
        <w:tc>
          <w:tcPr>
            <w:tcW w:w="936" w:type="dxa"/>
            <w:shd w:val="clear" w:color="auto" w:fill="auto"/>
            <w:vAlign w:val="center"/>
          </w:tcPr>
          <w:p w14:paraId="6CD8D01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12</w:t>
            </w:r>
          </w:p>
        </w:tc>
        <w:tc>
          <w:tcPr>
            <w:tcW w:w="1835" w:type="dxa"/>
            <w:shd w:val="clear" w:color="auto" w:fill="auto"/>
          </w:tcPr>
          <w:p w14:paraId="1CD39EE9">
            <w:pPr>
              <w:pStyle w:val="60"/>
              <w:rPr>
                <w:rFonts w:hint="eastAsia" w:ascii="宋体" w:hAnsi="宋体" w:eastAsia="宋体" w:cs="宋体"/>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6432" behindDoc="0" locked="0" layoutInCell="1" allowOverlap="1">
                  <wp:simplePos x="0" y="0"/>
                  <wp:positionH relativeFrom="column">
                    <wp:posOffset>5715</wp:posOffset>
                  </wp:positionH>
                  <wp:positionV relativeFrom="paragraph">
                    <wp:posOffset>379730</wp:posOffset>
                  </wp:positionV>
                  <wp:extent cx="1012190" cy="1061085"/>
                  <wp:effectExtent l="0" t="0" r="16510" b="5715"/>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0"/>
                          <a:stretch>
                            <a:fillRect/>
                          </a:stretch>
                        </pic:blipFill>
                        <pic:spPr>
                          <a:xfrm>
                            <a:off x="0" y="0"/>
                            <a:ext cx="1012190" cy="1061085"/>
                          </a:xfrm>
                          <a:prstGeom prst="rect">
                            <a:avLst/>
                          </a:prstGeom>
                          <a:noFill/>
                          <a:ln>
                            <a:noFill/>
                          </a:ln>
                        </pic:spPr>
                      </pic:pic>
                    </a:graphicData>
                  </a:graphic>
                </wp:anchor>
              </w:drawing>
            </w:r>
          </w:p>
        </w:tc>
      </w:tr>
      <w:tr w14:paraId="620F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6757D664">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7</w:t>
            </w:r>
          </w:p>
        </w:tc>
        <w:tc>
          <w:tcPr>
            <w:tcW w:w="1110" w:type="dxa"/>
            <w:shd w:val="clear" w:color="auto" w:fill="auto"/>
            <w:vAlign w:val="center"/>
          </w:tcPr>
          <w:p w14:paraId="7F62056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适老化茶几</w:t>
            </w:r>
          </w:p>
        </w:tc>
        <w:tc>
          <w:tcPr>
            <w:tcW w:w="4110" w:type="dxa"/>
            <w:shd w:val="clear" w:color="auto" w:fill="auto"/>
            <w:vAlign w:val="center"/>
          </w:tcPr>
          <w:p w14:paraId="05657711">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1.实木框架尺寸：长120cm宽60（cm）；</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2.实木框架材质：采用橡胶木，木质细腻、硬度高，具有较良好的总体强度性能，良好的抗震力；</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3.台面：多层板贴白蜡木皮，设计安全角，无缝拼接边角处采用倒圆工艺；</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4.油漆：成品纹理清晰、表层饱满、光泽润亮。涂装要求无桔皮、发白、流挂、泪油现象。结实耐用，耐磨损，耐腐蚀。</w:t>
            </w:r>
          </w:p>
        </w:tc>
        <w:tc>
          <w:tcPr>
            <w:tcW w:w="640" w:type="dxa"/>
            <w:shd w:val="clear" w:color="auto" w:fill="auto"/>
            <w:vAlign w:val="center"/>
          </w:tcPr>
          <w:p w14:paraId="6455D3E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条</w:t>
            </w:r>
          </w:p>
        </w:tc>
        <w:tc>
          <w:tcPr>
            <w:tcW w:w="936" w:type="dxa"/>
            <w:shd w:val="clear" w:color="auto" w:fill="auto"/>
            <w:vAlign w:val="center"/>
          </w:tcPr>
          <w:p w14:paraId="0EC40EE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w:t>
            </w:r>
          </w:p>
        </w:tc>
        <w:tc>
          <w:tcPr>
            <w:tcW w:w="1835" w:type="dxa"/>
            <w:shd w:val="clear" w:color="auto" w:fill="auto"/>
          </w:tcPr>
          <w:p w14:paraId="1A4F0018">
            <w:pPr>
              <w:pStyle w:val="60"/>
              <w:rPr>
                <w:rFonts w:hint="eastAsia" w:ascii="宋体" w:hAnsi="宋体" w:eastAsia="宋体" w:cs="宋体"/>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705344" behindDoc="0" locked="0" layoutInCell="1" allowOverlap="1">
                  <wp:simplePos x="0" y="0"/>
                  <wp:positionH relativeFrom="column">
                    <wp:posOffset>17780</wp:posOffset>
                  </wp:positionH>
                  <wp:positionV relativeFrom="paragraph">
                    <wp:posOffset>528320</wp:posOffset>
                  </wp:positionV>
                  <wp:extent cx="1003300" cy="639445"/>
                  <wp:effectExtent l="0" t="0" r="6350" b="8255"/>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1"/>
                          <a:stretch>
                            <a:fillRect/>
                          </a:stretch>
                        </pic:blipFill>
                        <pic:spPr>
                          <a:xfrm>
                            <a:off x="0" y="0"/>
                            <a:ext cx="1003300" cy="639445"/>
                          </a:xfrm>
                          <a:prstGeom prst="rect">
                            <a:avLst/>
                          </a:prstGeom>
                          <a:noFill/>
                          <a:ln>
                            <a:noFill/>
                          </a:ln>
                        </pic:spPr>
                      </pic:pic>
                    </a:graphicData>
                  </a:graphic>
                </wp:anchor>
              </w:drawing>
            </w:r>
          </w:p>
        </w:tc>
      </w:tr>
      <w:tr w14:paraId="0D46A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25707AEE">
            <w:pPr>
              <w:pStyle w:val="60"/>
              <w:jc w:val="cente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8</w:t>
            </w:r>
          </w:p>
        </w:tc>
        <w:tc>
          <w:tcPr>
            <w:tcW w:w="1110" w:type="dxa"/>
            <w:shd w:val="clear" w:color="auto" w:fill="auto"/>
            <w:vAlign w:val="center"/>
          </w:tcPr>
          <w:p w14:paraId="517C0E2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适老化长桌</w:t>
            </w:r>
          </w:p>
        </w:tc>
        <w:tc>
          <w:tcPr>
            <w:tcW w:w="4110" w:type="dxa"/>
            <w:shd w:val="clear" w:color="auto" w:fill="auto"/>
            <w:vAlign w:val="center"/>
          </w:tcPr>
          <w:p w14:paraId="2ED0DD89">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1.尺寸：长140宽80高75（cm）；</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2.实木框架：采用橡胶木，木质细腻、硬度高，具有较良好的总体强度性能，良好的抗震力；</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3.台面：多层板贴白蜡木皮，设计安全角，无缝拼接边角处采用倒圆工艺；</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4.油漆：成品纹理清晰、表层饱满、光泽润亮。涂装要求无桔皮、发白、流挂、泪油现象。结实耐用，耐磨损，耐腐蚀。</w:t>
            </w:r>
          </w:p>
        </w:tc>
        <w:tc>
          <w:tcPr>
            <w:tcW w:w="640" w:type="dxa"/>
            <w:shd w:val="clear" w:color="auto" w:fill="auto"/>
            <w:vAlign w:val="center"/>
          </w:tcPr>
          <w:p w14:paraId="551B179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个</w:t>
            </w:r>
          </w:p>
        </w:tc>
        <w:tc>
          <w:tcPr>
            <w:tcW w:w="936" w:type="dxa"/>
            <w:shd w:val="clear" w:color="auto" w:fill="auto"/>
            <w:vAlign w:val="center"/>
          </w:tcPr>
          <w:p w14:paraId="3D87B68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10</w:t>
            </w:r>
          </w:p>
        </w:tc>
        <w:tc>
          <w:tcPr>
            <w:tcW w:w="1835" w:type="dxa"/>
            <w:shd w:val="clear" w:color="auto" w:fill="auto"/>
          </w:tcPr>
          <w:p w14:paraId="04859754">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7456" behindDoc="0" locked="0" layoutInCell="1" allowOverlap="1">
                  <wp:simplePos x="0" y="0"/>
                  <wp:positionH relativeFrom="column">
                    <wp:posOffset>-12065</wp:posOffset>
                  </wp:positionH>
                  <wp:positionV relativeFrom="paragraph">
                    <wp:posOffset>436245</wp:posOffset>
                  </wp:positionV>
                  <wp:extent cx="1022985" cy="798830"/>
                  <wp:effectExtent l="0" t="0" r="5715" b="127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2"/>
                          <a:stretch>
                            <a:fillRect/>
                          </a:stretch>
                        </pic:blipFill>
                        <pic:spPr>
                          <a:xfrm>
                            <a:off x="0" y="0"/>
                            <a:ext cx="1022985" cy="798830"/>
                          </a:xfrm>
                          <a:prstGeom prst="rect">
                            <a:avLst/>
                          </a:prstGeom>
                          <a:noFill/>
                          <a:ln>
                            <a:noFill/>
                          </a:ln>
                        </pic:spPr>
                      </pic:pic>
                    </a:graphicData>
                  </a:graphic>
                </wp:anchor>
              </w:drawing>
            </w:r>
          </w:p>
        </w:tc>
      </w:tr>
      <w:tr w14:paraId="49F5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650C8DBD">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9</w:t>
            </w:r>
          </w:p>
        </w:tc>
        <w:tc>
          <w:tcPr>
            <w:tcW w:w="1110" w:type="dxa"/>
            <w:shd w:val="clear" w:color="auto" w:fill="auto"/>
            <w:vAlign w:val="center"/>
          </w:tcPr>
          <w:p w14:paraId="643ADCE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适老护理床</w:t>
            </w:r>
          </w:p>
        </w:tc>
        <w:tc>
          <w:tcPr>
            <w:tcW w:w="4110" w:type="dxa"/>
            <w:shd w:val="clear" w:color="auto" w:fill="auto"/>
            <w:vAlign w:val="center"/>
          </w:tcPr>
          <w:p w14:paraId="5DC7280D">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一、基本参数</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1.规格：2060*1000*500mm（±20mm)。</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2.起背角度0-75度。</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3.抬腿角度0-40度。</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color w:val="000000" w:themeColor="text1"/>
                <w:highlight w:val="none"/>
                <w14:textFill>
                  <w14:solidFill>
                    <w14:schemeClr w14:val="tx1"/>
                  </w14:solidFill>
                </w14:textFill>
              </w:rPr>
              <w:drawing>
                <wp:anchor distT="0" distB="0" distL="114300" distR="114300" simplePos="0" relativeHeight="251706368" behindDoc="0" locked="0" layoutInCell="1" allowOverlap="1">
                  <wp:simplePos x="0" y="0"/>
                  <wp:positionH relativeFrom="column">
                    <wp:posOffset>3557270</wp:posOffset>
                  </wp:positionH>
                  <wp:positionV relativeFrom="paragraph">
                    <wp:posOffset>1016000</wp:posOffset>
                  </wp:positionV>
                  <wp:extent cx="1101725" cy="753110"/>
                  <wp:effectExtent l="0" t="0" r="3175" b="8890"/>
                  <wp:wrapNone/>
                  <wp:docPr id="20" name="图片 9" descr="自理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自理床"/>
                          <pic:cNvPicPr>
                            <a:picLocks noChangeAspect="1"/>
                          </pic:cNvPicPr>
                        </pic:nvPicPr>
                        <pic:blipFill>
                          <a:blip r:embed="rId23"/>
                          <a:srcRect b="14404"/>
                          <a:stretch>
                            <a:fillRect/>
                          </a:stretch>
                        </pic:blipFill>
                        <pic:spPr>
                          <a:xfrm>
                            <a:off x="0" y="0"/>
                            <a:ext cx="1101725" cy="753110"/>
                          </a:xfrm>
                          <a:prstGeom prst="rect">
                            <a:avLst/>
                          </a:prstGeom>
                          <a:noFill/>
                          <a:ln w="9525">
                            <a:noFill/>
                          </a:ln>
                        </pic:spPr>
                      </pic:pic>
                    </a:graphicData>
                  </a:graphic>
                </wp:anchor>
              </w:draw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二、床头、床尾板：</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1.采用E1级刨花板。</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2.可兼做CPR板应急使用，床头锁紧件全部采用优质五金件，对称式快速挂座，可快速拆卸，满足临床急救需求。</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三、床体：为双摇（起背，抬腿功能），床面采用优质钢板冲压成型，表面静电喷塑处理，耐锈蚀。</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四、摇杆：为钢制可折叠。</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五、护栏：采用5档铝合金材质，易折叠；</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六、脚轮：配有四个静音脚轮，方便移动，带锁死功能。</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七、配套床垫：一面海绵一面棕垫，床垫套为防水透气材料，表面经过经过防污，防霉，防虫等抗菌处理。床垫外套可水洗，防水透气，床垫甲醛含量≤0.05mg/㎡h。</w:t>
            </w:r>
          </w:p>
        </w:tc>
        <w:tc>
          <w:tcPr>
            <w:tcW w:w="640" w:type="dxa"/>
            <w:shd w:val="clear" w:color="auto" w:fill="auto"/>
            <w:vAlign w:val="center"/>
          </w:tcPr>
          <w:p w14:paraId="5754DBE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张</w:t>
            </w:r>
          </w:p>
        </w:tc>
        <w:tc>
          <w:tcPr>
            <w:tcW w:w="936" w:type="dxa"/>
            <w:shd w:val="clear" w:color="auto" w:fill="auto"/>
            <w:vAlign w:val="center"/>
          </w:tcPr>
          <w:p w14:paraId="24BDA0B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0E60D812">
            <w:pPr>
              <w:pStyle w:val="60"/>
              <w:rPr>
                <w:rFonts w:hint="eastAsia" w:ascii="宋体" w:hAnsi="宋体" w:eastAsia="宋体" w:cs="宋体"/>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8480" behindDoc="0" locked="0" layoutInCell="1" allowOverlap="1">
                  <wp:simplePos x="0" y="0"/>
                  <wp:positionH relativeFrom="column">
                    <wp:posOffset>-6985</wp:posOffset>
                  </wp:positionH>
                  <wp:positionV relativeFrom="paragraph">
                    <wp:posOffset>1537335</wp:posOffset>
                  </wp:positionV>
                  <wp:extent cx="1061085" cy="718820"/>
                  <wp:effectExtent l="0" t="0" r="5715" b="5080"/>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4"/>
                          <a:stretch>
                            <a:fillRect/>
                          </a:stretch>
                        </pic:blipFill>
                        <pic:spPr>
                          <a:xfrm>
                            <a:off x="0" y="0"/>
                            <a:ext cx="1061085" cy="718820"/>
                          </a:xfrm>
                          <a:prstGeom prst="rect">
                            <a:avLst/>
                          </a:prstGeom>
                          <a:noFill/>
                          <a:ln>
                            <a:noFill/>
                          </a:ln>
                        </pic:spPr>
                      </pic:pic>
                    </a:graphicData>
                  </a:graphic>
                </wp:anchor>
              </w:drawing>
            </w:r>
          </w:p>
        </w:tc>
      </w:tr>
      <w:tr w14:paraId="741B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shd w:val="clear" w:color="auto" w:fill="auto"/>
            <w:vAlign w:val="center"/>
          </w:tcPr>
          <w:p w14:paraId="6CC543F7">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10</w:t>
            </w:r>
          </w:p>
        </w:tc>
        <w:tc>
          <w:tcPr>
            <w:tcW w:w="1110" w:type="dxa"/>
            <w:shd w:val="clear" w:color="auto" w:fill="auto"/>
            <w:vAlign w:val="center"/>
          </w:tcPr>
          <w:p w14:paraId="26398C3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适老化沙发</w:t>
            </w:r>
          </w:p>
        </w:tc>
        <w:tc>
          <w:tcPr>
            <w:tcW w:w="4110" w:type="dxa"/>
            <w:shd w:val="clear" w:color="auto" w:fill="auto"/>
            <w:vAlign w:val="center"/>
          </w:tcPr>
          <w:p w14:paraId="7DEA7F7D">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1.三人沙发尺寸:长148cm宽83cm高88cm。2.面料：选用优质透气棉麻布料。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3.海绵：采用优质高密度阻燃海绵，用抽纱或丝绒覆面，表面有防腐化和防变型保护膜，回弹性高，耐用度高，防碎，防氧化，密度≥35kg/m。</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4.回弹率≥35%，压缩永久变形≤10.0%，抗疲劳力强，坐感舒适，质量符合国家标准QB/T 1952.1-2012《软体家具沙发》。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5.框架：选用实木橡木材质框架，符合人体工程学。</w:t>
            </w:r>
          </w:p>
        </w:tc>
        <w:tc>
          <w:tcPr>
            <w:tcW w:w="640" w:type="dxa"/>
            <w:shd w:val="clear" w:color="auto" w:fill="auto"/>
            <w:vAlign w:val="center"/>
          </w:tcPr>
          <w:p w14:paraId="6791678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张</w:t>
            </w:r>
          </w:p>
        </w:tc>
        <w:tc>
          <w:tcPr>
            <w:tcW w:w="936" w:type="dxa"/>
            <w:shd w:val="clear" w:color="auto" w:fill="auto"/>
            <w:vAlign w:val="center"/>
          </w:tcPr>
          <w:p w14:paraId="6AD5B25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w:t>
            </w:r>
          </w:p>
        </w:tc>
        <w:tc>
          <w:tcPr>
            <w:tcW w:w="1835" w:type="dxa"/>
            <w:shd w:val="clear" w:color="auto" w:fill="auto"/>
          </w:tcPr>
          <w:p w14:paraId="3FDAFAC9">
            <w:pPr>
              <w:pStyle w:val="60"/>
              <w:rPr>
                <w:rFonts w:hint="eastAsia" w:ascii="宋体" w:hAnsi="宋体" w:eastAsia="宋体" w:cs="宋体"/>
                <w:i w:val="0"/>
                <w:iCs w:val="0"/>
                <w:color w:val="000000" w:themeColor="text1"/>
                <w:kern w:val="0"/>
                <w:sz w:val="24"/>
                <w:szCs w:val="24"/>
                <w:highlight w:val="none"/>
                <w:u w:val="none"/>
                <w:bdr w:val="single" w:color="000000" w:sz="4" w:space="0"/>
                <w:shd w:val="clear" w:fill="FFFFFF"/>
                <w:lang w:val="en-US" w:eastAsia="zh-CN" w:bidi="ar"/>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707392" behindDoc="0" locked="0" layoutInCell="1" allowOverlap="1">
                  <wp:simplePos x="0" y="0"/>
                  <wp:positionH relativeFrom="column">
                    <wp:posOffset>-8890</wp:posOffset>
                  </wp:positionH>
                  <wp:positionV relativeFrom="paragraph">
                    <wp:posOffset>666750</wp:posOffset>
                  </wp:positionV>
                  <wp:extent cx="986155" cy="607060"/>
                  <wp:effectExtent l="0" t="0" r="4445" b="2540"/>
                  <wp:wrapNone/>
                  <wp:docPr id="10" name="图片 10" descr="适老化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适老化沙发"/>
                          <pic:cNvPicPr>
                            <a:picLocks noChangeAspect="1"/>
                          </pic:cNvPicPr>
                        </pic:nvPicPr>
                        <pic:blipFill>
                          <a:blip r:embed="rId25"/>
                          <a:stretch>
                            <a:fillRect/>
                          </a:stretch>
                        </pic:blipFill>
                        <pic:spPr>
                          <a:xfrm>
                            <a:off x="0" y="0"/>
                            <a:ext cx="986155" cy="607060"/>
                          </a:xfrm>
                          <a:prstGeom prst="rect">
                            <a:avLst/>
                          </a:prstGeom>
                          <a:noFill/>
                          <a:ln w="9525">
                            <a:noFill/>
                          </a:ln>
                        </pic:spPr>
                      </pic:pic>
                    </a:graphicData>
                  </a:graphic>
                </wp:anchor>
              </w:drawing>
            </w:r>
          </w:p>
        </w:tc>
      </w:tr>
      <w:tr w14:paraId="43F6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0AF7BCA2">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11</w:t>
            </w:r>
          </w:p>
        </w:tc>
        <w:tc>
          <w:tcPr>
            <w:tcW w:w="1110" w:type="dxa"/>
            <w:shd w:val="clear" w:color="auto" w:fill="auto"/>
            <w:vAlign w:val="center"/>
          </w:tcPr>
          <w:p w14:paraId="0B2A4DE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冰箱（冷冻室类冰箱）</w:t>
            </w:r>
          </w:p>
        </w:tc>
        <w:tc>
          <w:tcPr>
            <w:tcW w:w="4110" w:type="dxa"/>
            <w:shd w:val="clear" w:color="auto" w:fill="auto"/>
            <w:vAlign w:val="center"/>
          </w:tcPr>
          <w:p w14:paraId="543F2302">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1.能效等级：一级。</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strike w:val="0"/>
                <w:dstrike w:val="0"/>
                <w:color w:val="000000" w:themeColor="text1"/>
                <w:kern w:val="0"/>
                <w:sz w:val="21"/>
                <w:szCs w:val="21"/>
                <w:highlight w:val="none"/>
                <w:u w:val="none"/>
                <w:lang w:val="en-US" w:eastAsia="zh-CN" w:bidi="ar"/>
                <w14:textFill>
                  <w14:solidFill>
                    <w14:schemeClr w14:val="tx1"/>
                  </w14:solidFill>
                </w14:textFill>
              </w:rPr>
              <w:t>2.</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总容量不小于237L。</w:t>
            </w:r>
          </w:p>
          <w:p w14:paraId="52A695D3">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3.智能类型：不支持智能。</w:t>
            </w:r>
          </w:p>
          <w:p w14:paraId="5E903FEB">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4.箱门结构三门式。</w:t>
            </w:r>
          </w:p>
          <w:p w14:paraId="4B649C4F">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5.冷藏室容积不小于114L。</w:t>
            </w:r>
          </w:p>
          <w:p w14:paraId="62276325">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6.堆码层数极限3层。</w:t>
            </w:r>
          </w:p>
        </w:tc>
        <w:tc>
          <w:tcPr>
            <w:tcW w:w="640" w:type="dxa"/>
            <w:shd w:val="clear" w:color="auto" w:fill="auto"/>
            <w:vAlign w:val="center"/>
          </w:tcPr>
          <w:p w14:paraId="6C2BD52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个</w:t>
            </w:r>
          </w:p>
        </w:tc>
        <w:tc>
          <w:tcPr>
            <w:tcW w:w="936" w:type="dxa"/>
            <w:shd w:val="clear" w:color="auto" w:fill="auto"/>
            <w:vAlign w:val="center"/>
          </w:tcPr>
          <w:p w14:paraId="582508B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66015AAB">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9504" behindDoc="0" locked="0" layoutInCell="1" allowOverlap="1">
                  <wp:simplePos x="0" y="0"/>
                  <wp:positionH relativeFrom="column">
                    <wp:posOffset>31115</wp:posOffset>
                  </wp:positionH>
                  <wp:positionV relativeFrom="paragraph">
                    <wp:posOffset>125730</wp:posOffset>
                  </wp:positionV>
                  <wp:extent cx="813435" cy="916305"/>
                  <wp:effectExtent l="0" t="0" r="5715" b="17145"/>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6"/>
                          <a:stretch>
                            <a:fillRect/>
                          </a:stretch>
                        </pic:blipFill>
                        <pic:spPr>
                          <a:xfrm>
                            <a:off x="0" y="0"/>
                            <a:ext cx="813435" cy="916305"/>
                          </a:xfrm>
                          <a:prstGeom prst="rect">
                            <a:avLst/>
                          </a:prstGeom>
                          <a:noFill/>
                          <a:ln>
                            <a:noFill/>
                          </a:ln>
                        </pic:spPr>
                      </pic:pic>
                    </a:graphicData>
                  </a:graphic>
                </wp:anchor>
              </w:drawing>
            </w:r>
          </w:p>
        </w:tc>
      </w:tr>
      <w:tr w14:paraId="5400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73F61F23">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12</w:t>
            </w:r>
          </w:p>
        </w:tc>
        <w:tc>
          <w:tcPr>
            <w:tcW w:w="1110" w:type="dxa"/>
            <w:shd w:val="clear" w:color="auto" w:fill="auto"/>
            <w:vAlign w:val="center"/>
          </w:tcPr>
          <w:p w14:paraId="2F55D0E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商用消毒柜</w:t>
            </w:r>
          </w:p>
        </w:tc>
        <w:tc>
          <w:tcPr>
            <w:tcW w:w="4110" w:type="dxa"/>
            <w:shd w:val="clear" w:color="auto" w:fill="auto"/>
            <w:vAlign w:val="center"/>
          </w:tcPr>
          <w:p w14:paraId="08A13F06">
            <w:pPr>
              <w:keepNext w:val="0"/>
              <w:keepLines w:val="0"/>
              <w:pageBreakBefore w:val="0"/>
              <w:widowControl/>
              <w:numPr>
                <w:ilvl w:val="0"/>
                <w:numId w:val="0"/>
              </w:numPr>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1.尺寸：立式。</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2.外观单门智能类型，不支持智能。</w:t>
            </w:r>
          </w:p>
          <w:p w14:paraId="3FEA30F6">
            <w:pPr>
              <w:keepNext w:val="0"/>
              <w:keepLines w:val="0"/>
              <w:pageBreakBefore w:val="0"/>
              <w:widowControl/>
              <w:numPr>
                <w:ilvl w:val="0"/>
                <w:numId w:val="0"/>
              </w:numPr>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3.消毒温度75℃。</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4.堆码层数极限2层。</w:t>
            </w:r>
          </w:p>
          <w:p w14:paraId="23AC9F87">
            <w:pPr>
              <w:keepNext w:val="0"/>
              <w:keepLines w:val="0"/>
              <w:pageBreakBefore w:val="0"/>
              <w:widowControl/>
              <w:numPr>
                <w:ilvl w:val="0"/>
                <w:numId w:val="0"/>
              </w:numPr>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5.材质304不锈钢。</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6.消毒时间60分钟。</w:t>
            </w:r>
          </w:p>
          <w:p w14:paraId="564FAE23">
            <w:pPr>
              <w:keepNext w:val="0"/>
              <w:keepLines w:val="0"/>
              <w:pageBreakBefore w:val="0"/>
              <w:widowControl/>
              <w:numPr>
                <w:ilvl w:val="0"/>
                <w:numId w:val="0"/>
              </w:numPr>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7.容量不小于380L。</w:t>
            </w:r>
          </w:p>
        </w:tc>
        <w:tc>
          <w:tcPr>
            <w:tcW w:w="640" w:type="dxa"/>
            <w:shd w:val="clear" w:color="auto" w:fill="auto"/>
            <w:vAlign w:val="center"/>
          </w:tcPr>
          <w:p w14:paraId="466A16B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个</w:t>
            </w:r>
          </w:p>
        </w:tc>
        <w:tc>
          <w:tcPr>
            <w:tcW w:w="936" w:type="dxa"/>
            <w:shd w:val="clear" w:color="auto" w:fill="auto"/>
            <w:vAlign w:val="center"/>
          </w:tcPr>
          <w:p w14:paraId="30112E5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45F76208">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0528" behindDoc="0" locked="0" layoutInCell="1" allowOverlap="1">
                  <wp:simplePos x="0" y="0"/>
                  <wp:positionH relativeFrom="column">
                    <wp:posOffset>81280</wp:posOffset>
                  </wp:positionH>
                  <wp:positionV relativeFrom="paragraph">
                    <wp:posOffset>105410</wp:posOffset>
                  </wp:positionV>
                  <wp:extent cx="848360" cy="944880"/>
                  <wp:effectExtent l="0" t="0" r="8890" b="7620"/>
                  <wp:wrapNone/>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7"/>
                          <a:stretch>
                            <a:fillRect/>
                          </a:stretch>
                        </pic:blipFill>
                        <pic:spPr>
                          <a:xfrm>
                            <a:off x="0" y="0"/>
                            <a:ext cx="848360" cy="944880"/>
                          </a:xfrm>
                          <a:prstGeom prst="rect">
                            <a:avLst/>
                          </a:prstGeom>
                          <a:noFill/>
                          <a:ln>
                            <a:noFill/>
                          </a:ln>
                        </pic:spPr>
                      </pic:pic>
                    </a:graphicData>
                  </a:graphic>
                </wp:anchor>
              </w:drawing>
            </w:r>
          </w:p>
        </w:tc>
      </w:tr>
      <w:tr w14:paraId="38E7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2764CBB9">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13</w:t>
            </w:r>
          </w:p>
        </w:tc>
        <w:tc>
          <w:tcPr>
            <w:tcW w:w="1110" w:type="dxa"/>
            <w:shd w:val="clear" w:color="auto" w:fill="auto"/>
            <w:vAlign w:val="center"/>
          </w:tcPr>
          <w:p w14:paraId="4712E12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吧台</w:t>
            </w:r>
          </w:p>
        </w:tc>
        <w:tc>
          <w:tcPr>
            <w:tcW w:w="4110" w:type="dxa"/>
            <w:shd w:val="clear" w:color="auto" w:fill="auto"/>
            <w:vAlign w:val="center"/>
          </w:tcPr>
          <w:p w14:paraId="54927705">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1.尺寸：长1.78m*高1.4m，进深0.6m。</w:t>
            </w:r>
          </w:p>
          <w:p w14:paraId="46036D47">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2.面材：优质耐磨三聚氰胺浸渍饰面，覆面拼贴严密、平整、无脱胶、鼓泡，无裂纹、压痕和划伤。</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3.基材：三聚氰胺板通过GB 18580-2017《室内装饰装修材料 人造板及其制品中甲醛释放限量》、GB/T 15102-2017《浸渍胶膜饰面纤维板和刨花板》、HJ 571-2010《环境标志产品认证技术要求 人造板及其制品》标准。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4.封边：优质同色加厚PVC封边条，通过QB/T 4463-2035《家具用封边技术要求》标准。</w:t>
            </w:r>
          </w:p>
          <w:p w14:paraId="4CDDA796">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5.做法：按采购人要求定制。</w:t>
            </w:r>
          </w:p>
        </w:tc>
        <w:tc>
          <w:tcPr>
            <w:tcW w:w="640" w:type="dxa"/>
            <w:shd w:val="clear" w:color="auto" w:fill="auto"/>
            <w:vAlign w:val="center"/>
          </w:tcPr>
          <w:p w14:paraId="5F58317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个</w:t>
            </w:r>
          </w:p>
        </w:tc>
        <w:tc>
          <w:tcPr>
            <w:tcW w:w="936" w:type="dxa"/>
            <w:shd w:val="clear" w:color="auto" w:fill="auto"/>
            <w:vAlign w:val="center"/>
          </w:tcPr>
          <w:p w14:paraId="7B5135F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79BD8258">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1552" behindDoc="0" locked="0" layoutInCell="1" allowOverlap="1">
                  <wp:simplePos x="0" y="0"/>
                  <wp:positionH relativeFrom="column">
                    <wp:posOffset>30480</wp:posOffset>
                  </wp:positionH>
                  <wp:positionV relativeFrom="paragraph">
                    <wp:posOffset>612775</wp:posOffset>
                  </wp:positionV>
                  <wp:extent cx="1000760" cy="668655"/>
                  <wp:effectExtent l="0" t="0" r="8890" b="17145"/>
                  <wp:wrapNone/>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8"/>
                          <a:stretch>
                            <a:fillRect/>
                          </a:stretch>
                        </pic:blipFill>
                        <pic:spPr>
                          <a:xfrm>
                            <a:off x="0" y="0"/>
                            <a:ext cx="1000760" cy="668655"/>
                          </a:xfrm>
                          <a:prstGeom prst="rect">
                            <a:avLst/>
                          </a:prstGeom>
                          <a:noFill/>
                          <a:ln>
                            <a:noFill/>
                          </a:ln>
                        </pic:spPr>
                      </pic:pic>
                    </a:graphicData>
                  </a:graphic>
                </wp:anchor>
              </w:drawing>
            </w:r>
          </w:p>
        </w:tc>
      </w:tr>
      <w:tr w14:paraId="38DD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10245629">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14</w:t>
            </w:r>
          </w:p>
        </w:tc>
        <w:tc>
          <w:tcPr>
            <w:tcW w:w="1110" w:type="dxa"/>
            <w:shd w:val="clear" w:color="auto" w:fill="auto"/>
            <w:vAlign w:val="center"/>
          </w:tcPr>
          <w:p w14:paraId="046529A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微型消防站</w:t>
            </w:r>
          </w:p>
        </w:tc>
        <w:tc>
          <w:tcPr>
            <w:tcW w:w="4110" w:type="dxa"/>
            <w:shd w:val="clear" w:color="auto" w:fill="auto"/>
            <w:vAlign w:val="center"/>
          </w:tcPr>
          <w:p w14:paraId="715C8351">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1.尺寸:160*120*250（cm）。</w:t>
            </w:r>
          </w:p>
          <w:p w14:paraId="25AF84CB">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2.里面配有一个防毒面具、两个灭火器强、2个强光照明灯及消防桶、灭火器、铁锹、消防斧、消防腰带、消防手套、自救呼吸器各四个。</w:t>
            </w:r>
          </w:p>
        </w:tc>
        <w:tc>
          <w:tcPr>
            <w:tcW w:w="640" w:type="dxa"/>
            <w:shd w:val="clear" w:color="auto" w:fill="auto"/>
            <w:vAlign w:val="center"/>
          </w:tcPr>
          <w:p w14:paraId="1594830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套</w:t>
            </w:r>
          </w:p>
        </w:tc>
        <w:tc>
          <w:tcPr>
            <w:tcW w:w="936" w:type="dxa"/>
            <w:shd w:val="clear" w:color="auto" w:fill="auto"/>
            <w:vAlign w:val="center"/>
          </w:tcPr>
          <w:p w14:paraId="55C20A1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0833F7A6">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2576" behindDoc="0" locked="0" layoutInCell="1" allowOverlap="1">
                  <wp:simplePos x="0" y="0"/>
                  <wp:positionH relativeFrom="column">
                    <wp:posOffset>154305</wp:posOffset>
                  </wp:positionH>
                  <wp:positionV relativeFrom="paragraph">
                    <wp:posOffset>38735</wp:posOffset>
                  </wp:positionV>
                  <wp:extent cx="674370" cy="812800"/>
                  <wp:effectExtent l="0" t="0" r="11430" b="6350"/>
                  <wp:wrapNone/>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9"/>
                          <a:stretch>
                            <a:fillRect/>
                          </a:stretch>
                        </pic:blipFill>
                        <pic:spPr>
                          <a:xfrm>
                            <a:off x="0" y="0"/>
                            <a:ext cx="674370" cy="812800"/>
                          </a:xfrm>
                          <a:prstGeom prst="rect">
                            <a:avLst/>
                          </a:prstGeom>
                          <a:noFill/>
                          <a:ln>
                            <a:noFill/>
                          </a:ln>
                        </pic:spPr>
                      </pic:pic>
                    </a:graphicData>
                  </a:graphic>
                </wp:anchor>
              </w:drawing>
            </w:r>
          </w:p>
        </w:tc>
      </w:tr>
      <w:tr w14:paraId="6D0A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42" w:hRule="atLeast"/>
        </w:trPr>
        <w:tc>
          <w:tcPr>
            <w:tcW w:w="543" w:type="dxa"/>
            <w:shd w:val="clear" w:color="auto" w:fill="auto"/>
            <w:vAlign w:val="center"/>
          </w:tcPr>
          <w:p w14:paraId="7882F0AE">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15</w:t>
            </w:r>
          </w:p>
        </w:tc>
        <w:tc>
          <w:tcPr>
            <w:tcW w:w="1110" w:type="dxa"/>
            <w:shd w:val="clear" w:color="auto" w:fill="auto"/>
            <w:vAlign w:val="center"/>
          </w:tcPr>
          <w:p w14:paraId="4C87F89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热水器</w:t>
            </w:r>
          </w:p>
        </w:tc>
        <w:tc>
          <w:tcPr>
            <w:tcW w:w="4110" w:type="dxa"/>
            <w:shd w:val="clear" w:color="auto" w:fill="auto"/>
            <w:vAlign w:val="center"/>
          </w:tcPr>
          <w:p w14:paraId="59E5F3F3">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strike/>
                <w:dstrike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1.能效等级：一级。</w:t>
            </w:r>
          </w:p>
          <w:p w14:paraId="7015ABE8">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2.款式：横式。</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3.加热功率2200W。</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4.堆码层数极限4层。</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5.最大容积60L。</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6.控制方式：微电脑式。</w:t>
            </w:r>
          </w:p>
        </w:tc>
        <w:tc>
          <w:tcPr>
            <w:tcW w:w="640" w:type="dxa"/>
            <w:shd w:val="clear" w:color="auto" w:fill="auto"/>
            <w:vAlign w:val="center"/>
          </w:tcPr>
          <w:p w14:paraId="71607B9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台</w:t>
            </w:r>
          </w:p>
        </w:tc>
        <w:tc>
          <w:tcPr>
            <w:tcW w:w="936" w:type="dxa"/>
            <w:shd w:val="clear" w:color="auto" w:fill="auto"/>
            <w:vAlign w:val="center"/>
          </w:tcPr>
          <w:p w14:paraId="6352AB7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17FAB69D">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3600" behindDoc="0" locked="0" layoutInCell="1" allowOverlap="1">
                  <wp:simplePos x="0" y="0"/>
                  <wp:positionH relativeFrom="column">
                    <wp:posOffset>-30480</wp:posOffset>
                  </wp:positionH>
                  <wp:positionV relativeFrom="paragraph">
                    <wp:posOffset>450215</wp:posOffset>
                  </wp:positionV>
                  <wp:extent cx="997585" cy="591820"/>
                  <wp:effectExtent l="0" t="0" r="12065" b="17780"/>
                  <wp:wrapNone/>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30"/>
                          <a:stretch>
                            <a:fillRect/>
                          </a:stretch>
                        </pic:blipFill>
                        <pic:spPr>
                          <a:xfrm>
                            <a:off x="0" y="0"/>
                            <a:ext cx="997585" cy="591820"/>
                          </a:xfrm>
                          <a:prstGeom prst="rect">
                            <a:avLst/>
                          </a:prstGeom>
                          <a:noFill/>
                          <a:ln>
                            <a:noFill/>
                          </a:ln>
                        </pic:spPr>
                      </pic:pic>
                    </a:graphicData>
                  </a:graphic>
                </wp:anchor>
              </w:drawing>
            </w:r>
          </w:p>
        </w:tc>
      </w:tr>
      <w:tr w14:paraId="47AF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89" w:hRule="atLeast"/>
        </w:trPr>
        <w:tc>
          <w:tcPr>
            <w:tcW w:w="543" w:type="dxa"/>
            <w:shd w:val="clear" w:color="auto" w:fill="auto"/>
            <w:vAlign w:val="center"/>
          </w:tcPr>
          <w:p w14:paraId="5DB7E5BD">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16</w:t>
            </w:r>
          </w:p>
        </w:tc>
        <w:tc>
          <w:tcPr>
            <w:tcW w:w="1110" w:type="dxa"/>
            <w:shd w:val="clear" w:color="auto" w:fill="auto"/>
            <w:vAlign w:val="center"/>
          </w:tcPr>
          <w:p w14:paraId="529D818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洗衣机（波轮洗衣机）</w:t>
            </w:r>
          </w:p>
        </w:tc>
        <w:tc>
          <w:tcPr>
            <w:tcW w:w="4110" w:type="dxa"/>
            <w:shd w:val="clear" w:color="auto" w:fill="auto"/>
            <w:vAlign w:val="center"/>
          </w:tcPr>
          <w:p w14:paraId="543E4340">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1.显示屏类型：LED。</w:t>
            </w:r>
          </w:p>
          <w:p w14:paraId="67B28FB2">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2.使用方式：全自动。</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3.最高转速700转/分钟。</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4.排水方式：下排水。</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5.脱水功率：500W。</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6.能效等级：一级。</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7.附加功能：除菌，自动断电。</w:t>
            </w:r>
          </w:p>
        </w:tc>
        <w:tc>
          <w:tcPr>
            <w:tcW w:w="640" w:type="dxa"/>
            <w:shd w:val="clear" w:color="auto" w:fill="auto"/>
            <w:vAlign w:val="center"/>
          </w:tcPr>
          <w:p w14:paraId="69218A3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台</w:t>
            </w:r>
          </w:p>
        </w:tc>
        <w:tc>
          <w:tcPr>
            <w:tcW w:w="936" w:type="dxa"/>
            <w:shd w:val="clear" w:color="auto" w:fill="auto"/>
            <w:vAlign w:val="center"/>
          </w:tcPr>
          <w:p w14:paraId="4B31B7F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485EF792">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4624" behindDoc="0" locked="0" layoutInCell="1" allowOverlap="1">
                  <wp:simplePos x="0" y="0"/>
                  <wp:positionH relativeFrom="column">
                    <wp:posOffset>89535</wp:posOffset>
                  </wp:positionH>
                  <wp:positionV relativeFrom="paragraph">
                    <wp:posOffset>164465</wp:posOffset>
                  </wp:positionV>
                  <wp:extent cx="855980" cy="941070"/>
                  <wp:effectExtent l="0" t="0" r="1270" b="11430"/>
                  <wp:wrapNone/>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1"/>
                          <a:stretch>
                            <a:fillRect/>
                          </a:stretch>
                        </pic:blipFill>
                        <pic:spPr>
                          <a:xfrm>
                            <a:off x="0" y="0"/>
                            <a:ext cx="855980" cy="941070"/>
                          </a:xfrm>
                          <a:prstGeom prst="rect">
                            <a:avLst/>
                          </a:prstGeom>
                          <a:noFill/>
                          <a:ln>
                            <a:noFill/>
                          </a:ln>
                        </pic:spPr>
                      </pic:pic>
                    </a:graphicData>
                  </a:graphic>
                </wp:anchor>
              </w:drawing>
            </w:r>
          </w:p>
        </w:tc>
      </w:tr>
      <w:tr w14:paraId="1F55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25" w:hRule="atLeast"/>
        </w:trPr>
        <w:tc>
          <w:tcPr>
            <w:tcW w:w="543" w:type="dxa"/>
            <w:shd w:val="clear" w:color="auto" w:fill="auto"/>
            <w:vAlign w:val="center"/>
          </w:tcPr>
          <w:p w14:paraId="1F7EC1C6">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17</w:t>
            </w:r>
          </w:p>
        </w:tc>
        <w:tc>
          <w:tcPr>
            <w:tcW w:w="1110" w:type="dxa"/>
            <w:shd w:val="clear" w:color="auto" w:fill="auto"/>
            <w:vAlign w:val="center"/>
          </w:tcPr>
          <w:p w14:paraId="724E303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适老化沙发</w:t>
            </w:r>
          </w:p>
        </w:tc>
        <w:tc>
          <w:tcPr>
            <w:tcW w:w="4110" w:type="dxa"/>
            <w:shd w:val="clear" w:color="auto" w:fill="auto"/>
            <w:vAlign w:val="center"/>
          </w:tcPr>
          <w:p w14:paraId="6688CFA5">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1.四人沙发，尺寸：长212m宽83cm高88cm。2.面料：选用优质透气棉麻布料。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3.海绵：采用优质高密度阻燃海绵，用抽纱或丝绒覆面，表面有防腐化和防变型保护膜，回弹性高，耐用度高，防碎，防氧化，密度≥35kg/m3，回弹率≥35%，压缩永久变形≤10.0%，抗疲劳力强，坐感舒适，质量符合国家标准QB/T 1952.1-2012《软体家具 沙发》。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4.框架：选用实木橡木材质框架，符合人体工程学。</w:t>
            </w:r>
          </w:p>
        </w:tc>
        <w:tc>
          <w:tcPr>
            <w:tcW w:w="640" w:type="dxa"/>
            <w:shd w:val="clear" w:color="auto" w:fill="auto"/>
            <w:vAlign w:val="center"/>
          </w:tcPr>
          <w:p w14:paraId="78F4371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张</w:t>
            </w:r>
          </w:p>
        </w:tc>
        <w:tc>
          <w:tcPr>
            <w:tcW w:w="936" w:type="dxa"/>
            <w:shd w:val="clear" w:color="auto" w:fill="auto"/>
            <w:vAlign w:val="center"/>
          </w:tcPr>
          <w:p w14:paraId="6DB3782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4A2E097D">
            <w:pPr>
              <w:pStyle w:val="60"/>
              <w:rPr>
                <w:color w:val="000000" w:themeColor="text1"/>
                <w:highlight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708416" behindDoc="0" locked="0" layoutInCell="1" allowOverlap="1">
                  <wp:simplePos x="0" y="0"/>
                  <wp:positionH relativeFrom="column">
                    <wp:posOffset>7620</wp:posOffset>
                  </wp:positionH>
                  <wp:positionV relativeFrom="paragraph">
                    <wp:posOffset>756285</wp:posOffset>
                  </wp:positionV>
                  <wp:extent cx="1018540" cy="602615"/>
                  <wp:effectExtent l="0" t="0" r="10160" b="6985"/>
                  <wp:wrapNone/>
                  <wp:docPr id="2" name="图片 2" descr="02295bc97b046ddf05b48ded95b7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295bc97b046ddf05b48ded95b725e"/>
                          <pic:cNvPicPr>
                            <a:picLocks noChangeAspect="1"/>
                          </pic:cNvPicPr>
                        </pic:nvPicPr>
                        <pic:blipFill>
                          <a:blip r:embed="rId32"/>
                          <a:stretch>
                            <a:fillRect/>
                          </a:stretch>
                        </pic:blipFill>
                        <pic:spPr>
                          <a:xfrm>
                            <a:off x="0" y="0"/>
                            <a:ext cx="1018540" cy="602615"/>
                          </a:xfrm>
                          <a:prstGeom prst="rect">
                            <a:avLst/>
                          </a:prstGeom>
                        </pic:spPr>
                      </pic:pic>
                    </a:graphicData>
                  </a:graphic>
                </wp:anchor>
              </w:drawing>
            </w:r>
          </w:p>
        </w:tc>
      </w:tr>
      <w:tr w14:paraId="392B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0" w:hRule="atLeast"/>
        </w:trPr>
        <w:tc>
          <w:tcPr>
            <w:tcW w:w="543" w:type="dxa"/>
            <w:shd w:val="clear" w:color="auto" w:fill="auto"/>
            <w:vAlign w:val="center"/>
          </w:tcPr>
          <w:p w14:paraId="0AC57604">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18</w:t>
            </w:r>
          </w:p>
        </w:tc>
        <w:tc>
          <w:tcPr>
            <w:tcW w:w="1110" w:type="dxa"/>
            <w:shd w:val="clear" w:color="auto" w:fill="auto"/>
            <w:vAlign w:val="center"/>
          </w:tcPr>
          <w:p w14:paraId="5065552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适老化办公桌</w:t>
            </w:r>
          </w:p>
        </w:tc>
        <w:tc>
          <w:tcPr>
            <w:tcW w:w="4110" w:type="dxa"/>
            <w:shd w:val="clear" w:color="auto" w:fill="auto"/>
            <w:vAlign w:val="center"/>
          </w:tcPr>
          <w:p w14:paraId="16BECDC6">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1.尺寸：长120宽60高75（cm）。</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2.面材：优质耐磨三聚氰胺浸渍饰面，覆面拼贴严密、平整、无脱胶、鼓泡，无裂纹、压痕和划伤。</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3.基材：三聚氰胺板通过GB 18580-2017《室内装饰装修材料 人造板及其制品中甲醛释放限量》、GB/T 15102-2017《浸渍胶膜饰面纤维板和刨花板》、HJ 571-2010《环境标志产品认证技术要求 人造板及其制品》标准。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4.封边：优质同色加厚PVC封边条，通过QB/T 4463-2035《家具用封边技术要求》标准。</w:t>
            </w:r>
          </w:p>
        </w:tc>
        <w:tc>
          <w:tcPr>
            <w:tcW w:w="640" w:type="dxa"/>
            <w:shd w:val="clear" w:color="auto" w:fill="auto"/>
            <w:vAlign w:val="center"/>
          </w:tcPr>
          <w:p w14:paraId="75B2B02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张</w:t>
            </w:r>
          </w:p>
        </w:tc>
        <w:tc>
          <w:tcPr>
            <w:tcW w:w="936" w:type="dxa"/>
            <w:shd w:val="clear" w:color="auto" w:fill="auto"/>
            <w:vAlign w:val="center"/>
          </w:tcPr>
          <w:p w14:paraId="14A2DD3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33824E3E">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5648" behindDoc="0" locked="0" layoutInCell="1" allowOverlap="1">
                  <wp:simplePos x="0" y="0"/>
                  <wp:positionH relativeFrom="column">
                    <wp:posOffset>136525</wp:posOffset>
                  </wp:positionH>
                  <wp:positionV relativeFrom="paragraph">
                    <wp:posOffset>558800</wp:posOffset>
                  </wp:positionV>
                  <wp:extent cx="880745" cy="872490"/>
                  <wp:effectExtent l="0" t="0" r="14605" b="3810"/>
                  <wp:wrapNone/>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33"/>
                          <a:stretch>
                            <a:fillRect/>
                          </a:stretch>
                        </pic:blipFill>
                        <pic:spPr>
                          <a:xfrm>
                            <a:off x="0" y="0"/>
                            <a:ext cx="880745" cy="872490"/>
                          </a:xfrm>
                          <a:prstGeom prst="rect">
                            <a:avLst/>
                          </a:prstGeom>
                          <a:noFill/>
                          <a:ln>
                            <a:noFill/>
                          </a:ln>
                        </pic:spPr>
                      </pic:pic>
                    </a:graphicData>
                  </a:graphic>
                </wp:anchor>
              </w:drawing>
            </w:r>
          </w:p>
        </w:tc>
      </w:tr>
      <w:tr w14:paraId="703F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3D769E81">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19</w:t>
            </w:r>
          </w:p>
        </w:tc>
        <w:tc>
          <w:tcPr>
            <w:tcW w:w="1110" w:type="dxa"/>
            <w:shd w:val="clear" w:color="auto" w:fill="auto"/>
            <w:vAlign w:val="center"/>
          </w:tcPr>
          <w:p w14:paraId="682775F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适老化茶几</w:t>
            </w:r>
          </w:p>
        </w:tc>
        <w:tc>
          <w:tcPr>
            <w:tcW w:w="4110" w:type="dxa"/>
            <w:shd w:val="clear" w:color="auto" w:fill="auto"/>
            <w:vAlign w:val="center"/>
          </w:tcPr>
          <w:p w14:paraId="1FAD5A1B">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1.实木框架：尺寸长120宽60高50（cm）。</w:t>
            </w:r>
          </w:p>
          <w:p w14:paraId="48777AEB">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2.采用橡胶木，木质细腻、硬度高，具有较良好的总体强度性能，良好的抗震力。</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3.台面：多层板贴白蜡木皮，设计安全角，无缝拼接边角处采用倒圆工艺。</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4.油漆：成品纹理清晰、表层饱满、光泽润亮。涂装要求无桔皮、发白、流挂、泪油现象。结实耐用，耐磨损，耐腐蚀。</w:t>
            </w:r>
          </w:p>
        </w:tc>
        <w:tc>
          <w:tcPr>
            <w:tcW w:w="640" w:type="dxa"/>
            <w:shd w:val="clear" w:color="auto" w:fill="auto"/>
            <w:vAlign w:val="center"/>
          </w:tcPr>
          <w:p w14:paraId="5A5C884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条</w:t>
            </w:r>
          </w:p>
        </w:tc>
        <w:tc>
          <w:tcPr>
            <w:tcW w:w="936" w:type="dxa"/>
            <w:shd w:val="clear" w:color="auto" w:fill="auto"/>
            <w:vAlign w:val="center"/>
          </w:tcPr>
          <w:p w14:paraId="77C4093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7B647BDD">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6672" behindDoc="0" locked="0" layoutInCell="1" allowOverlap="1">
                  <wp:simplePos x="0" y="0"/>
                  <wp:positionH relativeFrom="column">
                    <wp:posOffset>10795</wp:posOffset>
                  </wp:positionH>
                  <wp:positionV relativeFrom="paragraph">
                    <wp:posOffset>250825</wp:posOffset>
                  </wp:positionV>
                  <wp:extent cx="996950" cy="963930"/>
                  <wp:effectExtent l="0" t="0" r="12700" b="7620"/>
                  <wp:wrapNone/>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34"/>
                          <a:stretch>
                            <a:fillRect/>
                          </a:stretch>
                        </pic:blipFill>
                        <pic:spPr>
                          <a:xfrm>
                            <a:off x="0" y="0"/>
                            <a:ext cx="996950" cy="963930"/>
                          </a:xfrm>
                          <a:prstGeom prst="rect">
                            <a:avLst/>
                          </a:prstGeom>
                          <a:noFill/>
                          <a:ln>
                            <a:noFill/>
                          </a:ln>
                        </pic:spPr>
                      </pic:pic>
                    </a:graphicData>
                  </a:graphic>
                </wp:anchor>
              </w:drawing>
            </w:r>
          </w:p>
        </w:tc>
      </w:tr>
      <w:tr w14:paraId="2BFE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121201F7">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20</w:t>
            </w:r>
          </w:p>
        </w:tc>
        <w:tc>
          <w:tcPr>
            <w:tcW w:w="1110" w:type="dxa"/>
            <w:shd w:val="clear" w:color="auto" w:fill="auto"/>
            <w:vAlign w:val="center"/>
          </w:tcPr>
          <w:p w14:paraId="55E07F2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适老化长桌1</w:t>
            </w:r>
          </w:p>
        </w:tc>
        <w:tc>
          <w:tcPr>
            <w:tcW w:w="4110" w:type="dxa"/>
            <w:shd w:val="clear" w:color="auto" w:fill="auto"/>
            <w:vAlign w:val="center"/>
          </w:tcPr>
          <w:p w14:paraId="080F3D8D">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1.尺寸：长180cm宽80cm高75cm。</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2.实木框架：采用橡胶木，木质细腻、硬度高，具有较良好的总体强度性能，良好的抗震力。</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3.台面：多层板贴白蜡木皮，设计安全角，无缝拼接边角处采用倒圆工艺。</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4.油漆：成品纹理清晰、表层饱满、光泽润亮。涂装要求无桔皮、发白、流挂、泪油现象。结实耐用，耐磨损，耐腐蚀。</w:t>
            </w:r>
          </w:p>
        </w:tc>
        <w:tc>
          <w:tcPr>
            <w:tcW w:w="640" w:type="dxa"/>
            <w:shd w:val="clear" w:color="auto" w:fill="auto"/>
            <w:vAlign w:val="center"/>
          </w:tcPr>
          <w:p w14:paraId="1F8D8BF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张</w:t>
            </w:r>
          </w:p>
        </w:tc>
        <w:tc>
          <w:tcPr>
            <w:tcW w:w="936" w:type="dxa"/>
            <w:shd w:val="clear" w:color="auto" w:fill="auto"/>
            <w:vAlign w:val="center"/>
          </w:tcPr>
          <w:p w14:paraId="06AB084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w:t>
            </w:r>
          </w:p>
        </w:tc>
        <w:tc>
          <w:tcPr>
            <w:tcW w:w="1835" w:type="dxa"/>
            <w:shd w:val="clear" w:color="auto" w:fill="auto"/>
          </w:tcPr>
          <w:p w14:paraId="607F895F">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7696" behindDoc="0" locked="0" layoutInCell="1" allowOverlap="1">
                  <wp:simplePos x="0" y="0"/>
                  <wp:positionH relativeFrom="column">
                    <wp:posOffset>-40005</wp:posOffset>
                  </wp:positionH>
                  <wp:positionV relativeFrom="paragraph">
                    <wp:posOffset>281940</wp:posOffset>
                  </wp:positionV>
                  <wp:extent cx="1038860" cy="800100"/>
                  <wp:effectExtent l="0" t="0" r="8890" b="0"/>
                  <wp:wrapNone/>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35"/>
                          <a:stretch>
                            <a:fillRect/>
                          </a:stretch>
                        </pic:blipFill>
                        <pic:spPr>
                          <a:xfrm>
                            <a:off x="0" y="0"/>
                            <a:ext cx="1038860" cy="800100"/>
                          </a:xfrm>
                          <a:prstGeom prst="rect">
                            <a:avLst/>
                          </a:prstGeom>
                          <a:noFill/>
                          <a:ln>
                            <a:noFill/>
                          </a:ln>
                        </pic:spPr>
                      </pic:pic>
                    </a:graphicData>
                  </a:graphic>
                </wp:anchor>
              </w:drawing>
            </w:r>
          </w:p>
        </w:tc>
      </w:tr>
      <w:tr w14:paraId="09CD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2" w:hRule="atLeast"/>
        </w:trPr>
        <w:tc>
          <w:tcPr>
            <w:tcW w:w="543" w:type="dxa"/>
            <w:shd w:val="clear" w:color="auto" w:fill="auto"/>
            <w:vAlign w:val="center"/>
          </w:tcPr>
          <w:p w14:paraId="7E53707F">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21</w:t>
            </w:r>
          </w:p>
        </w:tc>
        <w:tc>
          <w:tcPr>
            <w:tcW w:w="1110" w:type="dxa"/>
            <w:shd w:val="clear" w:color="auto" w:fill="auto"/>
            <w:vAlign w:val="center"/>
          </w:tcPr>
          <w:p w14:paraId="78A7D84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适老化长桌2</w:t>
            </w:r>
          </w:p>
        </w:tc>
        <w:tc>
          <w:tcPr>
            <w:tcW w:w="4110" w:type="dxa"/>
            <w:shd w:val="clear" w:color="auto" w:fill="auto"/>
            <w:vAlign w:val="center"/>
          </w:tcPr>
          <w:p w14:paraId="56BA046F">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1.尺寸：长120cm宽80cm高75cm。</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2.实木框架：采用橡胶木，木质细腻、硬度高，具有较良好的总体强度性能，良好的抗震力。</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3.台面：多层板贴白蜡木皮，设计安全角，无缝拼接边角处采用倒圆工艺。</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4.油漆：成品纹理清晰、表层饱满、光泽润亮。涂装要求无桔皮、发白、流挂、泪油现象。结实耐用，耐磨损，耐腐蚀。</w:t>
            </w:r>
          </w:p>
        </w:tc>
        <w:tc>
          <w:tcPr>
            <w:tcW w:w="640" w:type="dxa"/>
            <w:shd w:val="clear" w:color="auto" w:fill="auto"/>
            <w:vAlign w:val="center"/>
          </w:tcPr>
          <w:p w14:paraId="203E308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张</w:t>
            </w:r>
          </w:p>
        </w:tc>
        <w:tc>
          <w:tcPr>
            <w:tcW w:w="936" w:type="dxa"/>
            <w:shd w:val="clear" w:color="auto" w:fill="auto"/>
            <w:vAlign w:val="center"/>
          </w:tcPr>
          <w:p w14:paraId="25CDE24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736EECBF">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8720" behindDoc="0" locked="0" layoutInCell="1" allowOverlap="1">
                  <wp:simplePos x="0" y="0"/>
                  <wp:positionH relativeFrom="column">
                    <wp:posOffset>12065</wp:posOffset>
                  </wp:positionH>
                  <wp:positionV relativeFrom="paragraph">
                    <wp:posOffset>510540</wp:posOffset>
                  </wp:positionV>
                  <wp:extent cx="1038860" cy="800100"/>
                  <wp:effectExtent l="0" t="0" r="8890" b="0"/>
                  <wp:wrapNone/>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35"/>
                          <a:stretch>
                            <a:fillRect/>
                          </a:stretch>
                        </pic:blipFill>
                        <pic:spPr>
                          <a:xfrm>
                            <a:off x="0" y="0"/>
                            <a:ext cx="1038860" cy="800100"/>
                          </a:xfrm>
                          <a:prstGeom prst="rect">
                            <a:avLst/>
                          </a:prstGeom>
                          <a:noFill/>
                          <a:ln>
                            <a:noFill/>
                          </a:ln>
                        </pic:spPr>
                      </pic:pic>
                    </a:graphicData>
                  </a:graphic>
                </wp:anchor>
              </w:drawing>
            </w:r>
          </w:p>
        </w:tc>
      </w:tr>
      <w:tr w14:paraId="5021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30" w:hRule="atLeast"/>
        </w:trPr>
        <w:tc>
          <w:tcPr>
            <w:tcW w:w="543" w:type="dxa"/>
            <w:shd w:val="clear" w:color="auto" w:fill="auto"/>
            <w:vAlign w:val="center"/>
          </w:tcPr>
          <w:p w14:paraId="6DC43A74">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22</w:t>
            </w:r>
          </w:p>
        </w:tc>
        <w:tc>
          <w:tcPr>
            <w:tcW w:w="1110" w:type="dxa"/>
            <w:shd w:val="clear" w:color="auto" w:fill="auto"/>
            <w:vAlign w:val="center"/>
          </w:tcPr>
          <w:p w14:paraId="0E9D90E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适老化书柜</w:t>
            </w:r>
          </w:p>
        </w:tc>
        <w:tc>
          <w:tcPr>
            <w:tcW w:w="4110" w:type="dxa"/>
            <w:shd w:val="clear" w:color="auto" w:fill="auto"/>
            <w:vAlign w:val="center"/>
          </w:tcPr>
          <w:p w14:paraId="60D9D08B">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1.尺寸：长80cm宽30cm高200cm。</w:t>
            </w:r>
          </w:p>
          <w:p w14:paraId="38FA0B5D">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2.优质耐磨三聚氰胺浸渍饰面，覆面拼贴严密、平整、无脱胶、鼓泡，无裂纹、压痕和划伤。</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3.基材：三聚氰胺板通过GB 18580-2017《室内装饰装修材料 人造板及其制品中甲醛释放限量》、GB/T 15102-2017《浸渍胶膜饰面纤维板和刨花板》、HJ 571-2010《环境标志产品认证技术要求 人造板及其制品》标准。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4.封边：优质同色加厚PVC封边条，通过QB/T 4463-2031《家具用封边技术要求》标准。</w:t>
            </w:r>
          </w:p>
        </w:tc>
        <w:tc>
          <w:tcPr>
            <w:tcW w:w="640" w:type="dxa"/>
            <w:shd w:val="clear" w:color="auto" w:fill="auto"/>
            <w:vAlign w:val="center"/>
          </w:tcPr>
          <w:p w14:paraId="0390A27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张</w:t>
            </w:r>
          </w:p>
        </w:tc>
        <w:tc>
          <w:tcPr>
            <w:tcW w:w="936" w:type="dxa"/>
            <w:shd w:val="clear" w:color="auto" w:fill="auto"/>
            <w:vAlign w:val="center"/>
          </w:tcPr>
          <w:p w14:paraId="47C74EC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w:t>
            </w:r>
          </w:p>
        </w:tc>
        <w:tc>
          <w:tcPr>
            <w:tcW w:w="1835" w:type="dxa"/>
            <w:shd w:val="clear" w:color="auto" w:fill="auto"/>
          </w:tcPr>
          <w:p w14:paraId="6032A220">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9744" behindDoc="0" locked="0" layoutInCell="1" allowOverlap="1">
                  <wp:simplePos x="0" y="0"/>
                  <wp:positionH relativeFrom="column">
                    <wp:posOffset>12700</wp:posOffset>
                  </wp:positionH>
                  <wp:positionV relativeFrom="paragraph">
                    <wp:posOffset>906145</wp:posOffset>
                  </wp:positionV>
                  <wp:extent cx="1018540" cy="845820"/>
                  <wp:effectExtent l="0" t="0" r="10160" b="11430"/>
                  <wp:wrapNone/>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36"/>
                          <a:stretch>
                            <a:fillRect/>
                          </a:stretch>
                        </pic:blipFill>
                        <pic:spPr>
                          <a:xfrm>
                            <a:off x="0" y="0"/>
                            <a:ext cx="1018540" cy="845820"/>
                          </a:xfrm>
                          <a:prstGeom prst="rect">
                            <a:avLst/>
                          </a:prstGeom>
                          <a:noFill/>
                          <a:ln>
                            <a:noFill/>
                          </a:ln>
                        </pic:spPr>
                      </pic:pic>
                    </a:graphicData>
                  </a:graphic>
                </wp:anchor>
              </w:drawing>
            </w:r>
          </w:p>
        </w:tc>
      </w:tr>
      <w:tr w14:paraId="33FA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81" w:hRule="atLeast"/>
        </w:trPr>
        <w:tc>
          <w:tcPr>
            <w:tcW w:w="543" w:type="dxa"/>
            <w:shd w:val="clear" w:color="auto" w:fill="auto"/>
            <w:vAlign w:val="center"/>
          </w:tcPr>
          <w:p w14:paraId="7F51E664">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23</w:t>
            </w:r>
          </w:p>
        </w:tc>
        <w:tc>
          <w:tcPr>
            <w:tcW w:w="1110" w:type="dxa"/>
            <w:shd w:val="clear" w:color="auto" w:fill="auto"/>
            <w:vAlign w:val="center"/>
          </w:tcPr>
          <w:p w14:paraId="5DDC958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适老棋牌桌</w:t>
            </w:r>
          </w:p>
        </w:tc>
        <w:tc>
          <w:tcPr>
            <w:tcW w:w="4110" w:type="dxa"/>
            <w:shd w:val="clear" w:color="auto" w:fill="auto"/>
            <w:vAlign w:val="center"/>
          </w:tcPr>
          <w:p w14:paraId="534DA493">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1.尺寸：长90cm宽90cm高70cm。</w:t>
            </w:r>
          </w:p>
          <w:p w14:paraId="66DF4D5B">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2.实木框架：采用橡胶木，木质细腻、硬度高，具有较良好的总体强度性能，良好的抗震力。</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3.台面：多层板贴白蜡木皮，设计安全角，无缝拼接边角处采用倒圆工艺。</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4.油漆：成品纹理清晰、表层饱满、光泽润亮。涂装要求无桔皮、发白、流挂、泪油现象。结实耐用，耐磨损，耐腐蚀。</w:t>
            </w:r>
          </w:p>
        </w:tc>
        <w:tc>
          <w:tcPr>
            <w:tcW w:w="640" w:type="dxa"/>
            <w:shd w:val="clear" w:color="auto" w:fill="auto"/>
            <w:vAlign w:val="center"/>
          </w:tcPr>
          <w:p w14:paraId="6D75D77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套</w:t>
            </w:r>
          </w:p>
        </w:tc>
        <w:tc>
          <w:tcPr>
            <w:tcW w:w="936" w:type="dxa"/>
            <w:shd w:val="clear" w:color="auto" w:fill="auto"/>
            <w:vAlign w:val="center"/>
          </w:tcPr>
          <w:p w14:paraId="001A1D5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w:t>
            </w:r>
          </w:p>
        </w:tc>
        <w:tc>
          <w:tcPr>
            <w:tcW w:w="1835" w:type="dxa"/>
            <w:shd w:val="clear" w:color="auto" w:fill="auto"/>
          </w:tcPr>
          <w:p w14:paraId="3A5CF91D">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80768" behindDoc="0" locked="0" layoutInCell="1" allowOverlap="1">
                  <wp:simplePos x="0" y="0"/>
                  <wp:positionH relativeFrom="column">
                    <wp:posOffset>-8255</wp:posOffset>
                  </wp:positionH>
                  <wp:positionV relativeFrom="paragraph">
                    <wp:posOffset>346075</wp:posOffset>
                  </wp:positionV>
                  <wp:extent cx="1082675" cy="887730"/>
                  <wp:effectExtent l="0" t="0" r="3175" b="7620"/>
                  <wp:wrapNone/>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37"/>
                          <a:stretch>
                            <a:fillRect/>
                          </a:stretch>
                        </pic:blipFill>
                        <pic:spPr>
                          <a:xfrm>
                            <a:off x="0" y="0"/>
                            <a:ext cx="1082675" cy="887730"/>
                          </a:xfrm>
                          <a:prstGeom prst="rect">
                            <a:avLst/>
                          </a:prstGeom>
                          <a:noFill/>
                          <a:ln>
                            <a:noFill/>
                          </a:ln>
                        </pic:spPr>
                      </pic:pic>
                    </a:graphicData>
                  </a:graphic>
                </wp:anchor>
              </w:drawing>
            </w:r>
          </w:p>
        </w:tc>
      </w:tr>
      <w:tr w14:paraId="1754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133BDF46">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24</w:t>
            </w:r>
          </w:p>
        </w:tc>
        <w:tc>
          <w:tcPr>
            <w:tcW w:w="1110" w:type="dxa"/>
            <w:shd w:val="clear" w:color="auto" w:fill="auto"/>
            <w:vAlign w:val="center"/>
          </w:tcPr>
          <w:p w14:paraId="49A707C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拉门五格保温台</w:t>
            </w:r>
          </w:p>
        </w:tc>
        <w:tc>
          <w:tcPr>
            <w:tcW w:w="4110" w:type="dxa"/>
            <w:shd w:val="clear" w:color="auto" w:fill="auto"/>
            <w:vAlign w:val="center"/>
          </w:tcPr>
          <w:p w14:paraId="1D1EB426">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1.尺寸：长1800mm*宽700mm*高800mm。</w:t>
            </w:r>
          </w:p>
          <w:p w14:paraId="3B9E6239">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2.采用优质不锈钢板制作,台面板为δ，支架、通脚为Φ38不锈钢管，配可调子弹脚，配食品级1/1份数盘5只。</w:t>
            </w:r>
          </w:p>
          <w:p w14:paraId="02BE0D0C">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3.附加功能：带电加热。</w:t>
            </w:r>
          </w:p>
        </w:tc>
        <w:tc>
          <w:tcPr>
            <w:tcW w:w="640" w:type="dxa"/>
            <w:shd w:val="clear" w:color="auto" w:fill="auto"/>
            <w:vAlign w:val="center"/>
          </w:tcPr>
          <w:p w14:paraId="74BD6CC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个</w:t>
            </w:r>
          </w:p>
        </w:tc>
        <w:tc>
          <w:tcPr>
            <w:tcW w:w="936" w:type="dxa"/>
            <w:shd w:val="clear" w:color="auto" w:fill="auto"/>
            <w:vAlign w:val="center"/>
          </w:tcPr>
          <w:p w14:paraId="40FAF6B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0660674E">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81792" behindDoc="0" locked="0" layoutInCell="1" allowOverlap="1">
                  <wp:simplePos x="0" y="0"/>
                  <wp:positionH relativeFrom="column">
                    <wp:posOffset>-30480</wp:posOffset>
                  </wp:positionH>
                  <wp:positionV relativeFrom="paragraph">
                    <wp:posOffset>19685</wp:posOffset>
                  </wp:positionV>
                  <wp:extent cx="977900" cy="643890"/>
                  <wp:effectExtent l="0" t="0" r="12700" b="3810"/>
                  <wp:wrapNone/>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38"/>
                          <a:stretch>
                            <a:fillRect/>
                          </a:stretch>
                        </pic:blipFill>
                        <pic:spPr>
                          <a:xfrm>
                            <a:off x="0" y="0"/>
                            <a:ext cx="977900" cy="643890"/>
                          </a:xfrm>
                          <a:prstGeom prst="rect">
                            <a:avLst/>
                          </a:prstGeom>
                          <a:noFill/>
                          <a:ln>
                            <a:noFill/>
                          </a:ln>
                        </pic:spPr>
                      </pic:pic>
                    </a:graphicData>
                  </a:graphic>
                </wp:anchor>
              </w:drawing>
            </w:r>
          </w:p>
        </w:tc>
      </w:tr>
      <w:tr w14:paraId="6A8C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05DB1266">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25</w:t>
            </w:r>
          </w:p>
        </w:tc>
        <w:tc>
          <w:tcPr>
            <w:tcW w:w="1110" w:type="dxa"/>
            <w:shd w:val="clear" w:color="auto" w:fill="auto"/>
            <w:vAlign w:val="center"/>
          </w:tcPr>
          <w:p w14:paraId="48F1049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适老化方桌</w:t>
            </w:r>
          </w:p>
        </w:tc>
        <w:tc>
          <w:tcPr>
            <w:tcW w:w="4110" w:type="dxa"/>
            <w:shd w:val="clear" w:color="auto" w:fill="auto"/>
            <w:vAlign w:val="center"/>
          </w:tcPr>
          <w:p w14:paraId="2C9A3A74">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1.尺寸：长80cm*宽80cm*高75cm。</w:t>
            </w:r>
          </w:p>
          <w:p w14:paraId="31CD31C1">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2.实木框架：采用橡胶木，木质细腻、硬度高，具有较良好的总体强度性能，良好的抗震力。</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3.台面：多层板贴白蜡木皮，设计安全角，无缝拼接边角处采用倒圆工艺。</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4.油漆：成品纹理清晰、表层饱满、光泽润亮。涂装要求无桔皮、发白、流挂、泪油现象。结实耐用，耐磨损，耐腐蚀。</w:t>
            </w:r>
          </w:p>
        </w:tc>
        <w:tc>
          <w:tcPr>
            <w:tcW w:w="640" w:type="dxa"/>
            <w:shd w:val="clear" w:color="auto" w:fill="auto"/>
            <w:vAlign w:val="center"/>
          </w:tcPr>
          <w:p w14:paraId="5738767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张</w:t>
            </w:r>
          </w:p>
        </w:tc>
        <w:tc>
          <w:tcPr>
            <w:tcW w:w="936" w:type="dxa"/>
            <w:shd w:val="clear" w:color="auto" w:fill="auto"/>
            <w:vAlign w:val="center"/>
          </w:tcPr>
          <w:p w14:paraId="33C1AC6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w:t>
            </w:r>
          </w:p>
        </w:tc>
        <w:tc>
          <w:tcPr>
            <w:tcW w:w="1835" w:type="dxa"/>
            <w:shd w:val="clear" w:color="auto" w:fill="auto"/>
          </w:tcPr>
          <w:p w14:paraId="2A8513C1">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82816" behindDoc="0" locked="0" layoutInCell="1" allowOverlap="1">
                  <wp:simplePos x="0" y="0"/>
                  <wp:positionH relativeFrom="column">
                    <wp:posOffset>8255</wp:posOffset>
                  </wp:positionH>
                  <wp:positionV relativeFrom="paragraph">
                    <wp:posOffset>237490</wp:posOffset>
                  </wp:positionV>
                  <wp:extent cx="1010285" cy="831215"/>
                  <wp:effectExtent l="0" t="0" r="18415" b="6985"/>
                  <wp:wrapNone/>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39"/>
                          <a:stretch>
                            <a:fillRect/>
                          </a:stretch>
                        </pic:blipFill>
                        <pic:spPr>
                          <a:xfrm>
                            <a:off x="0" y="0"/>
                            <a:ext cx="1010285" cy="831215"/>
                          </a:xfrm>
                          <a:prstGeom prst="rect">
                            <a:avLst/>
                          </a:prstGeom>
                          <a:noFill/>
                          <a:ln>
                            <a:noFill/>
                          </a:ln>
                        </pic:spPr>
                      </pic:pic>
                    </a:graphicData>
                  </a:graphic>
                </wp:anchor>
              </w:drawing>
            </w:r>
          </w:p>
        </w:tc>
      </w:tr>
      <w:tr w14:paraId="0009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39" w:hRule="atLeast"/>
        </w:trPr>
        <w:tc>
          <w:tcPr>
            <w:tcW w:w="543" w:type="dxa"/>
            <w:shd w:val="clear" w:color="auto" w:fill="auto"/>
            <w:vAlign w:val="center"/>
          </w:tcPr>
          <w:p w14:paraId="354FC7B6">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26</w:t>
            </w:r>
          </w:p>
        </w:tc>
        <w:tc>
          <w:tcPr>
            <w:tcW w:w="1110" w:type="dxa"/>
            <w:shd w:val="clear" w:color="auto" w:fill="auto"/>
            <w:vAlign w:val="center"/>
          </w:tcPr>
          <w:p w14:paraId="387ABAA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电动肢体康复器</w:t>
            </w:r>
          </w:p>
        </w:tc>
        <w:tc>
          <w:tcPr>
            <w:tcW w:w="4110" w:type="dxa"/>
            <w:shd w:val="clear" w:color="auto" w:fill="auto"/>
            <w:vAlign w:val="center"/>
          </w:tcPr>
          <w:p w14:paraId="62EF0213">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1.外形尺寸:49*40*28.5cm。</w:t>
            </w:r>
          </w:p>
          <w:p w14:paraId="70B0E869">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2.阻力可调。</w:t>
            </w:r>
          </w:p>
          <w:p w14:paraId="17A61CAE">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3.用途:具有6大训练模式，可作臂力训练，也可舒缓腰椎压力。</w:t>
            </w:r>
          </w:p>
        </w:tc>
        <w:tc>
          <w:tcPr>
            <w:tcW w:w="640" w:type="dxa"/>
            <w:shd w:val="clear" w:color="auto" w:fill="auto"/>
            <w:vAlign w:val="center"/>
          </w:tcPr>
          <w:p w14:paraId="58EC2A9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台</w:t>
            </w:r>
          </w:p>
        </w:tc>
        <w:tc>
          <w:tcPr>
            <w:tcW w:w="936" w:type="dxa"/>
            <w:shd w:val="clear" w:color="auto" w:fill="auto"/>
            <w:vAlign w:val="center"/>
          </w:tcPr>
          <w:p w14:paraId="099C171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7FDED76E">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83840" behindDoc="0" locked="0" layoutInCell="1" allowOverlap="1">
                  <wp:simplePos x="0" y="0"/>
                  <wp:positionH relativeFrom="column">
                    <wp:posOffset>0</wp:posOffset>
                  </wp:positionH>
                  <wp:positionV relativeFrom="paragraph">
                    <wp:posOffset>149860</wp:posOffset>
                  </wp:positionV>
                  <wp:extent cx="976630" cy="598805"/>
                  <wp:effectExtent l="0" t="0" r="13970" b="10795"/>
                  <wp:wrapNone/>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40"/>
                          <a:stretch>
                            <a:fillRect/>
                          </a:stretch>
                        </pic:blipFill>
                        <pic:spPr>
                          <a:xfrm>
                            <a:off x="0" y="0"/>
                            <a:ext cx="976630" cy="598805"/>
                          </a:xfrm>
                          <a:prstGeom prst="rect">
                            <a:avLst/>
                          </a:prstGeom>
                          <a:noFill/>
                          <a:ln>
                            <a:noFill/>
                          </a:ln>
                        </pic:spPr>
                      </pic:pic>
                    </a:graphicData>
                  </a:graphic>
                </wp:anchor>
              </w:drawing>
            </w:r>
          </w:p>
        </w:tc>
      </w:tr>
      <w:tr w14:paraId="750A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6" w:hRule="atLeast"/>
        </w:trPr>
        <w:tc>
          <w:tcPr>
            <w:tcW w:w="543" w:type="dxa"/>
            <w:shd w:val="clear" w:color="auto" w:fill="auto"/>
            <w:vAlign w:val="center"/>
          </w:tcPr>
          <w:p w14:paraId="2A720AE4">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27</w:t>
            </w:r>
          </w:p>
        </w:tc>
        <w:tc>
          <w:tcPr>
            <w:tcW w:w="1110" w:type="dxa"/>
            <w:shd w:val="clear" w:color="auto" w:fill="auto"/>
            <w:vAlign w:val="center"/>
          </w:tcPr>
          <w:p w14:paraId="2DBDAB9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颈椎牵引按摩器</w:t>
            </w:r>
          </w:p>
        </w:tc>
        <w:tc>
          <w:tcPr>
            <w:tcW w:w="4110" w:type="dxa"/>
            <w:shd w:val="clear" w:color="auto" w:fill="auto"/>
            <w:vAlign w:val="center"/>
          </w:tcPr>
          <w:p w14:paraId="3AA84BD3">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1.外形尺寸：100*107*200cm。</w:t>
            </w:r>
          </w:p>
          <w:p w14:paraId="165ABA14">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strike w:val="0"/>
                <w:dstrike w:val="0"/>
                <w:color w:val="000000" w:themeColor="text1"/>
                <w:kern w:val="0"/>
                <w:sz w:val="21"/>
                <w:szCs w:val="21"/>
                <w:highlight w:val="none"/>
                <w:u w:val="none"/>
                <w:lang w:val="en-US" w:eastAsia="zh-CN" w:bidi="ar"/>
                <w14:textFill>
                  <w14:solidFill>
                    <w14:schemeClr w14:val="tx1"/>
                  </w14:solidFill>
                </w14:textFill>
              </w:rPr>
              <w:t>2.</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配颈托一个,配4块重块,每块4磅,带扭腰盘,背部、足部起按摩作用, 颈椎牵引，腰部肌肉训练、背部、脚部按摩增进血液循环。</w:t>
            </w:r>
          </w:p>
        </w:tc>
        <w:tc>
          <w:tcPr>
            <w:tcW w:w="640" w:type="dxa"/>
            <w:shd w:val="clear" w:color="auto" w:fill="auto"/>
            <w:vAlign w:val="center"/>
          </w:tcPr>
          <w:p w14:paraId="7EC5321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台</w:t>
            </w:r>
          </w:p>
        </w:tc>
        <w:tc>
          <w:tcPr>
            <w:tcW w:w="936" w:type="dxa"/>
            <w:shd w:val="clear" w:color="auto" w:fill="auto"/>
            <w:vAlign w:val="center"/>
          </w:tcPr>
          <w:p w14:paraId="6138144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3ED36B31">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84864" behindDoc="0" locked="0" layoutInCell="1" allowOverlap="1">
                  <wp:simplePos x="0" y="0"/>
                  <wp:positionH relativeFrom="column">
                    <wp:posOffset>161925</wp:posOffset>
                  </wp:positionH>
                  <wp:positionV relativeFrom="paragraph">
                    <wp:posOffset>38100</wp:posOffset>
                  </wp:positionV>
                  <wp:extent cx="635000" cy="941705"/>
                  <wp:effectExtent l="0" t="0" r="12700" b="10795"/>
                  <wp:wrapNone/>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41"/>
                          <a:stretch>
                            <a:fillRect/>
                          </a:stretch>
                        </pic:blipFill>
                        <pic:spPr>
                          <a:xfrm>
                            <a:off x="0" y="0"/>
                            <a:ext cx="635000" cy="941705"/>
                          </a:xfrm>
                          <a:prstGeom prst="rect">
                            <a:avLst/>
                          </a:prstGeom>
                          <a:noFill/>
                          <a:ln>
                            <a:noFill/>
                          </a:ln>
                        </pic:spPr>
                      </pic:pic>
                    </a:graphicData>
                  </a:graphic>
                </wp:anchor>
              </w:drawing>
            </w:r>
          </w:p>
        </w:tc>
      </w:tr>
      <w:tr w14:paraId="7E1E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3D15EBE6">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28</w:t>
            </w:r>
          </w:p>
        </w:tc>
        <w:tc>
          <w:tcPr>
            <w:tcW w:w="1110" w:type="dxa"/>
            <w:shd w:val="clear" w:color="auto" w:fill="auto"/>
            <w:vAlign w:val="center"/>
          </w:tcPr>
          <w:p w14:paraId="4008B43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下肢功率车</w:t>
            </w:r>
          </w:p>
        </w:tc>
        <w:tc>
          <w:tcPr>
            <w:tcW w:w="4110" w:type="dxa"/>
            <w:shd w:val="clear" w:color="auto" w:fill="auto"/>
            <w:vAlign w:val="center"/>
          </w:tcPr>
          <w:p w14:paraId="0EA66027">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1.外形尺寸：长105㎝*宽49㎝*高123㎝。</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2.坐垫前后调节范围：0~23cm。</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3.阻尼调节档数：8档。</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4.双向内磁重量：6kg。</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5.座垫额定承载: 2000N。</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6.材质：主要采用优质钢材，ABS工程塑料，钢架静电喷涂。</w:t>
            </w:r>
          </w:p>
        </w:tc>
        <w:tc>
          <w:tcPr>
            <w:tcW w:w="640" w:type="dxa"/>
            <w:shd w:val="clear" w:color="auto" w:fill="auto"/>
            <w:vAlign w:val="center"/>
          </w:tcPr>
          <w:p w14:paraId="1C274E8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台</w:t>
            </w:r>
          </w:p>
        </w:tc>
        <w:tc>
          <w:tcPr>
            <w:tcW w:w="936" w:type="dxa"/>
            <w:shd w:val="clear" w:color="auto" w:fill="auto"/>
            <w:vAlign w:val="center"/>
          </w:tcPr>
          <w:p w14:paraId="7932EDE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4626C50A">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85888" behindDoc="0" locked="0" layoutInCell="1" allowOverlap="1">
                  <wp:simplePos x="0" y="0"/>
                  <wp:positionH relativeFrom="column">
                    <wp:posOffset>158115</wp:posOffset>
                  </wp:positionH>
                  <wp:positionV relativeFrom="paragraph">
                    <wp:posOffset>240665</wp:posOffset>
                  </wp:positionV>
                  <wp:extent cx="703580" cy="748030"/>
                  <wp:effectExtent l="0" t="0" r="1270" b="13970"/>
                  <wp:wrapNone/>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42"/>
                          <a:stretch>
                            <a:fillRect/>
                          </a:stretch>
                        </pic:blipFill>
                        <pic:spPr>
                          <a:xfrm>
                            <a:off x="0" y="0"/>
                            <a:ext cx="703580" cy="748030"/>
                          </a:xfrm>
                          <a:prstGeom prst="rect">
                            <a:avLst/>
                          </a:prstGeom>
                          <a:noFill/>
                          <a:ln>
                            <a:noFill/>
                          </a:ln>
                        </pic:spPr>
                      </pic:pic>
                    </a:graphicData>
                  </a:graphic>
                </wp:anchor>
              </w:drawing>
            </w:r>
          </w:p>
        </w:tc>
      </w:tr>
      <w:tr w14:paraId="6965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147F98FF">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29</w:t>
            </w:r>
          </w:p>
        </w:tc>
        <w:tc>
          <w:tcPr>
            <w:tcW w:w="1110" w:type="dxa"/>
            <w:shd w:val="clear" w:color="auto" w:fill="auto"/>
            <w:vAlign w:val="center"/>
          </w:tcPr>
          <w:p w14:paraId="1E02D72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适老轮椅</w:t>
            </w:r>
          </w:p>
        </w:tc>
        <w:tc>
          <w:tcPr>
            <w:tcW w:w="4110" w:type="dxa"/>
            <w:shd w:val="clear" w:color="auto" w:fill="auto"/>
            <w:vAlign w:val="center"/>
          </w:tcPr>
          <w:p w14:paraId="5161BC14">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1.尺寸：展开83*51*87㎝，折叠51*28*72㎝。</w:t>
            </w:r>
            <w:r>
              <w:rPr>
                <w:rFonts w:hint="eastAsia" w:ascii="仿宋" w:hAnsi="仿宋" w:eastAsia="仿宋" w:cs="仿宋"/>
                <w:color w:val="000000" w:themeColor="text1"/>
                <w:kern w:val="0"/>
                <w:szCs w:val="21"/>
                <w:lang w:bidi="ar"/>
                <w14:textFill>
                  <w14:solidFill>
                    <w14:schemeClr w14:val="tx1"/>
                  </w14:solidFill>
                </w14:textFill>
              </w:rPr>
              <w:t>（±</w:t>
            </w:r>
            <w:r>
              <w:rPr>
                <w:rFonts w:hint="eastAsia" w:ascii="仿宋" w:hAnsi="仿宋" w:eastAsia="仿宋" w:cs="仿宋"/>
                <w:color w:val="000000" w:themeColor="text1"/>
                <w:kern w:val="0"/>
                <w:szCs w:val="21"/>
                <w:lang w:val="en-US" w:eastAsia="zh-CN" w:bidi="ar"/>
                <w14:textFill>
                  <w14:solidFill>
                    <w14:schemeClr w14:val="tx1"/>
                  </w14:solidFill>
                </w14:textFill>
              </w:rPr>
              <w:t>5</w:t>
            </w:r>
            <w:r>
              <w:rPr>
                <w:rFonts w:hint="eastAsia" w:ascii="仿宋" w:hAnsi="仿宋" w:eastAsia="仿宋" w:cs="仿宋"/>
                <w:color w:val="000000" w:themeColor="text1"/>
                <w:kern w:val="0"/>
                <w:szCs w:val="21"/>
                <w:lang w:bidi="ar"/>
                <w14:textFill>
                  <w14:solidFill>
                    <w14:schemeClr w14:val="tx1"/>
                  </w14:solidFill>
                </w14:textFill>
              </w:rPr>
              <w:t>cm)</w:t>
            </w:r>
          </w:p>
          <w:p w14:paraId="48D8E1EA">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2.座宽：40㎝。</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3.车架材质:碳钢。</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4.加密牛津布坐垫，坐垫不可拆洗。</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5.英寸PVC万向前轮，英寸PVC后轮。</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6.折叠后可站立。</w:t>
            </w:r>
          </w:p>
        </w:tc>
        <w:tc>
          <w:tcPr>
            <w:tcW w:w="640" w:type="dxa"/>
            <w:shd w:val="clear" w:color="auto" w:fill="auto"/>
            <w:vAlign w:val="center"/>
          </w:tcPr>
          <w:p w14:paraId="0003B2A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把</w:t>
            </w:r>
          </w:p>
        </w:tc>
        <w:tc>
          <w:tcPr>
            <w:tcW w:w="936" w:type="dxa"/>
            <w:shd w:val="clear" w:color="auto" w:fill="auto"/>
            <w:vAlign w:val="center"/>
          </w:tcPr>
          <w:p w14:paraId="60D9847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11824157">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86912" behindDoc="0" locked="0" layoutInCell="1" allowOverlap="1">
                  <wp:simplePos x="0" y="0"/>
                  <wp:positionH relativeFrom="column">
                    <wp:posOffset>104140</wp:posOffset>
                  </wp:positionH>
                  <wp:positionV relativeFrom="paragraph">
                    <wp:posOffset>71755</wp:posOffset>
                  </wp:positionV>
                  <wp:extent cx="800100" cy="774700"/>
                  <wp:effectExtent l="0" t="0" r="0" b="6350"/>
                  <wp:wrapNone/>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43"/>
                          <a:stretch>
                            <a:fillRect/>
                          </a:stretch>
                        </pic:blipFill>
                        <pic:spPr>
                          <a:xfrm>
                            <a:off x="0" y="0"/>
                            <a:ext cx="800100" cy="774700"/>
                          </a:xfrm>
                          <a:prstGeom prst="rect">
                            <a:avLst/>
                          </a:prstGeom>
                          <a:noFill/>
                          <a:ln>
                            <a:noFill/>
                          </a:ln>
                        </pic:spPr>
                      </pic:pic>
                    </a:graphicData>
                  </a:graphic>
                </wp:anchor>
              </w:drawing>
            </w:r>
          </w:p>
        </w:tc>
      </w:tr>
      <w:tr w14:paraId="150E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79" w:hRule="atLeast"/>
        </w:trPr>
        <w:tc>
          <w:tcPr>
            <w:tcW w:w="543" w:type="dxa"/>
            <w:shd w:val="clear" w:color="auto" w:fill="auto"/>
            <w:vAlign w:val="center"/>
          </w:tcPr>
          <w:p w14:paraId="6B71A8F1">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30</w:t>
            </w:r>
          </w:p>
        </w:tc>
        <w:tc>
          <w:tcPr>
            <w:tcW w:w="1110" w:type="dxa"/>
            <w:shd w:val="clear" w:color="auto" w:fill="auto"/>
            <w:vAlign w:val="center"/>
          </w:tcPr>
          <w:p w14:paraId="03B4B31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拐杖</w:t>
            </w:r>
          </w:p>
        </w:tc>
        <w:tc>
          <w:tcPr>
            <w:tcW w:w="4110" w:type="dxa"/>
            <w:shd w:val="clear" w:color="auto" w:fill="auto"/>
            <w:vAlign w:val="center"/>
          </w:tcPr>
          <w:p w14:paraId="1D80A432">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1.尺寸：15.7*（74~97）cm。</w:t>
            </w:r>
          </w:p>
          <w:p w14:paraId="56E679C9">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2.材质：铝合金+塑胶适。</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3.灯头45°可调节。</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4.适合使用身高145~190cm 。</w:t>
            </w:r>
          </w:p>
        </w:tc>
        <w:tc>
          <w:tcPr>
            <w:tcW w:w="640" w:type="dxa"/>
            <w:shd w:val="clear" w:color="auto" w:fill="auto"/>
            <w:vAlign w:val="center"/>
          </w:tcPr>
          <w:p w14:paraId="3748340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个</w:t>
            </w:r>
          </w:p>
        </w:tc>
        <w:tc>
          <w:tcPr>
            <w:tcW w:w="936" w:type="dxa"/>
            <w:shd w:val="clear" w:color="auto" w:fill="auto"/>
            <w:vAlign w:val="center"/>
          </w:tcPr>
          <w:p w14:paraId="38CCBA55">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0D5B90DE">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87936" behindDoc="0" locked="0" layoutInCell="1" allowOverlap="1">
                  <wp:simplePos x="0" y="0"/>
                  <wp:positionH relativeFrom="column">
                    <wp:posOffset>168275</wp:posOffset>
                  </wp:positionH>
                  <wp:positionV relativeFrom="paragraph">
                    <wp:posOffset>51435</wp:posOffset>
                  </wp:positionV>
                  <wp:extent cx="684530" cy="721995"/>
                  <wp:effectExtent l="0" t="0" r="1270" b="1905"/>
                  <wp:wrapNone/>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44"/>
                          <a:stretch>
                            <a:fillRect/>
                          </a:stretch>
                        </pic:blipFill>
                        <pic:spPr>
                          <a:xfrm>
                            <a:off x="0" y="0"/>
                            <a:ext cx="684530" cy="721995"/>
                          </a:xfrm>
                          <a:prstGeom prst="rect">
                            <a:avLst/>
                          </a:prstGeom>
                          <a:noFill/>
                          <a:ln>
                            <a:noFill/>
                          </a:ln>
                        </pic:spPr>
                      </pic:pic>
                    </a:graphicData>
                  </a:graphic>
                </wp:anchor>
              </w:drawing>
            </w:r>
          </w:p>
        </w:tc>
      </w:tr>
      <w:tr w14:paraId="06115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2F9DCB43">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31</w:t>
            </w:r>
          </w:p>
        </w:tc>
        <w:tc>
          <w:tcPr>
            <w:tcW w:w="1110" w:type="dxa"/>
            <w:shd w:val="clear" w:color="auto" w:fill="auto"/>
            <w:vAlign w:val="center"/>
          </w:tcPr>
          <w:p w14:paraId="1D5F713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双阶助行器</w:t>
            </w:r>
          </w:p>
        </w:tc>
        <w:tc>
          <w:tcPr>
            <w:tcW w:w="4110" w:type="dxa"/>
            <w:shd w:val="clear" w:color="auto" w:fill="auto"/>
            <w:vAlign w:val="center"/>
          </w:tcPr>
          <w:p w14:paraId="12D38852">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1.尺寸：长49CM：宽52CM；高74～92CM；折叠后尺寸：52*10*（74-92）CM，承重：大于等于100KG；</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 以GB/T 14728.1-2006《双臂操作助行器要求和试验方法 第1部分：框式助行架》国家标准作为设计生产执行标准，其结构特点如下：</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2.1）主架：采用6061F高强度加粗铝合金材质，管直径大于等于25.4mm，厚度大于等于1.2MM，表面采用阳极氧化处理，可折叠式结构，不占空间。脚管管直径大于等于28.6mm，厚度大于等于1.2mm，前杆加宽加厚设计；主架高度8档可调，交互式和固定式两种使用方式，通过弹珠实现一键式的切换和折叠。</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2.2）握把：采用PVC软质握把，表面有花纹防滑性好，手感舒适，不吸汗，使用时间寿命长；采用上下两级扶手设计，增加了辅助起身的功能。</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2.3）垫材质为耐用，耐磨，有弹性，表面摩擦系数较高的防滑橡胶材料。</w:t>
            </w:r>
          </w:p>
        </w:tc>
        <w:tc>
          <w:tcPr>
            <w:tcW w:w="640" w:type="dxa"/>
            <w:shd w:val="clear" w:color="auto" w:fill="auto"/>
            <w:vAlign w:val="center"/>
          </w:tcPr>
          <w:p w14:paraId="0EC5DD4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个</w:t>
            </w:r>
          </w:p>
        </w:tc>
        <w:tc>
          <w:tcPr>
            <w:tcW w:w="936" w:type="dxa"/>
            <w:shd w:val="clear" w:color="auto" w:fill="auto"/>
            <w:vAlign w:val="center"/>
          </w:tcPr>
          <w:p w14:paraId="46CA3C2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64E4B3A6">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88960" behindDoc="0" locked="0" layoutInCell="1" allowOverlap="1">
                  <wp:simplePos x="0" y="0"/>
                  <wp:positionH relativeFrom="column">
                    <wp:posOffset>-9525</wp:posOffset>
                  </wp:positionH>
                  <wp:positionV relativeFrom="paragraph">
                    <wp:posOffset>195580</wp:posOffset>
                  </wp:positionV>
                  <wp:extent cx="946785" cy="951230"/>
                  <wp:effectExtent l="0" t="0" r="5715" b="1270"/>
                  <wp:wrapNone/>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45"/>
                          <a:stretch>
                            <a:fillRect/>
                          </a:stretch>
                        </pic:blipFill>
                        <pic:spPr>
                          <a:xfrm>
                            <a:off x="0" y="0"/>
                            <a:ext cx="946785" cy="951230"/>
                          </a:xfrm>
                          <a:prstGeom prst="rect">
                            <a:avLst/>
                          </a:prstGeom>
                          <a:noFill/>
                          <a:ln>
                            <a:noFill/>
                          </a:ln>
                        </pic:spPr>
                      </pic:pic>
                    </a:graphicData>
                  </a:graphic>
                </wp:anchor>
              </w:drawing>
            </w:r>
          </w:p>
        </w:tc>
      </w:tr>
      <w:tr w14:paraId="7646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trPr>
        <w:tc>
          <w:tcPr>
            <w:tcW w:w="543" w:type="dxa"/>
            <w:shd w:val="clear" w:color="auto" w:fill="auto"/>
            <w:vAlign w:val="center"/>
          </w:tcPr>
          <w:p w14:paraId="5FD659A9">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32</w:t>
            </w:r>
          </w:p>
        </w:tc>
        <w:tc>
          <w:tcPr>
            <w:tcW w:w="1110" w:type="dxa"/>
            <w:shd w:val="clear" w:color="auto" w:fill="auto"/>
            <w:vAlign w:val="center"/>
          </w:tcPr>
          <w:p w14:paraId="1787F3B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血压仪</w:t>
            </w:r>
          </w:p>
        </w:tc>
        <w:tc>
          <w:tcPr>
            <w:tcW w:w="4110" w:type="dxa"/>
            <w:shd w:val="clear" w:color="auto" w:fill="auto"/>
            <w:vAlign w:val="center"/>
          </w:tcPr>
          <w:p w14:paraId="23CDEF74">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1.血压仪器种类臂筒式电子血压计款式，适用人：成人。</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2.疾病高血压症状。</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3.臂筒式电子血压计。</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4.电池+电源+保修至少2年。</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5.带筒样式可动式臂筒。</w:t>
            </w:r>
          </w:p>
        </w:tc>
        <w:tc>
          <w:tcPr>
            <w:tcW w:w="640" w:type="dxa"/>
            <w:shd w:val="clear" w:color="auto" w:fill="auto"/>
            <w:vAlign w:val="center"/>
          </w:tcPr>
          <w:p w14:paraId="65891DD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台</w:t>
            </w:r>
          </w:p>
        </w:tc>
        <w:tc>
          <w:tcPr>
            <w:tcW w:w="936" w:type="dxa"/>
            <w:shd w:val="clear" w:color="auto" w:fill="auto"/>
            <w:vAlign w:val="center"/>
          </w:tcPr>
          <w:p w14:paraId="4F0F7E1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w:t>
            </w:r>
          </w:p>
        </w:tc>
        <w:tc>
          <w:tcPr>
            <w:tcW w:w="1835" w:type="dxa"/>
            <w:shd w:val="clear" w:color="auto" w:fill="auto"/>
          </w:tcPr>
          <w:p w14:paraId="5313BBC0">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89984" behindDoc="0" locked="0" layoutInCell="1" allowOverlap="1">
                  <wp:simplePos x="0" y="0"/>
                  <wp:positionH relativeFrom="column">
                    <wp:posOffset>59690</wp:posOffset>
                  </wp:positionH>
                  <wp:positionV relativeFrom="paragraph">
                    <wp:posOffset>119380</wp:posOffset>
                  </wp:positionV>
                  <wp:extent cx="911860" cy="930275"/>
                  <wp:effectExtent l="0" t="0" r="2540" b="3175"/>
                  <wp:wrapNone/>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46"/>
                          <a:stretch>
                            <a:fillRect/>
                          </a:stretch>
                        </pic:blipFill>
                        <pic:spPr>
                          <a:xfrm>
                            <a:off x="0" y="0"/>
                            <a:ext cx="911860" cy="930275"/>
                          </a:xfrm>
                          <a:prstGeom prst="rect">
                            <a:avLst/>
                          </a:prstGeom>
                          <a:noFill/>
                          <a:ln>
                            <a:noFill/>
                          </a:ln>
                        </pic:spPr>
                      </pic:pic>
                    </a:graphicData>
                  </a:graphic>
                </wp:anchor>
              </w:drawing>
            </w:r>
          </w:p>
        </w:tc>
      </w:tr>
      <w:tr w14:paraId="6EAE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19050C9E">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33</w:t>
            </w:r>
          </w:p>
        </w:tc>
        <w:tc>
          <w:tcPr>
            <w:tcW w:w="1110" w:type="dxa"/>
            <w:shd w:val="clear" w:color="auto" w:fill="auto"/>
            <w:vAlign w:val="center"/>
          </w:tcPr>
          <w:p w14:paraId="3D87BE8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饮水机</w:t>
            </w:r>
          </w:p>
        </w:tc>
        <w:tc>
          <w:tcPr>
            <w:tcW w:w="4110" w:type="dxa"/>
            <w:shd w:val="clear" w:color="auto" w:fill="auto"/>
            <w:vAlign w:val="center"/>
          </w:tcPr>
          <w:p w14:paraId="097DA015">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一、基础参数</w:t>
            </w:r>
          </w:p>
          <w:p w14:paraId="2CC4B67D">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1.步进式开水器水胆容量：≥30L。</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2.电源功率：220V/3KW。</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3.外型尺寸：600×460×1760mm(±1%)。</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4.出水咀：两开水或一开一直饮。</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5.供水量：开水90L/H、直饮水60L/H。</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6.出水方式：光感触摸按钮取水。</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二、功能要求：</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7.蒸汽热能回收技术：特设蒸汽热能回收装置，即蒸汽经热能交换器冷却，被凝成水，其汽化的热能被自来水吸收，并加热进水，使进水温度快速提升。</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8.材质：箱体不锈钢黑钛板双色搭配，厚度≧0.6mm；内胆（六面加厚50mm新型阻燃保温层）、水槽材质为304不锈钢板，厚度≧1.0mm。</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9.过滤要求：RO400 + 6G压力桶，第1级：PP棉滤芯。第2级：颗粒活性炭滤芯。第3级：压缩活性炭棒滤芯。第4级：反渗透RO膜。第5级：后置活性炭滤芯。</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10.出水水质：符合《生活饮用水水质处理器卫生安全与功能评价规范一反渗渗处理装置》（2001）的要求。</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11.水电分离：电气部份须设有独立的电控箱，电控箱材质为ABS工程塑料制作，模具注塑成型，电控箱置于箱体左侧面，且在外部通过工具可拆开检修。</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12.安全配置：有连续出水保护功能；防漏电、防干烧、防超温、防蒸气烫伤等全面防护；主电路带有防爆电路装置，箱体转角处采用人性化圆弧设计，防止不小心撞伤，安全可靠。</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13.防触电类型I类。</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14.涉水部件波纹管、电磁阀、加热管、水龙头、出水嘴、内胆符合《食品安全国家标准 食品接触用金属材料及制品》GB 4806.9-2016标准。</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15.智能技术：采用微电脑智能控制系统，横式液晶显示，带有时间、温度、进水状态、可饮用状态显示、滤芯显示、具有定时开关机功能等一体化控制功能，带遥控功能；开水出水水温可在35℃—85℃范围内任意选择；采用步进式加热技术，逐层加热逐层补水，进水时具有水电联动控制。</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16.排水配置：排水漏斗下水口连接的排水管须为 PVC一体成型可伸缩调节环保健康给水管，无法轻易取下或脱落，确保排水系统耐高温不漏水、不易损坏、防蒸汽泄漏箱体。</w:t>
            </w:r>
          </w:p>
          <w:p w14:paraId="4D8DCE6B">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17.进出水电磁阀须采用12V低压电磁阀控制。</w:t>
            </w:r>
          </w:p>
        </w:tc>
        <w:tc>
          <w:tcPr>
            <w:tcW w:w="640" w:type="dxa"/>
            <w:shd w:val="clear" w:color="auto" w:fill="auto"/>
            <w:vAlign w:val="center"/>
          </w:tcPr>
          <w:p w14:paraId="0D41137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台</w:t>
            </w:r>
          </w:p>
        </w:tc>
        <w:tc>
          <w:tcPr>
            <w:tcW w:w="936" w:type="dxa"/>
            <w:shd w:val="clear" w:color="auto" w:fill="auto"/>
            <w:vAlign w:val="center"/>
          </w:tcPr>
          <w:p w14:paraId="35EA835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521D72F6">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91008" behindDoc="0" locked="0" layoutInCell="1" allowOverlap="1">
                  <wp:simplePos x="0" y="0"/>
                  <wp:positionH relativeFrom="column">
                    <wp:posOffset>76200</wp:posOffset>
                  </wp:positionH>
                  <wp:positionV relativeFrom="paragraph">
                    <wp:posOffset>2865755</wp:posOffset>
                  </wp:positionV>
                  <wp:extent cx="908050" cy="1584325"/>
                  <wp:effectExtent l="0" t="0" r="6350" b="15875"/>
                  <wp:wrapNone/>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47"/>
                          <a:stretch>
                            <a:fillRect/>
                          </a:stretch>
                        </pic:blipFill>
                        <pic:spPr>
                          <a:xfrm>
                            <a:off x="0" y="0"/>
                            <a:ext cx="908050" cy="1584325"/>
                          </a:xfrm>
                          <a:prstGeom prst="rect">
                            <a:avLst/>
                          </a:prstGeom>
                          <a:noFill/>
                          <a:ln>
                            <a:noFill/>
                          </a:ln>
                        </pic:spPr>
                      </pic:pic>
                    </a:graphicData>
                  </a:graphic>
                </wp:anchor>
              </w:drawing>
            </w:r>
          </w:p>
        </w:tc>
      </w:tr>
      <w:tr w14:paraId="145B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73" w:hRule="atLeast"/>
        </w:trPr>
        <w:tc>
          <w:tcPr>
            <w:tcW w:w="543" w:type="dxa"/>
            <w:shd w:val="clear" w:color="auto" w:fill="auto"/>
            <w:vAlign w:val="center"/>
          </w:tcPr>
          <w:p w14:paraId="6676D9D3">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34</w:t>
            </w:r>
          </w:p>
        </w:tc>
        <w:tc>
          <w:tcPr>
            <w:tcW w:w="1110" w:type="dxa"/>
            <w:shd w:val="clear" w:color="auto" w:fill="auto"/>
            <w:vAlign w:val="center"/>
          </w:tcPr>
          <w:p w14:paraId="5DD4A74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等待沙发</w:t>
            </w:r>
          </w:p>
        </w:tc>
        <w:tc>
          <w:tcPr>
            <w:tcW w:w="4110" w:type="dxa"/>
            <w:shd w:val="clear" w:color="auto" w:fill="auto"/>
            <w:vAlign w:val="center"/>
          </w:tcPr>
          <w:p w14:paraId="2F9AEE5E">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1.尺寸：长1180mm*宽530mm*高450mm。</w:t>
            </w:r>
          </w:p>
          <w:p w14:paraId="1CE1D3A0">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2.材质：优质加厚耐磨西皮+高泡海绵。</w:t>
            </w:r>
          </w:p>
        </w:tc>
        <w:tc>
          <w:tcPr>
            <w:tcW w:w="640" w:type="dxa"/>
            <w:shd w:val="clear" w:color="auto" w:fill="auto"/>
            <w:vAlign w:val="center"/>
          </w:tcPr>
          <w:p w14:paraId="12AE12C7">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张</w:t>
            </w:r>
          </w:p>
        </w:tc>
        <w:tc>
          <w:tcPr>
            <w:tcW w:w="936" w:type="dxa"/>
            <w:shd w:val="clear" w:color="auto" w:fill="auto"/>
            <w:vAlign w:val="center"/>
          </w:tcPr>
          <w:p w14:paraId="72E8F96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8</w:t>
            </w:r>
          </w:p>
        </w:tc>
        <w:tc>
          <w:tcPr>
            <w:tcW w:w="1835" w:type="dxa"/>
            <w:shd w:val="clear" w:color="auto" w:fill="auto"/>
          </w:tcPr>
          <w:p w14:paraId="1E2DCE1F">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93056" behindDoc="0" locked="0" layoutInCell="1" allowOverlap="1">
                  <wp:simplePos x="0" y="0"/>
                  <wp:positionH relativeFrom="column">
                    <wp:posOffset>106045</wp:posOffset>
                  </wp:positionH>
                  <wp:positionV relativeFrom="paragraph">
                    <wp:posOffset>34925</wp:posOffset>
                  </wp:positionV>
                  <wp:extent cx="764540" cy="669290"/>
                  <wp:effectExtent l="0" t="0" r="16510" b="16510"/>
                  <wp:wrapNone/>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48"/>
                          <a:stretch>
                            <a:fillRect/>
                          </a:stretch>
                        </pic:blipFill>
                        <pic:spPr>
                          <a:xfrm>
                            <a:off x="0" y="0"/>
                            <a:ext cx="764540" cy="669290"/>
                          </a:xfrm>
                          <a:prstGeom prst="rect">
                            <a:avLst/>
                          </a:prstGeom>
                          <a:noFill/>
                          <a:ln>
                            <a:noFill/>
                          </a:ln>
                        </pic:spPr>
                      </pic:pic>
                    </a:graphicData>
                  </a:graphic>
                </wp:anchor>
              </w:drawing>
            </w:r>
          </w:p>
        </w:tc>
      </w:tr>
      <w:tr w14:paraId="2F80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4739E110">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35</w:t>
            </w:r>
          </w:p>
        </w:tc>
        <w:tc>
          <w:tcPr>
            <w:tcW w:w="1110" w:type="dxa"/>
            <w:shd w:val="clear" w:color="auto" w:fill="auto"/>
            <w:vAlign w:val="center"/>
          </w:tcPr>
          <w:p w14:paraId="4C65BC6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舞蹈杆子</w:t>
            </w:r>
          </w:p>
        </w:tc>
        <w:tc>
          <w:tcPr>
            <w:tcW w:w="4110" w:type="dxa"/>
            <w:shd w:val="clear" w:color="auto" w:fill="auto"/>
            <w:vAlign w:val="center"/>
          </w:tcPr>
          <w:p w14:paraId="1644233C">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1.室内壁挂式。高度80cm宽度80cm</w:t>
            </w:r>
          </w:p>
          <w:p w14:paraId="7F5B2CB8">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2.单双层体操把杆、压腿训练松木杆、舞蹈压腿练习杆。</w:t>
            </w:r>
          </w:p>
          <w:p w14:paraId="09782CDB">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3.材质：水曲木材质的舞蹈把杆带有弹性，适用于儿童和成年人，能够减少金属辐射带来的伤害，避免粘肉和凉感。内嵌的优质锰钢使得把杆具有适中的弹性，底座支架为电镀钢管，防锈耐用。</w:t>
            </w:r>
          </w:p>
        </w:tc>
        <w:tc>
          <w:tcPr>
            <w:tcW w:w="640" w:type="dxa"/>
            <w:shd w:val="clear" w:color="auto" w:fill="auto"/>
            <w:vAlign w:val="center"/>
          </w:tcPr>
          <w:p w14:paraId="00F2B09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米</w:t>
            </w:r>
          </w:p>
        </w:tc>
        <w:tc>
          <w:tcPr>
            <w:tcW w:w="936" w:type="dxa"/>
            <w:shd w:val="clear" w:color="auto" w:fill="auto"/>
            <w:vAlign w:val="center"/>
          </w:tcPr>
          <w:p w14:paraId="2BE7E84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15</w:t>
            </w:r>
          </w:p>
        </w:tc>
        <w:tc>
          <w:tcPr>
            <w:tcW w:w="1835" w:type="dxa"/>
            <w:shd w:val="clear" w:color="auto" w:fill="auto"/>
          </w:tcPr>
          <w:p w14:paraId="195E9CA2">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92032" behindDoc="0" locked="0" layoutInCell="1" allowOverlap="1">
                  <wp:simplePos x="0" y="0"/>
                  <wp:positionH relativeFrom="column">
                    <wp:posOffset>110490</wp:posOffset>
                  </wp:positionH>
                  <wp:positionV relativeFrom="paragraph">
                    <wp:posOffset>178435</wp:posOffset>
                  </wp:positionV>
                  <wp:extent cx="860425" cy="350520"/>
                  <wp:effectExtent l="0" t="0" r="15875" b="11430"/>
                  <wp:wrapNone/>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49"/>
                          <a:stretch>
                            <a:fillRect/>
                          </a:stretch>
                        </pic:blipFill>
                        <pic:spPr>
                          <a:xfrm>
                            <a:off x="0" y="0"/>
                            <a:ext cx="860425" cy="350520"/>
                          </a:xfrm>
                          <a:prstGeom prst="rect">
                            <a:avLst/>
                          </a:prstGeom>
                          <a:noFill/>
                          <a:ln>
                            <a:noFill/>
                          </a:ln>
                        </pic:spPr>
                      </pic:pic>
                    </a:graphicData>
                  </a:graphic>
                </wp:anchor>
              </w:drawing>
            </w:r>
          </w:p>
        </w:tc>
      </w:tr>
      <w:tr w14:paraId="0A73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7B647806">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36</w:t>
            </w:r>
          </w:p>
        </w:tc>
        <w:tc>
          <w:tcPr>
            <w:tcW w:w="1110" w:type="dxa"/>
            <w:shd w:val="clear" w:color="auto" w:fill="auto"/>
            <w:vAlign w:val="center"/>
          </w:tcPr>
          <w:p w14:paraId="29DF4F8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适老化换鞋凳</w:t>
            </w:r>
          </w:p>
        </w:tc>
        <w:tc>
          <w:tcPr>
            <w:tcW w:w="4110" w:type="dxa"/>
            <w:shd w:val="clear" w:color="auto" w:fill="auto"/>
            <w:vAlign w:val="center"/>
          </w:tcPr>
          <w:p w14:paraId="7AB566E4">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1.尺寸：长60宽30高60（cm）。</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2.油实木框架：采用橡胶木，木质细腻、硬度高，具有较良好的总体强度性能，良好的抗震力。</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3.坐垫：仿布纹科技皮软包，高回弹性海绵。4.漆：成品纹理清晰、表层饱满、光泽润亮。涂装要求无桔皮、发白、流挂、泪油现象。结实耐用，耐磨损，耐腐蚀。</w:t>
            </w:r>
          </w:p>
        </w:tc>
        <w:tc>
          <w:tcPr>
            <w:tcW w:w="640" w:type="dxa"/>
            <w:shd w:val="clear" w:color="auto" w:fill="auto"/>
            <w:vAlign w:val="center"/>
          </w:tcPr>
          <w:p w14:paraId="36D97234">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个</w:t>
            </w:r>
          </w:p>
        </w:tc>
        <w:tc>
          <w:tcPr>
            <w:tcW w:w="936" w:type="dxa"/>
            <w:shd w:val="clear" w:color="auto" w:fill="auto"/>
            <w:vAlign w:val="center"/>
          </w:tcPr>
          <w:p w14:paraId="059DCA0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w:t>
            </w:r>
          </w:p>
        </w:tc>
        <w:tc>
          <w:tcPr>
            <w:tcW w:w="1835" w:type="dxa"/>
            <w:shd w:val="clear" w:color="auto" w:fill="auto"/>
          </w:tcPr>
          <w:p w14:paraId="3BDAA8E3">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94080" behindDoc="0" locked="0" layoutInCell="1" allowOverlap="1">
                  <wp:simplePos x="0" y="0"/>
                  <wp:positionH relativeFrom="column">
                    <wp:posOffset>46355</wp:posOffset>
                  </wp:positionH>
                  <wp:positionV relativeFrom="paragraph">
                    <wp:posOffset>317500</wp:posOffset>
                  </wp:positionV>
                  <wp:extent cx="866775" cy="768350"/>
                  <wp:effectExtent l="0" t="0" r="9525" b="12700"/>
                  <wp:wrapNone/>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pic:cNvPicPr>
                        </pic:nvPicPr>
                        <pic:blipFill>
                          <a:blip r:embed="rId50"/>
                          <a:stretch>
                            <a:fillRect/>
                          </a:stretch>
                        </pic:blipFill>
                        <pic:spPr>
                          <a:xfrm>
                            <a:off x="0" y="0"/>
                            <a:ext cx="866775" cy="768350"/>
                          </a:xfrm>
                          <a:prstGeom prst="rect">
                            <a:avLst/>
                          </a:prstGeom>
                          <a:noFill/>
                          <a:ln>
                            <a:noFill/>
                          </a:ln>
                        </pic:spPr>
                      </pic:pic>
                    </a:graphicData>
                  </a:graphic>
                </wp:anchor>
              </w:drawing>
            </w:r>
          </w:p>
        </w:tc>
      </w:tr>
      <w:tr w14:paraId="3241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60" w:hRule="atLeast"/>
        </w:trPr>
        <w:tc>
          <w:tcPr>
            <w:tcW w:w="543" w:type="dxa"/>
            <w:shd w:val="clear" w:color="auto" w:fill="auto"/>
            <w:vAlign w:val="center"/>
          </w:tcPr>
          <w:p w14:paraId="6DC0F93B">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37</w:t>
            </w:r>
          </w:p>
        </w:tc>
        <w:tc>
          <w:tcPr>
            <w:tcW w:w="1110" w:type="dxa"/>
            <w:shd w:val="clear" w:color="auto" w:fill="auto"/>
            <w:vAlign w:val="center"/>
          </w:tcPr>
          <w:p w14:paraId="6A099E8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瑜伽垫</w:t>
            </w:r>
          </w:p>
        </w:tc>
        <w:tc>
          <w:tcPr>
            <w:tcW w:w="4110" w:type="dxa"/>
            <w:shd w:val="clear" w:color="auto" w:fill="auto"/>
            <w:vAlign w:val="center"/>
          </w:tcPr>
          <w:p w14:paraId="7ADEEA62">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‌1.材质‌：天然橡胶/PU。</w:t>
            </w:r>
          </w:p>
          <w:p w14:paraId="093B953A">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2.尺寸73cm‌，厚度8mm。</w:t>
            </w:r>
          </w:p>
          <w:p w14:paraId="48339CCD">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3.提供缓冲和保护，适合需要高弹性且柔软的人群。‌</w:t>
            </w:r>
          </w:p>
        </w:tc>
        <w:tc>
          <w:tcPr>
            <w:tcW w:w="640" w:type="dxa"/>
            <w:shd w:val="clear" w:color="auto" w:fill="auto"/>
            <w:vAlign w:val="center"/>
          </w:tcPr>
          <w:p w14:paraId="6180386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个</w:t>
            </w:r>
          </w:p>
        </w:tc>
        <w:tc>
          <w:tcPr>
            <w:tcW w:w="936" w:type="dxa"/>
            <w:shd w:val="clear" w:color="auto" w:fill="auto"/>
            <w:vAlign w:val="center"/>
          </w:tcPr>
          <w:p w14:paraId="794D1D6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16</w:t>
            </w:r>
          </w:p>
        </w:tc>
        <w:tc>
          <w:tcPr>
            <w:tcW w:w="1835" w:type="dxa"/>
            <w:shd w:val="clear" w:color="auto" w:fill="auto"/>
          </w:tcPr>
          <w:p w14:paraId="43D5BD50">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95104" behindDoc="0" locked="0" layoutInCell="1" allowOverlap="1">
                  <wp:simplePos x="0" y="0"/>
                  <wp:positionH relativeFrom="column">
                    <wp:posOffset>56515</wp:posOffset>
                  </wp:positionH>
                  <wp:positionV relativeFrom="paragraph">
                    <wp:posOffset>27940</wp:posOffset>
                  </wp:positionV>
                  <wp:extent cx="894715" cy="654685"/>
                  <wp:effectExtent l="0" t="0" r="635" b="12065"/>
                  <wp:wrapNone/>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pic:cNvPicPr>
                        </pic:nvPicPr>
                        <pic:blipFill>
                          <a:blip r:embed="rId51"/>
                          <a:stretch>
                            <a:fillRect/>
                          </a:stretch>
                        </pic:blipFill>
                        <pic:spPr>
                          <a:xfrm>
                            <a:off x="0" y="0"/>
                            <a:ext cx="894715" cy="654685"/>
                          </a:xfrm>
                          <a:prstGeom prst="rect">
                            <a:avLst/>
                          </a:prstGeom>
                          <a:noFill/>
                          <a:ln>
                            <a:noFill/>
                          </a:ln>
                        </pic:spPr>
                      </pic:pic>
                    </a:graphicData>
                  </a:graphic>
                </wp:anchor>
              </w:drawing>
            </w:r>
          </w:p>
        </w:tc>
      </w:tr>
      <w:tr w14:paraId="0CE5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0A35121A">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38</w:t>
            </w:r>
          </w:p>
        </w:tc>
        <w:tc>
          <w:tcPr>
            <w:tcW w:w="1110" w:type="dxa"/>
            <w:shd w:val="clear" w:color="auto" w:fill="auto"/>
            <w:vAlign w:val="center"/>
          </w:tcPr>
          <w:p w14:paraId="26FDE89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舞蹈房专业音响</w:t>
            </w:r>
          </w:p>
        </w:tc>
        <w:tc>
          <w:tcPr>
            <w:tcW w:w="4110" w:type="dxa"/>
            <w:shd w:val="clear" w:color="auto" w:fill="auto"/>
            <w:vAlign w:val="center"/>
          </w:tcPr>
          <w:p w14:paraId="51F5DB09">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1.10英寸轻量化大功率、长冲程Ferrite低音驱动单元。</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2.2*3寸纸盆高音单元。</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3.90°*90°覆盖角设计，具有均匀且平滑的轴向和偏轴向的响应；使声音的音场更为开阔、结像清晰，可以真实再现音乐现场的效果</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4.分频器具有高频保护电路；精确设计的分频器优化了频率响应，提升了中频人声表现力。</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5.箱体采用12 mm优质中密度纤维板，强度高、密度大，可以有效的减少箱体谐振。</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6.箱体表面采用环保水性漆，防滑、耐磨。7.采用钢质防护网，内衬专业声学透声网。</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8.专业多功能吊装方式：多点M8 螺丝吊装孔位；音箱底部Φ35mm支撑座。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9.可配专业吊挂支架，方便音箱多角度旋转。</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10.专业四芯接插。</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11.额定/峰值功率：100W/400W。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12.额定阻抗：8Ω。</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13.特性灵敏度：95dB/W/m。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14.输出声压级：115 dB/W/m(Continues)  121 dB/W/m(Peak)。</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15.额定频率范围：60Hz～20000Hz。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16.覆盖角度H×V： 90 °*90 °。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17.扬声器单元：LF:1*10英寸，HF:2* 3寸纸盆。</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18.输入接口：NL4MP×1。</w:t>
            </w:r>
          </w:p>
        </w:tc>
        <w:tc>
          <w:tcPr>
            <w:tcW w:w="640" w:type="dxa"/>
            <w:shd w:val="clear" w:color="auto" w:fill="auto"/>
            <w:vAlign w:val="center"/>
          </w:tcPr>
          <w:p w14:paraId="505CFAE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个</w:t>
            </w:r>
          </w:p>
        </w:tc>
        <w:tc>
          <w:tcPr>
            <w:tcW w:w="936" w:type="dxa"/>
            <w:shd w:val="clear" w:color="auto" w:fill="auto"/>
            <w:vAlign w:val="center"/>
          </w:tcPr>
          <w:p w14:paraId="055B891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w:t>
            </w:r>
          </w:p>
        </w:tc>
        <w:tc>
          <w:tcPr>
            <w:tcW w:w="1835" w:type="dxa"/>
            <w:shd w:val="clear" w:color="auto" w:fill="auto"/>
          </w:tcPr>
          <w:p w14:paraId="4A7578DB">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96128" behindDoc="0" locked="0" layoutInCell="1" allowOverlap="1">
                  <wp:simplePos x="0" y="0"/>
                  <wp:positionH relativeFrom="column">
                    <wp:posOffset>60325</wp:posOffset>
                  </wp:positionH>
                  <wp:positionV relativeFrom="paragraph">
                    <wp:posOffset>1038225</wp:posOffset>
                  </wp:positionV>
                  <wp:extent cx="1008380" cy="1431290"/>
                  <wp:effectExtent l="0" t="0" r="1270" b="16510"/>
                  <wp:wrapNone/>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pic:cNvPicPr>
                        </pic:nvPicPr>
                        <pic:blipFill>
                          <a:blip r:embed="rId52"/>
                          <a:stretch>
                            <a:fillRect/>
                          </a:stretch>
                        </pic:blipFill>
                        <pic:spPr>
                          <a:xfrm>
                            <a:off x="0" y="0"/>
                            <a:ext cx="1008380" cy="1431290"/>
                          </a:xfrm>
                          <a:prstGeom prst="rect">
                            <a:avLst/>
                          </a:prstGeom>
                          <a:noFill/>
                          <a:ln>
                            <a:noFill/>
                          </a:ln>
                        </pic:spPr>
                      </pic:pic>
                    </a:graphicData>
                  </a:graphic>
                </wp:anchor>
              </w:drawing>
            </w:r>
          </w:p>
        </w:tc>
      </w:tr>
      <w:tr w14:paraId="4BBD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9" w:hRule="atLeast"/>
        </w:trPr>
        <w:tc>
          <w:tcPr>
            <w:tcW w:w="543" w:type="dxa"/>
            <w:shd w:val="clear" w:color="auto" w:fill="auto"/>
            <w:vAlign w:val="center"/>
          </w:tcPr>
          <w:p w14:paraId="7377EB29">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39</w:t>
            </w:r>
          </w:p>
        </w:tc>
        <w:tc>
          <w:tcPr>
            <w:tcW w:w="1110" w:type="dxa"/>
            <w:shd w:val="clear" w:color="auto" w:fill="auto"/>
            <w:vAlign w:val="center"/>
          </w:tcPr>
          <w:p w14:paraId="2DD8AE7B">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舞蹈房专业功放</w:t>
            </w:r>
          </w:p>
        </w:tc>
        <w:tc>
          <w:tcPr>
            <w:tcW w:w="4110" w:type="dxa"/>
            <w:shd w:val="clear" w:color="auto" w:fill="auto"/>
            <w:vAlign w:val="center"/>
          </w:tcPr>
          <w:p w14:paraId="54F9E9E7">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1.功放类型：D类或TD类，电源工作范围：AC 100-240V 50Hz。</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2.具备超高开环增益及双重负反馈技术，保证功放稳定可靠的同时，还具有超低失真度。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3.保护功能：开机电源软启动，过热、过流、短路和DC漂移等多重检测保护性能；为保证项目质量、技术性能真实性。</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4.工作模式：立体声、并接、桥接。</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5.额定功率：2×200W/8Ω，2×300W/4Ω，1×600W/8Ω。</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6.频率响应：20Hz～20kHz（(±1dB)）。</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7.总谐波失真≤0.1%。</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8.串音衰减≥70dB。</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9.信噪比(A计权)≥100dB。</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10.阻尼系数（8Ω 20Hz-200Hz）≥250。</w:t>
            </w:r>
          </w:p>
        </w:tc>
        <w:tc>
          <w:tcPr>
            <w:tcW w:w="640" w:type="dxa"/>
            <w:shd w:val="clear" w:color="auto" w:fill="auto"/>
            <w:vAlign w:val="center"/>
          </w:tcPr>
          <w:p w14:paraId="3A45FE9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个</w:t>
            </w:r>
          </w:p>
        </w:tc>
        <w:tc>
          <w:tcPr>
            <w:tcW w:w="936" w:type="dxa"/>
            <w:shd w:val="clear" w:color="auto" w:fill="auto"/>
            <w:vAlign w:val="center"/>
          </w:tcPr>
          <w:p w14:paraId="2A516B9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316DD954">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97152" behindDoc="0" locked="0" layoutInCell="1" allowOverlap="1">
                  <wp:simplePos x="0" y="0"/>
                  <wp:positionH relativeFrom="column">
                    <wp:posOffset>-13970</wp:posOffset>
                  </wp:positionH>
                  <wp:positionV relativeFrom="paragraph">
                    <wp:posOffset>827405</wp:posOffset>
                  </wp:positionV>
                  <wp:extent cx="1078230" cy="351155"/>
                  <wp:effectExtent l="0" t="0" r="7620" b="10795"/>
                  <wp:wrapNone/>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pic:cNvPicPr>
                        </pic:nvPicPr>
                        <pic:blipFill>
                          <a:blip r:embed="rId53"/>
                          <a:stretch>
                            <a:fillRect/>
                          </a:stretch>
                        </pic:blipFill>
                        <pic:spPr>
                          <a:xfrm>
                            <a:off x="0" y="0"/>
                            <a:ext cx="1078230" cy="351155"/>
                          </a:xfrm>
                          <a:prstGeom prst="rect">
                            <a:avLst/>
                          </a:prstGeom>
                          <a:noFill/>
                          <a:ln>
                            <a:noFill/>
                          </a:ln>
                        </pic:spPr>
                      </pic:pic>
                    </a:graphicData>
                  </a:graphic>
                </wp:anchor>
              </w:drawing>
            </w:r>
          </w:p>
        </w:tc>
      </w:tr>
      <w:tr w14:paraId="7866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1B42574B">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40</w:t>
            </w:r>
          </w:p>
        </w:tc>
        <w:tc>
          <w:tcPr>
            <w:tcW w:w="1110" w:type="dxa"/>
            <w:shd w:val="clear" w:color="auto" w:fill="auto"/>
            <w:vAlign w:val="center"/>
          </w:tcPr>
          <w:p w14:paraId="71C06D7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调音台</w:t>
            </w:r>
          </w:p>
        </w:tc>
        <w:tc>
          <w:tcPr>
            <w:tcW w:w="4110" w:type="dxa"/>
            <w:shd w:val="clear" w:color="auto" w:fill="auto"/>
            <w:vAlign w:val="center"/>
          </w:tcPr>
          <w:p w14:paraId="14B3B9E4">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1.（XLR接口），1组立体声RCA输入，1组返回输入（2路 6.35接口）1路USB输入；</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2.8路插入点（6.35接口）；</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3.两组立体声输出，2路编组输出，2路辅助输出，1路立体声监听输出，1路立体声耳机输出，1组立体声录音输出；</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4.效果可以发送至辅助输出，编组输出与立体声输出；</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5.多媒体输入可以发送至辅助输出、编组输出与立体声输出；</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6.每路话放带低切功能；</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7.支持蓝牙接收功能；</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8.内置99种DSP效果器；</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10.主输出7段图示均衡器；</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11.14个60mm行程推子；</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12.支持通道监听；</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13.支持声音控制（话筒优先）；</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14.频率响应：20Hz～20kHz（±1dB）；</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15.总谐波失真：≤0.05%@0dBu，1kHz；</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16.信噪比≥95dB；</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17.话筒增益≥70dB；</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18.线路增益≥58dB；</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19.最大输入电平≥18dBu；</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20.最大输出电平≥18dBu。</w:t>
            </w:r>
          </w:p>
        </w:tc>
        <w:tc>
          <w:tcPr>
            <w:tcW w:w="640" w:type="dxa"/>
            <w:shd w:val="clear" w:color="auto" w:fill="auto"/>
            <w:vAlign w:val="center"/>
          </w:tcPr>
          <w:p w14:paraId="2D98DAD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台</w:t>
            </w:r>
          </w:p>
        </w:tc>
        <w:tc>
          <w:tcPr>
            <w:tcW w:w="936" w:type="dxa"/>
            <w:shd w:val="clear" w:color="auto" w:fill="auto"/>
            <w:vAlign w:val="center"/>
          </w:tcPr>
          <w:p w14:paraId="27DE530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14DF0548">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98176" behindDoc="0" locked="0" layoutInCell="1" allowOverlap="1">
                  <wp:simplePos x="0" y="0"/>
                  <wp:positionH relativeFrom="column">
                    <wp:posOffset>13970</wp:posOffset>
                  </wp:positionH>
                  <wp:positionV relativeFrom="paragraph">
                    <wp:posOffset>374015</wp:posOffset>
                  </wp:positionV>
                  <wp:extent cx="1014730" cy="1104265"/>
                  <wp:effectExtent l="0" t="0" r="13970" b="635"/>
                  <wp:wrapNone/>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pic:cNvPicPr>
                        </pic:nvPicPr>
                        <pic:blipFill>
                          <a:blip r:embed="rId54"/>
                          <a:stretch>
                            <a:fillRect/>
                          </a:stretch>
                        </pic:blipFill>
                        <pic:spPr>
                          <a:xfrm>
                            <a:off x="0" y="0"/>
                            <a:ext cx="1014730" cy="1104265"/>
                          </a:xfrm>
                          <a:prstGeom prst="rect">
                            <a:avLst/>
                          </a:prstGeom>
                          <a:noFill/>
                          <a:ln>
                            <a:noFill/>
                          </a:ln>
                        </pic:spPr>
                      </pic:pic>
                    </a:graphicData>
                  </a:graphic>
                </wp:anchor>
              </w:drawing>
            </w:r>
          </w:p>
        </w:tc>
      </w:tr>
      <w:tr w14:paraId="204E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3BE64BDB">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41</w:t>
            </w:r>
          </w:p>
        </w:tc>
        <w:tc>
          <w:tcPr>
            <w:tcW w:w="1110" w:type="dxa"/>
            <w:shd w:val="clear" w:color="auto" w:fill="auto"/>
            <w:vAlign w:val="center"/>
          </w:tcPr>
          <w:p w14:paraId="412FDCD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一拖二无线手持话筒</w:t>
            </w:r>
          </w:p>
        </w:tc>
        <w:tc>
          <w:tcPr>
            <w:tcW w:w="4110" w:type="dxa"/>
            <w:shd w:val="clear" w:color="auto" w:fill="auto"/>
            <w:vAlign w:val="center"/>
          </w:tcPr>
          <w:p w14:paraId="2E19AC7C">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1.EIA 标准 1U，双通道分集式接；</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2.黑色金属面板，LED 段码显示器，可同时显示群组、频率、电池电量、静音位准、电</w:t>
            </w:r>
            <w:r>
              <w:rPr>
                <w:color w:val="000000" w:themeColor="text1"/>
                <w:highlight w:val="none"/>
                <w14:textFill>
                  <w14:solidFill>
                    <w14:schemeClr w14:val="tx1"/>
                  </w14:solidFill>
                </w14:textFill>
              </w:rPr>
              <w:drawing>
                <wp:anchor distT="0" distB="0" distL="114300" distR="114300" simplePos="0" relativeHeight="251699200" behindDoc="0" locked="0" layoutInCell="1" allowOverlap="1">
                  <wp:simplePos x="0" y="0"/>
                  <wp:positionH relativeFrom="column">
                    <wp:posOffset>3615055</wp:posOffset>
                  </wp:positionH>
                  <wp:positionV relativeFrom="paragraph">
                    <wp:posOffset>215900</wp:posOffset>
                  </wp:positionV>
                  <wp:extent cx="1036320" cy="790575"/>
                  <wp:effectExtent l="0" t="0" r="11430" b="9525"/>
                  <wp:wrapNone/>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pic:cNvPicPr>
                        </pic:nvPicPr>
                        <pic:blipFill>
                          <a:blip r:embed="rId55"/>
                          <a:stretch>
                            <a:fillRect/>
                          </a:stretch>
                        </pic:blipFill>
                        <pic:spPr>
                          <a:xfrm>
                            <a:off x="0" y="0"/>
                            <a:ext cx="1036320" cy="790575"/>
                          </a:xfrm>
                          <a:prstGeom prst="rect">
                            <a:avLst/>
                          </a:prstGeom>
                          <a:noFill/>
                          <a:ln>
                            <a:noFill/>
                          </a:ln>
                        </pic:spPr>
                      </pic:pic>
                    </a:graphicData>
                  </a:graphic>
                </wp:anchor>
              </w:draw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子音量等相关信息；LED 灯柱显示 RF/AF 强度；</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3.载波频段:UHF530～690.000MHZ； 单机频道数量：2000个；</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4.频率间隔：25KHz；</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5.音频灵敏度: -48±3dB；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6.综合 S/N 比：&gt;100dB(A)；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7.频率响应: 70Hz～15kHz；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8.指向性频响曲线:300～2000Hz≤-8dB；</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9.支持AC电源环路输出和射频天线环路输出。</w:t>
            </w:r>
          </w:p>
        </w:tc>
        <w:tc>
          <w:tcPr>
            <w:tcW w:w="640" w:type="dxa"/>
            <w:shd w:val="clear" w:color="auto" w:fill="auto"/>
            <w:vAlign w:val="center"/>
          </w:tcPr>
          <w:p w14:paraId="27AEB91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台</w:t>
            </w:r>
          </w:p>
        </w:tc>
        <w:tc>
          <w:tcPr>
            <w:tcW w:w="936" w:type="dxa"/>
            <w:shd w:val="clear" w:color="auto" w:fill="auto"/>
            <w:vAlign w:val="center"/>
          </w:tcPr>
          <w:p w14:paraId="24DAE5F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3681407E">
            <w:pPr>
              <w:pStyle w:val="60"/>
              <w:rPr>
                <w:color w:val="000000" w:themeColor="text1"/>
                <w:highlight w:val="none"/>
                <w14:textFill>
                  <w14:solidFill>
                    <w14:schemeClr w14:val="tx1"/>
                  </w14:solidFill>
                </w14:textFill>
              </w:rPr>
            </w:pPr>
          </w:p>
        </w:tc>
      </w:tr>
      <w:tr w14:paraId="66E4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3" w:type="dxa"/>
            <w:shd w:val="clear" w:color="auto" w:fill="auto"/>
            <w:vAlign w:val="center"/>
          </w:tcPr>
          <w:p w14:paraId="52742F14">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42</w:t>
            </w:r>
          </w:p>
        </w:tc>
        <w:tc>
          <w:tcPr>
            <w:tcW w:w="1110" w:type="dxa"/>
            <w:shd w:val="clear" w:color="auto" w:fill="auto"/>
            <w:vAlign w:val="center"/>
          </w:tcPr>
          <w:p w14:paraId="37BC7ED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反馈抑制器</w:t>
            </w:r>
          </w:p>
        </w:tc>
        <w:tc>
          <w:tcPr>
            <w:tcW w:w="4110" w:type="dxa"/>
            <w:shd w:val="clear" w:color="auto" w:fill="auto"/>
            <w:vAlign w:val="center"/>
          </w:tcPr>
          <w:p w14:paraId="08EA7E03">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1.不少于18段双通道滤波器，支持同时自动移相移频功能；</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2.不少于双12段参量均衡，支持高低通分频；</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3.配备12个场景保存调用功能，开关机自动记忆功能；</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4.频率响应不低于30Hz-18KHz；</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5.陷波点数：18x2静动态可设；</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6.支持密码锁定/解锁；</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7.语言选择：中英文；</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8.保护：开关机防冲击设计；</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9.电源：AC 110V-AC 220V 50-60Hz。</w:t>
            </w:r>
          </w:p>
        </w:tc>
        <w:tc>
          <w:tcPr>
            <w:tcW w:w="640" w:type="dxa"/>
            <w:shd w:val="clear" w:color="auto" w:fill="auto"/>
            <w:vAlign w:val="center"/>
          </w:tcPr>
          <w:p w14:paraId="654DB36D">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台</w:t>
            </w:r>
          </w:p>
        </w:tc>
        <w:tc>
          <w:tcPr>
            <w:tcW w:w="936" w:type="dxa"/>
            <w:shd w:val="clear" w:color="auto" w:fill="auto"/>
            <w:vAlign w:val="center"/>
          </w:tcPr>
          <w:p w14:paraId="4A8DBE3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6EA311C5">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700224" behindDoc="0" locked="0" layoutInCell="1" allowOverlap="1">
                  <wp:simplePos x="0" y="0"/>
                  <wp:positionH relativeFrom="column">
                    <wp:posOffset>-5080</wp:posOffset>
                  </wp:positionH>
                  <wp:positionV relativeFrom="paragraph">
                    <wp:posOffset>832485</wp:posOffset>
                  </wp:positionV>
                  <wp:extent cx="1069340" cy="474980"/>
                  <wp:effectExtent l="0" t="0" r="16510" b="1270"/>
                  <wp:wrapNone/>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pic:cNvPicPr>
                        </pic:nvPicPr>
                        <pic:blipFill>
                          <a:blip r:embed="rId56"/>
                          <a:stretch>
                            <a:fillRect/>
                          </a:stretch>
                        </pic:blipFill>
                        <pic:spPr>
                          <a:xfrm>
                            <a:off x="0" y="0"/>
                            <a:ext cx="1069340" cy="474980"/>
                          </a:xfrm>
                          <a:prstGeom prst="rect">
                            <a:avLst/>
                          </a:prstGeom>
                          <a:noFill/>
                          <a:ln>
                            <a:noFill/>
                          </a:ln>
                        </pic:spPr>
                      </pic:pic>
                    </a:graphicData>
                  </a:graphic>
                </wp:anchor>
              </w:drawing>
            </w:r>
          </w:p>
        </w:tc>
      </w:tr>
      <w:tr w14:paraId="21BC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43" w:type="dxa"/>
            <w:shd w:val="clear" w:color="auto" w:fill="auto"/>
            <w:vAlign w:val="center"/>
          </w:tcPr>
          <w:p w14:paraId="7A8733B3">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43</w:t>
            </w:r>
          </w:p>
        </w:tc>
        <w:tc>
          <w:tcPr>
            <w:tcW w:w="1110" w:type="dxa"/>
            <w:shd w:val="clear" w:color="auto" w:fill="auto"/>
            <w:vAlign w:val="center"/>
          </w:tcPr>
          <w:p w14:paraId="5F554989">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数字效果器</w:t>
            </w:r>
          </w:p>
        </w:tc>
        <w:tc>
          <w:tcPr>
            <w:tcW w:w="4110" w:type="dxa"/>
            <w:shd w:val="clear" w:color="auto" w:fill="auto"/>
            <w:vAlign w:val="center"/>
          </w:tcPr>
          <w:p w14:paraId="4ED7E999">
            <w:pPr>
              <w:keepNext w:val="0"/>
              <w:keepLines w:val="0"/>
              <w:pageBreakBefore w:val="0"/>
              <w:widowControl/>
              <w:suppressLineNumbers w:val="0"/>
              <w:kinsoku/>
              <w:wordWrap/>
              <w:overflowPunct/>
              <w:topLinePunct w:val="0"/>
              <w:autoSpaceDE/>
              <w:autoSpaceDN/>
              <w:bidi w:val="0"/>
              <w:adjustRightInd w:val="0"/>
              <w:snapToGrid/>
              <w:spacing w:line="260" w:lineRule="exact"/>
              <w:jc w:val="left"/>
              <w:textAlignment w:val="cente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一、基础参数</w:t>
            </w:r>
          </w:p>
          <w:p w14:paraId="48AE03E7">
            <w:pPr>
              <w:keepNext w:val="0"/>
              <w:keepLines w:val="0"/>
              <w:pageBreakBefore w:val="0"/>
              <w:widowControl/>
              <w:suppressLineNumbers w:val="0"/>
              <w:kinsoku/>
              <w:wordWrap/>
              <w:overflowPunct/>
              <w:topLinePunct w:val="0"/>
              <w:autoSpaceDE/>
              <w:autoSpaceDN/>
              <w:bidi w:val="0"/>
              <w:adjustRightInd w:val="0"/>
              <w:snapToGrid/>
              <w:spacing w:line="260" w:lineRule="exact"/>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1.2寸LCD彩色液晶屏，全中文显示；</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2.2组立体声输入，支持模拟或者光纤同轴/蓝牙数字输入；</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3.2路麦克风输入，带独立增益调节；</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4.音乐15段PEQ，麦克风双路独立15段PEQ，外加高低通调节;</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5.效果回声、混响独立设有高、低通/5段PEQ,混响3种模式可选择；</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6.所有输出通道分别设12段参量均衡(PEQ),高低通，输入选择及混合比例极性、增益、压限、延时、静音功能；</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7.采用专业级第四代SHARC高速450 MHZ DSP处理器，32bit/768kHz D/A转换器及24位线性PCM/216kHz采样率的A/D转换器；</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8.配有专业PC设备管理控制软件来操作，提供USB免驱接口可连接电脑:支持RS485中控端口；</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9.可保存21组场景，支持数据导入导出功能；</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二、技术指标：</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10.频率响应：20Hz-20kHz；</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11.总谐波失真：≤0.01%；</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12.信噪比（A计权）：≥90dB；</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13.最大输入电平：18dBu；</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14.最大输出电平：17dBu。</w:t>
            </w:r>
          </w:p>
        </w:tc>
        <w:tc>
          <w:tcPr>
            <w:tcW w:w="640" w:type="dxa"/>
            <w:shd w:val="clear" w:color="auto" w:fill="auto"/>
            <w:vAlign w:val="center"/>
          </w:tcPr>
          <w:p w14:paraId="3CB0D9CF">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台</w:t>
            </w:r>
          </w:p>
        </w:tc>
        <w:tc>
          <w:tcPr>
            <w:tcW w:w="936" w:type="dxa"/>
            <w:shd w:val="clear" w:color="auto" w:fill="auto"/>
            <w:vAlign w:val="center"/>
          </w:tcPr>
          <w:p w14:paraId="4AA530C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5DE31C39">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701248" behindDoc="0" locked="0" layoutInCell="1" allowOverlap="1">
                  <wp:simplePos x="0" y="0"/>
                  <wp:positionH relativeFrom="column">
                    <wp:posOffset>57785</wp:posOffset>
                  </wp:positionH>
                  <wp:positionV relativeFrom="paragraph">
                    <wp:posOffset>806450</wp:posOffset>
                  </wp:positionV>
                  <wp:extent cx="1033145" cy="356235"/>
                  <wp:effectExtent l="0" t="0" r="14605" b="5715"/>
                  <wp:wrapNone/>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pic:cNvPicPr>
                        </pic:nvPicPr>
                        <pic:blipFill>
                          <a:blip r:embed="rId57"/>
                          <a:stretch>
                            <a:fillRect/>
                          </a:stretch>
                        </pic:blipFill>
                        <pic:spPr>
                          <a:xfrm>
                            <a:off x="0" y="0"/>
                            <a:ext cx="1033145" cy="356235"/>
                          </a:xfrm>
                          <a:prstGeom prst="rect">
                            <a:avLst/>
                          </a:prstGeom>
                          <a:noFill/>
                          <a:ln>
                            <a:noFill/>
                          </a:ln>
                        </pic:spPr>
                      </pic:pic>
                    </a:graphicData>
                  </a:graphic>
                </wp:anchor>
              </w:drawing>
            </w:r>
          </w:p>
        </w:tc>
      </w:tr>
      <w:tr w14:paraId="51F7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43" w:type="dxa"/>
            <w:shd w:val="clear" w:color="auto" w:fill="auto"/>
            <w:vAlign w:val="center"/>
          </w:tcPr>
          <w:p w14:paraId="05785049">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44</w:t>
            </w:r>
          </w:p>
        </w:tc>
        <w:tc>
          <w:tcPr>
            <w:tcW w:w="1110" w:type="dxa"/>
            <w:shd w:val="clear" w:color="auto" w:fill="auto"/>
            <w:vAlign w:val="center"/>
          </w:tcPr>
          <w:p w14:paraId="2A2AC473">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电源时序器</w:t>
            </w:r>
          </w:p>
        </w:tc>
        <w:tc>
          <w:tcPr>
            <w:tcW w:w="4110" w:type="dxa"/>
            <w:shd w:val="clear" w:color="auto" w:fill="auto"/>
            <w:vAlign w:val="center"/>
          </w:tcPr>
          <w:p w14:paraId="359075C4">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1.不少于8路可控电源（国标五孔插座）</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2.单通道最大输出电流不小于10A；</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3.额定总输出电源不小于25A；内置25A电源滤波器；总电源带空气开关；</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4.针对不同设备启动时间，每路电源开关时间支持不小于60秒设定；</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5.前面板带市电电压显示；</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6.不少于24组用户存储模式；</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7.设备支持手动、PC、安卓移动端控制；</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8.控制接口不少于1路RS232、1路RJ45。</w:t>
            </w:r>
          </w:p>
        </w:tc>
        <w:tc>
          <w:tcPr>
            <w:tcW w:w="640" w:type="dxa"/>
            <w:shd w:val="clear" w:color="auto" w:fill="auto"/>
            <w:vAlign w:val="center"/>
          </w:tcPr>
          <w:p w14:paraId="5741CB4E">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台</w:t>
            </w:r>
          </w:p>
        </w:tc>
        <w:tc>
          <w:tcPr>
            <w:tcW w:w="936" w:type="dxa"/>
            <w:shd w:val="clear" w:color="auto" w:fill="auto"/>
            <w:vAlign w:val="center"/>
          </w:tcPr>
          <w:p w14:paraId="25A4C08C">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4D6E8D01">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702272" behindDoc="0" locked="0" layoutInCell="1" allowOverlap="1">
                  <wp:simplePos x="0" y="0"/>
                  <wp:positionH relativeFrom="column">
                    <wp:posOffset>-34925</wp:posOffset>
                  </wp:positionH>
                  <wp:positionV relativeFrom="paragraph">
                    <wp:posOffset>772160</wp:posOffset>
                  </wp:positionV>
                  <wp:extent cx="1045845" cy="417830"/>
                  <wp:effectExtent l="0" t="0" r="1905" b="1270"/>
                  <wp:wrapNone/>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pic:cNvPicPr>
                        </pic:nvPicPr>
                        <pic:blipFill>
                          <a:blip r:embed="rId58"/>
                          <a:stretch>
                            <a:fillRect/>
                          </a:stretch>
                        </pic:blipFill>
                        <pic:spPr>
                          <a:xfrm>
                            <a:off x="0" y="0"/>
                            <a:ext cx="1045845" cy="417830"/>
                          </a:xfrm>
                          <a:prstGeom prst="rect">
                            <a:avLst/>
                          </a:prstGeom>
                          <a:noFill/>
                          <a:ln>
                            <a:noFill/>
                          </a:ln>
                        </pic:spPr>
                      </pic:pic>
                    </a:graphicData>
                  </a:graphic>
                </wp:anchor>
              </w:drawing>
            </w:r>
          </w:p>
        </w:tc>
      </w:tr>
      <w:tr w14:paraId="46D5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27" w:hRule="atLeast"/>
        </w:trPr>
        <w:tc>
          <w:tcPr>
            <w:tcW w:w="543" w:type="dxa"/>
            <w:shd w:val="clear" w:color="auto" w:fill="auto"/>
            <w:vAlign w:val="center"/>
          </w:tcPr>
          <w:p w14:paraId="39A23AFB">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45</w:t>
            </w:r>
          </w:p>
        </w:tc>
        <w:tc>
          <w:tcPr>
            <w:tcW w:w="1110" w:type="dxa"/>
            <w:shd w:val="clear" w:color="auto" w:fill="auto"/>
            <w:vAlign w:val="center"/>
          </w:tcPr>
          <w:p w14:paraId="6BCB3F88">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机柜</w:t>
            </w:r>
          </w:p>
        </w:tc>
        <w:tc>
          <w:tcPr>
            <w:tcW w:w="4110" w:type="dxa"/>
            <w:shd w:val="clear" w:color="auto" w:fill="auto"/>
            <w:vAlign w:val="center"/>
          </w:tcPr>
          <w:p w14:paraId="5941B76E">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1.容量</w:t>
            </w:r>
            <w: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‌：18U</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w:t>
            </w:r>
          </w:p>
          <w:p w14:paraId="73927CFE">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‌门及门锁‌：玻璃门</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w:t>
            </w:r>
          </w:p>
          <w:p w14:paraId="011F279B">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3.</w:t>
            </w:r>
            <w: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‌尺寸‌：600mm（宽）x 600mm（深）x 988mm（高）</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w:t>
            </w:r>
          </w:p>
          <w:p w14:paraId="066E1F31">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w:t>
            </w:r>
            <w: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‌附加功能‌：固定板一块、风扇部件1组（4只两寸重型脚轮）、M6方螺母钉20套、内六角扳手一只</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w:t>
            </w:r>
          </w:p>
        </w:tc>
        <w:tc>
          <w:tcPr>
            <w:tcW w:w="640" w:type="dxa"/>
            <w:shd w:val="clear" w:color="auto" w:fill="auto"/>
            <w:vAlign w:val="center"/>
          </w:tcPr>
          <w:p w14:paraId="0E19B432">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台</w:t>
            </w:r>
          </w:p>
        </w:tc>
        <w:tc>
          <w:tcPr>
            <w:tcW w:w="936" w:type="dxa"/>
            <w:shd w:val="clear" w:color="auto" w:fill="auto"/>
            <w:vAlign w:val="center"/>
          </w:tcPr>
          <w:p w14:paraId="003EF4EA">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073CCBC9">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703296" behindDoc="0" locked="0" layoutInCell="1" allowOverlap="1">
                  <wp:simplePos x="0" y="0"/>
                  <wp:positionH relativeFrom="column">
                    <wp:posOffset>128270</wp:posOffset>
                  </wp:positionH>
                  <wp:positionV relativeFrom="paragraph">
                    <wp:posOffset>84455</wp:posOffset>
                  </wp:positionV>
                  <wp:extent cx="702945" cy="795655"/>
                  <wp:effectExtent l="0" t="0" r="1905" b="4445"/>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9"/>
                          <a:stretch>
                            <a:fillRect/>
                          </a:stretch>
                        </pic:blipFill>
                        <pic:spPr>
                          <a:xfrm>
                            <a:off x="0" y="0"/>
                            <a:ext cx="702945" cy="795655"/>
                          </a:xfrm>
                          <a:prstGeom prst="rect">
                            <a:avLst/>
                          </a:prstGeom>
                          <a:noFill/>
                          <a:ln>
                            <a:noFill/>
                          </a:ln>
                        </pic:spPr>
                      </pic:pic>
                    </a:graphicData>
                  </a:graphic>
                </wp:anchor>
              </w:drawing>
            </w:r>
          </w:p>
        </w:tc>
      </w:tr>
      <w:tr w14:paraId="7A12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34" w:hRule="atLeast"/>
        </w:trPr>
        <w:tc>
          <w:tcPr>
            <w:tcW w:w="543" w:type="dxa"/>
            <w:shd w:val="clear" w:color="auto" w:fill="auto"/>
            <w:vAlign w:val="center"/>
          </w:tcPr>
          <w:p w14:paraId="64EC2321">
            <w:pPr>
              <w:pStyle w:val="60"/>
              <w:jc w:val="center"/>
              <w:rPr>
                <w:rFonts w:hint="default" w:ascii="仿宋" w:hAnsi="仿宋" w:eastAsia="仿宋" w:cs="仿宋"/>
                <w:b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0"/>
                <w:sz w:val="21"/>
                <w:szCs w:val="21"/>
                <w:highlight w:val="none"/>
                <w:lang w:val="en-US" w:eastAsia="zh-CN" w:bidi="ar-SA"/>
                <w14:textFill>
                  <w14:solidFill>
                    <w14:schemeClr w14:val="tx1"/>
                  </w14:solidFill>
                </w14:textFill>
              </w:rPr>
              <w:t>46</w:t>
            </w:r>
          </w:p>
        </w:tc>
        <w:tc>
          <w:tcPr>
            <w:tcW w:w="1110" w:type="dxa"/>
            <w:shd w:val="clear" w:color="auto" w:fill="auto"/>
            <w:vAlign w:val="center"/>
          </w:tcPr>
          <w:p w14:paraId="0E7FFC66">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中医按摩椅</w:t>
            </w:r>
          </w:p>
        </w:tc>
        <w:tc>
          <w:tcPr>
            <w:tcW w:w="4110" w:type="dxa"/>
            <w:shd w:val="clear" w:color="auto" w:fill="auto"/>
            <w:vAlign w:val="center"/>
          </w:tcPr>
          <w:p w14:paraId="2743CDA6">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1.机芯类型：机械手；</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2.尺寸：140*74*105cm；</w:t>
            </w:r>
          </w:p>
          <w:p w14:paraId="3A86B05A">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3.加热温度：35℃-45℃；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4.进门尺寸：裸机进门74cm；</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5.伸缩尺寸：腿部伸缩长度14cm；</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6.零重力尺寸：长度165cm；</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7.导轨类型：SL 加长导轨；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 xml:space="preserve">8.额定频率：50Hz； </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9.额定电压：220V；</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10额定功率：120W；</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11.额定时间：15min；</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12.产品材质：PU皮革/精钢结构/ABS/PP注塑。</w:t>
            </w:r>
          </w:p>
          <w:p w14:paraId="1808E109">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13.产品配置：大屏液晶触控面板、智能语音声控、快捷按键板、USB手机充电口、优质蓝牙音箱、腰部加热、小腿加热、全身13组气囊、脚底4组滚轮推拿揉捏、氛围灯两对、一体免安装、20种自动按摩程序</w:t>
            </w:r>
          </w:p>
          <w:p w14:paraId="0A0177B0">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6种手动按摩手法、开机自动体型检测、按摩宽度可自由调节、定点、区间、全程按摩设置、一键零重力太空舱、腿部自适应伸缩</w:t>
            </w:r>
          </w:p>
          <w:p w14:paraId="1F4DA3E0">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default"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脚底滚轮力度调节、按摩力度三档调节、气囊力度三档调节。</w:t>
            </w:r>
          </w:p>
        </w:tc>
        <w:tc>
          <w:tcPr>
            <w:tcW w:w="640" w:type="dxa"/>
            <w:shd w:val="clear" w:color="auto" w:fill="auto"/>
            <w:vAlign w:val="center"/>
          </w:tcPr>
          <w:p w14:paraId="04FF51F1">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台</w:t>
            </w:r>
          </w:p>
        </w:tc>
        <w:tc>
          <w:tcPr>
            <w:tcW w:w="936" w:type="dxa"/>
            <w:shd w:val="clear" w:color="auto" w:fill="auto"/>
            <w:vAlign w:val="center"/>
          </w:tcPr>
          <w:p w14:paraId="1B164060">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2</w:t>
            </w:r>
          </w:p>
        </w:tc>
        <w:tc>
          <w:tcPr>
            <w:tcW w:w="1835" w:type="dxa"/>
            <w:shd w:val="clear" w:color="auto" w:fill="auto"/>
          </w:tcPr>
          <w:p w14:paraId="6C3E4548">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704320" behindDoc="0" locked="0" layoutInCell="1" allowOverlap="1">
                  <wp:simplePos x="0" y="0"/>
                  <wp:positionH relativeFrom="column">
                    <wp:posOffset>66675</wp:posOffset>
                  </wp:positionH>
                  <wp:positionV relativeFrom="paragraph">
                    <wp:posOffset>1294765</wp:posOffset>
                  </wp:positionV>
                  <wp:extent cx="887095" cy="812165"/>
                  <wp:effectExtent l="0" t="0" r="8255" b="6985"/>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0"/>
                          <a:stretch>
                            <a:fillRect/>
                          </a:stretch>
                        </pic:blipFill>
                        <pic:spPr>
                          <a:xfrm>
                            <a:off x="0" y="0"/>
                            <a:ext cx="887095" cy="812165"/>
                          </a:xfrm>
                          <a:prstGeom prst="rect">
                            <a:avLst/>
                          </a:prstGeom>
                          <a:noFill/>
                          <a:ln>
                            <a:noFill/>
                          </a:ln>
                        </pic:spPr>
                      </pic:pic>
                    </a:graphicData>
                  </a:graphic>
                </wp:anchor>
              </w:drawing>
            </w:r>
          </w:p>
        </w:tc>
      </w:tr>
    </w:tbl>
    <w:p w14:paraId="21E82E2D">
      <w:pPr>
        <w:pStyle w:val="60"/>
        <w:rPr>
          <w:rFonts w:hint="eastAsia"/>
          <w:color w:val="000000" w:themeColor="text1"/>
          <w:highlight w:val="none"/>
          <w14:textFill>
            <w14:solidFill>
              <w14:schemeClr w14:val="tx1"/>
            </w14:solidFill>
          </w14:textFill>
        </w:rPr>
      </w:pPr>
    </w:p>
    <w:bookmarkEnd w:id="35"/>
    <w:p w14:paraId="341C2A6D">
      <w:pPr>
        <w:pStyle w:val="881"/>
        <w:keepNext w:val="0"/>
        <w:keepLines w:val="0"/>
        <w:pageBreakBefore w:val="0"/>
        <w:widowControl w:val="0"/>
        <w:kinsoku/>
        <w:wordWrap/>
        <w:overflowPunct/>
        <w:topLinePunct w:val="0"/>
        <w:autoSpaceDE/>
        <w:autoSpaceDN/>
        <w:bidi w:val="0"/>
        <w:adjustRightInd/>
        <w:snapToGrid/>
        <w:spacing w:line="336" w:lineRule="auto"/>
        <w:ind w:left="0"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7BA95C54">
      <w:pPr>
        <w:pStyle w:val="881"/>
        <w:keepNext w:val="0"/>
        <w:keepLines w:val="0"/>
        <w:pageBreakBefore w:val="0"/>
        <w:widowControl w:val="0"/>
        <w:kinsoku/>
        <w:wordWrap/>
        <w:overflowPunct/>
        <w:topLinePunct w:val="0"/>
        <w:autoSpaceDE/>
        <w:autoSpaceDN/>
        <w:bidi w:val="0"/>
        <w:adjustRightInd/>
        <w:snapToGrid/>
        <w:spacing w:line="336" w:lineRule="auto"/>
        <w:ind w:left="0" w:firstLine="480" w:firstLineChars="200"/>
        <w:textAlignment w:val="auto"/>
        <w:rPr>
          <w:rFonts w:hint="default"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三</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、商务要求</w:t>
      </w:r>
    </w:p>
    <w:tbl>
      <w:tblPr>
        <w:tblStyle w:val="62"/>
        <w:tblW w:w="49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7666"/>
      </w:tblGrid>
      <w:tr w14:paraId="0A36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3" w:hRule="atLeast"/>
          <w:jc w:val="center"/>
        </w:trPr>
        <w:tc>
          <w:tcPr>
            <w:tcW w:w="783" w:type="pct"/>
            <w:noWrap w:val="0"/>
            <w:vAlign w:val="center"/>
          </w:tcPr>
          <w:p w14:paraId="67F25C08">
            <w:pPr>
              <w:pStyle w:val="976"/>
              <w:bidi w:val="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交付时间及地点</w:t>
            </w:r>
          </w:p>
        </w:tc>
        <w:tc>
          <w:tcPr>
            <w:tcW w:w="4216" w:type="pct"/>
            <w:noWrap w:val="0"/>
            <w:vAlign w:val="center"/>
          </w:tcPr>
          <w:p w14:paraId="6A05BBB6">
            <w:pPr>
              <w:pStyle w:val="976"/>
              <w:bidi w:val="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交付时间：</w:t>
            </w:r>
            <w:r>
              <w:rPr>
                <w:rFonts w:hint="eastAsia" w:ascii="仿宋" w:hAnsi="仿宋" w:eastAsia="仿宋" w:cs="仿宋"/>
                <w:color w:val="000000" w:themeColor="text1"/>
                <w:sz w:val="24"/>
                <w:szCs w:val="24"/>
                <w:highlight w:val="none"/>
                <w:lang w:val="en-US" w:eastAsia="zh-CN"/>
                <w14:textFill>
                  <w14:solidFill>
                    <w14:schemeClr w14:val="tx1"/>
                  </w14:solidFill>
                </w14:textFill>
              </w:rPr>
              <w:t>合同签订后40日内完成及验收合格交付使用</w:t>
            </w:r>
            <w:r>
              <w:rPr>
                <w:rFonts w:hint="eastAsia" w:ascii="仿宋" w:hAnsi="仿宋" w:eastAsia="仿宋" w:cs="仿宋"/>
                <w:color w:val="000000" w:themeColor="text1"/>
                <w:sz w:val="24"/>
                <w:szCs w:val="24"/>
                <w:highlight w:val="none"/>
                <w14:textFill>
                  <w14:solidFill>
                    <w14:schemeClr w14:val="tx1"/>
                  </w14:solidFill>
                </w14:textFill>
              </w:rPr>
              <w:t>。</w:t>
            </w:r>
          </w:p>
          <w:p w14:paraId="65D30FC1">
            <w:pPr>
              <w:pStyle w:val="976"/>
              <w:bidi w:val="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交付地点：甲方指定地点。</w:t>
            </w:r>
          </w:p>
        </w:tc>
      </w:tr>
      <w:tr w14:paraId="2CCDC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783" w:type="pct"/>
            <w:noWrap w:val="0"/>
            <w:vAlign w:val="center"/>
          </w:tcPr>
          <w:p w14:paraId="78F14D1C">
            <w:pPr>
              <w:pStyle w:val="976"/>
              <w:bidi w:val="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付款方式</w:t>
            </w:r>
          </w:p>
        </w:tc>
        <w:tc>
          <w:tcPr>
            <w:tcW w:w="4216" w:type="pct"/>
            <w:noWrap w:val="0"/>
            <w:vAlign w:val="top"/>
          </w:tcPr>
          <w:p w14:paraId="77721986">
            <w:pPr>
              <w:pStyle w:val="976"/>
              <w:bidi w:val="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（1）合同签订后7天内，支付合同总价款的40%作为预付款；</w:t>
            </w:r>
          </w:p>
          <w:p w14:paraId="67AD19A5">
            <w:pPr>
              <w:pStyle w:val="976"/>
              <w:bidi w:val="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（2）货到工地、开箱验收合格后7天内，支付至合同金额的70%；</w:t>
            </w:r>
          </w:p>
          <w:p w14:paraId="1AEADBFE">
            <w:pPr>
              <w:pStyle w:val="976"/>
              <w:bidi w:val="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（3）全部货物安装结束、调试完成、验收合格后7天内支付至实际供货总价的100%。</w:t>
            </w:r>
          </w:p>
        </w:tc>
      </w:tr>
      <w:tr w14:paraId="5F92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783" w:type="pct"/>
            <w:noWrap w:val="0"/>
            <w:vAlign w:val="center"/>
          </w:tcPr>
          <w:p w14:paraId="1B63D763">
            <w:pPr>
              <w:pStyle w:val="976"/>
              <w:bidi w:val="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质保期</w:t>
            </w:r>
          </w:p>
        </w:tc>
        <w:tc>
          <w:tcPr>
            <w:tcW w:w="4216" w:type="pct"/>
            <w:noWrap w:val="0"/>
            <w:vAlign w:val="center"/>
          </w:tcPr>
          <w:p w14:paraId="51CA869E">
            <w:pPr>
              <w:pStyle w:val="976"/>
              <w:bidi w:val="0"/>
              <w:jc w:val="both"/>
              <w:rPr>
                <w:rFonts w:hint="eastAsia" w:ascii="仿宋" w:hAnsi="仿宋" w:eastAsia="宋体"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u w:val="none"/>
                <w:lang w:val="en-US" w:eastAsia="zh-CN"/>
                <w14:textFill>
                  <w14:solidFill>
                    <w14:schemeClr w14:val="tx1"/>
                  </w14:solidFill>
                </w14:textFill>
              </w:rPr>
              <w:t>自通过验收之日起不少于1年（其中电池+电源保修至少2年）。</w:t>
            </w:r>
          </w:p>
        </w:tc>
      </w:tr>
      <w:tr w14:paraId="2B6C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783" w:type="pct"/>
            <w:noWrap w:val="0"/>
            <w:vAlign w:val="center"/>
          </w:tcPr>
          <w:p w14:paraId="73692398">
            <w:pPr>
              <w:pStyle w:val="976"/>
              <w:bidi w:val="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售后（技术）服务要求</w:t>
            </w:r>
          </w:p>
        </w:tc>
        <w:tc>
          <w:tcPr>
            <w:tcW w:w="4216" w:type="pct"/>
            <w:noWrap w:val="0"/>
            <w:vAlign w:val="top"/>
          </w:tcPr>
          <w:p w14:paraId="16308FB1">
            <w:pPr>
              <w:pStyle w:val="976"/>
              <w:bidi w:val="0"/>
              <w:rPr>
                <w:rFonts w:hint="eastAsia" w:ascii="仿宋" w:hAnsi="仿宋" w:eastAsia="仿宋" w:cs="仿宋"/>
                <w:bCs/>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u w:val="none"/>
                <w:lang w:val="en-US" w:eastAsia="zh-CN"/>
                <w14:textFill>
                  <w14:solidFill>
                    <w14:schemeClr w14:val="tx1"/>
                  </w14:solidFill>
                </w14:textFill>
              </w:rPr>
              <w:t>1、质保期内非人为有意损坏实行包修、包换，时间自最终验收合格并交付使用之日起计算。在质保期内，如货物发生非人为的质量问题，成交人保证在接到电话通知后，立即响应，8小时内赶到现场修理、更换部件，3个工作日内不能修复的，必须采取提供备品备件等措施，以保证采购单位的正常使用；费用包含在项目总价中。</w:t>
            </w:r>
          </w:p>
          <w:p w14:paraId="5B44A18F">
            <w:pPr>
              <w:pStyle w:val="976"/>
              <w:bidi w:val="0"/>
              <w:rPr>
                <w:rFonts w:hint="eastAsia" w:ascii="仿宋" w:hAnsi="仿宋" w:eastAsia="仿宋" w:cs="仿宋"/>
                <w:bCs/>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u w:val="none"/>
                <w:lang w:val="en-US" w:eastAsia="zh-CN"/>
                <w14:textFill>
                  <w14:solidFill>
                    <w14:schemeClr w14:val="tx1"/>
                  </w14:solidFill>
                </w14:textFill>
              </w:rPr>
              <w:t>2、在合同货物质保期满后，成交人保证继续为采购方提供货物的维修服务，成交人须以不高于市场零售价格的配件价格向采购方提供零备件。</w:t>
            </w:r>
          </w:p>
          <w:p w14:paraId="04EFA2A9">
            <w:pPr>
              <w:pStyle w:val="976"/>
              <w:bidi w:val="0"/>
              <w:rPr>
                <w:rFonts w:hint="eastAsia" w:ascii="仿宋" w:hAnsi="仿宋" w:eastAsia="仿宋" w:cs="仿宋"/>
                <w:bCs/>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u w:val="none"/>
                <w:lang w:val="en-US" w:eastAsia="zh-CN"/>
                <w14:textFill>
                  <w14:solidFill>
                    <w14:schemeClr w14:val="tx1"/>
                  </w14:solidFill>
                </w14:textFill>
              </w:rPr>
              <w:t xml:space="preserve">3、成交人应按响应文件中的承诺,进行其他售后服务工作。 </w:t>
            </w:r>
          </w:p>
        </w:tc>
      </w:tr>
      <w:tr w14:paraId="1301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pct"/>
            <w:noWrap w:val="0"/>
            <w:vAlign w:val="center"/>
          </w:tcPr>
          <w:p w14:paraId="43B0C7A4">
            <w:pPr>
              <w:pStyle w:val="976"/>
              <w:bidi w:val="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产品及服务质量保证</w:t>
            </w:r>
          </w:p>
        </w:tc>
        <w:tc>
          <w:tcPr>
            <w:tcW w:w="4216" w:type="pct"/>
            <w:noWrap w:val="0"/>
            <w:vAlign w:val="center"/>
          </w:tcPr>
          <w:p w14:paraId="24C99F58">
            <w:pPr>
              <w:pStyle w:val="976"/>
              <w:bidi w:val="0"/>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lang w:val="zh-CN"/>
                <w14:textFill>
                  <w14:solidFill>
                    <w14:schemeClr w14:val="tx1"/>
                  </w14:solidFill>
                </w14:textFill>
              </w:rPr>
              <w:t>投标人保证所供的商品必须是出厂原装合格产品</w:t>
            </w:r>
            <w:r>
              <w:rPr>
                <w:rFonts w:hint="eastAsia" w:ascii="仿宋" w:hAnsi="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如发生所供的商品与合同不符</w:t>
            </w:r>
            <w:r>
              <w:rPr>
                <w:rFonts w:hint="eastAsia" w:ascii="仿宋" w:hAnsi="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招标人有权拒收或退货</w:t>
            </w:r>
            <w:r>
              <w:rPr>
                <w:rFonts w:hint="eastAsia" w:ascii="仿宋" w:hAnsi="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由此产生的一切责任和后果由投标人承担。</w:t>
            </w:r>
          </w:p>
          <w:p w14:paraId="01148E41">
            <w:pPr>
              <w:pStyle w:val="976"/>
              <w:bidi w:val="0"/>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val="zh-CN"/>
                <w14:textFill>
                  <w14:solidFill>
                    <w14:schemeClr w14:val="tx1"/>
                  </w14:solidFill>
                </w14:textFill>
              </w:rPr>
              <w:t>所供商品交付时，投标人必须向招标人提供产品说明书、质量保证书、保修卡等必须具备的相关资料和必备附件。</w:t>
            </w:r>
          </w:p>
        </w:tc>
      </w:tr>
      <w:tr w14:paraId="3DD8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783" w:type="pct"/>
            <w:noWrap w:val="0"/>
            <w:vAlign w:val="center"/>
          </w:tcPr>
          <w:p w14:paraId="75B4A9E6">
            <w:pPr>
              <w:pStyle w:val="976"/>
              <w:bidi w:val="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培训要求</w:t>
            </w:r>
          </w:p>
        </w:tc>
        <w:tc>
          <w:tcPr>
            <w:tcW w:w="4216" w:type="pct"/>
            <w:noWrap w:val="0"/>
            <w:vAlign w:val="center"/>
          </w:tcPr>
          <w:p w14:paraId="1D849EBD">
            <w:pPr>
              <w:pStyle w:val="976"/>
              <w:bidi w:val="0"/>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1.投标人有义务对招标人本次采购设备</w:t>
            </w:r>
            <w:r>
              <w:rPr>
                <w:rFonts w:hint="eastAsia" w:ascii="仿宋" w:hAnsi="仿宋" w:eastAsia="仿宋" w:cs="仿宋"/>
                <w:color w:val="000000" w:themeColor="text1"/>
                <w:sz w:val="24"/>
                <w:szCs w:val="24"/>
                <w:highlight w:val="none"/>
                <w:lang w:val="en-US" w:eastAsia="zh-CN"/>
                <w14:textFill>
                  <w14:solidFill>
                    <w14:schemeClr w14:val="tx1"/>
                  </w14:solidFill>
                </w14:textFill>
              </w:rPr>
              <w:t>的</w:t>
            </w:r>
            <w:r>
              <w:rPr>
                <w:rFonts w:hint="eastAsia" w:ascii="仿宋" w:hAnsi="仿宋" w:eastAsia="仿宋" w:cs="仿宋"/>
                <w:color w:val="000000" w:themeColor="text1"/>
                <w:sz w:val="24"/>
                <w:szCs w:val="24"/>
                <w:highlight w:val="none"/>
                <w:lang w:val="zh-CN"/>
                <w14:textFill>
                  <w14:solidFill>
                    <w14:schemeClr w14:val="tx1"/>
                  </w14:solidFill>
                </w14:textFill>
              </w:rPr>
              <w:t>正常使用和维护提供必要的培训；</w:t>
            </w:r>
          </w:p>
          <w:p w14:paraId="39A33A88">
            <w:pPr>
              <w:pStyle w:val="976"/>
              <w:bidi w:val="0"/>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2.培训的内容包括主要设备的使用、配置管理、性能优化以及相关基本维护知识；</w:t>
            </w:r>
          </w:p>
          <w:p w14:paraId="6D04B31F">
            <w:pPr>
              <w:pStyle w:val="976"/>
              <w:bidi w:val="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3.投标人应当在投标文件中明确给出培训时间安排、人数、授课内容、教材等。培训对象分为使用人员和管理人员的培训。培训有关费用包含在报价总价中。</w:t>
            </w:r>
          </w:p>
        </w:tc>
      </w:tr>
      <w:tr w14:paraId="2F53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83" w:type="pct"/>
            <w:noWrap w:val="0"/>
            <w:vAlign w:val="center"/>
          </w:tcPr>
          <w:p w14:paraId="5397E4D4">
            <w:pPr>
              <w:pStyle w:val="976"/>
              <w:bidi w:val="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验收</w:t>
            </w:r>
          </w:p>
        </w:tc>
        <w:tc>
          <w:tcPr>
            <w:tcW w:w="4216" w:type="pct"/>
            <w:noWrap w:val="0"/>
            <w:vAlign w:val="center"/>
          </w:tcPr>
          <w:p w14:paraId="6D0B3A56">
            <w:pPr>
              <w:pStyle w:val="976"/>
              <w:bidi w:val="0"/>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验收按国家有关规范标准（国家无验收规范标准的按双方合同规定的要求）进行。</w:t>
            </w:r>
          </w:p>
        </w:tc>
      </w:tr>
    </w:tbl>
    <w:p w14:paraId="378F60C0">
      <w:pPr>
        <w:pStyle w:val="881"/>
        <w:keepNext w:val="0"/>
        <w:keepLines w:val="0"/>
        <w:pageBreakBefore w:val="0"/>
        <w:widowControl w:val="0"/>
        <w:kinsoku/>
        <w:wordWrap/>
        <w:overflowPunct/>
        <w:topLinePunct w:val="0"/>
        <w:autoSpaceDE/>
        <w:autoSpaceDN/>
        <w:bidi w:val="0"/>
        <w:adjustRightInd/>
        <w:snapToGrid/>
        <w:spacing w:line="336" w:lineRule="auto"/>
        <w:ind w:left="0" w:firstLine="480" w:firstLineChars="200"/>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p>
    <w:p w14:paraId="39408E0E">
      <w:pPr>
        <w:pStyle w:val="881"/>
        <w:keepNext w:val="0"/>
        <w:keepLines w:val="0"/>
        <w:pageBreakBefore w:val="0"/>
        <w:widowControl w:val="0"/>
        <w:kinsoku/>
        <w:wordWrap/>
        <w:overflowPunct/>
        <w:topLinePunct w:val="0"/>
        <w:autoSpaceDE/>
        <w:autoSpaceDN/>
        <w:bidi w:val="0"/>
        <w:adjustRightInd/>
        <w:snapToGrid/>
        <w:spacing w:line="336" w:lineRule="auto"/>
        <w:ind w:left="0" w:firstLine="480" w:firstLineChars="200"/>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p>
    <w:p w14:paraId="62BDD7FA">
      <w:pP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br w:type="page"/>
      </w:r>
    </w:p>
    <w:p w14:paraId="7215249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w:t>
      </w:r>
      <w:r>
        <w:rPr>
          <w:rFonts w:hint="eastAsia" w:ascii="仿宋" w:hAnsi="仿宋" w:eastAsia="仿宋" w:cs="仿宋"/>
          <w:b/>
          <w:color w:val="000000" w:themeColor="text1"/>
          <w:sz w:val="36"/>
          <w:szCs w:val="36"/>
          <w:highlight w:val="none"/>
          <w:lang w:eastAsia="zh-CN"/>
          <w14:textFill>
            <w14:solidFill>
              <w14:schemeClr w14:val="tx1"/>
            </w14:solidFill>
          </w14:textFill>
        </w:rPr>
        <w:t>四</w:t>
      </w:r>
      <w:r>
        <w:rPr>
          <w:rFonts w:hint="eastAsia" w:ascii="仿宋" w:hAnsi="仿宋" w:eastAsia="仿宋" w:cs="仿宋"/>
          <w:b/>
          <w:color w:val="000000" w:themeColor="text1"/>
          <w:sz w:val="36"/>
          <w:szCs w:val="36"/>
          <w:highlight w:val="none"/>
          <w14:textFill>
            <w14:solidFill>
              <w14:schemeClr w14:val="tx1"/>
            </w14:solidFill>
          </w14:textFill>
        </w:rPr>
        <w:t>部分 拟签订的合同文本</w:t>
      </w:r>
    </w:p>
    <w:p w14:paraId="11644658">
      <w:pPr>
        <w:spacing w:line="360" w:lineRule="auto"/>
        <w:ind w:left="-420" w:leftChars="-200" w:right="-420" w:rightChars="-200" w:firstLine="480" w:firstLineChars="200"/>
        <w:jc w:val="center"/>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最终以双方实际签订合同为准</w:t>
      </w:r>
      <w:r>
        <w:rPr>
          <w:rFonts w:hint="eastAsia" w:ascii="仿宋" w:hAnsi="仿宋" w:eastAsia="仿宋" w:cs="仿宋"/>
          <w:color w:val="000000" w:themeColor="text1"/>
          <w:sz w:val="24"/>
          <w:highlight w:val="none"/>
          <w:lang w:eastAsia="zh-CN"/>
          <w14:textFill>
            <w14:solidFill>
              <w14:schemeClr w14:val="tx1"/>
            </w14:solidFill>
          </w14:textFill>
        </w:rPr>
        <w:t>）</w:t>
      </w:r>
    </w:p>
    <w:p w14:paraId="32826605">
      <w:pPr>
        <w:pStyle w:val="980"/>
        <w:spacing w:before="0" w:beforeAutospacing="0" w:after="0" w:afterAutospacing="0" w:line="360" w:lineRule="auto"/>
        <w:ind w:right="960"/>
        <w:jc w:val="right"/>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合同编号：</w:t>
      </w:r>
    </w:p>
    <w:p w14:paraId="3E0DF752">
      <w:pPr>
        <w:pStyle w:val="980"/>
        <w:spacing w:before="0" w:beforeAutospacing="0" w:after="0" w:afterAutospacing="0" w:line="360" w:lineRule="auto"/>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采购人：（以下称</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w:t>
      </w:r>
    </w:p>
    <w:p w14:paraId="383F0F90">
      <w:pPr>
        <w:pStyle w:val="980"/>
        <w:spacing w:before="0" w:beforeAutospacing="0" w:after="0" w:afterAutospacing="0" w:line="360" w:lineRule="auto"/>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中标人：（以下称</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w:t>
      </w:r>
    </w:p>
    <w:p w14:paraId="12A60C00">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根据《中华人民共和国政府采购法》、《中华人民共和国合同法》等相关法律法规和招标文件的要求，</w:t>
      </w:r>
      <w:r>
        <w:rPr>
          <w:rFonts w:hint="eastAsia" w:ascii="仿宋" w:hAnsi="仿宋" w:eastAsia="仿宋" w:cs="仿宋"/>
          <w:color w:val="000000" w:themeColor="text1"/>
          <w:szCs w:val="24"/>
          <w:highlight w:val="none"/>
          <w:lang w:val="zh-CN"/>
          <w14:textFill>
            <w14:solidFill>
              <w14:schemeClr w14:val="tx1"/>
            </w14:solidFill>
          </w14:textFill>
        </w:rPr>
        <w:t>按照平等、自愿、公平和诚实信用的原则，</w:t>
      </w:r>
      <w:r>
        <w:rPr>
          <w:rFonts w:hint="eastAsia" w:ascii="仿宋" w:hAnsi="仿宋" w:eastAsia="仿宋" w:cs="仿宋"/>
          <w:color w:val="000000" w:themeColor="text1"/>
          <w:szCs w:val="24"/>
          <w:highlight w:val="none"/>
          <w:lang w:val="en-US" w:eastAsia="zh-CN"/>
          <w14:textFill>
            <w14:solidFill>
              <w14:schemeClr w14:val="tx1"/>
            </w14:solidFill>
          </w14:textFill>
        </w:rPr>
        <w:t>就</w:t>
      </w:r>
      <w:r>
        <w:rPr>
          <w:rFonts w:hint="eastAsia" w:ascii="仿宋" w:hAnsi="仿宋" w:eastAsia="仿宋" w:cs="仿宋"/>
          <w:color w:val="000000" w:themeColor="text1"/>
          <w:szCs w:val="24"/>
          <w:highlight w:val="none"/>
          <w:u w:val="single"/>
          <w:lang w:val="en-US" w:eastAsia="zh-CN"/>
          <w14:textFill>
            <w14:solidFill>
              <w14:schemeClr w14:val="tx1"/>
            </w14:solidFill>
          </w14:textFill>
        </w:rPr>
        <w:t xml:space="preserve">          项目</w:t>
      </w:r>
      <w:r>
        <w:rPr>
          <w:rFonts w:hint="eastAsia" w:ascii="仿宋" w:hAnsi="仿宋" w:eastAsia="仿宋" w:cs="仿宋"/>
          <w:color w:val="000000" w:themeColor="text1"/>
          <w:szCs w:val="24"/>
          <w:highlight w:val="none"/>
          <w:lang w:val="zh-CN"/>
          <w14:textFill>
            <w14:solidFill>
              <w14:schemeClr w14:val="tx1"/>
            </w14:solidFill>
          </w14:textFill>
        </w:rPr>
        <w:t>经</w:t>
      </w:r>
      <w:r>
        <w:rPr>
          <w:rFonts w:hint="eastAsia" w:ascii="仿宋" w:hAnsi="仿宋" w:eastAsia="仿宋" w:cs="仿宋"/>
          <w:color w:val="000000" w:themeColor="text1"/>
          <w:szCs w:val="24"/>
          <w:highlight w:val="none"/>
          <w:lang w:val="en-US" w:eastAsia="zh-CN"/>
          <w14:textFill>
            <w14:solidFill>
              <w14:schemeClr w14:val="tx1"/>
            </w14:solidFill>
          </w14:textFill>
        </w:rPr>
        <w:t>甲、乙双方</w:t>
      </w:r>
      <w:r>
        <w:rPr>
          <w:rFonts w:hint="eastAsia" w:ascii="仿宋" w:hAnsi="仿宋" w:eastAsia="仿宋" w:cs="仿宋"/>
          <w:color w:val="000000" w:themeColor="text1"/>
          <w:szCs w:val="24"/>
          <w:highlight w:val="none"/>
          <w:lang w:val="zh-CN"/>
          <w14:textFill>
            <w14:solidFill>
              <w14:schemeClr w14:val="tx1"/>
            </w14:solidFill>
          </w14:textFill>
        </w:rPr>
        <w:t>协商一致</w:t>
      </w:r>
      <w:r>
        <w:rPr>
          <w:rFonts w:hint="eastAsia" w:ascii="仿宋" w:hAnsi="仿宋" w:eastAsia="仿宋" w:cs="仿宋"/>
          <w:color w:val="000000" w:themeColor="text1"/>
          <w:szCs w:val="24"/>
          <w:highlight w:val="none"/>
          <w14:textFill>
            <w14:solidFill>
              <w14:schemeClr w14:val="tx1"/>
            </w14:solidFill>
          </w14:textFill>
        </w:rPr>
        <w:t>，签署本合同</w:t>
      </w:r>
      <w:r>
        <w:rPr>
          <w:rFonts w:hint="eastAsia" w:ascii="仿宋" w:hAnsi="仿宋" w:eastAsia="仿宋" w:cs="仿宋"/>
          <w:color w:val="000000" w:themeColor="text1"/>
          <w:szCs w:val="24"/>
          <w:highlight w:val="none"/>
          <w:lang w:eastAsia="zh-CN"/>
          <w14:textFill>
            <w14:solidFill>
              <w14:schemeClr w14:val="tx1"/>
            </w14:solidFill>
          </w14:textFill>
        </w:rPr>
        <w:t>。</w:t>
      </w:r>
    </w:p>
    <w:p w14:paraId="4CDC50CB">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第一条　合同标的</w:t>
      </w:r>
    </w:p>
    <w:p w14:paraId="3F4E59E1">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 xml:space="preserve">1.1 </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根据</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需求提供下列货物：货物名称、规格及数量详见“货物一览表”。</w:t>
      </w:r>
    </w:p>
    <w:p w14:paraId="4A15785C">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第二条　合同总价款</w:t>
      </w:r>
    </w:p>
    <w:p w14:paraId="2F875228">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2.1 本</w:t>
      </w:r>
      <w:r>
        <w:rPr>
          <w:rFonts w:hint="eastAsia" w:ascii="仿宋" w:hAnsi="仿宋" w:eastAsia="仿宋" w:cs="仿宋"/>
          <w:color w:val="000000" w:themeColor="text1"/>
          <w:szCs w:val="24"/>
          <w:highlight w:val="none"/>
          <w:lang w:val="en-US" w:eastAsia="zh-CN"/>
          <w14:textFill>
            <w14:solidFill>
              <w14:schemeClr w14:val="tx1"/>
            </w14:solidFill>
          </w14:textFill>
        </w:rPr>
        <w:t>合同</w:t>
      </w:r>
      <w:r>
        <w:rPr>
          <w:rFonts w:hint="eastAsia" w:ascii="仿宋" w:hAnsi="仿宋" w:eastAsia="仿宋" w:cs="仿宋"/>
          <w:color w:val="000000" w:themeColor="text1"/>
          <w:szCs w:val="24"/>
          <w:highlight w:val="none"/>
          <w14:textFill>
            <w14:solidFill>
              <w14:schemeClr w14:val="tx1"/>
            </w14:solidFill>
          </w14:textFill>
        </w:rPr>
        <w:t>项下货物总价款为人民币</w:t>
      </w:r>
      <w:r>
        <w:rPr>
          <w:rFonts w:hint="eastAsia" w:ascii="仿宋" w:hAnsi="仿宋" w:eastAsia="仿宋" w:cs="仿宋"/>
          <w:color w:val="000000" w:themeColor="text1"/>
          <w:szCs w:val="24"/>
          <w:highlight w:val="none"/>
          <w:u w:val="single"/>
          <w14:textFill>
            <w14:solidFill>
              <w14:schemeClr w14:val="tx1"/>
            </w14:solidFill>
          </w14:textFill>
        </w:rPr>
        <w:t>（大写）</w:t>
      </w:r>
      <w:r>
        <w:rPr>
          <w:rFonts w:hint="eastAsia" w:ascii="仿宋" w:hAnsi="仿宋" w:eastAsia="仿宋" w:cs="仿宋"/>
          <w:color w:val="000000" w:themeColor="text1"/>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u w:val="single"/>
          <w14:textFill>
            <w14:solidFill>
              <w14:schemeClr w14:val="tx1"/>
            </w14:solidFill>
          </w14:textFill>
        </w:rPr>
        <w:t>（￥：</w:t>
      </w:r>
      <w:r>
        <w:rPr>
          <w:rFonts w:hint="eastAsia" w:ascii="仿宋" w:hAnsi="仿宋" w:eastAsia="仿宋" w:cs="仿宋"/>
          <w:color w:val="000000" w:themeColor="text1"/>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u w:val="single"/>
          <w14:textFill>
            <w14:solidFill>
              <w14:schemeClr w14:val="tx1"/>
            </w14:solidFill>
          </w14:textFill>
        </w:rPr>
        <w:t>）</w:t>
      </w:r>
      <w:r>
        <w:rPr>
          <w:rFonts w:hint="eastAsia" w:ascii="仿宋" w:hAnsi="仿宋" w:eastAsia="仿宋" w:cs="仿宋"/>
          <w:color w:val="000000" w:themeColor="text1"/>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单价</w:t>
      </w:r>
      <w:r>
        <w:rPr>
          <w:rFonts w:hint="eastAsia" w:ascii="仿宋" w:hAnsi="仿宋" w:eastAsia="仿宋" w:cs="仿宋"/>
          <w:color w:val="000000" w:themeColor="text1"/>
          <w:szCs w:val="24"/>
          <w:highlight w:val="none"/>
          <w14:textFill>
            <w14:solidFill>
              <w14:schemeClr w14:val="tx1"/>
            </w14:solidFill>
          </w14:textFill>
        </w:rPr>
        <w:t>详见“</w:t>
      </w:r>
      <w:r>
        <w:rPr>
          <w:rFonts w:hint="eastAsia" w:ascii="仿宋" w:hAnsi="仿宋" w:eastAsia="仿宋" w:cs="仿宋"/>
          <w:color w:val="000000" w:themeColor="text1"/>
          <w:szCs w:val="24"/>
          <w:highlight w:val="none"/>
          <w:lang w:val="en-US" w:eastAsia="zh-CN"/>
          <w14:textFill>
            <w14:solidFill>
              <w14:schemeClr w14:val="tx1"/>
            </w14:solidFill>
          </w14:textFill>
        </w:rPr>
        <w:t>2.4产品清单</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color w:val="000000" w:themeColor="text1"/>
          <w:szCs w:val="24"/>
          <w:highlight w:val="none"/>
          <w:lang w:eastAsia="zh-CN"/>
          <w14:textFill>
            <w14:solidFill>
              <w14:schemeClr w14:val="tx1"/>
            </w14:solidFill>
          </w14:textFill>
        </w:rPr>
        <w:t>。</w:t>
      </w:r>
    </w:p>
    <w:p w14:paraId="748BEEF1">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2.2 本合同总价款</w:t>
      </w:r>
      <w:r>
        <w:rPr>
          <w:rFonts w:hint="eastAsia" w:ascii="仿宋" w:hAnsi="仿宋" w:eastAsia="仿宋" w:cs="仿宋"/>
          <w:color w:val="000000" w:themeColor="text1"/>
          <w:szCs w:val="24"/>
          <w:highlight w:val="none"/>
          <w:lang w:val="en-US" w:eastAsia="zh-CN"/>
          <w14:textFill>
            <w14:solidFill>
              <w14:schemeClr w14:val="tx1"/>
            </w14:solidFill>
          </w14:textFill>
        </w:rPr>
        <w:t>包括完成本项目所需要的</w:t>
      </w:r>
      <w:r>
        <w:rPr>
          <w:rFonts w:hint="eastAsia" w:ascii="仿宋" w:hAnsi="仿宋" w:eastAsia="仿宋" w:cs="仿宋"/>
          <w:color w:val="000000" w:themeColor="text1"/>
          <w:szCs w:val="24"/>
          <w:highlight w:val="none"/>
          <w14:textFill>
            <w14:solidFill>
              <w14:schemeClr w14:val="tx1"/>
            </w14:solidFill>
          </w14:textFill>
        </w:rPr>
        <w:t>货物设计、制造、包装、仓储、运输、安装及验收合格之前及保修期内备品备件发生的所有含税费用。</w:t>
      </w:r>
    </w:p>
    <w:p w14:paraId="0C72FD42">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2.3 本合同总价款还包含</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应当提供的伴随服务/售后服务费用。</w:t>
      </w:r>
    </w:p>
    <w:p w14:paraId="49CC27B3">
      <w:pPr>
        <w:pStyle w:val="59"/>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2.4 产品清单</w:t>
      </w:r>
    </w:p>
    <w:tbl>
      <w:tblPr>
        <w:tblStyle w:val="62"/>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092"/>
        <w:gridCol w:w="1634"/>
        <w:gridCol w:w="900"/>
        <w:gridCol w:w="1262"/>
        <w:gridCol w:w="1483"/>
      </w:tblGrid>
      <w:tr w14:paraId="2619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14:paraId="6C7AF567">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序号</w:t>
            </w:r>
          </w:p>
        </w:tc>
        <w:tc>
          <w:tcPr>
            <w:tcW w:w="2092" w:type="dxa"/>
            <w:vAlign w:val="center"/>
          </w:tcPr>
          <w:p w14:paraId="6EC7E754">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设备名称</w:t>
            </w:r>
          </w:p>
        </w:tc>
        <w:tc>
          <w:tcPr>
            <w:tcW w:w="1634" w:type="dxa"/>
            <w:vAlign w:val="center"/>
          </w:tcPr>
          <w:p w14:paraId="2DD0520D">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规格型号</w:t>
            </w:r>
          </w:p>
        </w:tc>
        <w:tc>
          <w:tcPr>
            <w:tcW w:w="900" w:type="dxa"/>
            <w:vAlign w:val="center"/>
          </w:tcPr>
          <w:p w14:paraId="4B06F62F">
            <w:pPr>
              <w:pStyle w:val="59"/>
              <w:spacing w:before="0" w:after="0"/>
              <w:jc w:val="center"/>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数量</w:t>
            </w:r>
          </w:p>
        </w:tc>
        <w:tc>
          <w:tcPr>
            <w:tcW w:w="1262" w:type="dxa"/>
            <w:vAlign w:val="center"/>
          </w:tcPr>
          <w:p w14:paraId="473D0D6C">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单价</w:t>
            </w:r>
          </w:p>
        </w:tc>
        <w:tc>
          <w:tcPr>
            <w:tcW w:w="1483" w:type="dxa"/>
            <w:vAlign w:val="center"/>
          </w:tcPr>
          <w:p w14:paraId="395E2513">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合价</w:t>
            </w:r>
          </w:p>
        </w:tc>
      </w:tr>
      <w:tr w14:paraId="57D4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14:paraId="03BB2CCE">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c>
          <w:tcPr>
            <w:tcW w:w="2092" w:type="dxa"/>
            <w:vAlign w:val="center"/>
          </w:tcPr>
          <w:p w14:paraId="2785111F">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c>
          <w:tcPr>
            <w:tcW w:w="1634" w:type="dxa"/>
            <w:vAlign w:val="center"/>
          </w:tcPr>
          <w:p w14:paraId="5803720D">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c>
          <w:tcPr>
            <w:tcW w:w="900" w:type="dxa"/>
            <w:vAlign w:val="center"/>
          </w:tcPr>
          <w:p w14:paraId="45EA92A7">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c>
          <w:tcPr>
            <w:tcW w:w="1262" w:type="dxa"/>
            <w:vAlign w:val="center"/>
          </w:tcPr>
          <w:p w14:paraId="18399B1C">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c>
          <w:tcPr>
            <w:tcW w:w="1483" w:type="dxa"/>
            <w:vAlign w:val="center"/>
          </w:tcPr>
          <w:p w14:paraId="479E6E76">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r>
      <w:tr w14:paraId="2B5F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14:paraId="237EF323">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c>
          <w:tcPr>
            <w:tcW w:w="2092" w:type="dxa"/>
            <w:vAlign w:val="center"/>
          </w:tcPr>
          <w:p w14:paraId="74D19336">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c>
          <w:tcPr>
            <w:tcW w:w="1634" w:type="dxa"/>
            <w:vAlign w:val="center"/>
          </w:tcPr>
          <w:p w14:paraId="26A1BDEF">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c>
          <w:tcPr>
            <w:tcW w:w="900" w:type="dxa"/>
            <w:vAlign w:val="center"/>
          </w:tcPr>
          <w:p w14:paraId="77672840">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c>
          <w:tcPr>
            <w:tcW w:w="1262" w:type="dxa"/>
            <w:vAlign w:val="center"/>
          </w:tcPr>
          <w:p w14:paraId="7FF411E1">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c>
          <w:tcPr>
            <w:tcW w:w="1483" w:type="dxa"/>
            <w:vAlign w:val="center"/>
          </w:tcPr>
          <w:p w14:paraId="562F33D7">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r>
      <w:tr w14:paraId="6010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14:paraId="39E00E0A">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c>
          <w:tcPr>
            <w:tcW w:w="2092" w:type="dxa"/>
            <w:vAlign w:val="center"/>
          </w:tcPr>
          <w:p w14:paraId="7B8F3B24">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c>
          <w:tcPr>
            <w:tcW w:w="1634" w:type="dxa"/>
            <w:vAlign w:val="center"/>
          </w:tcPr>
          <w:p w14:paraId="570C5AF8">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c>
          <w:tcPr>
            <w:tcW w:w="900" w:type="dxa"/>
            <w:vAlign w:val="center"/>
          </w:tcPr>
          <w:p w14:paraId="6DA4C87B">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c>
          <w:tcPr>
            <w:tcW w:w="1262" w:type="dxa"/>
            <w:vAlign w:val="center"/>
          </w:tcPr>
          <w:p w14:paraId="758D3E06">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c>
          <w:tcPr>
            <w:tcW w:w="1483" w:type="dxa"/>
            <w:vAlign w:val="center"/>
          </w:tcPr>
          <w:p w14:paraId="00F62E15">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p>
        </w:tc>
      </w:tr>
      <w:tr w14:paraId="7B99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dxa"/>
            <w:gridSpan w:val="2"/>
            <w:vAlign w:val="center"/>
          </w:tcPr>
          <w:p w14:paraId="177582A8">
            <w:pPr>
              <w:pStyle w:val="59"/>
              <w:spacing w:before="0" w:beforeAutospacing="0" w:after="0" w:afterAutospacing="0"/>
              <w:jc w:val="center"/>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合计</w:t>
            </w:r>
          </w:p>
        </w:tc>
        <w:tc>
          <w:tcPr>
            <w:tcW w:w="5279" w:type="dxa"/>
            <w:gridSpan w:val="4"/>
            <w:vAlign w:val="center"/>
          </w:tcPr>
          <w:p w14:paraId="2BD62ABE">
            <w:pPr>
              <w:pStyle w:val="59"/>
              <w:spacing w:before="0" w:beforeAutospacing="0" w:after="0" w:afterAutospacing="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（大写）（￥：</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w:t>
            </w:r>
          </w:p>
        </w:tc>
      </w:tr>
    </w:tbl>
    <w:p w14:paraId="36426E4B">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第三条　组成本合同的有关文件</w:t>
      </w:r>
    </w:p>
    <w:p w14:paraId="34B22A1F">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3.1 下列文件构成本合同的组成部分，应该认为是一个整体，彼此相互解释，相互补充。组成合同的多个文件的优先支配地位的次序如下：</w:t>
      </w:r>
    </w:p>
    <w:p w14:paraId="4D72A6C0">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3.1.1 本合同书　</w:t>
      </w:r>
    </w:p>
    <w:p w14:paraId="52007638">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3.1.2 中标通知书</w:t>
      </w:r>
      <w:r>
        <w:rPr>
          <w:rFonts w:hint="eastAsia" w:ascii="仿宋" w:hAnsi="仿宋" w:eastAsia="仿宋" w:cs="仿宋"/>
          <w:color w:val="000000" w:themeColor="text1"/>
          <w:szCs w:val="24"/>
          <w:highlight w:val="none"/>
          <w14:textFill>
            <w14:solidFill>
              <w14:schemeClr w14:val="tx1"/>
            </w14:solidFill>
          </w14:textFill>
        </w:rPr>
        <w:tab/>
      </w:r>
    </w:p>
    <w:p w14:paraId="3FEDDDF9">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3.1.3 中标人澄清修改文件</w:t>
      </w:r>
    </w:p>
    <w:p w14:paraId="3AF783DF">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3.1.4 中标人投标文件</w:t>
      </w:r>
    </w:p>
    <w:p w14:paraId="5802DC58">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3.1.5 招标文件澄清修改文件</w:t>
      </w:r>
    </w:p>
    <w:p w14:paraId="213DA337">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3.1.6 招标文件</w:t>
      </w:r>
    </w:p>
    <w:p w14:paraId="4FF1594A">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第四条　权利保证</w:t>
      </w:r>
    </w:p>
    <w:p w14:paraId="64ADE39C">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保证提供的货物不存在对任何第三方侵权行为（包括商标、专利、版权、知识产权等）。若发生侵权行为，由</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负全责，应承担由此发生的一切经济和法律责任，并赔偿</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30%的合同货款的。</w:t>
      </w:r>
    </w:p>
    <w:p w14:paraId="72596C12">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第五条　质量保证</w:t>
      </w:r>
    </w:p>
    <w:p w14:paraId="354F6E56">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 xml:space="preserve">5.1 </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须保证货物与投标文件相一致，货物是原厂生产的、全新、未使用过的；货物完全符合国家有关法律、法规、规章的规定，如：中国强制性产品认证制度；货物完全符合国家有关部门最新颁布强制性技术质量规范的；货物符合合同规定的质量、规格、性能和技术规范等的要求。</w:t>
      </w:r>
    </w:p>
    <w:p w14:paraId="4F47A3FA">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 xml:space="preserve">5.2 </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须保证所提供的货物经正确安装、正常运转和保养，在其使用寿命期内须具有符合质量要求和产品说明书的性能。在货物质量保证期之内，</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须对由于设计、工艺或材料的缺陷而发生的故障负责，由此引发的险和费用将由</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承担。</w:t>
      </w:r>
    </w:p>
    <w:p w14:paraId="64B7D9D0">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5.3 根据</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按检验标准自己检验结果或委托有资质的相关质检机构的检验结果，发现货物的数量、质量、规格与合同不符；或者在质量保证期内，证实货物存在缺陷，包括潜在的缺陷或使用不符合要求的材料等，</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应尽快以书面形式通知</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在收到通知后天内应维修或更换有缺陷的货物或部件。</w:t>
      </w:r>
    </w:p>
    <w:p w14:paraId="5ACA3781">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5.4 如果</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在收到通知后天内没有弥补缺陷，</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可采取必要的补救措施，但由此引发的险和费用将由</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承担。</w:t>
      </w:r>
    </w:p>
    <w:p w14:paraId="5F3386F8">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第六条技术资料</w:t>
      </w:r>
    </w:p>
    <w:p w14:paraId="1B4D787A">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 xml:space="preserve">6.1 </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应将每台设备和仪器的中文技术资料完整一套，如目录索引、图纸、操作手册、使用指南、维修指南或服务手册和示意图等随同每批货物一起发运。</w:t>
      </w:r>
    </w:p>
    <w:p w14:paraId="75A73041">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6.2 如果</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确认</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提供的技术资料不完整或在运输过程中丢失，</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将在收到</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通知后天内将这些资料寄给</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w:t>
      </w:r>
    </w:p>
    <w:p w14:paraId="18E86EFB">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第七条　包装要求</w:t>
      </w:r>
    </w:p>
    <w:p w14:paraId="5A10C446">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7.1除合同另有规定外，</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提供的全部货物均应按标准保护措施进行包装。该包装应适应于远距离运输、防潮、防震、防锈和防野蛮装卸，以确保货物安全无损运抵指定地点。由于包装不善所引起的货物损失均由</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承担。</w:t>
      </w:r>
    </w:p>
    <w:p w14:paraId="6951466A">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7.2每一包装单元内应附详细的装箱单和质量合格凭证。</w:t>
      </w:r>
    </w:p>
    <w:p w14:paraId="0FD4BE08">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第八条　交货时间、方式、地点</w:t>
      </w:r>
    </w:p>
    <w:p w14:paraId="3C00A6F1">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 xml:space="preserve">8.1 </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应按照本合同或招标文件规定的时间和方式向</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交付货物，交货地点为；</w:t>
      </w:r>
    </w:p>
    <w:p w14:paraId="6CD5FA92">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 xml:space="preserve">8.2 </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交付的货物应当完全符合本合同或者招标文件所规定的货物、数量和规格要求。</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不得少交或多交货物。</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提供的货物不符合招标文件和合同规定的，</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有权拒收货物，由此引起的险，由</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承担。</w:t>
      </w:r>
    </w:p>
    <w:p w14:paraId="6A289549">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第九条检验和验收</w:t>
      </w:r>
    </w:p>
    <w:p w14:paraId="5090E045">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 xml:space="preserve">9.1 </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应将所提供货物的装箱清单、用户手册、原厂保修卡、随机资料及配件、随机工具等交付给</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不能完整交付货物及本款规定的单证和工具的，视为未按合同约定交货，</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负责补齐，因此导致逾期交付的，由</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承担相关的违约责任。</w:t>
      </w:r>
    </w:p>
    <w:p w14:paraId="43399F21">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9.2 货物的到货验收包括：型号、规格、数量、外观质量、及货物包装是否完好；</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须按照采购合同规定或招标文件的技术、服务等要求组织对投标人履约的验收，并出具验收书。验收方成员应当在验收书上签字，并承担相应的法律责任。</w:t>
      </w:r>
    </w:p>
    <w:p w14:paraId="5624F766">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9.3</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应当在到货后的个工作日内对货物进行验收；需要</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对货物或系统进行安装调试的，</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应在货物安装调试完毕后的个工作日内进行质量验收。验收合格的，由</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签署验收单并加盖单位公章。招标文件对检验期限另有规定的，从其规定。</w:t>
      </w:r>
    </w:p>
    <w:p w14:paraId="702B0A67">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9.4货物和系统调试验收的标准：按行业通行标准、厂方出厂标准和</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投标文件的承诺（详见合同附件载明的标准，并不低于国家相关标准）。</w:t>
      </w:r>
    </w:p>
    <w:p w14:paraId="04266474">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9.5制造厂对所供货物进行机械运转试验和性能试验时，</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必须提前通知</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w:t>
      </w:r>
    </w:p>
    <w:p w14:paraId="27A8F51E">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第十条　伴随服务／售后服务</w:t>
      </w:r>
    </w:p>
    <w:p w14:paraId="699E5D6B">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10.1</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应按照国家有关法律法规规章和“三包”规定以及合同所附的“服务承诺”提供服务。</w:t>
      </w:r>
    </w:p>
    <w:p w14:paraId="0543BB16">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10.2除前款规定外，</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还应提供下列服务：</w:t>
      </w:r>
    </w:p>
    <w:p w14:paraId="062D8925">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10.2.1货物的现场安装、调试和/或启动监督；</w:t>
      </w:r>
    </w:p>
    <w:p w14:paraId="0BEFE211">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10.2.2就货物的安装、启动、运行及维护等对</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人员进行培训。</w:t>
      </w:r>
    </w:p>
    <w:p w14:paraId="3610E104">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10.2.3若招标文件中不包含有关伴随服务或售后服务的承诺，双方作如下约定：</w:t>
      </w:r>
    </w:p>
    <w:p w14:paraId="5CF57174">
      <w:pPr>
        <w:pStyle w:val="980"/>
        <w:spacing w:before="0" w:beforeAutospacing="0" w:after="0" w:afterAutospacing="0" w:line="360" w:lineRule="auto"/>
        <w:rPr>
          <w:rFonts w:hint="default"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u w:val="single"/>
          <w:lang w:val="en-US" w:eastAsia="zh-CN"/>
          <w14:textFill>
            <w14:solidFill>
              <w14:schemeClr w14:val="tx1"/>
            </w14:solidFill>
          </w14:textFill>
        </w:rPr>
        <w:t xml:space="preserve">             。</w:t>
      </w:r>
    </w:p>
    <w:p w14:paraId="2C53D217">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10.3</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应为</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提供培训服务，并指派专人负责与</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联系售后服务事宜。主要培训内容为货物的基本结构、性能、主要部件的构造及处理，日常使用操作、保养与管理、常见故障的排除、紧急情况的处理等，如</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未使用过同类型货物，</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还需就货物的功能对</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人员进行相应的技术培训，培训地点主要在货物安装现场或由</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安排。</w:t>
      </w:r>
    </w:p>
    <w:p w14:paraId="22194F68">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10.4所购货物</w:t>
      </w:r>
      <w:r>
        <w:rPr>
          <w:rFonts w:hint="eastAsia" w:ascii="仿宋" w:hAnsi="仿宋" w:eastAsia="仿宋" w:cs="仿宋"/>
          <w:color w:val="000000" w:themeColor="text1"/>
          <w:szCs w:val="24"/>
          <w:highlight w:val="none"/>
          <w:lang w:val="en-US" w:eastAsia="zh-CN"/>
          <w14:textFill>
            <w14:solidFill>
              <w14:schemeClr w14:val="tx1"/>
            </w14:solidFill>
          </w14:textFill>
        </w:rPr>
        <w:t>质保期</w:t>
      </w:r>
      <w:r>
        <w:rPr>
          <w:rFonts w:hint="eastAsia" w:ascii="仿宋" w:hAnsi="仿宋" w:eastAsia="仿宋" w:cs="仿宋"/>
          <w:color w:val="000000" w:themeColor="text1"/>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年；</w:t>
      </w:r>
    </w:p>
    <w:p w14:paraId="2F4E6560">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10.5保修期内，</w:t>
      </w:r>
      <w:r>
        <w:rPr>
          <w:rFonts w:hint="eastAsia" w:ascii="仿宋" w:hAnsi="仿宋" w:eastAsia="仿宋" w:cs="仿宋"/>
          <w:bCs/>
          <w:color w:val="000000" w:themeColor="text1"/>
          <w:sz w:val="24"/>
          <w:szCs w:val="24"/>
          <w:highlight w:val="none"/>
          <w:u w:val="none"/>
          <w:lang w:val="en-US" w:eastAsia="zh-CN"/>
          <w14:textFill>
            <w14:solidFill>
              <w14:schemeClr w14:val="tx1"/>
            </w14:solidFill>
          </w14:textFill>
        </w:rPr>
        <w:t>非人为有意损坏实行包修、包换，时间自最终验收合格并交付使用之日起计算。在质保期内，如货物发生非人为的质量问题，乙方保证在接到电话通知后，立即响应，8小时内赶到现场修理、更换部件，3个工作日内不能修复的，必须采取提供备品备件等措施，以保证甲方的正常使用；</w:t>
      </w:r>
    </w:p>
    <w:p w14:paraId="0808EEC6">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10.</w:t>
      </w:r>
      <w:r>
        <w:rPr>
          <w:rFonts w:hint="eastAsia" w:ascii="仿宋" w:hAnsi="仿宋" w:eastAsia="仿宋" w:cs="仿宋"/>
          <w:color w:val="000000" w:themeColor="text1"/>
          <w:szCs w:val="24"/>
          <w:highlight w:val="none"/>
          <w:lang w:val="en-US" w:eastAsia="zh-CN"/>
          <w14:textFill>
            <w14:solidFill>
              <w14:schemeClr w14:val="tx1"/>
            </w14:solidFill>
          </w14:textFill>
        </w:rPr>
        <w:t>6</w:t>
      </w:r>
      <w:r>
        <w:rPr>
          <w:rFonts w:hint="eastAsia" w:ascii="仿宋" w:hAnsi="仿宋" w:eastAsia="仿宋" w:cs="仿宋"/>
          <w:color w:val="000000" w:themeColor="text1"/>
          <w:szCs w:val="24"/>
          <w:highlight w:val="none"/>
          <w14:textFill>
            <w14:solidFill>
              <w14:schemeClr w14:val="tx1"/>
            </w14:solidFill>
          </w14:textFill>
        </w:rPr>
        <w:t>所有货物保修服务方式均为</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上门保修，即由</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派员到货物使用现场维修，由此产生的一切费用均由</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承担。</w:t>
      </w:r>
    </w:p>
    <w:p w14:paraId="136EADEE">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10.</w:t>
      </w:r>
      <w:r>
        <w:rPr>
          <w:rFonts w:hint="eastAsia" w:ascii="仿宋" w:hAnsi="仿宋" w:eastAsia="仿宋" w:cs="仿宋"/>
          <w:color w:val="000000" w:themeColor="text1"/>
          <w:szCs w:val="24"/>
          <w:highlight w:val="none"/>
          <w:lang w:val="en-US" w:eastAsia="zh-CN"/>
          <w14:textFill>
            <w14:solidFill>
              <w14:schemeClr w14:val="tx1"/>
            </w14:solidFill>
          </w14:textFill>
        </w:rPr>
        <w:t>7</w:t>
      </w:r>
      <w:r>
        <w:rPr>
          <w:rFonts w:hint="eastAsia" w:ascii="仿宋" w:hAnsi="仿宋" w:eastAsia="仿宋" w:cs="仿宋"/>
          <w:color w:val="000000" w:themeColor="text1"/>
          <w:szCs w:val="24"/>
          <w:highlight w:val="none"/>
          <w14:textFill>
            <w14:solidFill>
              <w14:schemeClr w14:val="tx1"/>
            </w14:solidFill>
          </w14:textFill>
        </w:rPr>
        <w:t>保修期后的货物维护由双方协商再定。</w:t>
      </w:r>
    </w:p>
    <w:p w14:paraId="6078400D">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第十一条　履约保证金</w:t>
      </w:r>
    </w:p>
    <w:p w14:paraId="68796D80">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合同签订后7日内，</w:t>
      </w:r>
      <w:r>
        <w:rPr>
          <w:rFonts w:hint="eastAsia" w:ascii="仿宋" w:hAnsi="仿宋" w:eastAsia="仿宋" w:cs="仿宋"/>
          <w:color w:val="000000" w:themeColor="text1"/>
          <w:sz w:val="24"/>
          <w:szCs w:val="24"/>
          <w:highlight w:val="none"/>
          <w:lang w:val="en-US"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向</w:t>
      </w:r>
      <w:r>
        <w:rPr>
          <w:rFonts w:hint="eastAsia" w:ascii="仿宋" w:hAnsi="仿宋" w:eastAsia="仿宋" w:cs="仿宋"/>
          <w:color w:val="000000" w:themeColor="text1"/>
          <w:sz w:val="24"/>
          <w:szCs w:val="24"/>
          <w:highlight w:val="none"/>
          <w:lang w:val="en-US"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缴纳中标价</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%的履约保证金，</w:t>
      </w:r>
      <w:r>
        <w:rPr>
          <w:rFonts w:hint="eastAsia" w:ascii="仿宋" w:hAnsi="仿宋" w:eastAsia="仿宋" w:cs="仿宋"/>
          <w:color w:val="000000" w:themeColor="text1"/>
          <w:sz w:val="24"/>
          <w:szCs w:val="24"/>
          <w:highlight w:val="none"/>
          <w:lang w:val="en-US" w:eastAsia="zh-CN"/>
          <w14:textFill>
            <w14:solidFill>
              <w14:schemeClr w14:val="tx1"/>
            </w14:solidFill>
          </w14:textFill>
        </w:rPr>
        <w:t>即：</w:t>
      </w:r>
      <w:r>
        <w:rPr>
          <w:rFonts w:hint="eastAsia" w:ascii="仿宋" w:hAnsi="仿宋" w:eastAsia="仿宋" w:cs="仿宋"/>
          <w:color w:val="000000" w:themeColor="text1"/>
          <w:sz w:val="24"/>
          <w:szCs w:val="24"/>
          <w:highlight w:val="none"/>
          <w14:textFill>
            <w14:solidFill>
              <w14:schemeClr w14:val="tx1"/>
            </w14:solidFill>
          </w14:textFill>
        </w:rPr>
        <w:t>(大写)：</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元整（￥</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元）</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履约保证金以</w:t>
      </w:r>
      <w:r>
        <w:rPr>
          <w:rFonts w:hint="eastAsia" w:ascii="仿宋" w:hAnsi="仿宋" w:eastAsia="仿宋" w:cs="仿宋"/>
          <w:color w:val="000000" w:themeColor="text1"/>
          <w:szCs w:val="24"/>
          <w:highlight w:val="none"/>
          <w14:textFill>
            <w14:solidFill>
              <w14:schemeClr w14:val="tx1"/>
            </w14:solidFill>
          </w14:textFill>
        </w:rPr>
        <w:t>支票、汇票、本票或者金融机构、保险公司、担保机构出具的保函/保险等非现金形式提交。</w:t>
      </w:r>
    </w:p>
    <w:p w14:paraId="6167D264">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2.签订合同后，如</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不按双方合同约定履约，违反有关法律法规的规定及合同约定的条款，</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将没收全部履约保证金。履约保证金不足以赔偿损失的，</w:t>
      </w:r>
      <w:r>
        <w:rPr>
          <w:rFonts w:hint="eastAsia" w:ascii="仿宋" w:hAnsi="仿宋" w:eastAsia="仿宋" w:cs="仿宋"/>
          <w:color w:val="000000" w:themeColor="text1"/>
          <w:szCs w:val="24"/>
          <w:highlight w:val="none"/>
          <w:lang w:val="en-US" w:eastAsia="zh-CN"/>
          <w14:textFill>
            <w14:solidFill>
              <w14:schemeClr w14:val="tx1"/>
            </w14:solidFill>
          </w14:textFill>
        </w:rPr>
        <w:t>超过部分应由乙方承担</w:t>
      </w:r>
      <w:r>
        <w:rPr>
          <w:rFonts w:hint="eastAsia" w:ascii="仿宋" w:hAnsi="仿宋" w:eastAsia="仿宋" w:cs="仿宋"/>
          <w:color w:val="000000" w:themeColor="text1"/>
          <w:szCs w:val="24"/>
          <w:highlight w:val="none"/>
          <w14:textFill>
            <w14:solidFill>
              <w14:schemeClr w14:val="tx1"/>
            </w14:solidFill>
          </w14:textFill>
        </w:rPr>
        <w:t>。</w:t>
      </w:r>
    </w:p>
    <w:p w14:paraId="735AC48B">
      <w:pPr>
        <w:pStyle w:val="980"/>
        <w:spacing w:before="0" w:beforeAutospacing="0" w:after="0" w:afterAutospacing="0" w:line="360" w:lineRule="auto"/>
        <w:ind w:firstLine="480" w:firstLineChars="200"/>
        <w:rPr>
          <w:rFonts w:hint="default"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3.甲方在</w:t>
      </w:r>
      <w:r>
        <w:rPr>
          <w:rFonts w:hint="eastAsia" w:ascii="仿宋" w:hAnsi="仿宋" w:eastAsia="仿宋" w:cs="仿宋"/>
          <w:color w:val="000000" w:themeColor="text1"/>
          <w:szCs w:val="24"/>
          <w:highlight w:val="none"/>
          <w:lang w:val="en-US" w:eastAsia="zh-CN"/>
          <w14:textFill>
            <w14:solidFill>
              <w14:schemeClr w14:val="tx1"/>
            </w14:solidFill>
          </w14:textFill>
        </w:rPr>
        <w:t>履约期满后无息</w:t>
      </w:r>
      <w:r>
        <w:rPr>
          <w:rFonts w:hint="eastAsia" w:ascii="仿宋" w:hAnsi="仿宋" w:eastAsia="仿宋" w:cs="仿宋"/>
          <w:color w:val="000000" w:themeColor="text1"/>
          <w:szCs w:val="24"/>
          <w:highlight w:val="none"/>
          <w14:textFill>
            <w14:solidFill>
              <w14:schemeClr w14:val="tx1"/>
            </w14:solidFill>
          </w14:textFill>
        </w:rPr>
        <w:t>退还履约保证金。</w:t>
      </w:r>
    </w:p>
    <w:p w14:paraId="2FF180BC">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第十二条　货款支付</w:t>
      </w:r>
    </w:p>
    <w:p w14:paraId="1539E929">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12.1本合同项下所有款项均以人民币支付。</w:t>
      </w:r>
    </w:p>
    <w:p w14:paraId="42D24CE0">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12.2货款支付方法：</w:t>
      </w:r>
    </w:p>
    <w:p w14:paraId="05E1ED2E">
      <w:pPr>
        <w:adjustRightInd w:val="0"/>
        <w:snapToGrid w:val="0"/>
        <w:spacing w:line="360" w:lineRule="auto"/>
        <w:ind w:firstLine="480"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3、付款方式：</w:t>
      </w:r>
    </w:p>
    <w:p w14:paraId="503ABF70">
      <w:pPr>
        <w:adjustRightInd w:val="0"/>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（1）合同签订后</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天内，支付合同总价款的</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0%作为预付款；</w:t>
      </w:r>
    </w:p>
    <w:p w14:paraId="0537F826">
      <w:pPr>
        <w:adjustRightInd w:val="0"/>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（2）货到工地、开箱验收合格后</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天内，支付</w:t>
      </w:r>
      <w:r>
        <w:rPr>
          <w:rFonts w:hint="eastAsia" w:ascii="仿宋" w:hAnsi="仿宋" w:eastAsia="仿宋" w:cs="仿宋"/>
          <w:color w:val="000000" w:themeColor="text1"/>
          <w:sz w:val="24"/>
          <w:highlight w:val="none"/>
          <w:lang w:val="en-US" w:eastAsia="zh-CN"/>
          <w14:textFill>
            <w14:solidFill>
              <w14:schemeClr w14:val="tx1"/>
            </w14:solidFill>
          </w14:textFill>
        </w:rPr>
        <w:t>至</w:t>
      </w:r>
      <w:r>
        <w:rPr>
          <w:rFonts w:hint="eastAsia" w:ascii="仿宋" w:hAnsi="仿宋" w:eastAsia="仿宋" w:cs="仿宋"/>
          <w:color w:val="000000" w:themeColor="text1"/>
          <w:sz w:val="24"/>
          <w:highlight w:val="none"/>
          <w14:textFill>
            <w14:solidFill>
              <w14:schemeClr w14:val="tx1"/>
            </w14:solidFill>
          </w14:textFill>
        </w:rPr>
        <w:t>合同金额的</w:t>
      </w:r>
      <w:r>
        <w:rPr>
          <w:rFonts w:hint="eastAsia" w:ascii="仿宋" w:hAnsi="仿宋" w:eastAsia="仿宋" w:cs="仿宋"/>
          <w:color w:val="000000" w:themeColor="text1"/>
          <w:sz w:val="24"/>
          <w:highlight w:val="none"/>
          <w:lang w:val="en-US" w:eastAsia="zh-CN"/>
          <w14:textFill>
            <w14:solidFill>
              <w14:schemeClr w14:val="tx1"/>
            </w14:solidFill>
          </w14:textFill>
        </w:rPr>
        <w:t>70</w:t>
      </w:r>
      <w:r>
        <w:rPr>
          <w:rFonts w:hint="eastAsia" w:ascii="仿宋" w:hAnsi="仿宋" w:eastAsia="仿宋" w:cs="仿宋"/>
          <w:color w:val="000000" w:themeColor="text1"/>
          <w:sz w:val="24"/>
          <w:highlight w:val="none"/>
          <w14:textFill>
            <w14:solidFill>
              <w14:schemeClr w14:val="tx1"/>
            </w14:solidFill>
          </w14:textFill>
        </w:rPr>
        <w:t>%；</w:t>
      </w:r>
    </w:p>
    <w:p w14:paraId="33FB3D82">
      <w:pPr>
        <w:adjustRightInd w:val="0"/>
        <w:snapToGrid w:val="0"/>
        <w:spacing w:line="360" w:lineRule="auto"/>
        <w:ind w:firstLine="388" w:firstLineChars="162"/>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（3）全部</w:t>
      </w:r>
      <w:r>
        <w:rPr>
          <w:rFonts w:hint="eastAsia" w:ascii="仿宋" w:hAnsi="仿宋" w:eastAsia="仿宋" w:cs="仿宋"/>
          <w:color w:val="000000" w:themeColor="text1"/>
          <w:spacing w:val="-6"/>
          <w:sz w:val="24"/>
          <w:highlight w:val="none"/>
          <w14:textFill>
            <w14:solidFill>
              <w14:schemeClr w14:val="tx1"/>
            </w14:solidFill>
          </w14:textFill>
        </w:rPr>
        <w:t>货物</w:t>
      </w:r>
      <w:r>
        <w:rPr>
          <w:rFonts w:hint="eastAsia" w:ascii="仿宋" w:hAnsi="仿宋" w:eastAsia="仿宋" w:cs="仿宋"/>
          <w:color w:val="000000" w:themeColor="text1"/>
          <w:sz w:val="24"/>
          <w:highlight w:val="none"/>
          <w14:textFill>
            <w14:solidFill>
              <w14:schemeClr w14:val="tx1"/>
            </w14:solidFill>
          </w14:textFill>
        </w:rPr>
        <w:t>安装结束、调试完成、验收合格后</w:t>
      </w:r>
      <w:r>
        <w:rPr>
          <w:rFonts w:hint="eastAsia" w:ascii="仿宋" w:hAnsi="仿宋" w:eastAsia="仿宋" w:cs="仿宋"/>
          <w:color w:val="000000" w:themeColor="text1"/>
          <w:sz w:val="24"/>
          <w:highlight w:val="none"/>
          <w:lang w:val="en-US" w:eastAsia="zh-CN"/>
          <w14:textFill>
            <w14:solidFill>
              <w14:schemeClr w14:val="tx1"/>
            </w14:solidFill>
          </w14:textFill>
        </w:rPr>
        <w:t>7天</w:t>
      </w:r>
      <w:r>
        <w:rPr>
          <w:rFonts w:hint="eastAsia" w:ascii="仿宋" w:hAnsi="仿宋" w:eastAsia="仿宋" w:cs="仿宋"/>
          <w:color w:val="000000" w:themeColor="text1"/>
          <w:sz w:val="24"/>
          <w:highlight w:val="none"/>
          <w14:textFill>
            <w14:solidFill>
              <w14:schemeClr w14:val="tx1"/>
            </w14:solidFill>
          </w14:textFill>
        </w:rPr>
        <w:t>内支付至</w:t>
      </w:r>
      <w:r>
        <w:rPr>
          <w:rFonts w:hint="eastAsia" w:ascii="仿宋" w:hAnsi="仿宋" w:eastAsia="仿宋" w:cs="仿宋"/>
          <w:color w:val="000000" w:themeColor="text1"/>
          <w:sz w:val="24"/>
          <w:highlight w:val="none"/>
          <w:lang w:val="en-US" w:eastAsia="zh-CN"/>
          <w14:textFill>
            <w14:solidFill>
              <w14:schemeClr w14:val="tx1"/>
            </w14:solidFill>
          </w14:textFill>
        </w:rPr>
        <w:t>实际供货总价的100</w:t>
      </w:r>
      <w:r>
        <w:rPr>
          <w:rFonts w:hint="eastAsia" w:ascii="仿宋" w:hAnsi="仿宋" w:eastAsia="仿宋" w:cs="仿宋"/>
          <w:color w:val="000000" w:themeColor="text1"/>
          <w:sz w:val="24"/>
          <w:highlight w:val="none"/>
          <w14:textFill>
            <w14:solidFill>
              <w14:schemeClr w14:val="tx1"/>
            </w14:solidFill>
          </w14:textFill>
        </w:rPr>
        <w:t>%；</w:t>
      </w:r>
    </w:p>
    <w:p w14:paraId="04CFB021">
      <w:pPr>
        <w:pStyle w:val="25"/>
        <w:tabs>
          <w:tab w:val="left" w:pos="208"/>
        </w:tabs>
        <w:ind w:firstLine="482"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注：本项采购款项均由</w:t>
      </w:r>
      <w:r>
        <w:rPr>
          <w:rFonts w:hint="eastAsia" w:ascii="仿宋" w:hAnsi="仿宋" w:eastAsia="仿宋" w:cs="仿宋"/>
          <w:b/>
          <w:bCs/>
          <w:color w:val="000000" w:themeColor="text1"/>
          <w:sz w:val="24"/>
          <w:szCs w:val="24"/>
          <w:highlight w:val="none"/>
          <w:u w:val="single"/>
          <w:lang w:val="en-US" w:eastAsia="zh-CN"/>
          <w14:textFill>
            <w14:solidFill>
              <w14:schemeClr w14:val="tx1"/>
            </w14:solidFill>
          </w14:textFill>
        </w:rPr>
        <w:t xml:space="preserve">   甲方   </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进行支付</w:t>
      </w:r>
      <w:r>
        <w:rPr>
          <w:rFonts w:hint="eastAsia" w:ascii="仿宋" w:hAnsi="仿宋" w:eastAsia="仿宋" w:cs="仿宋"/>
          <w:b w:val="0"/>
          <w:bCs w:val="0"/>
          <w:color w:val="000000" w:themeColor="text1"/>
          <w:sz w:val="24"/>
          <w:szCs w:val="24"/>
          <w:highlight w:val="none"/>
          <w14:textFill>
            <w14:solidFill>
              <w14:schemeClr w14:val="tx1"/>
            </w14:solidFill>
          </w14:textFill>
        </w:rPr>
        <w:t xml:space="preserve">  </w:t>
      </w:r>
    </w:p>
    <w:p w14:paraId="15F6D7DD">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第十三条　违约责任</w:t>
      </w:r>
    </w:p>
    <w:p w14:paraId="1BAAF79E">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13.1</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无正当理由拒收货物、拒付货物款的，由</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向</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偿付合同总价的3%违约金。</w:t>
      </w:r>
    </w:p>
    <w:p w14:paraId="56D7C87A">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13.2</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未按合同规定的期限向</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支付货款的，每逾期1天</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向</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偿付欠款总额的5‰滞纳金，但累计滞纳金总额不超过欠款总额的3% 。</w:t>
      </w:r>
    </w:p>
    <w:p w14:paraId="054BCFD2">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13.3如</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不能交付货物，</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有权扣留全部履约保证金；同时</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应向</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支付合同总价3％的违约金。</w:t>
      </w:r>
    </w:p>
    <w:p w14:paraId="5D022995">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13.4</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逾期交付货物的，每逾期1天，</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向</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偿付逾期交货部分货款总额的5‰的滞纳金。如</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逾期交货达天，</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有权解除合同，解除合同的通知自到达</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时生效。</w:t>
      </w:r>
    </w:p>
    <w:p w14:paraId="72147F6C">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在履行合同过程中，如果</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遇到不能按时交货情况，应及时以书面形式将不能按时交货的理由、预期延误时间通知</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收到</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通知后，认为其理由正当的，可酌情延长交货时间；不认可</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不能按时交货理由的，按逾期交付货物处理。</w:t>
      </w:r>
    </w:p>
    <w:p w14:paraId="750A0174">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13.5</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所交付的货物品种、型号、规格、技术指标不符合合同规定的，</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有权拒收。</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拒收的，</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应向</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支付货款总额3%的违约金。</w:t>
      </w:r>
    </w:p>
    <w:p w14:paraId="5CB242B7">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13.6在</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承诺的或国家规定的质量保证期内（取两者中最长的期限），如经</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两次维修或更换，货物仍不能达到合同约定的质量标准，</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有权退货，</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应退回全部货款，并按第13.3款处理，同时，</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还须赔偿</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因此遭受的损失。</w:t>
      </w:r>
    </w:p>
    <w:p w14:paraId="437D01E6">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13.7</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未按本合同的规定和“服务承诺”提供伴随服务/售后服务的，应按合同总价款的</w:t>
      </w:r>
      <w:r>
        <w:rPr>
          <w:rFonts w:hint="eastAsia" w:ascii="仿宋" w:hAnsi="仿宋" w:eastAsia="仿宋" w:cs="仿宋"/>
          <w:color w:val="000000" w:themeColor="text1"/>
          <w:szCs w:val="24"/>
          <w:highlight w:val="none"/>
          <w:u w:val="single"/>
          <w14:textFill>
            <w14:solidFill>
              <w14:schemeClr w14:val="tx1"/>
            </w14:solidFill>
          </w14:textFill>
        </w:rPr>
        <w:t>5‰</w:t>
      </w:r>
      <w:r>
        <w:rPr>
          <w:rFonts w:hint="eastAsia" w:ascii="仿宋" w:hAnsi="仿宋" w:eastAsia="仿宋" w:cs="仿宋"/>
          <w:color w:val="000000" w:themeColor="text1"/>
          <w:szCs w:val="24"/>
          <w:highlight w:val="none"/>
          <w14:textFill>
            <w14:solidFill>
              <w14:schemeClr w14:val="tx1"/>
            </w14:solidFill>
          </w14:textFill>
        </w:rPr>
        <w:t>向</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承担违约责任。</w:t>
      </w:r>
    </w:p>
    <w:p w14:paraId="11F69659">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13.8</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在承担上述13.3～13.7款一项或多项违约责任后，仍应继续履行合同规定的义务（</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解除合同的除外）。</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未能及时追究</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的任何一项违约责任并不表明</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放弃追究</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该项或其他违约责任。</w:t>
      </w:r>
    </w:p>
    <w:p w14:paraId="25F1AB21">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第十四条　合同的转让和分包</w:t>
      </w:r>
    </w:p>
    <w:p w14:paraId="2C8B0AAB">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不得擅自部分或全部转让其应履行的合同义务；</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不得擅自分包其应履行的合同义务。</w:t>
      </w:r>
    </w:p>
    <w:p w14:paraId="31070251">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第十五条　合同的变更和终止</w:t>
      </w:r>
    </w:p>
    <w:p w14:paraId="5EC17860">
      <w:pPr>
        <w:pStyle w:val="980"/>
        <w:widowControl w:val="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除《政府采购法》第50条第二款规定的情形外，本合同一经签订，双方不得擅自变更、中止或终止合同。</w:t>
      </w:r>
    </w:p>
    <w:p w14:paraId="5724C43C">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第十六条不可抗力</w:t>
      </w:r>
    </w:p>
    <w:p w14:paraId="2A08269C">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16.1如果双方中任何一方遭遇法律规定的不可抗力，致使合同履行受阻时，履行合同的期限应予延长，延长的期限应相当于不可抗力所影响的时间。</w:t>
      </w:r>
    </w:p>
    <w:p w14:paraId="74DEC70C">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16.2受事故影响的一方应在不可抗力的事故发生后尽快书面形式通知另一方，并尽快将有关部门出具的证明文件送达另一方。</w:t>
      </w:r>
    </w:p>
    <w:p w14:paraId="3665BF7D">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16.3不可抗力使合同的某些内容有变更必要的，双方应通过协商达成进一步履行合同的协议，因不可抗力致使合同不能履行的，合同终止。</w:t>
      </w:r>
    </w:p>
    <w:p w14:paraId="0B6567A6">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第十七条　争议的解决</w:t>
      </w:r>
    </w:p>
    <w:p w14:paraId="31FECC20">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17.1因货物的质量问题发生争议的，应当邀请国家认可的质量检测机构对货物质量进行鉴定。货物符合标准的，鉴定费由</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承担；货物不符合质量标准的，鉴定费由</w:t>
      </w:r>
      <w:r>
        <w:rPr>
          <w:rFonts w:hint="eastAsia" w:ascii="仿宋" w:hAnsi="仿宋" w:eastAsia="仿宋" w:cs="仿宋"/>
          <w:color w:val="000000" w:themeColor="text1"/>
          <w:szCs w:val="24"/>
          <w:highlight w:val="none"/>
          <w:lang w:eastAsia="zh-CN"/>
          <w14:textFill>
            <w14:solidFill>
              <w14:schemeClr w14:val="tx1"/>
            </w14:solidFill>
          </w14:textFill>
        </w:rPr>
        <w:t>乙方</w:t>
      </w:r>
      <w:r>
        <w:rPr>
          <w:rFonts w:hint="eastAsia" w:ascii="仿宋" w:hAnsi="仿宋" w:eastAsia="仿宋" w:cs="仿宋"/>
          <w:color w:val="000000" w:themeColor="text1"/>
          <w:szCs w:val="24"/>
          <w:highlight w:val="none"/>
          <w14:textFill>
            <w14:solidFill>
              <w14:schemeClr w14:val="tx1"/>
            </w14:solidFill>
          </w14:textFill>
        </w:rPr>
        <w:t>承担。</w:t>
      </w:r>
    </w:p>
    <w:p w14:paraId="0FA1D55D">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17.2因履行本合同引起的或与本合同有关的争议，买、卖双方应首先通过友好协商解决，如果协商不能解决争议，则采取以下第</w:t>
      </w:r>
      <w:r>
        <w:rPr>
          <w:rFonts w:hint="eastAsia" w:ascii="仿宋" w:hAnsi="仿宋" w:eastAsia="仿宋" w:cs="仿宋"/>
          <w:color w:val="000000" w:themeColor="text1"/>
          <w:szCs w:val="24"/>
          <w:highlight w:val="none"/>
          <w:u w:val="single"/>
          <w:lang w:val="en-US" w:eastAsia="zh-CN"/>
          <w14:textFill>
            <w14:solidFill>
              <w14:schemeClr w14:val="tx1"/>
            </w14:solidFill>
          </w14:textFill>
        </w:rPr>
        <w:t xml:space="preserve">  2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种方式解决争议：</w:t>
      </w:r>
    </w:p>
    <w:p w14:paraId="1C789492">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17.2.1向</w:t>
      </w:r>
      <w:r>
        <w:rPr>
          <w:rFonts w:hint="eastAsia" w:ascii="仿宋" w:hAnsi="仿宋" w:eastAsia="仿宋" w:cs="仿宋"/>
          <w:color w:val="000000" w:themeColor="text1"/>
          <w:szCs w:val="24"/>
          <w:highlight w:val="none"/>
          <w:lang w:eastAsia="zh-CN"/>
          <w14:textFill>
            <w14:solidFill>
              <w14:schemeClr w14:val="tx1"/>
            </w14:solidFill>
          </w14:textFill>
        </w:rPr>
        <w:t>甲方</w:t>
      </w:r>
      <w:r>
        <w:rPr>
          <w:rFonts w:hint="eastAsia" w:ascii="仿宋" w:hAnsi="仿宋" w:eastAsia="仿宋" w:cs="仿宋"/>
          <w:color w:val="000000" w:themeColor="text1"/>
          <w:szCs w:val="24"/>
          <w:highlight w:val="none"/>
          <w14:textFill>
            <w14:solidFill>
              <w14:schemeClr w14:val="tx1"/>
            </w14:solidFill>
          </w14:textFill>
        </w:rPr>
        <w:t>所在地有管辖权的人民法院提起诉讼；</w:t>
      </w:r>
    </w:p>
    <w:p w14:paraId="04FEC8E8">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17.2.2向</w:t>
      </w:r>
      <w:r>
        <w:rPr>
          <w:rFonts w:hint="eastAsia" w:ascii="仿宋" w:hAnsi="仿宋" w:eastAsia="仿宋" w:cs="仿宋"/>
          <w:color w:val="000000" w:themeColor="text1"/>
          <w:szCs w:val="24"/>
          <w:highlight w:val="none"/>
          <w:lang w:val="en-US" w:eastAsia="zh-CN"/>
          <w14:textFill>
            <w14:solidFill>
              <w14:schemeClr w14:val="tx1"/>
            </w14:solidFill>
          </w14:textFill>
        </w:rPr>
        <w:t>衢州</w:t>
      </w:r>
      <w:r>
        <w:rPr>
          <w:rFonts w:hint="eastAsia" w:ascii="仿宋" w:hAnsi="仿宋" w:eastAsia="仿宋" w:cs="仿宋"/>
          <w:color w:val="000000" w:themeColor="text1"/>
          <w:szCs w:val="24"/>
          <w:highlight w:val="none"/>
          <w14:textFill>
            <w14:solidFill>
              <w14:schemeClr w14:val="tx1"/>
            </w14:solidFill>
          </w14:textFill>
        </w:rPr>
        <w:t>仲裁委员会按其仲裁规则申请仲裁。</w:t>
      </w:r>
    </w:p>
    <w:p w14:paraId="254F311E">
      <w:pPr>
        <w:pStyle w:val="980"/>
        <w:spacing w:before="0" w:beforeAutospacing="0" w:after="0" w:afterAutospacing="0" w:line="360" w:lineRule="auto"/>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17.3</w:t>
      </w:r>
      <w:r>
        <w:rPr>
          <w:rFonts w:hint="eastAsia" w:ascii="仿宋" w:hAnsi="仿宋" w:eastAsia="仿宋" w:cs="仿宋"/>
          <w:color w:val="000000" w:themeColor="text1"/>
          <w:szCs w:val="24"/>
          <w:highlight w:val="none"/>
          <w:u w:val="single"/>
          <w14:textFill>
            <w14:solidFill>
              <w14:schemeClr w14:val="tx1"/>
            </w14:solidFill>
          </w14:textFill>
        </w:rPr>
        <w:t>在仲裁期间，本合同应继续履行</w:t>
      </w:r>
      <w:r>
        <w:rPr>
          <w:rFonts w:hint="eastAsia" w:ascii="仿宋" w:hAnsi="仿宋" w:eastAsia="仿宋" w:cs="仿宋"/>
          <w:color w:val="000000" w:themeColor="text1"/>
          <w:szCs w:val="24"/>
          <w:highlight w:val="none"/>
          <w14:textFill>
            <w14:solidFill>
              <w14:schemeClr w14:val="tx1"/>
            </w14:solidFill>
          </w14:textFill>
        </w:rPr>
        <w:t>。</w:t>
      </w:r>
    </w:p>
    <w:p w14:paraId="3B547EDA">
      <w:pPr>
        <w:pStyle w:val="980"/>
        <w:spacing w:before="0" w:beforeAutospacing="0" w:after="0" w:afterAutospacing="0" w:line="360" w:lineRule="auto"/>
        <w:ind w:firstLine="482"/>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第十八条　合同生效及其他</w:t>
      </w:r>
    </w:p>
    <w:p w14:paraId="25DE65AF">
      <w:pPr>
        <w:pStyle w:val="980"/>
        <w:spacing w:before="0" w:beforeAutospacing="0" w:after="0" w:afterAutospacing="0" w:line="360" w:lineRule="auto"/>
        <w:ind w:firstLine="482"/>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18.1合同经双方负责人或被委托人签字并加盖单位公章。</w:t>
      </w:r>
    </w:p>
    <w:p w14:paraId="198548E6">
      <w:pPr>
        <w:pStyle w:val="980"/>
        <w:spacing w:before="0" w:beforeAutospacing="0" w:after="0" w:afterAutospacing="0" w:line="360" w:lineRule="auto"/>
        <w:ind w:firstLine="482"/>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18.2合同执行中涉及采购资金和采购内容修改或补充的，须经</w:t>
      </w:r>
      <w:r>
        <w:rPr>
          <w:rFonts w:hint="eastAsia" w:ascii="仿宋" w:hAnsi="仿宋" w:eastAsia="仿宋" w:cs="仿宋"/>
          <w:color w:val="000000" w:themeColor="text1"/>
          <w:szCs w:val="24"/>
          <w:highlight w:val="none"/>
          <w:lang w:val="en-US" w:eastAsia="zh-CN"/>
          <w14:textFill>
            <w14:solidFill>
              <w14:schemeClr w14:val="tx1"/>
            </w14:solidFill>
          </w14:textFill>
        </w:rPr>
        <w:t>双方协商一致及财政</w:t>
      </w:r>
      <w:r>
        <w:rPr>
          <w:rFonts w:hint="eastAsia" w:ascii="仿宋" w:hAnsi="仿宋" w:eastAsia="仿宋" w:cs="仿宋"/>
          <w:color w:val="000000" w:themeColor="text1"/>
          <w:szCs w:val="24"/>
          <w:highlight w:val="none"/>
          <w14:textFill>
            <w14:solidFill>
              <w14:schemeClr w14:val="tx1"/>
            </w14:solidFill>
          </w14:textFill>
        </w:rPr>
        <w:t>部门批准，并签书面补充协议报</w:t>
      </w:r>
      <w:r>
        <w:rPr>
          <w:rFonts w:hint="eastAsia" w:ascii="仿宋" w:hAnsi="仿宋" w:eastAsia="仿宋" w:cs="仿宋"/>
          <w:color w:val="000000" w:themeColor="text1"/>
          <w:szCs w:val="24"/>
          <w:highlight w:val="none"/>
          <w:lang w:val="en-US" w:eastAsia="zh-CN"/>
          <w14:textFill>
            <w14:solidFill>
              <w14:schemeClr w14:val="tx1"/>
            </w14:solidFill>
          </w14:textFill>
        </w:rPr>
        <w:t>财政</w:t>
      </w:r>
      <w:r>
        <w:rPr>
          <w:rFonts w:hint="eastAsia" w:ascii="仿宋" w:hAnsi="仿宋" w:eastAsia="仿宋" w:cs="仿宋"/>
          <w:color w:val="000000" w:themeColor="text1"/>
          <w:szCs w:val="24"/>
          <w:highlight w:val="none"/>
          <w14:textFill>
            <w14:solidFill>
              <w14:schemeClr w14:val="tx1"/>
            </w14:solidFill>
          </w14:textFill>
        </w:rPr>
        <w:t>部门备案，方可作为合同不可分割的一部分。</w:t>
      </w:r>
    </w:p>
    <w:p w14:paraId="44E9FA38">
      <w:pPr>
        <w:pStyle w:val="980"/>
        <w:spacing w:before="0" w:beforeAutospacing="0" w:after="0" w:afterAutospacing="0" w:line="360" w:lineRule="auto"/>
        <w:ind w:firstLine="482"/>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18.3本合同自签订之日起生效。</w:t>
      </w:r>
    </w:p>
    <w:p w14:paraId="5FD04CA3">
      <w:pPr>
        <w:pStyle w:val="980"/>
        <w:spacing w:before="0" w:beforeAutospacing="0" w:after="0" w:afterAutospacing="0" w:line="360" w:lineRule="auto"/>
        <w:ind w:firstLine="482"/>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18.4本合同一式六份，买卖双方各执二份，一份交采购代理机构存档，一份报送</w:t>
      </w:r>
      <w:r>
        <w:rPr>
          <w:rFonts w:hint="eastAsia" w:ascii="仿宋" w:hAnsi="仿宋" w:eastAsia="仿宋" w:cs="仿宋"/>
          <w:color w:val="000000" w:themeColor="text1"/>
          <w:szCs w:val="24"/>
          <w:highlight w:val="none"/>
          <w:lang w:val="en-US" w:eastAsia="zh-CN"/>
          <w14:textFill>
            <w14:solidFill>
              <w14:schemeClr w14:val="tx1"/>
            </w14:solidFill>
          </w14:textFill>
        </w:rPr>
        <w:t>财政</w:t>
      </w:r>
      <w:r>
        <w:rPr>
          <w:rFonts w:hint="eastAsia" w:ascii="仿宋" w:hAnsi="仿宋" w:eastAsia="仿宋" w:cs="仿宋"/>
          <w:color w:val="000000" w:themeColor="text1"/>
          <w:szCs w:val="24"/>
          <w:highlight w:val="none"/>
          <w14:textFill>
            <w14:solidFill>
              <w14:schemeClr w14:val="tx1"/>
            </w14:solidFill>
          </w14:textFill>
        </w:rPr>
        <w:t>部门备案。</w:t>
      </w:r>
    </w:p>
    <w:p w14:paraId="670C1147">
      <w:pPr>
        <w:pStyle w:val="980"/>
        <w:spacing w:before="0" w:beforeAutospacing="0" w:after="0" w:afterAutospacing="0" w:line="360" w:lineRule="auto"/>
        <w:ind w:firstLine="482"/>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18.</w:t>
      </w:r>
      <w:r>
        <w:rPr>
          <w:rFonts w:hint="eastAsia" w:ascii="仿宋" w:hAnsi="仿宋" w:eastAsia="仿宋" w:cs="仿宋"/>
          <w:color w:val="000000" w:themeColor="text1"/>
          <w:szCs w:val="24"/>
          <w:highlight w:val="none"/>
          <w:lang w:val="en-US" w:eastAsia="zh-CN"/>
          <w14:textFill>
            <w14:solidFill>
              <w14:schemeClr w14:val="tx1"/>
            </w14:solidFill>
          </w14:textFill>
        </w:rPr>
        <w:t>5</w:t>
      </w:r>
      <w:r>
        <w:rPr>
          <w:rFonts w:hint="eastAsia" w:ascii="仿宋" w:hAnsi="仿宋" w:eastAsia="仿宋" w:cs="仿宋"/>
          <w:color w:val="000000" w:themeColor="text1"/>
          <w:szCs w:val="24"/>
          <w:highlight w:val="none"/>
          <w14:textFill>
            <w14:solidFill>
              <w14:schemeClr w14:val="tx1"/>
            </w14:solidFill>
          </w14:textFill>
        </w:rPr>
        <w:t>本合同应按照中华人民共和国的现行法律进行解释。</w:t>
      </w:r>
    </w:p>
    <w:p w14:paraId="5A964C79">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甲方（公章）：                      乙方（公章）：</w:t>
      </w:r>
    </w:p>
    <w:p w14:paraId="087E7645">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法定（授权）代表人（签字）：        法定（授权）代表人（签字）：</w:t>
      </w:r>
    </w:p>
    <w:p w14:paraId="6EEBE86F">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 xml:space="preserve">地址：                             </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14:textFill>
            <w14:solidFill>
              <w14:schemeClr w14:val="tx1"/>
            </w14:solidFill>
          </w14:textFill>
        </w:rPr>
        <w:t>地址：</w:t>
      </w:r>
    </w:p>
    <w:p w14:paraId="22F7572A">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电话：                              电话：</w:t>
      </w:r>
    </w:p>
    <w:p w14:paraId="673772A7">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 xml:space="preserve">开户银行：                          开户银行：  </w:t>
      </w:r>
    </w:p>
    <w:p w14:paraId="07311B7D">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账号：                              账号：</w:t>
      </w:r>
    </w:p>
    <w:p w14:paraId="08BD1BFD">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签订日期：  年    月    日</w:t>
      </w:r>
    </w:p>
    <w:p w14:paraId="33876CC8">
      <w:pP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br w:type="page"/>
      </w:r>
    </w:p>
    <w:p w14:paraId="3D8BDFF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764523BF">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评标方法：</w:t>
      </w:r>
    </w:p>
    <w:p w14:paraId="570FA29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本次评标采用综合评分法，投标文件满足招标文件全部实质性要求，且按照评审因素的量化指标评审确定综合得分最高的供应商为</w:t>
      </w:r>
      <w:r>
        <w:rPr>
          <w:rFonts w:hint="eastAsia" w:ascii="仿宋" w:hAnsi="仿宋" w:eastAsia="仿宋" w:cs="仿宋"/>
          <w:color w:val="000000" w:themeColor="text1"/>
          <w:sz w:val="24"/>
          <w:highlight w:val="none"/>
          <w:lang w:val="en-US" w:eastAsia="zh-CN"/>
          <w14:textFill>
            <w14:solidFill>
              <w14:schemeClr w14:val="tx1"/>
            </w14:solidFill>
          </w14:textFill>
        </w:rPr>
        <w:t>第一</w:t>
      </w:r>
      <w:r>
        <w:rPr>
          <w:rFonts w:hint="eastAsia" w:ascii="仿宋" w:hAnsi="仿宋" w:eastAsia="仿宋" w:cs="仿宋"/>
          <w:color w:val="000000" w:themeColor="text1"/>
          <w:sz w:val="24"/>
          <w:highlight w:val="none"/>
          <w14:textFill>
            <w14:solidFill>
              <w14:schemeClr w14:val="tx1"/>
            </w14:solidFill>
          </w14:textFill>
        </w:rPr>
        <w:t>中标</w:t>
      </w:r>
      <w:r>
        <w:rPr>
          <w:rFonts w:hint="eastAsia" w:ascii="仿宋" w:hAnsi="仿宋" w:eastAsia="仿宋" w:cs="仿宋"/>
          <w:color w:val="000000" w:themeColor="text1"/>
          <w:sz w:val="24"/>
          <w:highlight w:val="none"/>
          <w:lang w:val="en-US" w:eastAsia="zh-CN"/>
          <w14:textFill>
            <w14:solidFill>
              <w14:schemeClr w14:val="tx1"/>
            </w14:solidFill>
          </w14:textFill>
        </w:rPr>
        <w:t>候选</w:t>
      </w:r>
      <w:r>
        <w:rPr>
          <w:rFonts w:hint="eastAsia" w:ascii="仿宋" w:hAnsi="仿宋" w:eastAsia="仿宋" w:cs="仿宋"/>
          <w:color w:val="000000" w:themeColor="text1"/>
          <w:sz w:val="24"/>
          <w:highlight w:val="none"/>
          <w14:textFill>
            <w14:solidFill>
              <w14:schemeClr w14:val="tx1"/>
            </w14:solidFill>
          </w14:textFill>
        </w:rPr>
        <w:t>人</w:t>
      </w:r>
      <w:r>
        <w:rPr>
          <w:rFonts w:hint="eastAsia" w:ascii="仿宋" w:hAnsi="仿宋" w:eastAsia="仿宋" w:cs="仿宋"/>
          <w:color w:val="000000" w:themeColor="text1"/>
          <w:sz w:val="24"/>
          <w:highlight w:val="none"/>
          <w:lang w:eastAsia="zh-CN"/>
          <w14:textFill>
            <w14:solidFill>
              <w14:schemeClr w14:val="tx1"/>
            </w14:solidFill>
          </w14:textFill>
        </w:rPr>
        <w:t>，得分第二高者为第二中标候选人，得分第</w:t>
      </w:r>
      <w:r>
        <w:rPr>
          <w:rFonts w:hint="eastAsia" w:ascii="仿宋" w:hAnsi="仿宋" w:eastAsia="仿宋" w:cs="仿宋"/>
          <w:color w:val="000000" w:themeColor="text1"/>
          <w:sz w:val="24"/>
          <w:highlight w:val="none"/>
          <w:lang w:val="en-US" w:eastAsia="zh-CN"/>
          <w14:textFill>
            <w14:solidFill>
              <w14:schemeClr w14:val="tx1"/>
            </w14:solidFill>
          </w14:textFill>
        </w:rPr>
        <w:t>三</w:t>
      </w:r>
      <w:r>
        <w:rPr>
          <w:rFonts w:hint="eastAsia" w:ascii="仿宋" w:hAnsi="仿宋" w:eastAsia="仿宋" w:cs="仿宋"/>
          <w:color w:val="000000" w:themeColor="text1"/>
          <w:sz w:val="24"/>
          <w:highlight w:val="none"/>
          <w:lang w:eastAsia="zh-CN"/>
          <w14:textFill>
            <w14:solidFill>
              <w14:schemeClr w14:val="tx1"/>
            </w14:solidFill>
          </w14:textFill>
        </w:rPr>
        <w:t>高者为第</w:t>
      </w:r>
      <w:r>
        <w:rPr>
          <w:rFonts w:hint="eastAsia" w:ascii="仿宋" w:hAnsi="仿宋" w:eastAsia="仿宋" w:cs="仿宋"/>
          <w:color w:val="000000" w:themeColor="text1"/>
          <w:sz w:val="24"/>
          <w:highlight w:val="none"/>
          <w:lang w:val="en-US" w:eastAsia="zh-CN"/>
          <w14:textFill>
            <w14:solidFill>
              <w14:schemeClr w14:val="tx1"/>
            </w14:solidFill>
          </w14:textFill>
        </w:rPr>
        <w:t>三</w:t>
      </w:r>
      <w:r>
        <w:rPr>
          <w:rFonts w:hint="eastAsia" w:ascii="仿宋" w:hAnsi="仿宋" w:eastAsia="仿宋" w:cs="仿宋"/>
          <w:color w:val="000000" w:themeColor="text1"/>
          <w:sz w:val="24"/>
          <w:highlight w:val="none"/>
          <w:lang w:eastAsia="zh-CN"/>
          <w14:textFill>
            <w14:solidFill>
              <w14:schemeClr w14:val="tx1"/>
            </w14:solidFill>
          </w14:textFill>
        </w:rPr>
        <w:t>中标候选人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如出现</w:t>
      </w:r>
      <w:r>
        <w:rPr>
          <w:rFonts w:hint="eastAsia" w:ascii="仿宋" w:hAnsi="仿宋" w:eastAsia="仿宋" w:cs="仿宋"/>
          <w:color w:val="000000" w:themeColor="text1"/>
          <w:sz w:val="24"/>
          <w:szCs w:val="24"/>
          <w:highlight w:val="none"/>
          <w:lang w:val="en-US" w:eastAsia="zh-CN"/>
          <w14:textFill>
            <w14:solidFill>
              <w14:schemeClr w14:val="tx1"/>
            </w14:solidFill>
          </w14:textFill>
        </w:rPr>
        <w:t>综合</w:t>
      </w:r>
      <w:r>
        <w:rPr>
          <w:rFonts w:hint="eastAsia" w:ascii="仿宋" w:hAnsi="仿宋" w:eastAsia="仿宋" w:cs="仿宋"/>
          <w:color w:val="000000" w:themeColor="text1"/>
          <w:sz w:val="24"/>
          <w:szCs w:val="24"/>
          <w:highlight w:val="none"/>
          <w14:textFill>
            <w14:solidFill>
              <w14:schemeClr w14:val="tx1"/>
            </w14:solidFill>
          </w14:textFill>
        </w:rPr>
        <w:t>得分相同时，</w:t>
      </w:r>
      <w:r>
        <w:rPr>
          <w:rFonts w:hint="eastAsia" w:ascii="仿宋" w:hAnsi="仿宋" w:eastAsia="仿宋" w:cs="仿宋"/>
          <w:color w:val="000000" w:themeColor="text1"/>
          <w:sz w:val="24"/>
          <w:szCs w:val="24"/>
          <w:highlight w:val="none"/>
          <w:lang w:val="en-US" w:eastAsia="zh-CN"/>
          <w14:textFill>
            <w14:solidFill>
              <w14:schemeClr w14:val="tx1"/>
            </w14:solidFill>
          </w14:textFill>
        </w:rPr>
        <w:t>投标</w:t>
      </w:r>
      <w:r>
        <w:rPr>
          <w:rFonts w:hint="eastAsia" w:ascii="仿宋" w:hAnsi="仿宋" w:eastAsia="仿宋" w:cs="仿宋"/>
          <w:color w:val="000000" w:themeColor="text1"/>
          <w:sz w:val="24"/>
          <w:szCs w:val="24"/>
          <w:highlight w:val="none"/>
          <w14:textFill>
            <w14:solidFill>
              <w14:schemeClr w14:val="tx1"/>
            </w14:solidFill>
          </w14:textFill>
        </w:rPr>
        <w:t>报价低的优先；如综合得分和投标报价均相同，则现场抽签确定</w:t>
      </w:r>
      <w:r>
        <w:rPr>
          <w:rFonts w:hint="eastAsia" w:ascii="仿宋" w:hAnsi="仿宋" w:eastAsia="仿宋" w:cs="仿宋"/>
          <w:color w:val="000000" w:themeColor="text1"/>
          <w:sz w:val="24"/>
          <w:szCs w:val="24"/>
          <w:highlight w:val="none"/>
          <w:lang w:val="zh-CN"/>
          <w14:textFill>
            <w14:solidFill>
              <w14:schemeClr w14:val="tx1"/>
            </w14:solidFill>
          </w14:textFill>
        </w:rPr>
        <w:t>。</w:t>
      </w:r>
    </w:p>
    <w:p w14:paraId="531ADF83">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2.评分标准：</w:t>
      </w:r>
    </w:p>
    <w:p w14:paraId="3EFED00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共100分，其中商务技术分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70</w:t>
      </w:r>
      <w:r>
        <w:rPr>
          <w:rFonts w:hint="eastAsia" w:ascii="仿宋" w:hAnsi="仿宋" w:eastAsia="仿宋" w:cs="仿宋"/>
          <w:color w:val="000000" w:themeColor="text1"/>
          <w:sz w:val="24"/>
          <w:highlight w:val="none"/>
          <w14:textFill>
            <w14:solidFill>
              <w14:schemeClr w14:val="tx1"/>
            </w14:solidFill>
          </w14:textFill>
        </w:rPr>
        <w:t>分，价格分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highlight w:val="none"/>
          <w14:textFill>
            <w14:solidFill>
              <w14:schemeClr w14:val="tx1"/>
            </w14:solidFill>
          </w14:textFill>
        </w:rPr>
        <w:t>分。评分依下述所列为评标</w:t>
      </w:r>
      <w:r>
        <w:rPr>
          <w:rFonts w:hint="eastAsia" w:ascii="仿宋" w:hAnsi="仿宋" w:eastAsia="仿宋" w:cs="仿宋"/>
          <w:color w:val="000000" w:themeColor="text1"/>
          <w:sz w:val="24"/>
          <w:highlight w:val="none"/>
          <w:lang w:eastAsia="zh-CN"/>
          <w14:textFill>
            <w14:solidFill>
              <w14:schemeClr w14:val="tx1"/>
            </w14:solidFill>
          </w14:textFill>
        </w:rPr>
        <w:t>评分</w:t>
      </w:r>
      <w:r>
        <w:rPr>
          <w:rFonts w:hint="eastAsia" w:ascii="仿宋" w:hAnsi="仿宋" w:eastAsia="仿宋" w:cs="仿宋"/>
          <w:color w:val="000000" w:themeColor="text1"/>
          <w:sz w:val="24"/>
          <w:highlight w:val="none"/>
          <w14:textFill>
            <w14:solidFill>
              <w14:schemeClr w14:val="tx1"/>
            </w14:solidFill>
          </w14:textFill>
        </w:rPr>
        <w:t>依据，分值如下（计算分值时，按其算术平均值</w:t>
      </w:r>
      <w:r>
        <w:rPr>
          <w:rFonts w:hint="eastAsia" w:ascii="仿宋" w:hAnsi="仿宋" w:eastAsia="仿宋" w:cs="仿宋"/>
          <w:color w:val="000000" w:themeColor="text1"/>
          <w:sz w:val="24"/>
          <w:highlight w:val="none"/>
          <w:lang w:val="en-US" w:eastAsia="zh-CN"/>
          <w14:textFill>
            <w14:solidFill>
              <w14:schemeClr w14:val="tx1"/>
            </w14:solidFill>
          </w14:textFill>
        </w:rPr>
        <w:t>四舍五入</w:t>
      </w:r>
      <w:r>
        <w:rPr>
          <w:rFonts w:hint="eastAsia" w:ascii="仿宋" w:hAnsi="仿宋" w:eastAsia="仿宋" w:cs="仿宋"/>
          <w:color w:val="000000" w:themeColor="text1"/>
          <w:sz w:val="24"/>
          <w:highlight w:val="none"/>
          <w14:textFill>
            <w14:solidFill>
              <w14:schemeClr w14:val="tx1"/>
            </w14:solidFill>
          </w14:textFill>
        </w:rPr>
        <w:t>保留小数2位）。</w:t>
      </w:r>
    </w:p>
    <w:p w14:paraId="270A8EB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2.1商务技术分（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70</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62"/>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6480"/>
        <w:gridCol w:w="984"/>
      </w:tblGrid>
      <w:tr w14:paraId="3D3D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874" w:type="pct"/>
            <w:shd w:val="clear" w:color="auto" w:fill="auto"/>
            <w:noWrap w:val="0"/>
            <w:vAlign w:val="center"/>
          </w:tcPr>
          <w:p w14:paraId="7A289F81">
            <w:pPr>
              <w:keepNext w:val="0"/>
              <w:keepLines w:val="0"/>
              <w:pageBreakBefore w:val="0"/>
              <w:widowControl/>
              <w:kinsoku/>
              <w:wordWrap/>
              <w:overflowPunct/>
              <w:topLinePunct w:val="0"/>
              <w:bidi w:val="0"/>
              <w:adjustRightInd w:val="0"/>
              <w:snapToGrid/>
              <w:spacing w:line="360" w:lineRule="exact"/>
              <w:jc w:val="center"/>
              <w:textAlignment w:val="auto"/>
              <w:rPr>
                <w:rFonts w:hint="eastAsia" w:ascii="仿宋" w:hAnsi="仿宋" w:eastAsia="仿宋" w:cs="仿宋"/>
                <w:b/>
                <w:bCs/>
                <w:color w:val="000000" w:themeColor="text1"/>
                <w:kern w:val="0"/>
                <w:sz w:val="21"/>
                <w:szCs w:val="21"/>
                <w:highlight w:val="none"/>
                <w14:textFill>
                  <w14:solidFill>
                    <w14:schemeClr w14:val="tx1"/>
                  </w14:solidFill>
                </w14:textFill>
              </w:rPr>
            </w:pPr>
            <w:r>
              <w:rPr>
                <w:rFonts w:hint="eastAsia" w:ascii="仿宋" w:hAnsi="仿宋" w:eastAsia="仿宋" w:cs="仿宋"/>
                <w:b/>
                <w:bCs/>
                <w:color w:val="000000" w:themeColor="text1"/>
                <w:kern w:val="0"/>
                <w:sz w:val="21"/>
                <w:szCs w:val="21"/>
                <w:highlight w:val="none"/>
                <w14:textFill>
                  <w14:solidFill>
                    <w14:schemeClr w14:val="tx1"/>
                  </w14:solidFill>
                </w14:textFill>
              </w:rPr>
              <w:t>评审内容</w:t>
            </w:r>
          </w:p>
        </w:tc>
        <w:tc>
          <w:tcPr>
            <w:tcW w:w="3581" w:type="pct"/>
            <w:shd w:val="clear" w:color="auto" w:fill="auto"/>
            <w:noWrap w:val="0"/>
            <w:vAlign w:val="center"/>
          </w:tcPr>
          <w:p w14:paraId="7B6EB6D4">
            <w:pPr>
              <w:keepNext w:val="0"/>
              <w:keepLines w:val="0"/>
              <w:pageBreakBefore w:val="0"/>
              <w:widowControl/>
              <w:kinsoku/>
              <w:wordWrap/>
              <w:overflowPunct/>
              <w:topLinePunct w:val="0"/>
              <w:bidi w:val="0"/>
              <w:adjustRightInd w:val="0"/>
              <w:snapToGrid/>
              <w:spacing w:line="360" w:lineRule="exact"/>
              <w:jc w:val="center"/>
              <w:textAlignment w:val="auto"/>
              <w:rPr>
                <w:rFonts w:hint="eastAsia" w:ascii="仿宋" w:hAnsi="仿宋" w:eastAsia="仿宋" w:cs="仿宋"/>
                <w:b/>
                <w:bCs/>
                <w:color w:val="000000" w:themeColor="text1"/>
                <w:kern w:val="0"/>
                <w:sz w:val="21"/>
                <w:szCs w:val="21"/>
                <w:highlight w:val="none"/>
                <w14:textFill>
                  <w14:solidFill>
                    <w14:schemeClr w14:val="tx1"/>
                  </w14:solidFill>
                </w14:textFill>
              </w:rPr>
            </w:pPr>
            <w:r>
              <w:rPr>
                <w:rFonts w:hint="eastAsia" w:ascii="仿宋" w:hAnsi="仿宋" w:eastAsia="仿宋" w:cs="仿宋"/>
                <w:b/>
                <w:bCs/>
                <w:color w:val="000000" w:themeColor="text1"/>
                <w:kern w:val="0"/>
                <w:sz w:val="21"/>
                <w:szCs w:val="21"/>
                <w:highlight w:val="none"/>
                <w14:textFill>
                  <w14:solidFill>
                    <w14:schemeClr w14:val="tx1"/>
                  </w14:solidFill>
                </w14:textFill>
              </w:rPr>
              <w:t>评审因素</w:t>
            </w:r>
          </w:p>
        </w:tc>
        <w:tc>
          <w:tcPr>
            <w:tcW w:w="543" w:type="pct"/>
            <w:shd w:val="clear" w:color="auto" w:fill="auto"/>
            <w:noWrap w:val="0"/>
            <w:vAlign w:val="center"/>
          </w:tcPr>
          <w:p w14:paraId="0D565C84">
            <w:pPr>
              <w:widowControl/>
              <w:jc w:val="center"/>
              <w:rPr>
                <w:rFonts w:hint="eastAsia" w:ascii="仿宋" w:hAnsi="仿宋" w:eastAsia="仿宋" w:cs="仿宋"/>
                <w:b/>
                <w:bCs/>
                <w:color w:val="000000" w:themeColor="text1"/>
                <w:kern w:val="0"/>
                <w:sz w:val="21"/>
                <w:szCs w:val="21"/>
                <w:highlight w:val="none"/>
                <w14:textFill>
                  <w14:solidFill>
                    <w14:schemeClr w14:val="tx1"/>
                  </w14:solidFill>
                </w14:textFill>
              </w:rPr>
            </w:pPr>
            <w:r>
              <w:rPr>
                <w:rFonts w:hint="eastAsia" w:ascii="仿宋" w:hAnsi="仿宋" w:eastAsia="仿宋" w:cs="仿宋"/>
                <w:b/>
                <w:bCs/>
                <w:color w:val="000000" w:themeColor="text1"/>
                <w:kern w:val="0"/>
                <w:sz w:val="21"/>
                <w:szCs w:val="21"/>
                <w:highlight w:val="none"/>
                <w14:textFill>
                  <w14:solidFill>
                    <w14:schemeClr w14:val="tx1"/>
                  </w14:solidFill>
                </w14:textFill>
              </w:rPr>
              <w:t>分值</w:t>
            </w:r>
          </w:p>
        </w:tc>
      </w:tr>
      <w:tr w14:paraId="19C0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874" w:type="pct"/>
            <w:shd w:val="clear" w:color="auto" w:fill="auto"/>
            <w:noWrap w:val="0"/>
            <w:vAlign w:val="center"/>
          </w:tcPr>
          <w:p w14:paraId="48AE0054">
            <w:pPr>
              <w:keepNext w:val="0"/>
              <w:keepLines w:val="0"/>
              <w:pageBreakBefore w:val="0"/>
              <w:widowControl/>
              <w:kinsoku/>
              <w:wordWrap/>
              <w:overflowPunct/>
              <w:topLinePunct w:val="0"/>
              <w:bidi w:val="0"/>
              <w:adjustRightInd w:val="0"/>
              <w:snapToGrid/>
              <w:spacing w:line="360" w:lineRule="exact"/>
              <w:jc w:val="center"/>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类似业绩</w:t>
            </w:r>
          </w:p>
          <w:p w14:paraId="35F8BDA8">
            <w:pPr>
              <w:keepNext w:val="0"/>
              <w:keepLines w:val="0"/>
              <w:pageBreakBefore w:val="0"/>
              <w:widowControl/>
              <w:kinsoku/>
              <w:wordWrap/>
              <w:overflowPunct/>
              <w:topLinePunct w:val="0"/>
              <w:bidi w:val="0"/>
              <w:adjustRightInd w:val="0"/>
              <w:snapToGrid/>
              <w:spacing w:line="360" w:lineRule="exact"/>
              <w:jc w:val="center"/>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【客观分】</w:t>
            </w:r>
          </w:p>
        </w:tc>
        <w:tc>
          <w:tcPr>
            <w:tcW w:w="3581" w:type="pct"/>
            <w:shd w:val="clear" w:color="auto" w:fill="auto"/>
            <w:noWrap w:val="0"/>
            <w:vAlign w:val="center"/>
          </w:tcPr>
          <w:p w14:paraId="7367B705">
            <w:pPr>
              <w:keepNext w:val="0"/>
              <w:keepLines w:val="0"/>
              <w:pageBreakBefore w:val="0"/>
              <w:widowControl/>
              <w:kinsoku/>
              <w:wordWrap/>
              <w:overflowPunct/>
              <w:topLinePunct w:val="0"/>
              <w:autoSpaceDE/>
              <w:autoSpaceDN/>
              <w:bidi w:val="0"/>
              <w:adjustRightInd w:val="0"/>
              <w:snapToGrid/>
              <w:spacing w:after="0" w:line="360" w:lineRule="exact"/>
              <w:ind w:left="0" w:leftChars="0" w:right="0" w:rightChars="0" w:firstLine="0" w:firstLineChars="0"/>
              <w:jc w:val="left"/>
              <w:textAlignment w:val="auto"/>
              <w:rPr>
                <w:rFonts w:hint="eastAsia" w:ascii="仿宋" w:hAnsi="仿宋" w:eastAsia="仿宋" w:cs="仿宋"/>
                <w:color w:val="000000" w:themeColor="text1"/>
                <w:kern w:val="0"/>
                <w:sz w:val="21"/>
                <w:szCs w:val="21"/>
                <w:highlight w:val="none"/>
                <w:lang w:bidi="ar"/>
                <w14:textFill>
                  <w14:solidFill>
                    <w14:schemeClr w14:val="tx1"/>
                  </w14:solidFill>
                </w14:textFill>
              </w:rPr>
            </w:pPr>
            <w:r>
              <w:rPr>
                <w:rFonts w:hint="eastAsia" w:ascii="仿宋" w:hAnsi="仿宋" w:eastAsia="仿宋" w:cs="仿宋"/>
                <w:color w:val="000000" w:themeColor="text1"/>
                <w:kern w:val="0"/>
                <w:sz w:val="21"/>
                <w:szCs w:val="21"/>
                <w:highlight w:val="none"/>
                <w:lang w:bidi="ar"/>
                <w14:textFill>
                  <w14:solidFill>
                    <w14:schemeClr w14:val="tx1"/>
                  </w14:solidFill>
                </w14:textFill>
              </w:rPr>
              <w:t>投标人提供2021年</w:t>
            </w: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1</w:t>
            </w:r>
            <w:r>
              <w:rPr>
                <w:rFonts w:hint="eastAsia" w:ascii="仿宋" w:hAnsi="仿宋" w:eastAsia="仿宋" w:cs="仿宋"/>
                <w:color w:val="000000" w:themeColor="text1"/>
                <w:kern w:val="0"/>
                <w:sz w:val="21"/>
                <w:szCs w:val="21"/>
                <w:highlight w:val="none"/>
                <w:lang w:bidi="ar"/>
                <w14:textFill>
                  <w14:solidFill>
                    <w14:schemeClr w14:val="tx1"/>
                  </w14:solidFill>
                </w14:textFill>
              </w:rPr>
              <w:t>月1日以来</w:t>
            </w:r>
            <w:r>
              <w:rPr>
                <w:rFonts w:hint="eastAsia" w:ascii="仿宋" w:hAnsi="仿宋" w:eastAsia="仿宋" w:cs="仿宋"/>
                <w:color w:val="000000" w:themeColor="text1"/>
                <w:kern w:val="0"/>
                <w:sz w:val="21"/>
                <w:szCs w:val="21"/>
                <w:highlight w:val="none"/>
                <w:lang w:eastAsia="zh-CN" w:bidi="ar"/>
                <w14:textFill>
                  <w14:solidFill>
                    <w14:schemeClr w14:val="tx1"/>
                  </w14:solidFill>
                </w14:textFill>
              </w:rPr>
              <w:t>（时间以合同签订时间为准）</w:t>
            </w:r>
            <w:r>
              <w:rPr>
                <w:rFonts w:hint="eastAsia" w:ascii="仿宋" w:hAnsi="仿宋" w:eastAsia="仿宋" w:cs="仿宋"/>
                <w:color w:val="000000" w:themeColor="text1"/>
                <w:kern w:val="0"/>
                <w:sz w:val="21"/>
                <w:szCs w:val="21"/>
                <w:highlight w:val="none"/>
                <w:lang w:bidi="ar"/>
                <w14:textFill>
                  <w14:solidFill>
                    <w14:schemeClr w14:val="tx1"/>
                  </w14:solidFill>
                </w14:textFill>
              </w:rPr>
              <w:t>承接</w:t>
            </w: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过类似</w:t>
            </w:r>
            <w:r>
              <w:rPr>
                <w:rFonts w:hint="eastAsia" w:ascii="仿宋" w:hAnsi="仿宋" w:eastAsia="仿宋" w:cs="仿宋"/>
                <w:color w:val="000000" w:themeColor="text1"/>
                <w:kern w:val="0"/>
                <w:sz w:val="21"/>
                <w:szCs w:val="21"/>
                <w:highlight w:val="none"/>
                <w:lang w:bidi="ar"/>
                <w14:textFill>
                  <w14:solidFill>
                    <w14:schemeClr w14:val="tx1"/>
                  </w14:solidFill>
                </w14:textFill>
              </w:rPr>
              <w:t>项目</w:t>
            </w: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业绩的，每个项目得1分，最高得3分。</w:t>
            </w:r>
          </w:p>
          <w:p w14:paraId="059EB5FB">
            <w:pPr>
              <w:keepNext w:val="0"/>
              <w:keepLines w:val="0"/>
              <w:pageBreakBefore w:val="0"/>
              <w:widowControl/>
              <w:kinsoku/>
              <w:wordWrap/>
              <w:overflowPunct/>
              <w:topLinePunct w:val="0"/>
              <w:autoSpaceDE/>
              <w:autoSpaceDN/>
              <w:bidi w:val="0"/>
              <w:adjustRightInd w:val="0"/>
              <w:snapToGrid/>
              <w:spacing w:after="0" w:line="360" w:lineRule="exact"/>
              <w:ind w:left="0" w:leftChars="0" w:right="0" w:rightChars="0" w:firstLine="0" w:firstLineChars="0"/>
              <w:jc w:val="left"/>
              <w:textAlignment w:val="auto"/>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注：须</w:t>
            </w:r>
            <w:r>
              <w:rPr>
                <w:rFonts w:hint="eastAsia" w:ascii="仿宋" w:hAnsi="仿宋" w:eastAsia="仿宋" w:cs="仿宋"/>
                <w:b/>
                <w:bCs/>
                <w:color w:val="000000" w:themeColor="text1"/>
                <w:kern w:val="0"/>
                <w:sz w:val="21"/>
                <w:szCs w:val="21"/>
                <w:highlight w:val="none"/>
                <w:lang w:bidi="ar"/>
                <w14:textFill>
                  <w14:solidFill>
                    <w14:schemeClr w14:val="tx1"/>
                  </w14:solidFill>
                </w14:textFill>
              </w:rPr>
              <w:t>同时提供中标</w:t>
            </w:r>
            <w:r>
              <w:rPr>
                <w:rFonts w:hint="eastAsia" w:ascii="仿宋" w:hAnsi="仿宋" w:eastAsia="仿宋" w:cs="仿宋"/>
                <w:b/>
                <w:bCs/>
                <w:color w:val="000000" w:themeColor="text1"/>
                <w:kern w:val="0"/>
                <w:sz w:val="21"/>
                <w:szCs w:val="21"/>
                <w:highlight w:val="none"/>
                <w:lang w:eastAsia="zh-CN" w:bidi="ar"/>
                <w14:textFill>
                  <w14:solidFill>
                    <w14:schemeClr w14:val="tx1"/>
                  </w14:solidFill>
                </w14:textFill>
              </w:rPr>
              <w:t>（</w:t>
            </w: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成交</w:t>
            </w:r>
            <w:r>
              <w:rPr>
                <w:rFonts w:hint="eastAsia" w:ascii="仿宋" w:hAnsi="仿宋" w:eastAsia="仿宋" w:cs="仿宋"/>
                <w:b/>
                <w:bCs/>
                <w:color w:val="000000" w:themeColor="text1"/>
                <w:kern w:val="0"/>
                <w:sz w:val="21"/>
                <w:szCs w:val="21"/>
                <w:highlight w:val="none"/>
                <w:lang w:eastAsia="zh-CN" w:bidi="ar"/>
                <w14:textFill>
                  <w14:solidFill>
                    <w14:schemeClr w14:val="tx1"/>
                  </w14:solidFill>
                </w14:textFill>
              </w:rPr>
              <w:t>）</w:t>
            </w:r>
            <w:r>
              <w:rPr>
                <w:rFonts w:hint="eastAsia" w:ascii="仿宋" w:hAnsi="仿宋" w:eastAsia="仿宋" w:cs="仿宋"/>
                <w:b/>
                <w:bCs/>
                <w:color w:val="000000" w:themeColor="text1"/>
                <w:kern w:val="0"/>
                <w:sz w:val="21"/>
                <w:szCs w:val="21"/>
                <w:highlight w:val="none"/>
                <w:lang w:bidi="ar"/>
                <w14:textFill>
                  <w14:solidFill>
                    <w14:schemeClr w14:val="tx1"/>
                  </w14:solidFill>
                </w14:textFill>
              </w:rPr>
              <w:t>通知书及合同</w:t>
            </w: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扫描件加盖公章</w:t>
            </w:r>
            <w:r>
              <w:rPr>
                <w:rFonts w:hint="eastAsia" w:ascii="仿宋" w:hAnsi="仿宋" w:eastAsia="仿宋" w:cs="仿宋"/>
                <w:b/>
                <w:bCs/>
                <w:color w:val="000000" w:themeColor="text1"/>
                <w:kern w:val="0"/>
                <w:sz w:val="21"/>
                <w:szCs w:val="21"/>
                <w:highlight w:val="none"/>
                <w:lang w:bidi="ar"/>
                <w14:textFill>
                  <w14:solidFill>
                    <w14:schemeClr w14:val="tx1"/>
                  </w14:solidFill>
                </w14:textFill>
              </w:rPr>
              <w:t>，否则不得分。</w:t>
            </w:r>
          </w:p>
        </w:tc>
        <w:tc>
          <w:tcPr>
            <w:tcW w:w="543" w:type="pct"/>
            <w:shd w:val="clear" w:color="auto" w:fill="auto"/>
            <w:noWrap w:val="0"/>
            <w:vAlign w:val="center"/>
          </w:tcPr>
          <w:p w14:paraId="64223700">
            <w:pPr>
              <w:widowControl/>
              <w:jc w:val="center"/>
              <w:rPr>
                <w:rFonts w:hint="default"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0-3分</w:t>
            </w:r>
          </w:p>
        </w:tc>
      </w:tr>
      <w:tr w14:paraId="692B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874" w:type="pct"/>
            <w:shd w:val="clear" w:color="auto" w:fill="auto"/>
            <w:noWrap w:val="0"/>
            <w:vAlign w:val="center"/>
          </w:tcPr>
          <w:p w14:paraId="388A77C5">
            <w:pPr>
              <w:keepNext w:val="0"/>
              <w:keepLines w:val="0"/>
              <w:pageBreakBefore w:val="0"/>
              <w:widowControl/>
              <w:kinsoku/>
              <w:wordWrap/>
              <w:overflowPunct/>
              <w:topLinePunct w:val="0"/>
              <w:bidi w:val="0"/>
              <w:adjustRightInd w:val="0"/>
              <w:snapToGrid/>
              <w:spacing w:line="360" w:lineRule="exact"/>
              <w:jc w:val="center"/>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采购需求响应情况</w:t>
            </w:r>
          </w:p>
          <w:p w14:paraId="6082A26E">
            <w:pPr>
              <w:keepNext w:val="0"/>
              <w:keepLines w:val="0"/>
              <w:pageBreakBefore w:val="0"/>
              <w:widowControl/>
              <w:kinsoku/>
              <w:wordWrap/>
              <w:overflowPunct/>
              <w:topLinePunct w:val="0"/>
              <w:bidi w:val="0"/>
              <w:adjustRightInd w:val="0"/>
              <w:snapToGrid/>
              <w:spacing w:line="360" w:lineRule="exact"/>
              <w:jc w:val="center"/>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【客观分】</w:t>
            </w:r>
          </w:p>
        </w:tc>
        <w:tc>
          <w:tcPr>
            <w:tcW w:w="3581" w:type="pct"/>
            <w:shd w:val="clear" w:color="auto" w:fill="auto"/>
            <w:noWrap w:val="0"/>
            <w:vAlign w:val="center"/>
          </w:tcPr>
          <w:p w14:paraId="55687B04">
            <w:pPr>
              <w:keepNext w:val="0"/>
              <w:keepLines w:val="0"/>
              <w:pageBreakBefore w:val="0"/>
              <w:widowControl/>
              <w:kinsoku/>
              <w:wordWrap/>
              <w:overflowPunct/>
              <w:topLinePunct w:val="0"/>
              <w:autoSpaceDE/>
              <w:autoSpaceDN/>
              <w:bidi w:val="0"/>
              <w:adjustRightInd w:val="0"/>
              <w:snapToGrid/>
              <w:spacing w:after="0" w:line="360" w:lineRule="exact"/>
              <w:ind w:left="0" w:leftChars="0" w:right="0" w:rightChars="0" w:firstLine="0" w:firstLineChars="0"/>
              <w:jc w:val="left"/>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bookmarkStart w:id="38" w:name="OLE_LINK19"/>
            <w:r>
              <w:rPr>
                <w:rFonts w:hint="eastAsia" w:ascii="仿宋" w:hAnsi="仿宋" w:eastAsia="仿宋" w:cs="仿宋"/>
                <w:color w:val="000000" w:themeColor="text1"/>
                <w:kern w:val="0"/>
                <w:sz w:val="21"/>
                <w:szCs w:val="21"/>
                <w:highlight w:val="none"/>
                <w:lang w:eastAsia="zh-CN" w:bidi="ar"/>
                <w14:textFill>
                  <w14:solidFill>
                    <w14:schemeClr w14:val="tx1"/>
                  </w14:solidFill>
                </w14:textFill>
              </w:rPr>
              <w:t>所投产品完全满足采购需求技术参数及要求的得</w:t>
            </w: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23</w:t>
            </w:r>
            <w:r>
              <w:rPr>
                <w:rFonts w:hint="eastAsia" w:ascii="仿宋" w:hAnsi="仿宋" w:eastAsia="仿宋" w:cs="仿宋"/>
                <w:color w:val="000000" w:themeColor="text1"/>
                <w:kern w:val="0"/>
                <w:sz w:val="21"/>
                <w:szCs w:val="21"/>
                <w:highlight w:val="none"/>
                <w:lang w:eastAsia="zh-CN" w:bidi="ar"/>
                <w14:textFill>
                  <w14:solidFill>
                    <w14:schemeClr w14:val="tx1"/>
                  </w14:solidFill>
                </w14:textFill>
              </w:rPr>
              <w:t>分，技术参数属负偏离或缺漏项的每项扣</w:t>
            </w: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0.5</w:t>
            </w:r>
            <w:r>
              <w:rPr>
                <w:rFonts w:hint="eastAsia" w:ascii="仿宋" w:hAnsi="仿宋" w:eastAsia="仿宋" w:cs="仿宋"/>
                <w:color w:val="000000" w:themeColor="text1"/>
                <w:kern w:val="0"/>
                <w:sz w:val="21"/>
                <w:szCs w:val="21"/>
                <w:highlight w:val="none"/>
                <w:lang w:eastAsia="zh-CN" w:bidi="ar"/>
                <w14:textFill>
                  <w14:solidFill>
                    <w14:schemeClr w14:val="tx1"/>
                  </w14:solidFill>
                </w14:textFill>
              </w:rPr>
              <w:t>分，</w:t>
            </w: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扣完为止</w:t>
            </w:r>
            <w:r>
              <w:rPr>
                <w:rFonts w:hint="eastAsia" w:ascii="仿宋" w:hAnsi="仿宋" w:eastAsia="仿宋" w:cs="仿宋"/>
                <w:color w:val="000000" w:themeColor="text1"/>
                <w:kern w:val="0"/>
                <w:sz w:val="21"/>
                <w:szCs w:val="21"/>
                <w:highlight w:val="none"/>
                <w:lang w:eastAsia="zh-CN" w:bidi="ar"/>
                <w14:textFill>
                  <w14:solidFill>
                    <w14:schemeClr w14:val="tx1"/>
                  </w14:solidFill>
                </w14:textFill>
              </w:rPr>
              <w:t>。</w:t>
            </w:r>
            <w:bookmarkEnd w:id="38"/>
          </w:p>
        </w:tc>
        <w:tc>
          <w:tcPr>
            <w:tcW w:w="543" w:type="pct"/>
            <w:shd w:val="clear" w:color="auto" w:fill="auto"/>
            <w:noWrap w:val="0"/>
            <w:vAlign w:val="center"/>
          </w:tcPr>
          <w:p w14:paraId="7C6093C8">
            <w:pPr>
              <w:widowControl/>
              <w:jc w:val="center"/>
              <w:rPr>
                <w:rFonts w:hint="default"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0-23分</w:t>
            </w:r>
          </w:p>
        </w:tc>
      </w:tr>
      <w:tr w14:paraId="6D60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874" w:type="pct"/>
            <w:shd w:val="clear" w:color="auto" w:fill="auto"/>
            <w:noWrap w:val="0"/>
            <w:vAlign w:val="center"/>
          </w:tcPr>
          <w:p w14:paraId="74668EBE">
            <w:pPr>
              <w:keepNext w:val="0"/>
              <w:keepLines w:val="0"/>
              <w:pageBreakBefore w:val="0"/>
              <w:widowControl/>
              <w:kinsoku/>
              <w:wordWrap/>
              <w:overflowPunct/>
              <w:topLinePunct w:val="0"/>
              <w:bidi w:val="0"/>
              <w:adjustRightInd w:val="0"/>
              <w:snapToGrid/>
              <w:spacing w:line="360" w:lineRule="exact"/>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供货服务方案【主观分】</w:t>
            </w:r>
          </w:p>
        </w:tc>
        <w:tc>
          <w:tcPr>
            <w:tcW w:w="3581" w:type="pct"/>
            <w:shd w:val="clear" w:color="auto" w:fill="auto"/>
            <w:noWrap w:val="0"/>
            <w:vAlign w:val="center"/>
          </w:tcPr>
          <w:p w14:paraId="272B23AB">
            <w:pPr>
              <w:keepNext w:val="0"/>
              <w:keepLines w:val="0"/>
              <w:pageBreakBefore w:val="0"/>
              <w:widowControl/>
              <w:kinsoku/>
              <w:wordWrap/>
              <w:overflowPunct/>
              <w:topLinePunct w:val="0"/>
              <w:autoSpaceDE/>
              <w:autoSpaceDN/>
              <w:bidi w:val="0"/>
              <w:adjustRightInd w:val="0"/>
              <w:snapToGrid/>
              <w:spacing w:after="0" w:line="360" w:lineRule="exact"/>
              <w:ind w:left="0" w:leftChars="0" w:right="0" w:rightChars="0" w:firstLine="0" w:firstLineChars="0"/>
              <w:jc w:val="left"/>
              <w:textAlignment w:val="auto"/>
              <w:rPr>
                <w:rFonts w:hint="eastAsia" w:ascii="仿宋" w:hAnsi="仿宋" w:eastAsia="仿宋" w:cs="仿宋"/>
                <w:color w:val="000000" w:themeColor="text1"/>
                <w:kern w:val="0"/>
                <w:sz w:val="21"/>
                <w:szCs w:val="21"/>
                <w:highlight w:val="none"/>
                <w:lang w:val="zh-CN"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（1）服务内容、实施流程：方案描述是否全面合理、是否科学可行，是否具有针对性，是否贴合采购需求。</w:t>
            </w: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(评分范围：6,5,4,3,2,1,0)</w:t>
            </w:r>
          </w:p>
          <w:p w14:paraId="49AB2BF9">
            <w:pPr>
              <w:keepNext w:val="0"/>
              <w:keepLines w:val="0"/>
              <w:pageBreakBefore w:val="0"/>
              <w:widowControl/>
              <w:kinsoku/>
              <w:wordWrap/>
              <w:overflowPunct/>
              <w:topLinePunct w:val="0"/>
              <w:autoSpaceDE/>
              <w:autoSpaceDN/>
              <w:bidi w:val="0"/>
              <w:adjustRightInd w:val="0"/>
              <w:snapToGrid/>
              <w:spacing w:after="0" w:line="360" w:lineRule="exact"/>
              <w:ind w:left="0" w:leftChars="0" w:right="0" w:rightChars="0" w:firstLine="0" w:firstLineChars="0"/>
              <w:jc w:val="left"/>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（2）服务标准及实施方案：方案描述是否全面合理、是否科学可行，是否具有针对性，是否贴合采购需求。</w:t>
            </w: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(评分范围：6,5,4,3,2,1,0)</w:t>
            </w:r>
          </w:p>
        </w:tc>
        <w:tc>
          <w:tcPr>
            <w:tcW w:w="543" w:type="pct"/>
            <w:shd w:val="clear" w:color="auto" w:fill="auto"/>
            <w:noWrap w:val="0"/>
            <w:vAlign w:val="center"/>
          </w:tcPr>
          <w:p w14:paraId="5CAD9BC7">
            <w:pPr>
              <w:keepNext w:val="0"/>
              <w:keepLines w:val="0"/>
              <w:pageBreakBefore w:val="0"/>
              <w:widowControl/>
              <w:kinsoku/>
              <w:wordWrap w:val="0"/>
              <w:overflowPunct/>
              <w:topLinePunct w:val="0"/>
              <w:bidi w:val="0"/>
              <w:snapToGrid w:val="0"/>
              <w:spacing w:after="0" w:line="360" w:lineRule="auto"/>
              <w:ind w:left="0" w:leftChars="0" w:right="0" w:rightChars="0" w:firstLine="0" w:firstLineChars="0"/>
              <w:jc w:val="center"/>
              <w:rPr>
                <w:rFonts w:hint="default"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0-12分</w:t>
            </w:r>
          </w:p>
        </w:tc>
      </w:tr>
      <w:tr w14:paraId="1AF0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74" w:type="pct"/>
            <w:shd w:val="clear" w:color="auto" w:fill="auto"/>
            <w:noWrap w:val="0"/>
            <w:vAlign w:val="center"/>
          </w:tcPr>
          <w:p w14:paraId="02B66CDD">
            <w:pPr>
              <w:keepNext w:val="0"/>
              <w:keepLines w:val="0"/>
              <w:pageBreakBefore w:val="0"/>
              <w:widowControl/>
              <w:kinsoku/>
              <w:wordWrap/>
              <w:overflowPunct/>
              <w:topLinePunct w:val="0"/>
              <w:bidi w:val="0"/>
              <w:adjustRightInd w:val="0"/>
              <w:snapToGrid/>
              <w:spacing w:line="360" w:lineRule="exact"/>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拟派服务团队配置</w:t>
            </w:r>
          </w:p>
          <w:p w14:paraId="7491A431">
            <w:pPr>
              <w:keepNext w:val="0"/>
              <w:keepLines w:val="0"/>
              <w:pageBreakBefore w:val="0"/>
              <w:widowControl/>
              <w:kinsoku/>
              <w:wordWrap/>
              <w:overflowPunct/>
              <w:topLinePunct w:val="0"/>
              <w:bidi w:val="0"/>
              <w:adjustRightInd w:val="0"/>
              <w:snapToGrid/>
              <w:spacing w:line="360" w:lineRule="exact"/>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【主观分】</w:t>
            </w:r>
          </w:p>
        </w:tc>
        <w:tc>
          <w:tcPr>
            <w:tcW w:w="3581" w:type="pct"/>
            <w:shd w:val="clear" w:color="auto" w:fill="auto"/>
            <w:noWrap w:val="0"/>
            <w:vAlign w:val="center"/>
          </w:tcPr>
          <w:p w14:paraId="2F33B85E">
            <w:pPr>
              <w:keepNext w:val="0"/>
              <w:keepLines w:val="0"/>
              <w:pageBreakBefore w:val="0"/>
              <w:widowControl/>
              <w:kinsoku/>
              <w:wordWrap/>
              <w:overflowPunct/>
              <w:topLinePunct w:val="0"/>
              <w:autoSpaceDE/>
              <w:autoSpaceDN/>
              <w:bidi w:val="0"/>
              <w:adjustRightInd w:val="0"/>
              <w:snapToGrid/>
              <w:spacing w:after="0" w:line="360" w:lineRule="exact"/>
              <w:ind w:left="0" w:leftChars="0" w:right="0" w:rightChars="0" w:firstLine="0" w:firstLineChars="0"/>
              <w:jc w:val="left"/>
              <w:textAlignment w:val="auto"/>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（1）人员组织架构：方案描述是否全面合理、是否科学可行，是否具有针对性，是否贴合采购需求。</w:t>
            </w: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(评分范围：3.2.1.0)</w:t>
            </w:r>
          </w:p>
          <w:p w14:paraId="3DA1BA4F">
            <w:pPr>
              <w:keepNext w:val="0"/>
              <w:keepLines w:val="0"/>
              <w:pageBreakBefore w:val="0"/>
              <w:widowControl/>
              <w:kinsoku/>
              <w:wordWrap/>
              <w:overflowPunct/>
              <w:topLinePunct w:val="0"/>
              <w:autoSpaceDE/>
              <w:autoSpaceDN/>
              <w:bidi w:val="0"/>
              <w:adjustRightInd w:val="0"/>
              <w:snapToGrid/>
              <w:spacing w:after="0" w:line="360" w:lineRule="exact"/>
              <w:ind w:left="0" w:leftChars="0" w:right="0" w:rightChars="0" w:firstLine="0" w:firstLineChars="0"/>
              <w:jc w:val="left"/>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（2）人员配置完善情况：方案描述是否全面合理、是否科学可行，是否具有针对性，是否贴合采购需求。</w:t>
            </w: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(评分范围：3,2,1,0)</w:t>
            </w:r>
          </w:p>
          <w:p w14:paraId="364F400B">
            <w:pPr>
              <w:keepNext w:val="0"/>
              <w:keepLines w:val="0"/>
              <w:pageBreakBefore w:val="0"/>
              <w:widowControl/>
              <w:kinsoku/>
              <w:wordWrap/>
              <w:overflowPunct/>
              <w:topLinePunct w:val="0"/>
              <w:autoSpaceDE/>
              <w:autoSpaceDN/>
              <w:bidi w:val="0"/>
              <w:adjustRightInd w:val="0"/>
              <w:snapToGrid/>
              <w:spacing w:after="0" w:line="360" w:lineRule="exact"/>
              <w:ind w:left="0" w:leftChars="0" w:right="0" w:rightChars="0" w:firstLine="0" w:firstLineChars="0"/>
              <w:jc w:val="left"/>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（3）项目团队人员的专业及经验：方案描述是否全面合理、是否科学可行，是否具有针对性，是否贴合采购需求。</w:t>
            </w: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(评分范围：3,2,1,0)</w:t>
            </w:r>
          </w:p>
        </w:tc>
        <w:tc>
          <w:tcPr>
            <w:tcW w:w="543" w:type="pct"/>
            <w:shd w:val="clear" w:color="auto" w:fill="auto"/>
            <w:noWrap w:val="0"/>
            <w:vAlign w:val="center"/>
          </w:tcPr>
          <w:p w14:paraId="0FFA6975">
            <w:pPr>
              <w:keepNext w:val="0"/>
              <w:keepLines w:val="0"/>
              <w:pageBreakBefore w:val="0"/>
              <w:widowControl/>
              <w:kinsoku/>
              <w:wordWrap w:val="0"/>
              <w:overflowPunct/>
              <w:topLinePunct w:val="0"/>
              <w:bidi w:val="0"/>
              <w:snapToGrid w:val="0"/>
              <w:spacing w:after="0" w:line="360" w:lineRule="auto"/>
              <w:ind w:left="0" w:leftChars="0" w:right="0" w:rightChars="0" w:firstLine="0" w:firstLineChars="0"/>
              <w:jc w:val="center"/>
              <w:rPr>
                <w:rFonts w:hint="default"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0-9分</w:t>
            </w:r>
          </w:p>
        </w:tc>
      </w:tr>
      <w:tr w14:paraId="7CC3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874" w:type="pct"/>
            <w:shd w:val="clear" w:color="auto" w:fill="auto"/>
            <w:noWrap w:val="0"/>
            <w:vAlign w:val="center"/>
          </w:tcPr>
          <w:p w14:paraId="7C5D15F5">
            <w:pPr>
              <w:keepNext w:val="0"/>
              <w:keepLines w:val="0"/>
              <w:pageBreakBefore w:val="0"/>
              <w:widowControl/>
              <w:kinsoku/>
              <w:wordWrap/>
              <w:overflowPunct/>
              <w:topLinePunct w:val="0"/>
              <w:bidi w:val="0"/>
              <w:adjustRightInd w:val="0"/>
              <w:snapToGrid/>
              <w:spacing w:line="360" w:lineRule="exact"/>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重难点分析及解决措施</w:t>
            </w:r>
          </w:p>
          <w:p w14:paraId="409E3FB0">
            <w:pPr>
              <w:keepNext w:val="0"/>
              <w:keepLines w:val="0"/>
              <w:pageBreakBefore w:val="0"/>
              <w:widowControl/>
              <w:kinsoku/>
              <w:wordWrap/>
              <w:overflowPunct/>
              <w:topLinePunct w:val="0"/>
              <w:bidi w:val="0"/>
              <w:adjustRightInd w:val="0"/>
              <w:snapToGrid/>
              <w:spacing w:line="360" w:lineRule="exact"/>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【主观分】</w:t>
            </w:r>
          </w:p>
        </w:tc>
        <w:tc>
          <w:tcPr>
            <w:tcW w:w="3581" w:type="pct"/>
            <w:shd w:val="clear" w:color="auto" w:fill="auto"/>
            <w:noWrap w:val="0"/>
            <w:vAlign w:val="center"/>
          </w:tcPr>
          <w:p w14:paraId="2DBBADD0">
            <w:pPr>
              <w:keepNext w:val="0"/>
              <w:keepLines w:val="0"/>
              <w:pageBreakBefore w:val="0"/>
              <w:widowControl/>
              <w:kinsoku/>
              <w:wordWrap/>
              <w:overflowPunct/>
              <w:topLinePunct w:val="0"/>
              <w:autoSpaceDE/>
              <w:autoSpaceDN/>
              <w:bidi w:val="0"/>
              <w:adjustRightInd w:val="0"/>
              <w:snapToGrid/>
              <w:spacing w:after="0" w:line="360" w:lineRule="exact"/>
              <w:ind w:left="0" w:leftChars="0" w:right="0" w:rightChars="0" w:firstLine="0" w:firstLineChars="0"/>
              <w:jc w:val="left"/>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（1）结合对本项目的认知情况，提出针对本项目的重难点分析方案：方案描述是否全面合理、是否具有针对性，是否贴合采购需求。</w:t>
            </w: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(评分范围：3,2,1,0)</w:t>
            </w:r>
          </w:p>
          <w:p w14:paraId="23BC2D64">
            <w:pPr>
              <w:keepNext w:val="0"/>
              <w:keepLines w:val="0"/>
              <w:pageBreakBefore w:val="0"/>
              <w:widowControl/>
              <w:kinsoku/>
              <w:wordWrap/>
              <w:overflowPunct/>
              <w:topLinePunct w:val="0"/>
              <w:autoSpaceDE/>
              <w:autoSpaceDN/>
              <w:bidi w:val="0"/>
              <w:adjustRightInd w:val="0"/>
              <w:snapToGrid/>
              <w:spacing w:after="0" w:line="360" w:lineRule="exact"/>
              <w:ind w:left="0" w:leftChars="0" w:right="0" w:rightChars="0" w:firstLine="0" w:firstLineChars="0"/>
              <w:jc w:val="left"/>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（2)结合重难点分析情况，提出相应的解决措施方案：措施方案是否全面合理、是否科学可行，是否具有针对性，是否贴合采购需求。</w:t>
            </w: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(评分范围：3,2,1,0)</w:t>
            </w:r>
          </w:p>
        </w:tc>
        <w:tc>
          <w:tcPr>
            <w:tcW w:w="543" w:type="pct"/>
            <w:shd w:val="clear" w:color="auto" w:fill="auto"/>
            <w:noWrap w:val="0"/>
            <w:vAlign w:val="center"/>
          </w:tcPr>
          <w:p w14:paraId="7CE4B513">
            <w:pPr>
              <w:keepNext w:val="0"/>
              <w:keepLines w:val="0"/>
              <w:pageBreakBefore w:val="0"/>
              <w:widowControl/>
              <w:kinsoku/>
              <w:wordWrap w:val="0"/>
              <w:overflowPunct/>
              <w:topLinePunct w:val="0"/>
              <w:bidi w:val="0"/>
              <w:snapToGrid w:val="0"/>
              <w:spacing w:after="0" w:line="360" w:lineRule="auto"/>
              <w:ind w:left="0" w:leftChars="0" w:right="0" w:rightChars="0" w:firstLine="0" w:firstLineChars="0"/>
              <w:jc w:val="center"/>
              <w:rPr>
                <w:rFonts w:hint="default"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0-6分</w:t>
            </w:r>
          </w:p>
        </w:tc>
      </w:tr>
      <w:tr w14:paraId="62E8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874" w:type="pct"/>
            <w:shd w:val="clear" w:color="auto" w:fill="auto"/>
            <w:noWrap w:val="0"/>
            <w:vAlign w:val="center"/>
          </w:tcPr>
          <w:p w14:paraId="262E2858">
            <w:pPr>
              <w:keepNext w:val="0"/>
              <w:keepLines w:val="0"/>
              <w:pageBreakBefore w:val="0"/>
              <w:widowControl/>
              <w:kinsoku/>
              <w:wordWrap/>
              <w:overflowPunct/>
              <w:topLinePunct w:val="0"/>
              <w:bidi w:val="0"/>
              <w:adjustRightInd w:val="0"/>
              <w:snapToGrid/>
              <w:spacing w:line="360" w:lineRule="exact"/>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质量保障措施</w:t>
            </w:r>
            <w:r>
              <w:rPr>
                <w:rFonts w:hint="eastAsia" w:ascii="仿宋" w:hAnsi="仿宋" w:eastAsia="仿宋" w:cs="仿宋"/>
                <w:color w:val="000000" w:themeColor="text1"/>
                <w:sz w:val="21"/>
                <w:szCs w:val="21"/>
                <w:highlight w:val="none"/>
                <w:lang w:val="en-US" w:eastAsia="zh-CN"/>
                <w14:textFill>
                  <w14:solidFill>
                    <w14:schemeClr w14:val="tx1"/>
                  </w14:solidFill>
                </w14:textFill>
              </w:rPr>
              <w:t>【主观分】</w:t>
            </w:r>
          </w:p>
        </w:tc>
        <w:tc>
          <w:tcPr>
            <w:tcW w:w="3581" w:type="pct"/>
            <w:shd w:val="clear" w:color="auto" w:fill="auto"/>
            <w:noWrap w:val="0"/>
            <w:vAlign w:val="center"/>
          </w:tcPr>
          <w:p w14:paraId="29E2282C">
            <w:pPr>
              <w:keepNext w:val="0"/>
              <w:keepLines w:val="0"/>
              <w:pageBreakBefore w:val="0"/>
              <w:widowControl/>
              <w:kinsoku/>
              <w:wordWrap/>
              <w:overflowPunct/>
              <w:topLinePunct w:val="0"/>
              <w:autoSpaceDE/>
              <w:autoSpaceDN/>
              <w:bidi w:val="0"/>
              <w:adjustRightInd w:val="0"/>
              <w:snapToGrid/>
              <w:spacing w:after="0" w:line="360" w:lineRule="exact"/>
              <w:ind w:left="0" w:leftChars="0" w:right="0" w:rightChars="0" w:firstLine="0" w:firstLineChars="0"/>
              <w:jc w:val="left"/>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质量管理、质量保障、风险控制等措施是否符合项目实际、是否全面合理、是否科学可行。</w:t>
            </w: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(评分范围：4,3,2,1,0)</w:t>
            </w:r>
          </w:p>
        </w:tc>
        <w:tc>
          <w:tcPr>
            <w:tcW w:w="543" w:type="pct"/>
            <w:shd w:val="clear" w:color="auto" w:fill="auto"/>
            <w:noWrap w:val="0"/>
            <w:vAlign w:val="center"/>
          </w:tcPr>
          <w:p w14:paraId="58C5A8DF">
            <w:pPr>
              <w:keepNext w:val="0"/>
              <w:keepLines w:val="0"/>
              <w:pageBreakBefore w:val="0"/>
              <w:widowControl/>
              <w:kinsoku/>
              <w:wordWrap w:val="0"/>
              <w:overflowPunct/>
              <w:topLinePunct w:val="0"/>
              <w:bidi w:val="0"/>
              <w:snapToGrid w:val="0"/>
              <w:spacing w:after="0" w:line="360" w:lineRule="auto"/>
              <w:ind w:left="0" w:leftChars="0" w:right="0" w:rightChars="0" w:firstLine="0" w:firstLineChars="0"/>
              <w:jc w:val="center"/>
              <w:rPr>
                <w:rFonts w:hint="default"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0-4分</w:t>
            </w:r>
          </w:p>
        </w:tc>
      </w:tr>
      <w:tr w14:paraId="2186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874" w:type="pct"/>
            <w:shd w:val="clear" w:color="auto" w:fill="auto"/>
            <w:noWrap w:val="0"/>
            <w:vAlign w:val="center"/>
          </w:tcPr>
          <w:p w14:paraId="59827910">
            <w:pPr>
              <w:keepNext w:val="0"/>
              <w:keepLines w:val="0"/>
              <w:pageBreakBefore w:val="0"/>
              <w:widowControl/>
              <w:kinsoku/>
              <w:wordWrap/>
              <w:overflowPunct/>
              <w:topLinePunct w:val="0"/>
              <w:bidi w:val="0"/>
              <w:adjustRightInd w:val="0"/>
              <w:snapToGrid/>
              <w:spacing w:line="360" w:lineRule="exact"/>
              <w:jc w:val="center"/>
              <w:textAlignment w:val="auto"/>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安装、调试方案【主观分】</w:t>
            </w:r>
          </w:p>
        </w:tc>
        <w:tc>
          <w:tcPr>
            <w:tcW w:w="3581" w:type="pct"/>
            <w:shd w:val="clear" w:color="auto" w:fill="auto"/>
            <w:noWrap w:val="0"/>
            <w:vAlign w:val="center"/>
          </w:tcPr>
          <w:p w14:paraId="09440906">
            <w:pPr>
              <w:keepNext w:val="0"/>
              <w:keepLines w:val="0"/>
              <w:pageBreakBefore w:val="0"/>
              <w:widowControl/>
              <w:kinsoku/>
              <w:wordWrap/>
              <w:overflowPunct/>
              <w:topLinePunct w:val="0"/>
              <w:autoSpaceDE/>
              <w:autoSpaceDN/>
              <w:bidi w:val="0"/>
              <w:adjustRightInd w:val="0"/>
              <w:snapToGrid/>
              <w:spacing w:after="0" w:line="360" w:lineRule="exact"/>
              <w:ind w:left="0" w:leftChars="0" w:right="0" w:rightChars="0" w:firstLine="0" w:firstLineChars="0"/>
              <w:jc w:val="left"/>
              <w:textAlignment w:val="auto"/>
              <w:rPr>
                <w:rFonts w:hint="eastAsia" w:ascii="仿宋" w:hAnsi="仿宋" w:eastAsia="仿宋" w:cs="仿宋"/>
                <w:strike/>
                <w:dstrike w:val="0"/>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bidi="ar"/>
                <w14:textFill>
                  <w14:solidFill>
                    <w14:schemeClr w14:val="tx1"/>
                  </w14:solidFill>
                </w14:textFill>
              </w:rPr>
              <w:t>根据投标人针对本项目</w:t>
            </w: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的设备、产品安装调试及验收方案是否符合项目实际、是否全面合理、是否科学可行。</w:t>
            </w: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(评分范围：4,3,2,1,0)</w:t>
            </w:r>
          </w:p>
        </w:tc>
        <w:tc>
          <w:tcPr>
            <w:tcW w:w="543" w:type="pct"/>
            <w:shd w:val="clear" w:color="auto" w:fill="auto"/>
            <w:noWrap w:val="0"/>
            <w:vAlign w:val="center"/>
          </w:tcPr>
          <w:p w14:paraId="4136B47E">
            <w:pPr>
              <w:keepNext w:val="0"/>
              <w:keepLines w:val="0"/>
              <w:pageBreakBefore w:val="0"/>
              <w:widowControl/>
              <w:kinsoku/>
              <w:wordWrap w:val="0"/>
              <w:overflowPunct/>
              <w:topLinePunct w:val="0"/>
              <w:bidi w:val="0"/>
              <w:snapToGrid w:val="0"/>
              <w:spacing w:after="0" w:line="360" w:lineRule="auto"/>
              <w:ind w:left="0" w:leftChars="0" w:right="0" w:rightChars="0" w:firstLine="0" w:firstLineChars="0"/>
              <w:jc w:val="center"/>
              <w:rPr>
                <w:rFonts w:hint="default"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0-4分</w:t>
            </w:r>
          </w:p>
        </w:tc>
      </w:tr>
      <w:tr w14:paraId="6762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874" w:type="pct"/>
            <w:shd w:val="clear" w:color="auto" w:fill="auto"/>
            <w:noWrap w:val="0"/>
            <w:vAlign w:val="center"/>
          </w:tcPr>
          <w:p w14:paraId="7FF12CE8">
            <w:pPr>
              <w:keepNext w:val="0"/>
              <w:keepLines w:val="0"/>
              <w:pageBreakBefore w:val="0"/>
              <w:widowControl/>
              <w:kinsoku/>
              <w:wordWrap/>
              <w:overflowPunct/>
              <w:topLinePunct w:val="0"/>
              <w:bidi w:val="0"/>
              <w:adjustRightInd w:val="0"/>
              <w:snapToGrid/>
              <w:spacing w:line="360" w:lineRule="exact"/>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进度保障措施【主观分】</w:t>
            </w:r>
          </w:p>
        </w:tc>
        <w:tc>
          <w:tcPr>
            <w:tcW w:w="3581" w:type="pct"/>
            <w:shd w:val="clear" w:color="auto" w:fill="auto"/>
            <w:noWrap w:val="0"/>
            <w:vAlign w:val="center"/>
          </w:tcPr>
          <w:p w14:paraId="6DFB4648">
            <w:pPr>
              <w:keepNext w:val="0"/>
              <w:keepLines w:val="0"/>
              <w:pageBreakBefore w:val="0"/>
              <w:widowControl/>
              <w:kinsoku/>
              <w:wordWrap/>
              <w:overflowPunct/>
              <w:topLinePunct w:val="0"/>
              <w:autoSpaceDE/>
              <w:autoSpaceDN/>
              <w:bidi w:val="0"/>
              <w:adjustRightInd w:val="0"/>
              <w:snapToGrid/>
              <w:spacing w:after="0" w:line="360" w:lineRule="exact"/>
              <w:ind w:left="0" w:leftChars="0" w:right="0" w:rightChars="0" w:firstLine="0" w:firstLineChars="0"/>
              <w:jc w:val="left"/>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根据投标人针对项目提供实施进度计划（包括工期保证措施等）：进度计划是否符合项目实际、保证措施是否全面合理、是否科学可行，是否具有针对性。</w:t>
            </w: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(评分范围：4.3.2.1.0)</w:t>
            </w:r>
          </w:p>
        </w:tc>
        <w:tc>
          <w:tcPr>
            <w:tcW w:w="543" w:type="pct"/>
            <w:shd w:val="clear" w:color="auto" w:fill="auto"/>
            <w:noWrap w:val="0"/>
            <w:vAlign w:val="center"/>
          </w:tcPr>
          <w:p w14:paraId="0AED802F">
            <w:pPr>
              <w:keepNext w:val="0"/>
              <w:keepLines w:val="0"/>
              <w:pageBreakBefore w:val="0"/>
              <w:widowControl/>
              <w:kinsoku/>
              <w:wordWrap w:val="0"/>
              <w:overflowPunct/>
              <w:topLinePunct w:val="0"/>
              <w:bidi w:val="0"/>
              <w:snapToGrid w:val="0"/>
              <w:spacing w:after="0" w:line="360" w:lineRule="auto"/>
              <w:ind w:left="0" w:leftChars="0" w:right="0" w:rightChars="0" w:firstLine="0" w:firstLineChars="0"/>
              <w:jc w:val="center"/>
              <w:rPr>
                <w:rFonts w:hint="default"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0-4分</w:t>
            </w:r>
          </w:p>
        </w:tc>
      </w:tr>
      <w:tr w14:paraId="4069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74" w:type="pct"/>
            <w:shd w:val="clear" w:color="auto" w:fill="auto"/>
            <w:noWrap w:val="0"/>
            <w:vAlign w:val="center"/>
          </w:tcPr>
          <w:p w14:paraId="27834ADE">
            <w:pPr>
              <w:keepNext w:val="0"/>
              <w:keepLines w:val="0"/>
              <w:pageBreakBefore w:val="0"/>
              <w:widowControl/>
              <w:kinsoku/>
              <w:wordWrap/>
              <w:overflowPunct/>
              <w:topLinePunct w:val="0"/>
              <w:bidi w:val="0"/>
              <w:adjustRightInd w:val="0"/>
              <w:snapToGrid/>
              <w:spacing w:line="360" w:lineRule="exact"/>
              <w:jc w:val="center"/>
              <w:textAlignment w:val="auto"/>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售后服务方案</w:t>
            </w:r>
            <w:r>
              <w:rPr>
                <w:rFonts w:hint="eastAsia" w:ascii="仿宋" w:hAnsi="仿宋" w:eastAsia="仿宋" w:cs="仿宋"/>
                <w:color w:val="000000" w:themeColor="text1"/>
                <w:sz w:val="21"/>
                <w:szCs w:val="21"/>
                <w:highlight w:val="none"/>
                <w:lang w:val="en-US" w:eastAsia="zh-CN"/>
                <w14:textFill>
                  <w14:solidFill>
                    <w14:schemeClr w14:val="tx1"/>
                  </w14:solidFill>
                </w14:textFill>
              </w:rPr>
              <w:t>【主观分】</w:t>
            </w:r>
          </w:p>
        </w:tc>
        <w:tc>
          <w:tcPr>
            <w:tcW w:w="3581" w:type="pct"/>
            <w:shd w:val="clear" w:color="auto" w:fill="auto"/>
            <w:noWrap w:val="0"/>
            <w:vAlign w:val="center"/>
          </w:tcPr>
          <w:p w14:paraId="037950DF">
            <w:pPr>
              <w:keepNext w:val="0"/>
              <w:keepLines w:val="0"/>
              <w:pageBreakBefore w:val="0"/>
              <w:widowControl/>
              <w:tabs>
                <w:tab w:val="left" w:pos="720"/>
                <w:tab w:val="left" w:pos="1260"/>
                <w:tab w:val="left" w:pos="2160"/>
                <w:tab w:val="left" w:pos="2880"/>
                <w:tab w:val="left" w:pos="3600"/>
                <w:tab w:val="left" w:pos="4320"/>
                <w:tab w:val="left" w:pos="5040"/>
                <w:tab w:val="left" w:pos="5760"/>
              </w:tabs>
              <w:kinsoku/>
              <w:wordWrap/>
              <w:overflowPunct/>
              <w:topLinePunct w:val="0"/>
              <w:autoSpaceDE w:val="0"/>
              <w:autoSpaceDN w:val="0"/>
              <w:bidi w:val="0"/>
              <w:adjustRightInd w:val="0"/>
              <w:snapToGrid/>
              <w:spacing w:after="0" w:line="360" w:lineRule="exact"/>
              <w:ind w:left="0" w:leftChars="0" w:right="0" w:rightChars="0" w:firstLine="0" w:firstLineChars="0"/>
              <w:jc w:val="left"/>
              <w:textAlignment w:val="auto"/>
              <w:rPr>
                <w:rFonts w:hint="eastAsia" w:ascii="仿宋" w:hAnsi="仿宋" w:eastAsia="仿宋" w:cs="仿宋"/>
                <w:color w:val="000000" w:themeColor="text1"/>
                <w:kern w:val="0"/>
                <w:sz w:val="21"/>
                <w:szCs w:val="21"/>
                <w:highlight w:val="none"/>
                <w:lang w:bidi="ar"/>
                <w14:textFill>
                  <w14:solidFill>
                    <w14:schemeClr w14:val="tx1"/>
                  </w14:solidFill>
                </w14:textFill>
              </w:rPr>
            </w:pPr>
            <w:r>
              <w:rPr>
                <w:rFonts w:hint="eastAsia" w:ascii="仿宋" w:hAnsi="仿宋" w:eastAsia="仿宋" w:cs="仿宋"/>
                <w:color w:val="000000" w:themeColor="text1"/>
                <w:kern w:val="0"/>
                <w:sz w:val="21"/>
                <w:szCs w:val="21"/>
                <w:highlight w:val="none"/>
                <w:lang w:bidi="ar"/>
                <w14:textFill>
                  <w14:solidFill>
                    <w14:schemeClr w14:val="tx1"/>
                  </w14:solidFill>
                </w14:textFill>
              </w:rPr>
              <w:t>根据投标人针对本项目质保期内外售后服务、维护计划及方式</w:t>
            </w:r>
            <w:r>
              <w:rPr>
                <w:rFonts w:hint="eastAsia" w:ascii="仿宋" w:hAnsi="仿宋" w:eastAsia="仿宋" w:cs="仿宋"/>
                <w:color w:val="000000" w:themeColor="text1"/>
                <w:kern w:val="0"/>
                <w:sz w:val="21"/>
                <w:szCs w:val="21"/>
                <w:highlight w:val="none"/>
                <w:lang w:eastAsia="zh-CN" w:bidi="ar"/>
                <w14:textFill>
                  <w14:solidFill>
                    <w14:schemeClr w14:val="tx1"/>
                  </w14:solidFill>
                </w14:textFill>
              </w:rPr>
              <w:t>（</w:t>
            </w:r>
            <w:r>
              <w:rPr>
                <w:rFonts w:hint="eastAsia" w:ascii="仿宋" w:hAnsi="仿宋" w:eastAsia="仿宋" w:cs="仿宋"/>
                <w:color w:val="000000" w:themeColor="text1"/>
                <w:kern w:val="0"/>
                <w:sz w:val="21"/>
                <w:szCs w:val="21"/>
                <w:highlight w:val="none"/>
                <w:lang w:bidi="ar"/>
                <w14:textFill>
                  <w14:solidFill>
                    <w14:schemeClr w14:val="tx1"/>
                  </w14:solidFill>
                </w14:textFill>
              </w:rPr>
              <w:t>包括对用户故障的响应、处理、定期巡检、维护方式、节能方案</w:t>
            </w:r>
            <w:r>
              <w:rPr>
                <w:rFonts w:hint="eastAsia" w:ascii="仿宋" w:hAnsi="仿宋" w:eastAsia="仿宋" w:cs="仿宋"/>
                <w:color w:val="000000" w:themeColor="text1"/>
                <w:kern w:val="0"/>
                <w:sz w:val="21"/>
                <w:szCs w:val="21"/>
                <w:highlight w:val="none"/>
                <w:lang w:eastAsia="zh-CN" w:bidi="ar"/>
                <w14:textFill>
                  <w14:solidFill>
                    <w14:schemeClr w14:val="tx1"/>
                  </w14:solidFill>
                </w14:textFill>
              </w:rPr>
              <w:t>）</w:t>
            </w:r>
            <w:r>
              <w:rPr>
                <w:rFonts w:hint="eastAsia" w:ascii="仿宋" w:hAnsi="仿宋" w:eastAsia="仿宋" w:cs="仿宋"/>
                <w:color w:val="000000" w:themeColor="text1"/>
                <w:kern w:val="0"/>
                <w:sz w:val="21"/>
                <w:szCs w:val="21"/>
                <w:highlight w:val="none"/>
                <w:lang w:bidi="ar"/>
                <w14:textFill>
                  <w14:solidFill>
                    <w14:schemeClr w14:val="tx1"/>
                  </w14:solidFill>
                </w14:textFill>
              </w:rPr>
              <w:t>等进行综合</w:t>
            </w:r>
            <w:r>
              <w:rPr>
                <w:rFonts w:hint="eastAsia" w:ascii="仿宋" w:hAnsi="仿宋" w:eastAsia="仿宋" w:cs="仿宋"/>
                <w:color w:val="000000" w:themeColor="text1"/>
                <w:kern w:val="0"/>
                <w:sz w:val="21"/>
                <w:szCs w:val="21"/>
                <w:highlight w:val="none"/>
                <w:lang w:eastAsia="zh-CN" w:bidi="ar"/>
                <w14:textFill>
                  <w14:solidFill>
                    <w14:schemeClr w14:val="tx1"/>
                  </w14:solidFill>
                </w14:textFill>
              </w:rPr>
              <w:t>打分。</w:t>
            </w:r>
            <w:r>
              <w:rPr>
                <w:rFonts w:hint="eastAsia" w:ascii="仿宋" w:hAnsi="仿宋" w:eastAsia="仿宋" w:cs="仿宋"/>
                <w:b/>
                <w:bCs/>
                <w:color w:val="000000" w:themeColor="text1"/>
                <w:kern w:val="0"/>
                <w:sz w:val="21"/>
                <w:szCs w:val="21"/>
                <w:highlight w:val="none"/>
                <w:lang w:val="zh-CN" w:eastAsia="zh-CN" w:bidi="ar"/>
                <w14:textFill>
                  <w14:solidFill>
                    <w14:schemeClr w14:val="tx1"/>
                  </w14:solidFill>
                </w14:textFill>
              </w:rPr>
              <w:t>（评分范围：</w:t>
            </w: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5,4,3,2,1,0</w:t>
            </w:r>
            <w:r>
              <w:rPr>
                <w:rFonts w:hint="eastAsia" w:ascii="仿宋" w:hAnsi="仿宋" w:eastAsia="仿宋" w:cs="仿宋"/>
                <w:b/>
                <w:bCs/>
                <w:color w:val="000000" w:themeColor="text1"/>
                <w:kern w:val="0"/>
                <w:sz w:val="21"/>
                <w:szCs w:val="21"/>
                <w:highlight w:val="none"/>
                <w:lang w:val="zh-CN" w:eastAsia="zh-CN" w:bidi="ar"/>
                <w14:textFill>
                  <w14:solidFill>
                    <w14:schemeClr w14:val="tx1"/>
                  </w14:solidFill>
                </w14:textFill>
              </w:rPr>
              <w:t>）</w:t>
            </w:r>
          </w:p>
        </w:tc>
        <w:tc>
          <w:tcPr>
            <w:tcW w:w="543" w:type="pct"/>
            <w:shd w:val="clear" w:color="auto" w:fill="auto"/>
            <w:noWrap w:val="0"/>
            <w:vAlign w:val="center"/>
          </w:tcPr>
          <w:p w14:paraId="798D1FD2">
            <w:pPr>
              <w:widowControl/>
              <w:jc w:val="center"/>
              <w:rPr>
                <w:rFonts w:hint="default"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0-5分</w:t>
            </w:r>
          </w:p>
        </w:tc>
      </w:tr>
    </w:tbl>
    <w:p w14:paraId="09C860A3">
      <w:pPr>
        <w:keepNext w:val="0"/>
        <w:keepLines w:val="0"/>
        <w:pageBreakBefore w:val="0"/>
        <w:widowControl w:val="0"/>
        <w:kinsoku/>
        <w:wordWrap/>
        <w:overflowPunct/>
        <w:topLinePunct w:val="0"/>
        <w:autoSpaceDE/>
        <w:autoSpaceDN/>
        <w:bidi w:val="0"/>
        <w:adjustRightInd w:val="0"/>
        <w:snapToGrid w:val="0"/>
        <w:spacing w:line="440" w:lineRule="exact"/>
        <w:ind w:firstLine="40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0"/>
          <w:szCs w:val="20"/>
          <w:highlight w:val="none"/>
          <w:shd w:val="clear" w:color="auto" w:fill="FFFFFF"/>
          <w14:textFill>
            <w14:solidFill>
              <w14:schemeClr w14:val="tx1"/>
            </w14:solidFill>
          </w14:textFill>
        </w:rPr>
        <w:t> </w:t>
      </w:r>
      <w:r>
        <w:rPr>
          <w:rFonts w:hint="eastAsia" w:ascii="仿宋" w:hAnsi="仿宋" w:eastAsia="仿宋" w:cs="仿宋"/>
          <w:b/>
          <w:color w:val="000000" w:themeColor="text1"/>
          <w:sz w:val="24"/>
          <w:highlight w:val="none"/>
          <w14:textFill>
            <w14:solidFill>
              <w14:schemeClr w14:val="tx1"/>
            </w14:solidFill>
          </w14:textFill>
        </w:rPr>
        <w:t>备注：</w:t>
      </w:r>
      <w:r>
        <w:rPr>
          <w:rFonts w:hint="eastAsia" w:ascii="仿宋" w:hAnsi="仿宋" w:eastAsia="仿宋" w:cs="仿宋"/>
          <w:color w:val="000000" w:themeColor="text1"/>
          <w:sz w:val="24"/>
          <w:highlight w:val="none"/>
          <w14:textFill>
            <w14:solidFill>
              <w14:schemeClr w14:val="tx1"/>
            </w14:solidFill>
          </w14:textFill>
        </w:rPr>
        <w:t>投标人编制投标文件（商务技术文件部分）时，建议按此</w:t>
      </w:r>
      <w:r>
        <w:rPr>
          <w:rFonts w:hint="eastAsia" w:ascii="仿宋" w:hAnsi="仿宋" w:eastAsia="仿宋" w:cs="仿宋"/>
          <w:color w:val="000000" w:themeColor="text1"/>
          <w:sz w:val="24"/>
          <w:highlight w:val="none"/>
          <w:lang w:val="en-US" w:eastAsia="zh-CN"/>
          <w14:textFill>
            <w14:solidFill>
              <w14:schemeClr w14:val="tx1"/>
            </w14:solidFill>
          </w14:textFill>
        </w:rPr>
        <w:t>顺序</w:t>
      </w:r>
      <w:r>
        <w:rPr>
          <w:rFonts w:hint="eastAsia" w:ascii="仿宋" w:hAnsi="仿宋" w:eastAsia="仿宋" w:cs="仿宋"/>
          <w:color w:val="000000" w:themeColor="text1"/>
          <w:sz w:val="24"/>
          <w:highlight w:val="none"/>
          <w14:textFill>
            <w14:solidFill>
              <w14:schemeClr w14:val="tx1"/>
            </w14:solidFill>
          </w14:textFill>
        </w:rPr>
        <w:t>（序号和内容）提供评标标准相应的商务技术资料。 </w:t>
      </w:r>
    </w:p>
    <w:p w14:paraId="29B9F8E2">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2.2价格分（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b/>
          <w:bCs/>
          <w:iCs/>
          <w:color w:val="000000" w:themeColor="text1"/>
          <w:sz w:val="24"/>
          <w:highlight w:val="none"/>
          <w14:textFill>
            <w14:solidFill>
              <w14:schemeClr w14:val="tx1"/>
            </w14:solidFill>
          </w14:textFill>
        </w:rPr>
        <w:t>分）</w:t>
      </w:r>
    </w:p>
    <w:p w14:paraId="67A7ABA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2.2.1评标基准价：即满足招标文件要求且投标价格最低的投标报价为评标基准价，其价格分为满分。</w:t>
      </w:r>
    </w:p>
    <w:p w14:paraId="1EFA1C0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2.2.2其他投标人的价格分统一按照下列公式计算：</w:t>
      </w:r>
    </w:p>
    <w:p w14:paraId="416267CA">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投标报价得分=(评标基准价／投标报价)×价格权值×100</w:t>
      </w:r>
    </w:p>
    <w:p w14:paraId="2D28363A">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Cs/>
          <w:iCs/>
          <w:color w:val="000000" w:themeColor="text1"/>
          <w:sz w:val="24"/>
          <w:highlight w:val="none"/>
          <w:u w:val="single"/>
          <w:lang w:val="en-US" w:eastAsia="zh-CN"/>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即：投标报价得分=(评标基准价／投标报价)×</w:t>
      </w:r>
      <w:r>
        <w:rPr>
          <w:rFonts w:hint="eastAsia" w:ascii="仿宋" w:hAnsi="仿宋" w:eastAsia="仿宋" w:cs="仿宋"/>
          <w:bCs/>
          <w:iCs/>
          <w:color w:val="000000" w:themeColor="text1"/>
          <w:sz w:val="24"/>
          <w:highlight w:val="none"/>
          <w:u w:val="single"/>
          <w:lang w:val="en-US" w:eastAsia="zh-CN"/>
          <w14:textFill>
            <w14:solidFill>
              <w14:schemeClr w14:val="tx1"/>
            </w14:solidFill>
          </w14:textFill>
        </w:rPr>
        <w:t>30</w:t>
      </w:r>
    </w:p>
    <w:p w14:paraId="0F21F578">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注：</w:t>
      </w:r>
      <w:r>
        <w:rPr>
          <w:rFonts w:hint="eastAsia" w:ascii="仿宋" w:hAnsi="仿宋" w:eastAsia="仿宋" w:cs="仿宋"/>
          <w:color w:val="000000" w:themeColor="text1"/>
          <w:sz w:val="24"/>
          <w:highlight w:val="none"/>
          <w14:textFill>
            <w14:solidFill>
              <w14:schemeClr w14:val="tx1"/>
            </w14:solidFill>
          </w14:textFill>
        </w:rPr>
        <w:t>计算</w:t>
      </w:r>
      <w:r>
        <w:rPr>
          <w:rFonts w:hint="eastAsia" w:ascii="仿宋" w:hAnsi="仿宋" w:eastAsia="仿宋" w:cs="仿宋"/>
          <w:color w:val="000000" w:themeColor="text1"/>
          <w:sz w:val="24"/>
          <w:highlight w:val="none"/>
          <w:lang w:val="en-US" w:eastAsia="zh-CN"/>
          <w14:textFill>
            <w14:solidFill>
              <w14:schemeClr w14:val="tx1"/>
            </w14:solidFill>
          </w14:textFill>
        </w:rPr>
        <w:t>价格</w:t>
      </w:r>
      <w:r>
        <w:rPr>
          <w:rFonts w:hint="eastAsia" w:ascii="仿宋" w:hAnsi="仿宋" w:eastAsia="仿宋" w:cs="仿宋"/>
          <w:color w:val="000000" w:themeColor="text1"/>
          <w:sz w:val="24"/>
          <w:highlight w:val="none"/>
          <w14:textFill>
            <w14:solidFill>
              <w14:schemeClr w14:val="tx1"/>
            </w14:solidFill>
          </w14:textFill>
        </w:rPr>
        <w:t>分时，</w:t>
      </w:r>
      <w:r>
        <w:rPr>
          <w:rFonts w:hint="eastAsia" w:ascii="仿宋" w:hAnsi="仿宋" w:eastAsia="仿宋" w:cs="仿宋"/>
          <w:color w:val="000000" w:themeColor="text1"/>
          <w:sz w:val="24"/>
          <w:highlight w:val="none"/>
          <w:lang w:val="en-US" w:eastAsia="zh-CN"/>
          <w14:textFill>
            <w14:solidFill>
              <w14:schemeClr w14:val="tx1"/>
            </w14:solidFill>
          </w14:textFill>
        </w:rPr>
        <w:t>四舍五入</w:t>
      </w:r>
      <w:r>
        <w:rPr>
          <w:rFonts w:hint="eastAsia" w:ascii="仿宋" w:hAnsi="仿宋" w:eastAsia="仿宋" w:cs="仿宋"/>
          <w:color w:val="000000" w:themeColor="text1"/>
          <w:sz w:val="24"/>
          <w:highlight w:val="none"/>
          <w14:textFill>
            <w14:solidFill>
              <w14:schemeClr w14:val="tx1"/>
            </w14:solidFill>
          </w14:textFill>
        </w:rPr>
        <w:t>保留小数2位</w:t>
      </w:r>
      <w:r>
        <w:rPr>
          <w:rFonts w:hint="eastAsia" w:ascii="仿宋" w:hAnsi="仿宋" w:eastAsia="仿宋" w:cs="仿宋"/>
          <w:color w:val="000000" w:themeColor="text1"/>
          <w:sz w:val="24"/>
          <w:highlight w:val="none"/>
          <w:lang w:eastAsia="zh-CN"/>
          <w14:textFill>
            <w14:solidFill>
              <w14:schemeClr w14:val="tx1"/>
            </w14:solidFill>
          </w14:textFill>
        </w:rPr>
        <w:t>。</w:t>
      </w:r>
    </w:p>
    <w:p w14:paraId="17248EED">
      <w:pPr>
        <w:rPr>
          <w:rFonts w:hint="eastAsia" w:ascii="仿宋" w:hAnsi="仿宋" w:eastAsia="仿宋" w:cs="仿宋"/>
          <w:color w:val="000000" w:themeColor="text1"/>
          <w:highlight w:val="none"/>
          <w14:textFill>
            <w14:solidFill>
              <w14:schemeClr w14:val="tx1"/>
            </w14:solidFill>
          </w14:textFill>
        </w:rPr>
      </w:pPr>
    </w:p>
    <w:p w14:paraId="75FBC991">
      <w:pP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p w14:paraId="0466DF75">
      <w:pPr>
        <w:widowControl/>
        <w:adjustRightInd/>
        <w:jc w:val="cente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w:t>
      </w:r>
      <w:bookmarkEnd w:id="36"/>
      <w:r>
        <w:rPr>
          <w:rFonts w:hint="eastAsia" w:ascii="仿宋" w:hAnsi="仿宋" w:eastAsia="仿宋" w:cs="仿宋"/>
          <w:b/>
          <w:color w:val="000000" w:themeColor="text1"/>
          <w:sz w:val="36"/>
          <w:szCs w:val="20"/>
          <w:highlight w:val="none"/>
          <w14:textFill>
            <w14:solidFill>
              <w14:schemeClr w14:val="tx1"/>
            </w14:solidFill>
          </w14:textFill>
        </w:rPr>
        <w:t xml:space="preserve"> </w:t>
      </w:r>
      <w:bookmarkEnd w:id="37"/>
      <w:r>
        <w:rPr>
          <w:rFonts w:hint="eastAsia" w:ascii="仿宋" w:hAnsi="仿宋" w:eastAsia="仿宋" w:cs="仿宋"/>
          <w:b/>
          <w:color w:val="000000" w:themeColor="text1"/>
          <w:sz w:val="36"/>
          <w:szCs w:val="20"/>
          <w:highlight w:val="none"/>
          <w14:textFill>
            <w14:solidFill>
              <w14:schemeClr w14:val="tx1"/>
            </w14:solidFill>
          </w14:textFill>
        </w:rPr>
        <w:t>投标文件及其附件格式</w:t>
      </w:r>
    </w:p>
    <w:p w14:paraId="4723598D">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5CCED21A">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57594123">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497CF81E">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25434A42">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14:paraId="4A3845F4">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实政府采购政策需满足的资格要求………………………………（页码）</w:t>
      </w:r>
    </w:p>
    <w:p w14:paraId="22F86DF2">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17B67DA1">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2F7D91D1">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14:paraId="7EEC23F3">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r>
        <w:rPr>
          <w:rFonts w:hint="eastAsia" w:ascii="仿宋" w:hAnsi="仿宋" w:eastAsia="仿宋" w:cs="仿宋"/>
          <w:color w:val="000000" w:themeColor="text1"/>
          <w:sz w:val="24"/>
          <w:highlight w:val="none"/>
          <w14:textFill>
            <w14:solidFill>
              <w14:schemeClr w14:val="tx1"/>
            </w14:solidFill>
          </w14:textFill>
        </w:rPr>
        <w:t>：</w:t>
      </w:r>
    </w:p>
    <w:p w14:paraId="65683728">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lang w:eastAsia="zh-CN"/>
          <w14:textFill>
            <w14:solidFill>
              <w14:schemeClr w14:val="tx1"/>
            </w14:solidFill>
          </w14:textFill>
        </w:rPr>
        <w:t>（项目名称）</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项目编号</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】政府采购活动，郑重承诺：</w:t>
      </w:r>
    </w:p>
    <w:p w14:paraId="69BD73ED">
      <w:pPr>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5957D1F4">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6F6F9EA">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0896241B">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2DD707DA">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6399E561">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60A04D5A">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3A61C5F4">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435A13CE">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77659F28">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2591CA60">
      <w:pPr>
        <w:snapToGrid w:val="0"/>
        <w:spacing w:line="360" w:lineRule="auto"/>
        <w:ind w:firstLine="5520" w:firstLineChars="2300"/>
        <w:rPr>
          <w:rFonts w:hint="eastAsia" w:ascii="仿宋" w:hAnsi="仿宋" w:eastAsia="仿宋" w:cs="仿宋"/>
          <w:color w:val="000000" w:themeColor="text1"/>
          <w:kern w:val="0"/>
          <w:sz w:val="24"/>
          <w:highlight w:val="none"/>
          <w:lang w:val="zh-CN"/>
          <w14:textFill>
            <w14:solidFill>
              <w14:schemeClr w14:val="tx1"/>
            </w14:solidFill>
          </w14:textFill>
        </w:rPr>
      </w:pPr>
    </w:p>
    <w:p w14:paraId="178AC3E2">
      <w:pPr>
        <w:snapToGrid w:val="0"/>
        <w:spacing w:line="360" w:lineRule="auto"/>
        <w:ind w:firstLine="5520" w:firstLineChars="2300"/>
        <w:rPr>
          <w:rFonts w:hint="eastAsia" w:ascii="仿宋" w:hAnsi="仿宋" w:eastAsia="仿宋" w:cs="仿宋"/>
          <w:color w:val="000000" w:themeColor="text1"/>
          <w:kern w:val="0"/>
          <w:sz w:val="24"/>
          <w:highlight w:val="none"/>
          <w:lang w:val="zh-CN"/>
          <w14:textFill>
            <w14:solidFill>
              <w14:schemeClr w14:val="tx1"/>
            </w14:solidFill>
          </w14:textFill>
        </w:rPr>
      </w:pPr>
    </w:p>
    <w:p w14:paraId="0F4C4C15">
      <w:pPr>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kern w:val="0"/>
          <w:sz w:val="24"/>
          <w:szCs w:val="22"/>
          <w:highlight w:val="none"/>
          <w14:textFill>
            <w14:solidFill>
              <w14:schemeClr w14:val="tx1"/>
            </w14:solidFill>
          </w14:textFill>
        </w:rPr>
        <w:t>（盖单位公章）</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51FC523">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445D69F7">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19A4FF8">
      <w:pPr>
        <w:pStyle w:val="44"/>
        <w:pageBreakBefore w:val="0"/>
        <w:tabs>
          <w:tab w:val="right" w:leader="dot" w:pos="8364"/>
        </w:tabs>
        <w:kinsoku/>
        <w:wordWrap/>
        <w:overflowPunct/>
        <w:topLinePunct w:val="0"/>
        <w:autoSpaceDE/>
        <w:autoSpaceDN/>
        <w:bidi w:val="0"/>
        <w:spacing w:line="288" w:lineRule="auto"/>
        <w:rPr>
          <w:rFonts w:hint="eastAsia" w:ascii="仿宋" w:hAnsi="仿宋" w:eastAsia="仿宋" w:cs="仿宋"/>
          <w:bCs/>
          <w:caps w:val="0"/>
          <w:color w:val="000000" w:themeColor="text1"/>
          <w:sz w:val="24"/>
          <w:szCs w:val="24"/>
          <w:highlight w:val="none"/>
          <w:u w:val="single"/>
          <w14:textFill>
            <w14:solidFill>
              <w14:schemeClr w14:val="tx1"/>
            </w14:solidFill>
          </w14:textFill>
        </w:rPr>
      </w:pPr>
      <w:r>
        <w:rPr>
          <w:rFonts w:hint="eastAsia" w:ascii="仿宋" w:hAnsi="仿宋" w:eastAsia="仿宋" w:cs="仿宋"/>
          <w:b/>
          <w:bCs/>
          <w:caps w:val="0"/>
          <w:color w:val="000000" w:themeColor="text1"/>
          <w:sz w:val="24"/>
          <w:szCs w:val="24"/>
          <w:highlight w:val="none"/>
          <w:u w:val="single"/>
          <w14:textFill>
            <w14:solidFill>
              <w14:schemeClr w14:val="tx1"/>
            </w14:solidFill>
          </w14:textFill>
        </w:rPr>
        <w:t>说明：以联合体形式</w:t>
      </w:r>
      <w:r>
        <w:rPr>
          <w:rFonts w:hint="eastAsia" w:ascii="仿宋" w:hAnsi="仿宋" w:eastAsia="仿宋" w:cs="仿宋"/>
          <w:b/>
          <w:bCs/>
          <w:caps w:val="0"/>
          <w:color w:val="000000" w:themeColor="text1"/>
          <w:sz w:val="24"/>
          <w:szCs w:val="24"/>
          <w:highlight w:val="none"/>
          <w:u w:val="single"/>
          <w:lang w:val="en-US" w:eastAsia="zh-CN"/>
          <w14:textFill>
            <w14:solidFill>
              <w14:schemeClr w14:val="tx1"/>
            </w14:solidFill>
          </w14:textFill>
        </w:rPr>
        <w:t>投标</w:t>
      </w:r>
      <w:r>
        <w:rPr>
          <w:rFonts w:hint="eastAsia" w:ascii="仿宋" w:hAnsi="仿宋" w:eastAsia="仿宋" w:cs="仿宋"/>
          <w:b/>
          <w:bCs/>
          <w:caps w:val="0"/>
          <w:color w:val="000000" w:themeColor="text1"/>
          <w:sz w:val="24"/>
          <w:szCs w:val="24"/>
          <w:highlight w:val="none"/>
          <w:u w:val="single"/>
          <w14:textFill>
            <w14:solidFill>
              <w14:schemeClr w14:val="tx1"/>
            </w14:solidFill>
          </w14:textFill>
        </w:rPr>
        <w:t>，联合体各方</w:t>
      </w:r>
      <w:r>
        <w:rPr>
          <w:rFonts w:hint="eastAsia" w:ascii="仿宋" w:hAnsi="仿宋" w:eastAsia="仿宋" w:cs="仿宋"/>
          <w:b/>
          <w:bCs/>
          <w:caps w:val="0"/>
          <w:color w:val="000000" w:themeColor="text1"/>
          <w:sz w:val="24"/>
          <w:szCs w:val="24"/>
          <w:highlight w:val="none"/>
          <w:u w:val="single"/>
          <w:lang w:val="en-US" w:eastAsia="zh-CN"/>
          <w14:textFill>
            <w14:solidFill>
              <w14:schemeClr w14:val="tx1"/>
            </w14:solidFill>
          </w14:textFill>
        </w:rPr>
        <w:t>均需盖单位公章</w:t>
      </w:r>
      <w:r>
        <w:rPr>
          <w:rFonts w:hint="eastAsia" w:ascii="仿宋" w:hAnsi="仿宋" w:eastAsia="仿宋" w:cs="仿宋"/>
          <w:b/>
          <w:bCs/>
          <w:caps w:val="0"/>
          <w:color w:val="000000" w:themeColor="text1"/>
          <w:sz w:val="24"/>
          <w:szCs w:val="24"/>
          <w:highlight w:val="none"/>
          <w:u w:val="single"/>
          <w14:textFill>
            <w14:solidFill>
              <w14:schemeClr w14:val="tx1"/>
            </w14:solidFill>
          </w14:textFill>
        </w:rPr>
        <w:t>。</w:t>
      </w:r>
    </w:p>
    <w:p w14:paraId="459099A5">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7887125">
      <w:pPr>
        <w:widowControl/>
        <w:adjustRightInd/>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49A60205">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二、落实政府采购政策需满足的资格要求</w:t>
      </w:r>
    </w:p>
    <w:p w14:paraId="026F94B4">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1B1D5696">
      <w:pPr>
        <w:snapToGrid w:val="0"/>
        <w:spacing w:before="50" w:after="50"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.专门面向中小企业，</w:t>
      </w:r>
      <w:r>
        <w:rPr>
          <w:rFonts w:hint="eastAsia" w:ascii="仿宋" w:hAnsi="仿宋" w:eastAsia="仿宋" w:cs="仿宋"/>
          <w:color w:val="000000" w:themeColor="text1"/>
          <w:sz w:val="24"/>
          <w:highlight w:val="none"/>
          <w:lang w:val="en-US" w:eastAsia="zh-CN"/>
          <w14:textFill>
            <w14:solidFill>
              <w14:schemeClr w14:val="tx1"/>
            </w14:solidFill>
          </w14:textFill>
        </w:rPr>
        <w:t>货物</w:t>
      </w:r>
      <w:r>
        <w:rPr>
          <w:rFonts w:hint="eastAsia" w:ascii="仿宋" w:hAnsi="仿宋" w:eastAsia="仿宋" w:cs="仿宋"/>
          <w:color w:val="000000" w:themeColor="text1"/>
          <w:sz w:val="24"/>
          <w:highlight w:val="none"/>
          <w14:textFill>
            <w14:solidFill>
              <w14:schemeClr w14:val="tx1"/>
            </w14:solidFill>
          </w14:textFill>
        </w:rPr>
        <w:t>全部由符合政策要求的中小企业（或小微企业）承接的，提供相应的中小企业声明函（附件</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 xml:space="preserve">）。 </w:t>
      </w:r>
    </w:p>
    <w:p w14:paraId="30BC9381">
      <w:pPr>
        <w:snapToGrid w:val="0"/>
        <w:spacing w:line="360" w:lineRule="auto"/>
        <w:ind w:right="480"/>
        <w:jc w:val="cente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pPr>
    </w:p>
    <w:p w14:paraId="4764487A">
      <w:pPr>
        <w:snapToGrid w:val="0"/>
        <w:spacing w:line="360" w:lineRule="auto"/>
        <w:ind w:right="480"/>
        <w:jc w:val="center"/>
        <w:rPr>
          <w:rFonts w:hint="default" w:ascii="仿宋" w:hAnsi="仿宋" w:eastAsia="仿宋" w:cs="仿宋"/>
          <w:b/>
          <w:color w:val="000000" w:themeColor="text1"/>
          <w:kern w:val="0"/>
          <w:sz w:val="32"/>
          <w:szCs w:val="32"/>
          <w:highlight w:val="none"/>
          <w:lang w:val="en-US" w:eastAsia="zh-CN"/>
          <w14:textFill>
            <w14:solidFill>
              <w14:schemeClr w14:val="tx1"/>
            </w14:solidFill>
          </w14:textFill>
        </w:rPr>
      </w:pP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三、</w:t>
      </w:r>
      <w:r>
        <w:rPr>
          <w:rFonts w:hint="eastAsia" w:ascii="仿宋" w:hAnsi="仿宋" w:eastAsia="仿宋" w:cs="仿宋"/>
          <w:b/>
          <w:color w:val="000000" w:themeColor="text1"/>
          <w:kern w:val="0"/>
          <w:sz w:val="32"/>
          <w:szCs w:val="32"/>
          <w:highlight w:val="none"/>
          <w14:textFill>
            <w14:solidFill>
              <w14:schemeClr w14:val="tx1"/>
            </w14:solidFill>
          </w14:textFill>
        </w:rPr>
        <w:t>本项目的特定资格要求</w:t>
      </w:r>
    </w:p>
    <w:p w14:paraId="2ECB532D">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1.如是医疗器械，提供有效的投标产品《医疗器械注册证》或医疗器械备案表；</w:t>
      </w:r>
    </w:p>
    <w:p w14:paraId="14FF134C">
      <w:pPr>
        <w:keepNext w:val="0"/>
        <w:keepLines w:val="0"/>
        <w:pageBreakBefore w:val="0"/>
        <w:widowControl w:val="0"/>
        <w:kinsoku/>
        <w:wordWrap/>
        <w:overflowPunct/>
        <w:topLinePunct w:val="0"/>
        <w:autoSpaceDE/>
        <w:autoSpaceDN/>
        <w:bidi w:val="0"/>
        <w:adjustRightInd w:val="0"/>
        <w:snapToGrid w:val="0"/>
        <w:spacing w:beforeAutospacing="0" w:line="46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供应商（如组成联合体投标的，联合体成员中至少有一家供应商）须具备下列条件之一：①供应商为医疗器械生产企业的：第二类、第三类医疗器械生产企业提供《医疗器械生产许可证》，第一类医疗器械生产企业提供第一类医疗器械生产备案凭证；②供应商为医疗器械经营企业的：第三类医疗器械经营企业提供《医疗器械经营许可证》，第一、第二类医疗器械经营企业提供第一、第二类医疗器械经营备案凭证；（如是医疗器械提供）；</w:t>
      </w:r>
    </w:p>
    <w:p w14:paraId="39895A0F">
      <w:pPr>
        <w:pStyle w:val="2"/>
        <w:ind w:left="0" w:leftChars="0" w:firstLine="482" w:firstLineChars="200"/>
        <w:rPr>
          <w:rFonts w:hint="eastAsia" w:ascii="仿宋" w:hAnsi="仿宋" w:eastAsia="仿宋" w:cs="仿宋"/>
          <w:b/>
          <w:bCs/>
          <w:snapToGrid/>
          <w:color w:val="000000" w:themeColor="text1"/>
          <w:kern w:val="2"/>
          <w:sz w:val="24"/>
          <w:szCs w:val="24"/>
          <w:highlight w:val="none"/>
          <w:lang w:val="en-US" w:eastAsia="zh-CN" w:bidi="ar-SA"/>
          <w14:textFill>
            <w14:solidFill>
              <w14:schemeClr w14:val="tx1"/>
            </w14:solidFill>
          </w14:textFill>
        </w:rPr>
      </w:pPr>
    </w:p>
    <w:p w14:paraId="72DC5352">
      <w:pPr>
        <w:pStyle w:val="2"/>
        <w:ind w:left="0" w:leftChars="0" w:firstLine="482" w:firstLineChars="200"/>
        <w:rPr>
          <w:rFonts w:hint="eastAsia" w:ascii="仿宋" w:hAnsi="仿宋" w:eastAsia="仿宋" w:cs="仿宋"/>
          <w:b/>
          <w:bCs/>
          <w:snapToGrid/>
          <w:color w:val="000000" w:themeColor="text1"/>
          <w:kern w:val="2"/>
          <w:sz w:val="24"/>
          <w:szCs w:val="24"/>
          <w:highlight w:val="none"/>
          <w:lang w:val="en-US" w:eastAsia="zh-CN" w:bidi="ar-SA"/>
          <w14:textFill>
            <w14:solidFill>
              <w14:schemeClr w14:val="tx1"/>
            </w14:solidFill>
          </w14:textFill>
        </w:rPr>
      </w:pPr>
    </w:p>
    <w:p w14:paraId="4D8992D5">
      <w:pPr>
        <w:pStyle w:val="2"/>
        <w:ind w:left="0" w:leftChars="0" w:firstLine="482" w:firstLineChars="200"/>
        <w:rPr>
          <w:rFonts w:hint="eastAsia" w:ascii="仿宋" w:hAnsi="仿宋" w:eastAsia="仿宋" w:cs="仿宋"/>
          <w:b/>
          <w:bCs/>
          <w:snapToGrid/>
          <w:color w:val="000000" w:themeColor="text1"/>
          <w:kern w:val="2"/>
          <w:sz w:val="24"/>
          <w:szCs w:val="24"/>
          <w:highlight w:val="none"/>
          <w:lang w:val="en-US" w:eastAsia="zh-CN" w:bidi="ar-SA"/>
          <w14:textFill>
            <w14:solidFill>
              <w14:schemeClr w14:val="tx1"/>
            </w14:solidFill>
          </w14:textFill>
        </w:rPr>
      </w:pPr>
    </w:p>
    <w:p w14:paraId="678AB2B6">
      <w:pPr>
        <w:pStyle w:val="2"/>
        <w:ind w:left="0" w:leftChars="0" w:firstLine="482" w:firstLineChars="200"/>
        <w:rPr>
          <w:rFonts w:hint="eastAsia" w:ascii="仿宋" w:hAnsi="仿宋" w:eastAsia="仿宋" w:cs="仿宋"/>
          <w:b/>
          <w:bCs/>
          <w:snapToGrid/>
          <w:color w:val="000000" w:themeColor="text1"/>
          <w:kern w:val="2"/>
          <w:sz w:val="24"/>
          <w:szCs w:val="24"/>
          <w:highlight w:val="none"/>
          <w:lang w:val="en-US" w:eastAsia="zh-CN" w:bidi="ar-SA"/>
          <w14:textFill>
            <w14:solidFill>
              <w14:schemeClr w14:val="tx1"/>
            </w14:solidFill>
          </w14:textFill>
        </w:rPr>
      </w:pPr>
    </w:p>
    <w:p w14:paraId="48640FDA">
      <w:pPr>
        <w:pStyle w:val="2"/>
        <w:ind w:left="0" w:leftChars="0" w:firstLine="482" w:firstLineChars="200"/>
        <w:rPr>
          <w:rFonts w:hint="eastAsia" w:ascii="仿宋" w:hAnsi="仿宋" w:eastAsia="仿宋" w:cs="仿宋"/>
          <w:b/>
          <w:bCs/>
          <w:snapToGrid/>
          <w:color w:val="000000" w:themeColor="text1"/>
          <w:kern w:val="2"/>
          <w:sz w:val="24"/>
          <w:szCs w:val="24"/>
          <w:highlight w:val="none"/>
          <w:lang w:val="en-US" w:eastAsia="zh-CN" w:bidi="ar-SA"/>
          <w14:textFill>
            <w14:solidFill>
              <w14:schemeClr w14:val="tx1"/>
            </w14:solidFill>
          </w14:textFill>
        </w:rPr>
      </w:pPr>
    </w:p>
    <w:p w14:paraId="515D79B9">
      <w:pPr>
        <w:pStyle w:val="2"/>
        <w:ind w:left="0" w:leftChars="0" w:firstLine="482" w:firstLineChars="200"/>
        <w:rPr>
          <w:rFonts w:hint="eastAsia" w:ascii="仿宋" w:hAnsi="仿宋" w:eastAsia="仿宋" w:cs="仿宋"/>
          <w:b/>
          <w:bCs/>
          <w:snapToGrid/>
          <w:color w:val="000000" w:themeColor="text1"/>
          <w:kern w:val="2"/>
          <w:sz w:val="24"/>
          <w:szCs w:val="24"/>
          <w:highlight w:val="none"/>
          <w:lang w:val="en-US" w:eastAsia="zh-CN" w:bidi="ar-SA"/>
          <w14:textFill>
            <w14:solidFill>
              <w14:schemeClr w14:val="tx1"/>
            </w14:solidFill>
          </w14:textFill>
        </w:rPr>
      </w:pPr>
    </w:p>
    <w:p w14:paraId="7D36D522">
      <w:pPr>
        <w:pStyle w:val="2"/>
        <w:ind w:left="0" w:leftChars="0" w:firstLine="482" w:firstLineChars="200"/>
        <w:rPr>
          <w:rFonts w:hint="eastAsia" w:ascii="仿宋" w:hAnsi="仿宋" w:eastAsia="仿宋" w:cs="仿宋"/>
          <w:b/>
          <w:bCs/>
          <w:snapToGrid/>
          <w:color w:val="000000" w:themeColor="text1"/>
          <w:kern w:val="2"/>
          <w:sz w:val="24"/>
          <w:szCs w:val="24"/>
          <w:highlight w:val="none"/>
          <w:lang w:val="en-US" w:eastAsia="zh-CN" w:bidi="ar-SA"/>
          <w14:textFill>
            <w14:solidFill>
              <w14:schemeClr w14:val="tx1"/>
            </w14:solidFill>
          </w14:textFill>
        </w:rPr>
      </w:pPr>
    </w:p>
    <w:p w14:paraId="7C0A1E1A">
      <w:pPr>
        <w:pStyle w:val="2"/>
        <w:ind w:left="0" w:leftChars="0" w:firstLine="482" w:firstLineChars="200"/>
        <w:rPr>
          <w:rFonts w:hint="eastAsia" w:ascii="仿宋" w:hAnsi="仿宋" w:eastAsia="仿宋" w:cs="仿宋"/>
          <w:b/>
          <w:bCs/>
          <w:snapToGrid/>
          <w:color w:val="000000" w:themeColor="text1"/>
          <w:kern w:val="2"/>
          <w:sz w:val="24"/>
          <w:szCs w:val="24"/>
          <w:highlight w:val="none"/>
          <w:lang w:val="en-US" w:eastAsia="zh-CN" w:bidi="ar-SA"/>
          <w14:textFill>
            <w14:solidFill>
              <w14:schemeClr w14:val="tx1"/>
            </w14:solidFill>
          </w14:textFill>
        </w:rPr>
      </w:pPr>
    </w:p>
    <w:p w14:paraId="513F1843">
      <w:pPr>
        <w:pStyle w:val="2"/>
        <w:ind w:left="0" w:leftChars="0" w:firstLine="482" w:firstLineChars="200"/>
        <w:rPr>
          <w:rFonts w:hint="eastAsia" w:ascii="仿宋" w:hAnsi="仿宋" w:eastAsia="仿宋" w:cs="仿宋"/>
          <w:b/>
          <w:bCs/>
          <w:snapToGrid/>
          <w:color w:val="000000" w:themeColor="text1"/>
          <w:kern w:val="2"/>
          <w:sz w:val="24"/>
          <w:szCs w:val="24"/>
          <w:highlight w:val="none"/>
          <w:lang w:val="en-US" w:eastAsia="zh-CN" w:bidi="ar-SA"/>
          <w14:textFill>
            <w14:solidFill>
              <w14:schemeClr w14:val="tx1"/>
            </w14:solidFill>
          </w14:textFill>
        </w:rPr>
      </w:pPr>
    </w:p>
    <w:p w14:paraId="15C1A768">
      <w:pPr>
        <w:pStyle w:val="2"/>
        <w:ind w:left="0" w:leftChars="0" w:firstLine="482" w:firstLineChars="200"/>
        <w:rPr>
          <w:rFonts w:hint="eastAsia" w:ascii="仿宋" w:hAnsi="仿宋" w:eastAsia="仿宋" w:cs="仿宋"/>
          <w:b/>
          <w:bCs/>
          <w:snapToGrid/>
          <w:color w:val="000000" w:themeColor="text1"/>
          <w:kern w:val="2"/>
          <w:sz w:val="24"/>
          <w:szCs w:val="24"/>
          <w:highlight w:val="none"/>
          <w:lang w:val="en-US" w:eastAsia="zh-CN" w:bidi="ar-SA"/>
          <w14:textFill>
            <w14:solidFill>
              <w14:schemeClr w14:val="tx1"/>
            </w14:solidFill>
          </w14:textFill>
        </w:rPr>
      </w:pPr>
    </w:p>
    <w:p w14:paraId="3AF6E28A">
      <w:pPr>
        <w:pStyle w:val="2"/>
        <w:ind w:left="0" w:leftChars="0" w:firstLine="482" w:firstLineChars="200"/>
        <w:rPr>
          <w:rFonts w:hint="eastAsia" w:ascii="仿宋" w:hAnsi="仿宋" w:eastAsia="仿宋" w:cs="仿宋"/>
          <w:b/>
          <w:bCs/>
          <w:snapToGrid/>
          <w:color w:val="000000" w:themeColor="text1"/>
          <w:kern w:val="2"/>
          <w:sz w:val="24"/>
          <w:szCs w:val="24"/>
          <w:highlight w:val="none"/>
          <w:lang w:val="en-US" w:eastAsia="zh-CN" w:bidi="ar-SA"/>
          <w14:textFill>
            <w14:solidFill>
              <w14:schemeClr w14:val="tx1"/>
            </w14:solidFill>
          </w14:textFill>
        </w:rPr>
      </w:pPr>
    </w:p>
    <w:p w14:paraId="2BA6E1A5">
      <w:pPr>
        <w:pStyle w:val="2"/>
        <w:ind w:left="0" w:leftChars="0" w:firstLine="482" w:firstLineChars="200"/>
        <w:rPr>
          <w:rFonts w:hint="eastAsia" w:ascii="仿宋" w:hAnsi="仿宋" w:eastAsia="仿宋" w:cs="仿宋"/>
          <w:b/>
          <w:bCs/>
          <w:snapToGrid/>
          <w:color w:val="000000" w:themeColor="text1"/>
          <w:kern w:val="2"/>
          <w:sz w:val="24"/>
          <w:szCs w:val="24"/>
          <w:highlight w:val="none"/>
          <w:lang w:val="en-US" w:eastAsia="zh-CN" w:bidi="ar-SA"/>
          <w14:textFill>
            <w14:solidFill>
              <w14:schemeClr w14:val="tx1"/>
            </w14:solidFill>
          </w14:textFill>
        </w:rPr>
      </w:pPr>
    </w:p>
    <w:p w14:paraId="10A615AD">
      <w:pPr>
        <w:pStyle w:val="2"/>
        <w:ind w:left="0" w:leftChars="0" w:firstLine="482" w:firstLineChars="200"/>
        <w:rPr>
          <w:rFonts w:hint="eastAsia" w:ascii="仿宋" w:hAnsi="仿宋" w:eastAsia="仿宋" w:cs="仿宋"/>
          <w:b/>
          <w:bCs/>
          <w:snapToGrid/>
          <w:color w:val="000000" w:themeColor="text1"/>
          <w:kern w:val="2"/>
          <w:sz w:val="24"/>
          <w:szCs w:val="24"/>
          <w:highlight w:val="none"/>
          <w:lang w:val="en-US" w:eastAsia="zh-CN" w:bidi="ar-SA"/>
          <w14:textFill>
            <w14:solidFill>
              <w14:schemeClr w14:val="tx1"/>
            </w14:solidFill>
          </w14:textFill>
        </w:rPr>
      </w:pPr>
    </w:p>
    <w:p w14:paraId="6551E455">
      <w:pPr>
        <w:pStyle w:val="2"/>
        <w:ind w:left="0" w:leftChars="0" w:firstLine="482" w:firstLineChars="200"/>
        <w:rPr>
          <w:rFonts w:hint="eastAsia" w:ascii="仿宋" w:hAnsi="仿宋" w:eastAsia="仿宋" w:cs="仿宋"/>
          <w:b/>
          <w:bCs/>
          <w:snapToGrid/>
          <w:color w:val="000000" w:themeColor="text1"/>
          <w:kern w:val="2"/>
          <w:sz w:val="24"/>
          <w:szCs w:val="24"/>
          <w:highlight w:val="none"/>
          <w:lang w:val="en-US" w:eastAsia="zh-CN" w:bidi="ar-SA"/>
          <w14:textFill>
            <w14:solidFill>
              <w14:schemeClr w14:val="tx1"/>
            </w14:solidFill>
          </w14:textFill>
        </w:rPr>
      </w:pPr>
    </w:p>
    <w:p w14:paraId="1FB95FD1">
      <w:pPr>
        <w:pStyle w:val="34"/>
        <w:adjustRightInd w:val="0"/>
        <w:snapToGrid w:val="0"/>
        <w:spacing w:line="240" w:lineRule="auto"/>
        <w:jc w:val="both"/>
        <w:outlineLvl w:val="1"/>
        <w:rPr>
          <w:rFonts w:hint="eastAsia" w:ascii="仿宋" w:hAnsi="仿宋" w:eastAsia="仿宋" w:cs="仿宋"/>
          <w:b w:val="0"/>
          <w:color w:val="000000" w:themeColor="text1"/>
          <w:kern w:val="2"/>
          <w:sz w:val="24"/>
          <w:szCs w:val="22"/>
          <w:highlight w:val="none"/>
          <w:lang w:val="zh-CN" w:eastAsia="zh-CN" w:bidi="ar-SA"/>
          <w14:textFill>
            <w14:solidFill>
              <w14:schemeClr w14:val="tx1"/>
            </w14:solidFill>
          </w14:textFill>
        </w:rPr>
      </w:pPr>
    </w:p>
    <w:p w14:paraId="70487418">
      <w:pPr>
        <w:pStyle w:val="34"/>
        <w:adjustRightInd w:val="0"/>
        <w:snapToGrid w:val="0"/>
        <w:spacing w:line="360" w:lineRule="auto"/>
        <w:jc w:val="center"/>
        <w:outlineLvl w:val="1"/>
        <w:rPr>
          <w:rFonts w:hint="eastAsia" w:ascii="仿宋" w:hAnsi="仿宋" w:eastAsia="仿宋" w:cs="仿宋"/>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kern w:val="0"/>
          <w:sz w:val="30"/>
          <w:szCs w:val="30"/>
          <w:highlight w:val="none"/>
          <w:lang w:val="en-US" w:eastAsia="zh-CN"/>
          <w14:textFill>
            <w14:solidFill>
              <w14:schemeClr w14:val="tx1"/>
            </w14:solidFill>
          </w14:textFill>
        </w:rPr>
        <w:t>四、</w:t>
      </w:r>
      <w:r>
        <w:rPr>
          <w:rFonts w:hint="eastAsia" w:ascii="仿宋" w:hAnsi="仿宋" w:eastAsia="仿宋" w:cs="仿宋"/>
          <w:b/>
          <w:color w:val="000000" w:themeColor="text1"/>
          <w:kern w:val="0"/>
          <w:sz w:val="30"/>
          <w:szCs w:val="30"/>
          <w:highlight w:val="none"/>
          <w14:textFill>
            <w14:solidFill>
              <w14:schemeClr w14:val="tx1"/>
            </w14:solidFill>
          </w14:textFill>
        </w:rPr>
        <w:t xml:space="preserve">联合体投标协议 （联合体投标适用） </w:t>
      </w:r>
    </w:p>
    <w:p w14:paraId="74E0E9AF">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u w:val="single"/>
          <w:lang w:bidi="ar"/>
          <w14:textFill>
            <w14:solidFill>
              <w14:schemeClr w14:val="tx1"/>
            </w14:solidFill>
          </w14:textFill>
        </w:rPr>
        <w:t xml:space="preserve">     （所有成员单位名称）  </w:t>
      </w:r>
      <w:r>
        <w:rPr>
          <w:rFonts w:hint="eastAsia" w:ascii="仿宋" w:hAnsi="仿宋" w:eastAsia="仿宋" w:cs="仿宋"/>
          <w:color w:val="000000" w:themeColor="text1"/>
          <w:kern w:val="0"/>
          <w:sz w:val="24"/>
          <w:szCs w:val="24"/>
          <w:highlight w:val="none"/>
          <w:lang w:bidi="ar"/>
          <w14:textFill>
            <w14:solidFill>
              <w14:schemeClr w14:val="tx1"/>
            </w14:solidFill>
          </w14:textFill>
        </w:rPr>
        <w:t>自愿组成联合体，共同参加</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（项目编号:</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w:t>
      </w:r>
      <w:r>
        <w:rPr>
          <w:rFonts w:hint="eastAsia" w:ascii="仿宋" w:hAnsi="仿宋" w:eastAsia="仿宋" w:cs="仿宋"/>
          <w:color w:val="000000" w:themeColor="text1"/>
          <w:kern w:val="0"/>
          <w:sz w:val="24"/>
          <w:szCs w:val="24"/>
          <w:highlight w:val="none"/>
          <w:lang w:bidi="ar"/>
          <w14:textFill>
            <w14:solidFill>
              <w14:schemeClr w14:val="tx1"/>
            </w14:solidFill>
          </w14:textFill>
        </w:rPr>
        <w:t xml:space="preserve">投标。现就有关事宜订立协议如下： </w:t>
      </w:r>
    </w:p>
    <w:p w14:paraId="5DD29FA1">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000000" w:themeColor="text1"/>
          <w:kern w:val="0"/>
          <w:sz w:val="24"/>
          <w:szCs w:val="24"/>
          <w:highlight w:val="none"/>
          <w:lang w:bidi="ar"/>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一、联合体各方一致决定，具体以</w:t>
      </w:r>
      <w:r>
        <w:rPr>
          <w:rFonts w:hint="eastAsia" w:ascii="仿宋" w:hAnsi="仿宋" w:eastAsia="仿宋" w:cs="仿宋"/>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bidi="ar"/>
          <w14:textFill>
            <w14:solidFill>
              <w14:schemeClr w14:val="tx1"/>
            </w14:solidFill>
          </w14:textFill>
        </w:rPr>
        <w:t>（某成员单位名称）</w:t>
      </w:r>
      <w:r>
        <w:rPr>
          <w:rFonts w:hint="eastAsia" w:ascii="仿宋" w:hAnsi="仿宋" w:eastAsia="仿宋" w:cs="仿宋"/>
          <w:color w:val="000000" w:themeColor="text1"/>
          <w:kern w:val="0"/>
          <w:sz w:val="24"/>
          <w:szCs w:val="24"/>
          <w:highlight w:val="none"/>
          <w:lang w:bidi="ar"/>
          <w14:textFill>
            <w14:solidFill>
              <w14:schemeClr w14:val="tx1"/>
            </w14:solidFill>
          </w14:textFill>
        </w:rPr>
        <w:t>为联合体的牵头方，具体负责参与项目投标和合同实施阶段的</w:t>
      </w:r>
      <w:r>
        <w:rPr>
          <w:rFonts w:hint="eastAsia" w:ascii="仿宋" w:hAnsi="仿宋" w:eastAsia="仿宋" w:cs="仿宋"/>
          <w:color w:val="000000" w:themeColor="text1"/>
          <w:kern w:val="0"/>
          <w:sz w:val="24"/>
          <w:szCs w:val="24"/>
          <w:highlight w:val="none"/>
          <w:lang w:eastAsia="zh-CN" w:bidi="ar"/>
          <w14:textFill>
            <w14:solidFill>
              <w14:schemeClr w14:val="tx1"/>
            </w14:solidFill>
          </w14:textFill>
        </w:rPr>
        <w:t>牵头</w:t>
      </w:r>
      <w:r>
        <w:rPr>
          <w:rFonts w:hint="eastAsia" w:ascii="仿宋" w:hAnsi="仿宋" w:eastAsia="仿宋" w:cs="仿宋"/>
          <w:color w:val="000000" w:themeColor="text1"/>
          <w:kern w:val="0"/>
          <w:sz w:val="24"/>
          <w:szCs w:val="24"/>
          <w:highlight w:val="none"/>
          <w:lang w:bidi="ar"/>
          <w14:textFill>
            <w14:solidFill>
              <w14:schemeClr w14:val="tx1"/>
            </w14:solidFill>
          </w14:textFill>
        </w:rPr>
        <w:t>主办、协调工作，各方按照招标文件的规定分别提交资格条件证明文件。</w:t>
      </w:r>
    </w:p>
    <w:p w14:paraId="4F3A672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000000" w:themeColor="text1"/>
          <w:kern w:val="0"/>
          <w:sz w:val="24"/>
          <w:szCs w:val="24"/>
          <w:highlight w:val="none"/>
          <w:lang w:bidi="ar"/>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二、各方一致决定，在本次投标过程中，</w:t>
      </w:r>
      <w:r>
        <w:rPr>
          <w:rFonts w:hint="eastAsia" w:ascii="仿宋" w:hAnsi="仿宋" w:eastAsia="仿宋" w:cs="仿宋"/>
          <w:color w:val="000000" w:themeColor="text1"/>
          <w:kern w:val="0"/>
          <w:sz w:val="24"/>
          <w:szCs w:val="24"/>
          <w:highlight w:val="none"/>
          <w:lang w:eastAsia="zh-CN" w:bidi="ar"/>
          <w14:textFill>
            <w14:solidFill>
              <w14:schemeClr w14:val="tx1"/>
            </w14:solidFill>
          </w14:textFill>
        </w:rPr>
        <w:t>牵头方</w:t>
      </w:r>
      <w:r>
        <w:rPr>
          <w:rFonts w:hint="eastAsia" w:ascii="仿宋" w:hAnsi="仿宋" w:eastAsia="仿宋" w:cs="仿宋"/>
          <w:color w:val="000000" w:themeColor="text1"/>
          <w:kern w:val="0"/>
          <w:sz w:val="24"/>
          <w:szCs w:val="24"/>
          <w:highlight w:val="none"/>
          <w:lang w:bidi="ar"/>
          <w14:textFill>
            <w14:solidFill>
              <w14:schemeClr w14:val="tx1"/>
            </w14:solidFill>
          </w14:textFill>
        </w:rPr>
        <w:t>签署投标文件、参与采购活动过程中签署的书面澄清和确认内容、针对采购内容签署的承诺等均对联合体各成员方产生约束力。如果本项目中标，联合体各成员方共同与采购人签订合同，联合体各成员方将共同履行对采购人所负有的全部义务并就采购合同约定的事项对采购人承担连带责任。</w:t>
      </w:r>
    </w:p>
    <w:p w14:paraId="32F3345D">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000000" w:themeColor="text1"/>
          <w:kern w:val="0"/>
          <w:sz w:val="24"/>
          <w:szCs w:val="24"/>
          <w:highlight w:val="none"/>
          <w:lang w:bidi="ar"/>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三、联合投标其余各方保证对</w:t>
      </w:r>
      <w:r>
        <w:rPr>
          <w:rFonts w:hint="eastAsia" w:ascii="仿宋" w:hAnsi="仿宋" w:eastAsia="仿宋" w:cs="仿宋"/>
          <w:color w:val="000000" w:themeColor="text1"/>
          <w:kern w:val="0"/>
          <w:sz w:val="24"/>
          <w:szCs w:val="24"/>
          <w:highlight w:val="none"/>
          <w:lang w:eastAsia="zh-CN" w:bidi="ar"/>
          <w14:textFill>
            <w14:solidFill>
              <w14:schemeClr w14:val="tx1"/>
            </w14:solidFill>
          </w14:textFill>
        </w:rPr>
        <w:t>牵头方</w:t>
      </w:r>
      <w:r>
        <w:rPr>
          <w:rFonts w:hint="eastAsia" w:ascii="仿宋" w:hAnsi="仿宋" w:eastAsia="仿宋" w:cs="仿宋"/>
          <w:color w:val="000000" w:themeColor="text1"/>
          <w:kern w:val="0"/>
          <w:sz w:val="24"/>
          <w:szCs w:val="24"/>
          <w:highlight w:val="none"/>
          <w:lang w:bidi="ar"/>
          <w14:textFill>
            <w14:solidFill>
              <w14:schemeClr w14:val="tx1"/>
            </w14:solidFill>
          </w14:textFill>
        </w:rPr>
        <w:t>为响应本次招标而提供的产品和服务提供全部质量保证及售后服务支持。</w:t>
      </w:r>
    </w:p>
    <w:p w14:paraId="00E7AE2E">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四、本次联合体中，</w:t>
      </w:r>
      <w:r>
        <w:rPr>
          <w:rFonts w:hint="eastAsia" w:ascii="仿宋" w:hAnsi="仿宋" w:eastAsia="仿宋" w:cs="仿宋"/>
          <w:color w:val="000000" w:themeColor="text1"/>
          <w:kern w:val="0"/>
          <w:sz w:val="24"/>
          <w:szCs w:val="24"/>
          <w:highlight w:val="none"/>
          <w:lang w:eastAsia="zh-CN" w:bidi="ar"/>
          <w14:textFill>
            <w14:solidFill>
              <w14:schemeClr w14:val="tx1"/>
            </w14:solidFill>
          </w14:textFill>
        </w:rPr>
        <w:t>牵头</w:t>
      </w:r>
      <w:r>
        <w:rPr>
          <w:rFonts w:hint="eastAsia" w:ascii="仿宋" w:hAnsi="仿宋" w:eastAsia="仿宋" w:cs="仿宋"/>
          <w:color w:val="000000" w:themeColor="text1"/>
          <w:kern w:val="0"/>
          <w:sz w:val="24"/>
          <w:szCs w:val="24"/>
          <w:highlight w:val="none"/>
          <w:lang w:bidi="ar"/>
          <w14:textFill>
            <w14:solidFill>
              <w14:schemeClr w14:val="tx1"/>
            </w14:solidFill>
          </w14:textFill>
        </w:rPr>
        <w:t>方</w:t>
      </w:r>
      <w:r>
        <w:rPr>
          <w:rFonts w:hint="eastAsia" w:ascii="仿宋" w:hAnsi="仿宋" w:eastAsia="仿宋" w:cs="仿宋"/>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eastAsia="zh-CN" w:bidi="ar"/>
          <w14:textFill>
            <w14:solidFill>
              <w14:schemeClr w14:val="tx1"/>
            </w14:solidFill>
          </w14:textFill>
        </w:rPr>
        <w:t>（</w:t>
      </w:r>
      <w:r>
        <w:rPr>
          <w:rFonts w:hint="eastAsia" w:ascii="仿宋" w:hAnsi="仿宋" w:eastAsia="仿宋" w:cs="仿宋"/>
          <w:color w:val="000000" w:themeColor="text1"/>
          <w:kern w:val="0"/>
          <w:sz w:val="24"/>
          <w:szCs w:val="24"/>
          <w:highlight w:val="none"/>
          <w:u w:val="single"/>
          <w:lang w:bidi="ar"/>
          <w14:textFill>
            <w14:solidFill>
              <w14:schemeClr w14:val="tx1"/>
            </w14:solidFill>
          </w14:textFill>
        </w:rPr>
        <w:t>单位名称</w:t>
      </w:r>
      <w:r>
        <w:rPr>
          <w:rFonts w:hint="eastAsia" w:ascii="仿宋" w:hAnsi="仿宋" w:eastAsia="仿宋" w:cs="仿宋"/>
          <w:color w:val="000000" w:themeColor="text1"/>
          <w:kern w:val="0"/>
          <w:sz w:val="24"/>
          <w:szCs w:val="24"/>
          <w:highlight w:val="none"/>
          <w:u w:val="single"/>
          <w:lang w:eastAsia="zh-CN" w:bidi="ar"/>
          <w14:textFill>
            <w14:solidFill>
              <w14:schemeClr w14:val="tx1"/>
            </w14:solidFill>
          </w14:textFill>
        </w:rPr>
        <w:t>）</w:t>
      </w:r>
      <w:r>
        <w:rPr>
          <w:rFonts w:hint="eastAsia" w:ascii="仿宋" w:hAnsi="仿宋" w:eastAsia="仿宋" w:cs="仿宋"/>
          <w:color w:val="000000" w:themeColor="text1"/>
          <w:kern w:val="0"/>
          <w:sz w:val="24"/>
          <w:szCs w:val="24"/>
          <w:highlight w:val="none"/>
          <w:u w:val="single"/>
          <w:lang w:bidi="ar"/>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highlight w:val="none"/>
          <w:lang w:bidi="ar"/>
          <w14:textFill>
            <w14:solidFill>
              <w14:schemeClr w14:val="tx1"/>
            </w14:solidFill>
          </w14:textFill>
        </w:rPr>
        <w:t>承担的工作和义务为：</w:t>
      </w:r>
      <w:r>
        <w:rPr>
          <w:rFonts w:hint="eastAsia" w:ascii="仿宋" w:hAnsi="仿宋" w:eastAsia="仿宋" w:cs="仿宋"/>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color w:val="000000" w:themeColor="text1"/>
          <w:kern w:val="0"/>
          <w:sz w:val="24"/>
          <w:szCs w:val="24"/>
          <w:highlight w:val="none"/>
          <w:lang w:bidi="ar"/>
          <w14:textFill>
            <w14:solidFill>
              <w14:schemeClr w14:val="tx1"/>
            </w14:solidFill>
          </w14:textFill>
        </w:rPr>
        <w:t>成员单位</w:t>
      </w:r>
      <w:r>
        <w:rPr>
          <w:rFonts w:hint="eastAsia" w:ascii="仿宋" w:hAnsi="仿宋" w:eastAsia="仿宋" w:cs="仿宋"/>
          <w:color w:val="000000" w:themeColor="text1"/>
          <w:kern w:val="0"/>
          <w:sz w:val="24"/>
          <w:szCs w:val="24"/>
          <w:highlight w:val="none"/>
          <w:u w:val="single"/>
          <w:lang w:bidi="ar"/>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eastAsia="zh-CN" w:bidi="ar"/>
          <w14:textFill>
            <w14:solidFill>
              <w14:schemeClr w14:val="tx1"/>
            </w14:solidFill>
          </w14:textFill>
        </w:rPr>
        <w:t>（</w:t>
      </w:r>
      <w:r>
        <w:rPr>
          <w:rFonts w:hint="eastAsia" w:ascii="仿宋" w:hAnsi="仿宋" w:eastAsia="仿宋" w:cs="仿宋"/>
          <w:color w:val="000000" w:themeColor="text1"/>
          <w:kern w:val="0"/>
          <w:sz w:val="24"/>
          <w:szCs w:val="24"/>
          <w:highlight w:val="none"/>
          <w:u w:val="single"/>
          <w:lang w:bidi="ar"/>
          <w14:textFill>
            <w14:solidFill>
              <w14:schemeClr w14:val="tx1"/>
            </w14:solidFill>
          </w14:textFill>
        </w:rPr>
        <w:t>单位名称</w:t>
      </w:r>
      <w:r>
        <w:rPr>
          <w:rFonts w:hint="eastAsia" w:ascii="仿宋" w:hAnsi="仿宋" w:eastAsia="仿宋" w:cs="仿宋"/>
          <w:color w:val="000000" w:themeColor="text1"/>
          <w:kern w:val="0"/>
          <w:sz w:val="24"/>
          <w:szCs w:val="24"/>
          <w:highlight w:val="none"/>
          <w:u w:val="single"/>
          <w:lang w:eastAsia="zh-CN" w:bidi="ar"/>
          <w14:textFill>
            <w14:solidFill>
              <w14:schemeClr w14:val="tx1"/>
            </w14:solidFill>
          </w14:textFill>
        </w:rPr>
        <w:t>）</w:t>
      </w:r>
      <w:r>
        <w:rPr>
          <w:rFonts w:hint="eastAsia" w:ascii="仿宋" w:hAnsi="仿宋" w:eastAsia="仿宋" w:cs="仿宋"/>
          <w:color w:val="000000" w:themeColor="text1"/>
          <w:kern w:val="0"/>
          <w:sz w:val="24"/>
          <w:szCs w:val="24"/>
          <w:highlight w:val="none"/>
          <w:u w:val="single"/>
          <w:lang w:bidi="ar"/>
          <w14:textFill>
            <w14:solidFill>
              <w14:schemeClr w14:val="tx1"/>
            </w14:solidFill>
          </w14:textFill>
        </w:rPr>
        <w:t xml:space="preserve"> </w:t>
      </w:r>
      <w:r>
        <w:rPr>
          <w:rFonts w:hint="eastAsia" w:ascii="仿宋" w:hAnsi="仿宋" w:eastAsia="仿宋" w:cs="仿宋"/>
          <w:color w:val="000000" w:themeColor="text1"/>
          <w:kern w:val="0"/>
          <w:sz w:val="24"/>
          <w:szCs w:val="24"/>
          <w:highlight w:val="none"/>
          <w:lang w:bidi="ar"/>
          <w14:textFill>
            <w14:solidFill>
              <w14:schemeClr w14:val="tx1"/>
            </w14:solidFill>
          </w14:textFill>
        </w:rPr>
        <w:t>承担的工作和义务为：</w:t>
      </w:r>
      <w:r>
        <w:rPr>
          <w:rFonts w:hint="eastAsia" w:ascii="仿宋" w:hAnsi="仿宋" w:eastAsia="仿宋" w:cs="仿宋"/>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none"/>
          <w:lang w:val="en-US" w:eastAsia="zh-CN" w:bidi="ar"/>
          <w14:textFill>
            <w14:solidFill>
              <w14:schemeClr w14:val="tx1"/>
            </w14:solidFill>
          </w14:textFill>
        </w:rPr>
        <w:t>。</w:t>
      </w:r>
    </w:p>
    <w:p w14:paraId="4FAADA98">
      <w:pPr>
        <w:keepNext w:val="0"/>
        <w:keepLines w:val="0"/>
        <w:pageBreakBefore w:val="0"/>
        <w:widowControl/>
        <w:kinsoku/>
        <w:wordWrap/>
        <w:overflowPunct/>
        <w:topLinePunct w:val="0"/>
        <w:autoSpaceDE/>
        <w:autoSpaceDN/>
        <w:bidi w:val="0"/>
        <w:adjustRightInd/>
        <w:snapToGrid/>
        <w:spacing w:line="288" w:lineRule="auto"/>
        <w:ind w:left="0" w:leftChars="0" w:firstLine="480" w:firstLineChars="200"/>
        <w:jc w:val="left"/>
        <w:textAlignment w:val="auto"/>
        <w:rPr>
          <w:rFonts w:hint="eastAsia" w:ascii="仿宋" w:hAnsi="仿宋" w:eastAsia="仿宋" w:cs="仿宋"/>
          <w:color w:val="000000" w:themeColor="text1"/>
          <w:kern w:val="0"/>
          <w:sz w:val="24"/>
          <w:szCs w:val="24"/>
          <w:highlight w:val="none"/>
          <w:lang w:bidi="ar"/>
          <w14:textFill>
            <w14:solidFill>
              <w14:schemeClr w14:val="tx1"/>
            </w14:solidFill>
          </w14:textFill>
        </w:rPr>
      </w:pPr>
      <w:r>
        <w:rPr>
          <w:rFonts w:hint="eastAsia" w:ascii="仿宋" w:hAnsi="仿宋" w:eastAsia="仿宋" w:cs="仿宋"/>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eastAsia="zh-CN" w:bidi="ar"/>
          <w14:textFill>
            <w14:solidFill>
              <w14:schemeClr w14:val="tx1"/>
            </w14:solidFill>
          </w14:textFill>
        </w:rPr>
        <w:t>（</w:t>
      </w:r>
      <w:r>
        <w:rPr>
          <w:rFonts w:hint="eastAsia" w:ascii="仿宋" w:hAnsi="仿宋" w:eastAsia="仿宋" w:cs="仿宋"/>
          <w:color w:val="000000" w:themeColor="text1"/>
          <w:kern w:val="0"/>
          <w:sz w:val="24"/>
          <w:szCs w:val="24"/>
          <w:highlight w:val="none"/>
          <w:u w:val="single"/>
          <w:lang w:bidi="ar"/>
          <w14:textFill>
            <w14:solidFill>
              <w14:schemeClr w14:val="tx1"/>
            </w14:solidFill>
          </w14:textFill>
        </w:rPr>
        <w:t>单位名称</w:t>
      </w:r>
      <w:r>
        <w:rPr>
          <w:rFonts w:hint="eastAsia" w:ascii="仿宋" w:hAnsi="仿宋" w:eastAsia="仿宋" w:cs="仿宋"/>
          <w:color w:val="000000" w:themeColor="text1"/>
          <w:kern w:val="0"/>
          <w:sz w:val="24"/>
          <w:szCs w:val="24"/>
          <w:highlight w:val="none"/>
          <w:u w:val="single"/>
          <w:lang w:eastAsia="zh-CN" w:bidi="ar"/>
          <w14:textFill>
            <w14:solidFill>
              <w14:schemeClr w14:val="tx1"/>
            </w14:solidFill>
          </w14:textFill>
        </w:rPr>
        <w:t>）</w:t>
      </w:r>
      <w:r>
        <w:rPr>
          <w:rFonts w:hint="eastAsia" w:ascii="仿宋" w:hAnsi="仿宋" w:eastAsia="仿宋" w:cs="仿宋"/>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highlight w:val="none"/>
          <w:lang w:bidi="ar"/>
          <w14:textFill>
            <w14:solidFill>
              <w14:schemeClr w14:val="tx1"/>
            </w14:solidFill>
          </w14:textFill>
        </w:rPr>
        <w:t>承担本项目</w:t>
      </w:r>
      <w:r>
        <w:rPr>
          <w:rFonts w:hint="eastAsia" w:ascii="仿宋" w:hAnsi="仿宋" w:eastAsia="仿宋" w:cs="仿宋"/>
          <w:color w:val="000000" w:themeColor="text1"/>
          <w:kern w:val="0"/>
          <w:sz w:val="24"/>
          <w:szCs w:val="24"/>
          <w:highlight w:val="none"/>
          <w:lang w:eastAsia="zh-CN" w:bidi="ar"/>
          <w14:textFill>
            <w14:solidFill>
              <w14:schemeClr w14:val="tx1"/>
            </w14:solidFill>
          </w14:textFill>
        </w:rPr>
        <w:t>合同</w:t>
      </w:r>
      <w:r>
        <w:rPr>
          <w:rFonts w:hint="eastAsia" w:ascii="仿宋" w:hAnsi="仿宋" w:eastAsia="仿宋" w:cs="仿宋"/>
          <w:color w:val="000000" w:themeColor="text1"/>
          <w:kern w:val="0"/>
          <w:sz w:val="24"/>
          <w:szCs w:val="24"/>
          <w:highlight w:val="none"/>
          <w:lang w:bidi="ar"/>
          <w14:textFill>
            <w14:solidFill>
              <w14:schemeClr w14:val="tx1"/>
            </w14:solidFill>
          </w14:textFill>
        </w:rPr>
        <w:t>金额的</w:t>
      </w:r>
      <w:r>
        <w:rPr>
          <w:rFonts w:hint="eastAsia" w:ascii="仿宋" w:hAnsi="仿宋" w:eastAsia="仿宋" w:cs="仿宋"/>
          <w:color w:val="000000" w:themeColor="text1"/>
          <w:kern w:val="0"/>
          <w:sz w:val="24"/>
          <w:szCs w:val="24"/>
          <w:highlight w:val="none"/>
          <w:u w:val="single"/>
          <w:lang w:val="en-US" w:eastAsia="zh-CN" w:bidi="ar"/>
          <w14:textFill>
            <w14:solidFill>
              <w14:schemeClr w14:val="tx1"/>
            </w14:solidFill>
          </w14:textFill>
        </w:rPr>
        <w:t xml:space="preserve">    % </w:t>
      </w:r>
      <w:r>
        <w:rPr>
          <w:rFonts w:hint="eastAsia" w:ascii="仿宋" w:hAnsi="仿宋" w:eastAsia="仿宋" w:cs="仿宋"/>
          <w:color w:val="000000" w:themeColor="text1"/>
          <w:kern w:val="0"/>
          <w:sz w:val="24"/>
          <w:szCs w:val="24"/>
          <w:highlight w:val="none"/>
          <w:lang w:bidi="ar"/>
          <w14:textFill>
            <w14:solidFill>
              <w14:schemeClr w14:val="tx1"/>
            </w14:solidFill>
          </w14:textFill>
        </w:rPr>
        <w:t>，我单位与承担本项目的其他企业之间【</w:t>
      </w:r>
      <w:r>
        <w:rPr>
          <w:rFonts w:hint="eastAsia" w:ascii="仿宋" w:hAnsi="仿宋" w:eastAsia="仿宋" w:cs="仿宋"/>
          <w:color w:val="000000" w:themeColor="text1"/>
          <w:kern w:val="0"/>
          <w:sz w:val="24"/>
          <w:szCs w:val="24"/>
          <w:highlight w:val="none"/>
          <w:lang w:bidi="ar"/>
          <w14:textFill>
            <w14:solidFill>
              <w14:schemeClr w14:val="tx1"/>
            </w14:solidFill>
          </w14:textFill>
        </w:rPr>
        <w:sym w:font="Wingdings 2" w:char="00A3"/>
      </w:r>
      <w:r>
        <w:rPr>
          <w:rFonts w:hint="eastAsia" w:ascii="仿宋" w:hAnsi="仿宋" w:eastAsia="仿宋" w:cs="仿宋"/>
          <w:color w:val="000000" w:themeColor="text1"/>
          <w:kern w:val="0"/>
          <w:sz w:val="24"/>
          <w:szCs w:val="24"/>
          <w:highlight w:val="none"/>
          <w:lang w:bidi="ar"/>
          <w14:textFill>
            <w14:solidFill>
              <w14:schemeClr w14:val="tx1"/>
            </w14:solidFill>
          </w14:textFill>
        </w:rPr>
        <w:t>是/□否】存在直接控股、管理关系。</w:t>
      </w:r>
    </w:p>
    <w:p w14:paraId="5FECBC3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000000" w:themeColor="text1"/>
          <w:kern w:val="0"/>
          <w:sz w:val="24"/>
          <w:szCs w:val="24"/>
          <w:highlight w:val="none"/>
          <w:lang w:bidi="ar"/>
          <w14:textFill>
            <w14:solidFill>
              <w14:schemeClr w14:val="tx1"/>
            </w14:solidFill>
          </w14:textFill>
        </w:rPr>
      </w:pPr>
      <w:r>
        <w:rPr>
          <w:rFonts w:hint="eastAsia" w:ascii="仿宋" w:hAnsi="仿宋" w:eastAsia="仿宋" w:cs="仿宋"/>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eastAsia="zh-CN" w:bidi="ar"/>
          <w14:textFill>
            <w14:solidFill>
              <w14:schemeClr w14:val="tx1"/>
            </w14:solidFill>
          </w14:textFill>
        </w:rPr>
        <w:t>（</w:t>
      </w:r>
      <w:r>
        <w:rPr>
          <w:rFonts w:hint="eastAsia" w:ascii="仿宋" w:hAnsi="仿宋" w:eastAsia="仿宋" w:cs="仿宋"/>
          <w:color w:val="000000" w:themeColor="text1"/>
          <w:kern w:val="0"/>
          <w:sz w:val="24"/>
          <w:szCs w:val="24"/>
          <w:highlight w:val="none"/>
          <w:u w:val="single"/>
          <w:lang w:bidi="ar"/>
          <w14:textFill>
            <w14:solidFill>
              <w14:schemeClr w14:val="tx1"/>
            </w14:solidFill>
          </w14:textFill>
        </w:rPr>
        <w:t>单位名称</w:t>
      </w:r>
      <w:r>
        <w:rPr>
          <w:rFonts w:hint="eastAsia" w:ascii="仿宋" w:hAnsi="仿宋" w:eastAsia="仿宋" w:cs="仿宋"/>
          <w:color w:val="000000" w:themeColor="text1"/>
          <w:kern w:val="0"/>
          <w:sz w:val="24"/>
          <w:szCs w:val="24"/>
          <w:highlight w:val="none"/>
          <w:u w:val="single"/>
          <w:lang w:eastAsia="zh-CN" w:bidi="ar"/>
          <w14:textFill>
            <w14:solidFill>
              <w14:schemeClr w14:val="tx1"/>
            </w14:solidFill>
          </w14:textFill>
        </w:rPr>
        <w:t>）</w:t>
      </w:r>
      <w:r>
        <w:rPr>
          <w:rFonts w:hint="eastAsia" w:ascii="仿宋" w:hAnsi="仿宋" w:eastAsia="仿宋" w:cs="仿宋"/>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highlight w:val="none"/>
          <w:lang w:bidi="ar"/>
          <w14:textFill>
            <w14:solidFill>
              <w14:schemeClr w14:val="tx1"/>
            </w14:solidFill>
          </w14:textFill>
        </w:rPr>
        <w:t>承担本项目</w:t>
      </w:r>
      <w:r>
        <w:rPr>
          <w:rFonts w:hint="eastAsia" w:ascii="仿宋" w:hAnsi="仿宋" w:eastAsia="仿宋" w:cs="仿宋"/>
          <w:color w:val="000000" w:themeColor="text1"/>
          <w:kern w:val="0"/>
          <w:sz w:val="24"/>
          <w:szCs w:val="24"/>
          <w:highlight w:val="none"/>
          <w:lang w:eastAsia="zh-CN" w:bidi="ar"/>
          <w14:textFill>
            <w14:solidFill>
              <w14:schemeClr w14:val="tx1"/>
            </w14:solidFill>
          </w14:textFill>
        </w:rPr>
        <w:t>合同</w:t>
      </w:r>
      <w:r>
        <w:rPr>
          <w:rFonts w:hint="eastAsia" w:ascii="仿宋" w:hAnsi="仿宋" w:eastAsia="仿宋" w:cs="仿宋"/>
          <w:color w:val="000000" w:themeColor="text1"/>
          <w:kern w:val="0"/>
          <w:sz w:val="24"/>
          <w:szCs w:val="24"/>
          <w:highlight w:val="none"/>
          <w:lang w:bidi="ar"/>
          <w14:textFill>
            <w14:solidFill>
              <w14:schemeClr w14:val="tx1"/>
            </w14:solidFill>
          </w14:textFill>
        </w:rPr>
        <w:t>金额的</w:t>
      </w:r>
      <w:r>
        <w:rPr>
          <w:rFonts w:hint="eastAsia" w:ascii="仿宋" w:hAnsi="仿宋" w:eastAsia="仿宋" w:cs="仿宋"/>
          <w:color w:val="000000" w:themeColor="text1"/>
          <w:kern w:val="0"/>
          <w:sz w:val="24"/>
          <w:szCs w:val="24"/>
          <w:highlight w:val="none"/>
          <w:u w:val="single"/>
          <w:lang w:val="en-US" w:eastAsia="zh-CN" w:bidi="ar"/>
          <w14:textFill>
            <w14:solidFill>
              <w14:schemeClr w14:val="tx1"/>
            </w14:solidFill>
          </w14:textFill>
        </w:rPr>
        <w:t xml:space="preserve">    % </w:t>
      </w:r>
      <w:r>
        <w:rPr>
          <w:rFonts w:hint="eastAsia" w:ascii="仿宋" w:hAnsi="仿宋" w:eastAsia="仿宋" w:cs="仿宋"/>
          <w:color w:val="000000" w:themeColor="text1"/>
          <w:kern w:val="0"/>
          <w:sz w:val="24"/>
          <w:szCs w:val="24"/>
          <w:highlight w:val="none"/>
          <w:lang w:bidi="ar"/>
          <w14:textFill>
            <w14:solidFill>
              <w14:schemeClr w14:val="tx1"/>
            </w14:solidFill>
          </w14:textFill>
        </w:rPr>
        <w:t>，我单位与承担本项目的其他企业之间【□是/□否】存在直接控股、管理关系。</w:t>
      </w:r>
    </w:p>
    <w:p w14:paraId="185201AE">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000000" w:themeColor="text1"/>
          <w:kern w:val="0"/>
          <w:sz w:val="24"/>
          <w:szCs w:val="24"/>
          <w:highlight w:val="none"/>
          <w:lang w:bidi="ar"/>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五、其他事宜：</w:t>
      </w:r>
    </w:p>
    <w:p w14:paraId="0D1EAB7E">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000000" w:themeColor="text1"/>
          <w:kern w:val="0"/>
          <w:sz w:val="24"/>
          <w:szCs w:val="24"/>
          <w:highlight w:val="none"/>
          <w:lang w:bidi="ar"/>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1</w:t>
      </w:r>
      <w:r>
        <w:rPr>
          <w:rFonts w:hint="eastAsia" w:ascii="仿宋" w:hAnsi="仿宋" w:eastAsia="仿宋" w:cs="仿宋"/>
          <w:color w:val="000000" w:themeColor="text1"/>
          <w:kern w:val="0"/>
          <w:sz w:val="24"/>
          <w:szCs w:val="24"/>
          <w:highlight w:val="none"/>
          <w:lang w:val="en-US" w:eastAsia="zh-CN" w:bidi="ar"/>
          <w14:textFill>
            <w14:solidFill>
              <w14:schemeClr w14:val="tx1"/>
            </w14:solidFill>
          </w14:textFill>
        </w:rPr>
        <w:t>.</w:t>
      </w:r>
      <w:r>
        <w:rPr>
          <w:rFonts w:hint="eastAsia" w:ascii="仿宋" w:hAnsi="仿宋" w:eastAsia="仿宋" w:cs="仿宋"/>
          <w:color w:val="000000" w:themeColor="text1"/>
          <w:kern w:val="0"/>
          <w:sz w:val="24"/>
          <w:szCs w:val="24"/>
          <w:highlight w:val="none"/>
          <w:lang w:bidi="ar"/>
          <w14:textFill>
            <w14:solidFill>
              <w14:schemeClr w14:val="tx1"/>
            </w14:solidFill>
          </w14:textFill>
        </w:rPr>
        <w:t>本项目的采购代理服务费由</w:t>
      </w:r>
      <w:r>
        <w:rPr>
          <w:rFonts w:hint="eastAsia" w:ascii="仿宋" w:hAnsi="仿宋" w:eastAsia="仿宋" w:cs="仿宋"/>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lang w:eastAsia="zh-CN"/>
          <w14:textFill>
            <w14:solidFill>
              <w14:schemeClr w14:val="tx1"/>
            </w14:solidFill>
          </w14:textFill>
        </w:rPr>
        <w:t>联合体</w:t>
      </w:r>
      <w:r>
        <w:rPr>
          <w:rFonts w:hint="eastAsia" w:ascii="仿宋" w:hAnsi="仿宋" w:eastAsia="仿宋" w:cs="仿宋"/>
          <w:color w:val="000000" w:themeColor="text1"/>
          <w:sz w:val="24"/>
          <w:szCs w:val="24"/>
          <w:highlight w:val="none"/>
          <w:u w:val="single"/>
          <w14:textFill>
            <w14:solidFill>
              <w14:schemeClr w14:val="tx1"/>
            </w14:solidFill>
          </w14:textFill>
        </w:rPr>
        <w:t>成员</w:t>
      </w:r>
      <w:r>
        <w:rPr>
          <w:rFonts w:hint="eastAsia" w:ascii="仿宋" w:hAnsi="仿宋" w:eastAsia="仿宋" w:cs="仿宋"/>
          <w:color w:val="000000" w:themeColor="text1"/>
          <w:sz w:val="24"/>
          <w:szCs w:val="24"/>
          <w:highlight w:val="none"/>
          <w:u w:val="single"/>
          <w:lang w:eastAsia="zh-CN"/>
          <w14:textFill>
            <w14:solidFill>
              <w14:schemeClr w14:val="tx1"/>
            </w14:solidFill>
          </w14:textFill>
        </w:rPr>
        <w:t>名称</w:t>
      </w:r>
      <w:r>
        <w:rPr>
          <w:rFonts w:hint="eastAsia" w:ascii="仿宋" w:hAnsi="仿宋" w:eastAsia="仿宋" w:cs="仿宋"/>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highlight w:val="none"/>
          <w:lang w:bidi="ar"/>
          <w14:textFill>
            <w14:solidFill>
              <w14:schemeClr w14:val="tx1"/>
            </w14:solidFill>
          </w14:textFill>
        </w:rPr>
        <w:t>缴纳。</w:t>
      </w:r>
    </w:p>
    <w:p w14:paraId="305495D3">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000000" w:themeColor="text1"/>
          <w:kern w:val="0"/>
          <w:sz w:val="24"/>
          <w:szCs w:val="24"/>
          <w:highlight w:val="none"/>
          <w:lang w:bidi="ar"/>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2</w:t>
      </w:r>
      <w:r>
        <w:rPr>
          <w:rFonts w:hint="eastAsia" w:ascii="仿宋" w:hAnsi="仿宋" w:eastAsia="仿宋" w:cs="仿宋"/>
          <w:color w:val="000000" w:themeColor="text1"/>
          <w:kern w:val="0"/>
          <w:sz w:val="24"/>
          <w:szCs w:val="24"/>
          <w:highlight w:val="none"/>
          <w:lang w:val="en-US" w:eastAsia="zh-CN" w:bidi="ar"/>
          <w14:textFill>
            <w14:solidFill>
              <w14:schemeClr w14:val="tx1"/>
            </w14:solidFill>
          </w14:textFill>
        </w:rPr>
        <w:t>.</w:t>
      </w:r>
      <w:r>
        <w:rPr>
          <w:rFonts w:hint="eastAsia" w:ascii="仿宋" w:hAnsi="仿宋" w:eastAsia="仿宋" w:cs="仿宋"/>
          <w:color w:val="000000" w:themeColor="text1"/>
          <w:kern w:val="0"/>
          <w:sz w:val="24"/>
          <w:szCs w:val="24"/>
          <w:highlight w:val="none"/>
          <w:lang w:bidi="ar"/>
          <w14:textFill>
            <w14:solidFill>
              <w14:schemeClr w14:val="tx1"/>
            </w14:solidFill>
          </w14:textFill>
        </w:rPr>
        <w:t>合同款收取说明（如有）。</w:t>
      </w:r>
    </w:p>
    <w:p w14:paraId="3F3482C9">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000000" w:themeColor="text1"/>
          <w:kern w:val="0"/>
          <w:sz w:val="24"/>
          <w:szCs w:val="24"/>
          <w:highlight w:val="none"/>
          <w:lang w:bidi="ar"/>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六、本协议提交采购人后，联合体各成员方不得以任何形式对上述实质内容进行修改或撤销。</w:t>
      </w:r>
    </w:p>
    <w:p w14:paraId="0F2051E0">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000000" w:themeColor="text1"/>
          <w:kern w:val="0"/>
          <w:sz w:val="24"/>
          <w:szCs w:val="24"/>
          <w:highlight w:val="none"/>
          <w:lang w:bidi="ar"/>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七、本协议一式</w:t>
      </w:r>
      <w:r>
        <w:rPr>
          <w:rFonts w:hint="eastAsia" w:ascii="仿宋" w:hAnsi="仿宋" w:eastAsia="仿宋" w:cs="仿宋"/>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highlight w:val="none"/>
          <w:lang w:bidi="ar"/>
          <w14:textFill>
            <w14:solidFill>
              <w14:schemeClr w14:val="tx1"/>
            </w14:solidFill>
          </w14:textFill>
        </w:rPr>
        <w:t>份，投标文件一份，</w:t>
      </w:r>
      <w:r>
        <w:rPr>
          <w:rFonts w:hint="eastAsia" w:ascii="仿宋" w:hAnsi="仿宋" w:eastAsia="仿宋" w:cs="仿宋"/>
          <w:color w:val="000000" w:themeColor="text1"/>
          <w:kern w:val="0"/>
          <w:sz w:val="24"/>
          <w:szCs w:val="24"/>
          <w:highlight w:val="none"/>
          <w:lang w:eastAsia="zh-CN" w:bidi="ar"/>
          <w14:textFill>
            <w14:solidFill>
              <w14:schemeClr w14:val="tx1"/>
            </w14:solidFill>
          </w14:textFill>
        </w:rPr>
        <w:t>牵头单位</w:t>
      </w:r>
      <w:r>
        <w:rPr>
          <w:rFonts w:hint="eastAsia" w:ascii="仿宋" w:hAnsi="仿宋" w:eastAsia="仿宋" w:cs="仿宋"/>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highlight w:val="none"/>
          <w:lang w:bidi="ar"/>
          <w14:textFill>
            <w14:solidFill>
              <w14:schemeClr w14:val="tx1"/>
            </w14:solidFill>
          </w14:textFill>
        </w:rPr>
        <w:t>份，成员单位</w:t>
      </w:r>
      <w:r>
        <w:rPr>
          <w:rFonts w:hint="eastAsia" w:ascii="仿宋" w:hAnsi="仿宋" w:eastAsia="仿宋" w:cs="仿宋"/>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highlight w:val="none"/>
          <w:lang w:bidi="ar"/>
          <w14:textFill>
            <w14:solidFill>
              <w14:schemeClr w14:val="tx1"/>
            </w14:solidFill>
          </w14:textFill>
        </w:rPr>
        <w:t>份。</w:t>
      </w:r>
    </w:p>
    <w:p w14:paraId="27239BBA">
      <w:pPr>
        <w:keepNext w:val="0"/>
        <w:keepLines w:val="0"/>
        <w:pageBreakBefore w:val="0"/>
        <w:kinsoku/>
        <w:wordWrap/>
        <w:overflowPunct/>
        <w:topLinePunct w:val="0"/>
        <w:autoSpaceDE/>
        <w:autoSpaceDN/>
        <w:bidi w:val="0"/>
        <w:adjustRightInd/>
        <w:snapToGrid/>
        <w:spacing w:line="240" w:lineRule="auto"/>
        <w:ind w:firstLine="3091" w:firstLineChars="1288"/>
        <w:textAlignment w:val="auto"/>
        <w:rPr>
          <w:rFonts w:hint="eastAsia" w:ascii="仿宋" w:hAnsi="仿宋" w:eastAsia="仿宋" w:cs="仿宋"/>
          <w:color w:val="000000" w:themeColor="text1"/>
          <w:sz w:val="24"/>
          <w:szCs w:val="24"/>
          <w:highlight w:val="none"/>
          <w14:textFill>
            <w14:solidFill>
              <w14:schemeClr w14:val="tx1"/>
            </w14:solidFill>
          </w14:textFill>
        </w:rPr>
      </w:pPr>
    </w:p>
    <w:p w14:paraId="7FBB86DE">
      <w:pPr>
        <w:keepNext w:val="0"/>
        <w:keepLines w:val="0"/>
        <w:pageBreakBefore w:val="0"/>
        <w:kinsoku/>
        <w:wordWrap/>
        <w:overflowPunct/>
        <w:topLinePunct w:val="0"/>
        <w:autoSpaceDE/>
        <w:autoSpaceDN/>
        <w:bidi w:val="0"/>
        <w:adjustRightInd/>
        <w:snapToGrid/>
        <w:spacing w:line="288" w:lineRule="auto"/>
        <w:ind w:firstLine="3091" w:firstLineChars="1288"/>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牵头人名称：</w:t>
      </w:r>
      <w:r>
        <w:rPr>
          <w:rFonts w:hint="eastAsia" w:ascii="仿宋" w:hAnsi="仿宋" w:eastAsia="仿宋" w:cs="仿宋"/>
          <w:color w:val="000000" w:themeColor="text1"/>
          <w:sz w:val="24"/>
          <w:szCs w:val="24"/>
          <w:highlight w:val="none"/>
          <w:u w:val="single"/>
          <w14:textFill>
            <w14:solidFill>
              <w14:schemeClr w14:val="tx1"/>
            </w14:solidFill>
          </w14:textFill>
        </w:rPr>
        <w:t xml:space="preserve">                （盖单位章）          </w:t>
      </w:r>
    </w:p>
    <w:p w14:paraId="60C65EF7">
      <w:pPr>
        <w:keepNext w:val="0"/>
        <w:keepLines w:val="0"/>
        <w:pageBreakBefore w:val="0"/>
        <w:kinsoku/>
        <w:wordWrap/>
        <w:overflowPunct/>
        <w:topLinePunct w:val="0"/>
        <w:autoSpaceDE/>
        <w:autoSpaceDN/>
        <w:bidi w:val="0"/>
        <w:adjustRightInd/>
        <w:snapToGrid/>
        <w:spacing w:line="288" w:lineRule="auto"/>
        <w:ind w:firstLine="3091" w:firstLineChars="1288"/>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法定代表人或其委托代理人：</w:t>
      </w:r>
      <w:r>
        <w:rPr>
          <w:rFonts w:hint="eastAsia" w:ascii="仿宋" w:hAnsi="仿宋" w:eastAsia="仿宋" w:cs="仿宋"/>
          <w:color w:val="000000" w:themeColor="text1"/>
          <w:sz w:val="24"/>
          <w:szCs w:val="24"/>
          <w:highlight w:val="none"/>
          <w:u w:val="single"/>
          <w14:textFill>
            <w14:solidFill>
              <w14:schemeClr w14:val="tx1"/>
            </w14:solidFill>
          </w14:textFill>
        </w:rPr>
        <w:t xml:space="preserve">     （签字或盖章）     </w:t>
      </w:r>
    </w:p>
    <w:p w14:paraId="0F910402">
      <w:pPr>
        <w:keepNext w:val="0"/>
        <w:keepLines w:val="0"/>
        <w:pageBreakBefore w:val="0"/>
        <w:kinsoku/>
        <w:wordWrap/>
        <w:overflowPunct/>
        <w:topLinePunct w:val="0"/>
        <w:autoSpaceDE/>
        <w:autoSpaceDN/>
        <w:bidi w:val="0"/>
        <w:adjustRightInd/>
        <w:snapToGrid/>
        <w:spacing w:line="288" w:lineRule="auto"/>
        <w:ind w:firstLine="3091" w:firstLineChars="1288"/>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成员一名称：</w:t>
      </w:r>
      <w:r>
        <w:rPr>
          <w:rFonts w:hint="eastAsia" w:ascii="仿宋" w:hAnsi="仿宋" w:eastAsia="仿宋" w:cs="仿宋"/>
          <w:color w:val="000000" w:themeColor="text1"/>
          <w:sz w:val="24"/>
          <w:szCs w:val="24"/>
          <w:highlight w:val="none"/>
          <w:u w:val="single"/>
          <w14:textFill>
            <w14:solidFill>
              <w14:schemeClr w14:val="tx1"/>
            </w14:solidFill>
          </w14:textFill>
        </w:rPr>
        <w:t xml:space="preserve">                （盖单位章）          </w:t>
      </w:r>
    </w:p>
    <w:p w14:paraId="6C1337D0">
      <w:pPr>
        <w:keepNext w:val="0"/>
        <w:keepLines w:val="0"/>
        <w:pageBreakBefore w:val="0"/>
        <w:kinsoku/>
        <w:wordWrap/>
        <w:overflowPunct/>
        <w:topLinePunct w:val="0"/>
        <w:autoSpaceDE/>
        <w:autoSpaceDN/>
        <w:bidi w:val="0"/>
        <w:adjustRightInd/>
        <w:snapToGrid/>
        <w:spacing w:line="288" w:lineRule="auto"/>
        <w:ind w:firstLine="3091" w:firstLineChars="1288"/>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法定代表人或其委托代理人：</w:t>
      </w:r>
      <w:r>
        <w:rPr>
          <w:rFonts w:hint="eastAsia" w:ascii="仿宋" w:hAnsi="仿宋" w:eastAsia="仿宋" w:cs="仿宋"/>
          <w:color w:val="000000" w:themeColor="text1"/>
          <w:sz w:val="24"/>
          <w:szCs w:val="24"/>
          <w:highlight w:val="none"/>
          <w:u w:val="single"/>
          <w14:textFill>
            <w14:solidFill>
              <w14:schemeClr w14:val="tx1"/>
            </w14:solidFill>
          </w14:textFill>
        </w:rPr>
        <w:t xml:space="preserve">     （签字或盖章）     </w:t>
      </w:r>
    </w:p>
    <w:p w14:paraId="0C10DA8A">
      <w:pPr>
        <w:pStyle w:val="7"/>
        <w:keepNext w:val="0"/>
        <w:keepLines w:val="0"/>
        <w:pageBreakBefore w:val="0"/>
        <w:kinsoku/>
        <w:wordWrap/>
        <w:overflowPunct/>
        <w:topLinePunct w:val="0"/>
        <w:autoSpaceDE/>
        <w:autoSpaceDN/>
        <w:bidi w:val="0"/>
        <w:adjustRightInd/>
        <w:snapToGrid/>
        <w:spacing w:line="288" w:lineRule="auto"/>
        <w:ind w:firstLine="4620" w:firstLineChars="2100"/>
        <w:textAlignment w:val="auto"/>
        <w:rPr>
          <w:rFonts w:hint="eastAsia" w:ascii="仿宋" w:hAnsi="仿宋" w:eastAsia="仿宋" w:cs="仿宋"/>
          <w:color w:val="000000" w:themeColor="text1"/>
          <w:kern w:val="0"/>
          <w:sz w:val="24"/>
          <w:szCs w:val="24"/>
          <w:highlight w:val="none"/>
          <w:lang w:bidi="ar"/>
          <w14:textFill>
            <w14:solidFill>
              <w14:schemeClr w14:val="tx1"/>
            </w14:solidFill>
          </w14:textFill>
        </w:rPr>
      </w:pPr>
      <w:r>
        <w:rPr>
          <w:rFonts w:hint="eastAsia" w:ascii="仿宋" w:hAnsi="仿宋" w:eastAsia="仿宋" w:cs="仿宋"/>
          <w:color w:val="000000" w:themeColor="text1"/>
          <w:sz w:val="22"/>
          <w:szCs w:val="22"/>
          <w:highlight w:val="none"/>
          <w:u w:val="single"/>
          <w14:textFill>
            <w14:solidFill>
              <w14:schemeClr w14:val="tx1"/>
            </w14:solidFill>
          </w14:textFill>
        </w:rPr>
        <w:t xml:space="preserve">        </w:t>
      </w:r>
      <w:r>
        <w:rPr>
          <w:rFonts w:hint="eastAsia" w:ascii="仿宋" w:hAnsi="仿宋" w:eastAsia="仿宋" w:cs="仿宋"/>
          <w:color w:val="000000" w:themeColor="text1"/>
          <w:sz w:val="22"/>
          <w:szCs w:val="22"/>
          <w:highlight w:val="none"/>
          <w14:textFill>
            <w14:solidFill>
              <w14:schemeClr w14:val="tx1"/>
            </w14:solidFill>
          </w14:textFill>
        </w:rPr>
        <w:t>年</w:t>
      </w:r>
      <w:r>
        <w:rPr>
          <w:rFonts w:hint="eastAsia" w:ascii="仿宋" w:hAnsi="仿宋" w:eastAsia="仿宋" w:cs="仿宋"/>
          <w:color w:val="000000" w:themeColor="text1"/>
          <w:sz w:val="22"/>
          <w:szCs w:val="22"/>
          <w:highlight w:val="none"/>
          <w:u w:val="single"/>
          <w14:textFill>
            <w14:solidFill>
              <w14:schemeClr w14:val="tx1"/>
            </w14:solidFill>
          </w14:textFill>
        </w:rPr>
        <w:t xml:space="preserve">       </w:t>
      </w:r>
      <w:r>
        <w:rPr>
          <w:rFonts w:hint="eastAsia" w:ascii="仿宋" w:hAnsi="仿宋" w:eastAsia="仿宋" w:cs="仿宋"/>
          <w:color w:val="000000" w:themeColor="text1"/>
          <w:sz w:val="22"/>
          <w:szCs w:val="22"/>
          <w:highlight w:val="none"/>
          <w14:textFill>
            <w14:solidFill>
              <w14:schemeClr w14:val="tx1"/>
            </w14:solidFill>
          </w14:textFill>
        </w:rPr>
        <w:t>月</w:t>
      </w:r>
      <w:r>
        <w:rPr>
          <w:rFonts w:hint="eastAsia" w:ascii="仿宋" w:hAnsi="仿宋" w:eastAsia="仿宋" w:cs="仿宋"/>
          <w:color w:val="000000" w:themeColor="text1"/>
          <w:sz w:val="22"/>
          <w:szCs w:val="22"/>
          <w:highlight w:val="none"/>
          <w:u w:val="single"/>
          <w14:textFill>
            <w14:solidFill>
              <w14:schemeClr w14:val="tx1"/>
            </w14:solidFill>
          </w14:textFill>
        </w:rPr>
        <w:t xml:space="preserve">         </w:t>
      </w:r>
      <w:r>
        <w:rPr>
          <w:rFonts w:hint="eastAsia" w:ascii="仿宋" w:hAnsi="仿宋" w:eastAsia="仿宋" w:cs="仿宋"/>
          <w:color w:val="000000" w:themeColor="text1"/>
          <w:sz w:val="22"/>
          <w:szCs w:val="22"/>
          <w:highlight w:val="none"/>
          <w14:textFill>
            <w14:solidFill>
              <w14:schemeClr w14:val="tx1"/>
            </w14:solidFill>
          </w14:textFill>
        </w:rPr>
        <w:t>日</w:t>
      </w:r>
    </w:p>
    <w:p w14:paraId="17421C6D">
      <w:pPr>
        <w:keepNext w:val="0"/>
        <w:keepLines w:val="0"/>
        <w:pageBreakBefore w:val="0"/>
        <w:widowControl/>
        <w:kinsoku/>
        <w:wordWrap/>
        <w:overflowPunct/>
        <w:topLinePunct w:val="0"/>
        <w:autoSpaceDE/>
        <w:autoSpaceDN/>
        <w:bidi w:val="0"/>
        <w:adjustRightInd/>
        <w:snapToGrid/>
        <w:spacing w:line="288" w:lineRule="auto"/>
        <w:ind w:firstLine="482" w:firstLineChars="200"/>
        <w:jc w:val="left"/>
        <w:textAlignment w:val="auto"/>
        <w:rPr>
          <w:rFonts w:hint="eastAsia" w:ascii="仿宋" w:hAnsi="仿宋" w:eastAsia="仿宋" w:cs="仿宋"/>
          <w:b w:val="0"/>
          <w:color w:val="000000" w:themeColor="text1"/>
          <w:kern w:val="0"/>
          <w:sz w:val="24"/>
          <w:szCs w:val="24"/>
          <w:highlight w:val="none"/>
          <w:lang w:bidi="ar"/>
          <w14:textFill>
            <w14:solidFill>
              <w14:schemeClr w14:val="tx1"/>
            </w14:solidFill>
          </w14:textFill>
        </w:rPr>
      </w:pPr>
      <w:r>
        <w:rPr>
          <w:rFonts w:hint="eastAsia" w:ascii="仿宋" w:hAnsi="仿宋" w:eastAsia="仿宋" w:cs="仿宋"/>
          <w:b/>
          <w:bCs/>
          <w:color w:val="000000" w:themeColor="text1"/>
          <w:kern w:val="0"/>
          <w:sz w:val="24"/>
          <w:szCs w:val="24"/>
          <w:highlight w:val="none"/>
          <w:lang w:bidi="ar"/>
          <w14:textFill>
            <w14:solidFill>
              <w14:schemeClr w14:val="tx1"/>
            </w14:solidFill>
          </w14:textFill>
        </w:rPr>
        <w:t>注：</w:t>
      </w:r>
      <w:r>
        <w:rPr>
          <w:rFonts w:hint="eastAsia" w:ascii="仿宋" w:hAnsi="仿宋" w:eastAsia="仿宋" w:cs="仿宋"/>
          <w:b/>
          <w:bCs/>
          <w:color w:val="000000" w:themeColor="text1"/>
          <w:kern w:val="0"/>
          <w:sz w:val="24"/>
          <w:szCs w:val="24"/>
          <w:highlight w:val="none"/>
          <w:lang w:eastAsia="zh-CN" w:bidi="ar"/>
          <w14:textFill>
            <w14:solidFill>
              <w14:schemeClr w14:val="tx1"/>
            </w14:solidFill>
          </w14:textFill>
        </w:rPr>
        <w:t>联合体投标协议</w:t>
      </w:r>
      <w:r>
        <w:rPr>
          <w:rFonts w:hint="eastAsia" w:ascii="仿宋" w:hAnsi="仿宋" w:eastAsia="仿宋" w:cs="仿宋"/>
          <w:b/>
          <w:bCs/>
          <w:color w:val="000000" w:themeColor="text1"/>
          <w:kern w:val="0"/>
          <w:sz w:val="24"/>
          <w:szCs w:val="24"/>
          <w:highlight w:val="none"/>
          <w:lang w:bidi="ar"/>
          <w14:textFill>
            <w14:solidFill>
              <w14:schemeClr w14:val="tx1"/>
            </w14:solidFill>
          </w14:textFill>
        </w:rPr>
        <w:t>需由联合体各方共同出具并签署盖章。</w:t>
      </w:r>
    </w:p>
    <w:p w14:paraId="7D6A703A">
      <w:pPr>
        <w:widowControl/>
        <w:spacing w:line="360" w:lineRule="auto"/>
        <w:ind w:firstLine="470" w:firstLineChars="196"/>
        <w:jc w:val="left"/>
        <w:rPr>
          <w:rFonts w:hint="eastAsia" w:ascii="仿宋" w:hAnsi="仿宋" w:eastAsia="仿宋" w:cs="仿宋"/>
          <w:color w:val="000000" w:themeColor="text1"/>
          <w:sz w:val="24"/>
          <w:highlight w:val="none"/>
          <w14:textFill>
            <w14:solidFill>
              <w14:schemeClr w14:val="tx1"/>
            </w14:solidFill>
          </w14:textFill>
        </w:rPr>
      </w:pPr>
    </w:p>
    <w:p w14:paraId="3BAAC98E">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1E165D09">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B61DADF">
      <w:pPr>
        <w:spacing w:line="336" w:lineRule="auto"/>
        <w:jc w:val="center"/>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65C41CD9">
      <w:pPr>
        <w:spacing w:line="336" w:lineRule="auto"/>
        <w:jc w:val="center"/>
        <w:outlineLvl w:val="0"/>
        <w:rPr>
          <w:rFonts w:hint="eastAsia" w:ascii="仿宋" w:hAnsi="仿宋" w:eastAsia="仿宋" w:cs="仿宋"/>
          <w:b/>
          <w:color w:val="000000" w:themeColor="text1"/>
          <w:kern w:val="0"/>
          <w:sz w:val="24"/>
          <w:highlight w:val="none"/>
          <w14:textFill>
            <w14:solidFill>
              <w14:schemeClr w14:val="tx1"/>
            </w14:solidFill>
          </w14:textFill>
        </w:rPr>
      </w:pPr>
    </w:p>
    <w:p w14:paraId="4C981BDE">
      <w:pPr>
        <w:spacing w:line="336" w:lineRule="auto"/>
        <w:jc w:val="center"/>
        <w:outlineLvl w:val="0"/>
        <w:rPr>
          <w:rFonts w:hint="eastAsia"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1803091C">
      <w:pPr>
        <w:pStyle w:val="909"/>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投标函</w:t>
      </w:r>
      <w:r>
        <w:rPr>
          <w:rFonts w:hint="eastAsia" w:ascii="仿宋" w:hAnsi="仿宋" w:eastAsia="仿宋" w:cs="仿宋"/>
          <w:color w:val="000000" w:themeColor="text1"/>
          <w:highlight w:val="none"/>
          <w14:textFill>
            <w14:solidFill>
              <w14:schemeClr w14:val="tx1"/>
            </w14:solidFill>
          </w14:textFill>
        </w:rPr>
        <w:t>…………………………………………………………………………（页码）</w:t>
      </w:r>
    </w:p>
    <w:p w14:paraId="13910CC0">
      <w:pPr>
        <w:pStyle w:val="909"/>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法定代表人授权书 ………………………………………………………… （页码）</w:t>
      </w:r>
    </w:p>
    <w:p w14:paraId="1EF92339">
      <w:pPr>
        <w:pStyle w:val="909"/>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法定代表人及其授权代表身份证复印件（复印件）………………………（页码）</w:t>
      </w:r>
    </w:p>
    <w:p w14:paraId="6C9F8BD0">
      <w:pPr>
        <w:pStyle w:val="909"/>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法定代表人身份证明书………………………………………………………（页码）</w:t>
      </w:r>
    </w:p>
    <w:p w14:paraId="3DE59B63">
      <w:pPr>
        <w:pStyle w:val="909"/>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eastAsia="zh-CN"/>
          <w14:textFill>
            <w14:solidFill>
              <w14:schemeClr w14:val="tx1"/>
            </w14:solidFill>
          </w14:textFill>
        </w:rPr>
        <w:t>技术响应偏离表</w:t>
      </w:r>
      <w:r>
        <w:rPr>
          <w:rFonts w:hint="eastAsia" w:ascii="仿宋" w:hAnsi="仿宋" w:eastAsia="仿宋" w:cs="仿宋"/>
          <w:color w:val="000000" w:themeColor="text1"/>
          <w:highlight w:val="none"/>
          <w14:textFill>
            <w14:solidFill>
              <w14:schemeClr w14:val="tx1"/>
            </w14:solidFill>
          </w14:textFill>
        </w:rPr>
        <w:t>………………………………………………………………（页码）</w:t>
      </w:r>
    </w:p>
    <w:p w14:paraId="402808AE">
      <w:pPr>
        <w:pStyle w:val="909"/>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其他内容</w:t>
      </w:r>
      <w:r>
        <w:rPr>
          <w:rFonts w:hint="eastAsia" w:ascii="仿宋" w:hAnsi="仿宋" w:eastAsia="仿宋" w:cs="仿宋"/>
          <w:color w:val="000000" w:themeColor="text1"/>
          <w:highlight w:val="none"/>
          <w14:textFill>
            <w14:solidFill>
              <w14:schemeClr w14:val="tx1"/>
            </w14:solidFill>
          </w14:textFill>
        </w:rPr>
        <w:t>………………………………………………………………………（页码）</w:t>
      </w:r>
    </w:p>
    <w:p w14:paraId="0A4D1B8A">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48531BE1">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1E0183BC">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4B925782">
      <w:pPr>
        <w:snapToGrid w:val="0"/>
        <w:spacing w:line="360" w:lineRule="auto"/>
        <w:jc w:val="both"/>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4649562E">
      <w:pPr>
        <w:widowControl/>
        <w:adjustRightInd/>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53406DF4">
      <w:pPr>
        <w:snapToGrid w:val="0"/>
        <w:spacing w:line="360" w:lineRule="auto"/>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14:paraId="2F12C0CF">
      <w:pPr>
        <w:pStyle w:val="400"/>
        <w:keepNext w:val="0"/>
        <w:keepLines w:val="0"/>
        <w:pageBreakBefore w:val="0"/>
        <w:kinsoku/>
        <w:wordWrap/>
        <w:overflowPunct/>
        <w:topLinePunct w:val="0"/>
        <w:autoSpaceDE/>
        <w:autoSpaceDN/>
        <w:bidi w:val="0"/>
        <w:spacing w:after="0" w:afterLines="0" w:line="336" w:lineRule="auto"/>
        <w:ind w:firstLine="0" w:firstLineChars="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致：</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p>
    <w:p w14:paraId="678E85E4">
      <w:pPr>
        <w:pStyle w:val="400"/>
        <w:keepNext w:val="0"/>
        <w:keepLines w:val="0"/>
        <w:pageBreakBefore w:val="0"/>
        <w:kinsoku/>
        <w:wordWrap/>
        <w:overflowPunct/>
        <w:topLinePunct w:val="0"/>
        <w:autoSpaceDE/>
        <w:autoSpaceDN/>
        <w:bidi w:val="0"/>
        <w:spacing w:after="0" w:afterLines="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根据贵方</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项</w:t>
      </w:r>
      <w:r>
        <w:rPr>
          <w:rFonts w:hint="eastAsia" w:ascii="仿宋" w:hAnsi="仿宋" w:eastAsia="仿宋" w:cs="仿宋"/>
          <w:b w:val="0"/>
          <w:bCs w:val="0"/>
          <w:color w:val="000000" w:themeColor="text1"/>
          <w:sz w:val="24"/>
          <w:szCs w:val="24"/>
          <w:highlight w:val="none"/>
          <w:u w:val="single"/>
          <w:lang w:val="en-US" w:eastAsia="zh-CN"/>
          <w14:textFill>
            <w14:solidFill>
              <w14:schemeClr w14:val="tx1"/>
            </w14:solidFill>
          </w14:textFill>
        </w:rPr>
        <w:t>目</w:t>
      </w:r>
      <w:r>
        <w:rPr>
          <w:rFonts w:hint="eastAsia" w:ascii="仿宋" w:hAnsi="仿宋" w:eastAsia="仿宋" w:cs="仿宋"/>
          <w:b w:val="0"/>
          <w:bCs w:val="0"/>
          <w:color w:val="000000" w:themeColor="text1"/>
          <w:sz w:val="24"/>
          <w:szCs w:val="24"/>
          <w:highlight w:val="none"/>
          <w:u w:val="single"/>
          <w14:textFill>
            <w14:solidFill>
              <w14:schemeClr w14:val="tx1"/>
            </w14:solidFill>
          </w14:textFill>
        </w:rPr>
        <w:t>（</w:t>
      </w:r>
      <w:r>
        <w:rPr>
          <w:rFonts w:hint="eastAsia" w:ascii="仿宋" w:hAnsi="仿宋" w:eastAsia="仿宋" w:cs="仿宋"/>
          <w:b w:val="0"/>
          <w:bCs w:val="0"/>
          <w:color w:val="000000" w:themeColor="text1"/>
          <w:sz w:val="24"/>
          <w:szCs w:val="24"/>
          <w:highlight w:val="none"/>
          <w:u w:val="single"/>
          <w:lang w:eastAsia="zh-CN"/>
          <w14:textFill>
            <w14:solidFill>
              <w14:schemeClr w14:val="tx1"/>
            </w14:solidFill>
          </w14:textFill>
        </w:rPr>
        <w:t>项目编号</w:t>
      </w:r>
      <w:r>
        <w:rPr>
          <w:rFonts w:hint="eastAsia" w:ascii="仿宋" w:hAnsi="仿宋" w:eastAsia="仿宋" w:cs="仿宋"/>
          <w:b w:val="0"/>
          <w:bCs w:val="0"/>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招标文件的要求，正式授权</w:t>
      </w:r>
      <w:r>
        <w:rPr>
          <w:rFonts w:hint="eastAsia" w:ascii="仿宋" w:hAnsi="仿宋" w:eastAsia="仿宋" w:cs="仿宋"/>
          <w:b/>
          <w:color w:val="000000" w:themeColor="text1"/>
          <w:sz w:val="24"/>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 w:val="24"/>
          <w:szCs w:val="24"/>
          <w:highlight w:val="none"/>
          <w14:textFill>
            <w14:solidFill>
              <w14:schemeClr w14:val="tx1"/>
            </w14:solidFill>
          </w14:textFill>
        </w:rPr>
        <w:t>代表投标人</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b/>
          <w:color w:val="000000" w:themeColor="text1"/>
          <w:sz w:val="24"/>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提交投标文件。</w:t>
      </w:r>
    </w:p>
    <w:p w14:paraId="2D28E70B">
      <w:pPr>
        <w:pStyle w:val="400"/>
        <w:keepNext w:val="0"/>
        <w:keepLines w:val="0"/>
        <w:pageBreakBefore w:val="0"/>
        <w:kinsoku/>
        <w:wordWrap/>
        <w:overflowPunct/>
        <w:topLinePunct w:val="0"/>
        <w:autoSpaceDE/>
        <w:autoSpaceDN/>
        <w:bidi w:val="0"/>
        <w:spacing w:after="0" w:afterLines="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我方已完全明白招标文件的所有条款要求，兹声明同意如下：</w:t>
      </w:r>
    </w:p>
    <w:p w14:paraId="3F8B641C">
      <w:pPr>
        <w:pStyle w:val="15"/>
        <w:keepNext w:val="0"/>
        <w:keepLines w:val="0"/>
        <w:pageBreakBefore w:val="0"/>
        <w:tabs>
          <w:tab w:val="clear" w:pos="1697"/>
        </w:tabs>
        <w:kinsoku/>
        <w:wordWrap/>
        <w:overflowPunct/>
        <w:topLinePunct w:val="0"/>
        <w:autoSpaceDE/>
        <w:autoSpaceDN/>
        <w:bidi w:val="0"/>
        <w:spacing w:after="0" w:afterLines="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1.我方同意在投标人</w:t>
      </w:r>
      <w:r>
        <w:rPr>
          <w:rFonts w:hint="eastAsia" w:ascii="仿宋" w:hAnsi="仿宋" w:eastAsia="仿宋" w:cs="仿宋"/>
          <w:color w:val="000000" w:themeColor="text1"/>
          <w:kern w:val="44"/>
          <w:sz w:val="24"/>
          <w:szCs w:val="24"/>
          <w:highlight w:val="none"/>
          <w14:textFill>
            <w14:solidFill>
              <w14:schemeClr w14:val="tx1"/>
            </w14:solidFill>
          </w14:textFill>
        </w:rPr>
        <w:t>须知</w:t>
      </w:r>
      <w:r>
        <w:rPr>
          <w:rFonts w:hint="eastAsia" w:ascii="仿宋" w:hAnsi="仿宋" w:eastAsia="仿宋" w:cs="仿宋"/>
          <w:color w:val="000000" w:themeColor="text1"/>
          <w:sz w:val="24"/>
          <w:szCs w:val="24"/>
          <w:highlight w:val="none"/>
          <w14:textFill>
            <w14:solidFill>
              <w14:schemeClr w14:val="tx1"/>
            </w14:solidFill>
          </w14:textFill>
        </w:rPr>
        <w:t>规定的开标日期起遵守本投标文件中的承诺且在投标有效期满之前均具有约束力。</w:t>
      </w:r>
    </w:p>
    <w:p w14:paraId="60285505">
      <w:pPr>
        <w:pStyle w:val="400"/>
        <w:keepNext w:val="0"/>
        <w:keepLines w:val="0"/>
        <w:pageBreakBefore w:val="0"/>
        <w:kinsoku/>
        <w:wordWrap/>
        <w:overflowPunct/>
        <w:topLinePunct w:val="0"/>
        <w:autoSpaceDE/>
        <w:autoSpaceDN/>
        <w:bidi w:val="0"/>
        <w:spacing w:after="0" w:afterLines="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2.我方承诺已经具备《中华人民共和国政府采购法》中规定的参加政府采购活动的供应商应当具备的条件。</w:t>
      </w:r>
    </w:p>
    <w:p w14:paraId="02CAAC64">
      <w:pPr>
        <w:pStyle w:val="400"/>
        <w:keepNext w:val="0"/>
        <w:keepLines w:val="0"/>
        <w:pageBreakBefore w:val="0"/>
        <w:kinsoku/>
        <w:wordWrap/>
        <w:overflowPunct/>
        <w:topLinePunct w:val="0"/>
        <w:autoSpaceDE/>
        <w:autoSpaceDN/>
        <w:bidi w:val="0"/>
        <w:spacing w:after="0" w:afterLines="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w:t>
      </w:r>
      <w:r>
        <w:rPr>
          <w:rFonts w:hint="eastAsia" w:ascii="仿宋" w:hAnsi="仿宋" w:eastAsia="仿宋" w:cs="仿宋"/>
          <w:color w:val="000000" w:themeColor="text1"/>
          <w:sz w:val="24"/>
          <w:szCs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szCs w:val="24"/>
          <w:highlight w:val="none"/>
          <w14:textFill>
            <w14:solidFill>
              <w14:schemeClr w14:val="tx1"/>
            </w14:solidFill>
          </w14:textFill>
        </w:rPr>
        <w:t>提供可能另外要求的与投标有关的任何数据或资料。</w:t>
      </w:r>
    </w:p>
    <w:p w14:paraId="0E7157E0">
      <w:pPr>
        <w:pStyle w:val="400"/>
        <w:keepNext w:val="0"/>
        <w:keepLines w:val="0"/>
        <w:pageBreakBefore w:val="0"/>
        <w:kinsoku/>
        <w:wordWrap/>
        <w:overflowPunct/>
        <w:topLinePunct w:val="0"/>
        <w:autoSpaceDE/>
        <w:autoSpaceDN/>
        <w:bidi w:val="0"/>
        <w:spacing w:after="0" w:afterLines="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4.我方理解贵方将不受你们所收到的最低报价的约束。</w:t>
      </w:r>
    </w:p>
    <w:p w14:paraId="54772F61">
      <w:pPr>
        <w:pStyle w:val="15"/>
        <w:keepNext w:val="0"/>
        <w:keepLines w:val="0"/>
        <w:pageBreakBefore w:val="0"/>
        <w:tabs>
          <w:tab w:val="clear" w:pos="1697"/>
        </w:tabs>
        <w:kinsoku/>
        <w:wordWrap/>
        <w:overflowPunct/>
        <w:topLinePunct w:val="0"/>
        <w:autoSpaceDE/>
        <w:autoSpaceDN/>
        <w:bidi w:val="0"/>
        <w:spacing w:after="0" w:afterLines="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5.本投标自开标之日（投标截止之日）起90天内有效。</w:t>
      </w:r>
    </w:p>
    <w:p w14:paraId="7759801F">
      <w:pPr>
        <w:pStyle w:val="400"/>
        <w:keepNext w:val="0"/>
        <w:keepLines w:val="0"/>
        <w:pageBreakBefore w:val="0"/>
        <w:kinsoku/>
        <w:wordWrap/>
        <w:overflowPunct/>
        <w:topLinePunct w:val="0"/>
        <w:autoSpaceDE/>
        <w:autoSpaceDN/>
        <w:bidi w:val="0"/>
        <w:spacing w:after="0" w:afterLines="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5ECB26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a)提供虚假材料谋取中标、成交的；</w:t>
      </w:r>
    </w:p>
    <w:p w14:paraId="6494880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b)采取不正当手段诋毁、排挤其他供应商的；</w:t>
      </w:r>
    </w:p>
    <w:p w14:paraId="6290442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c)与采购人、其它供应商或者采购代理机构恶意串通的；</w:t>
      </w:r>
    </w:p>
    <w:p w14:paraId="656096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d)向采购人、采购代理机构行贿或者提供其他不正当利益的；</w:t>
      </w:r>
    </w:p>
    <w:p w14:paraId="4BE1C03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e)在招标采购过程中与采购人进行协商谈判的；</w:t>
      </w:r>
    </w:p>
    <w:p w14:paraId="57077F4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f)拒绝有关部门监督检查或提供虚假情况的。</w:t>
      </w:r>
    </w:p>
    <w:p w14:paraId="5BDF5FB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供应商有前款第a)至e)项情形之一的，中标、成交无效。</w:t>
      </w:r>
    </w:p>
    <w:p w14:paraId="2783B3B6">
      <w:pPr>
        <w:pStyle w:val="400"/>
        <w:keepNext w:val="0"/>
        <w:keepLines w:val="0"/>
        <w:pageBreakBefore w:val="0"/>
        <w:kinsoku/>
        <w:wordWrap/>
        <w:overflowPunct/>
        <w:topLinePunct w:val="0"/>
        <w:autoSpaceDE/>
        <w:autoSpaceDN/>
        <w:bidi w:val="0"/>
        <w:spacing w:after="0" w:afterLines="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地址：　　　　　　　　　　　　　　　邮政编码：</w:t>
      </w:r>
    </w:p>
    <w:p w14:paraId="5A873F4A">
      <w:pPr>
        <w:pStyle w:val="400"/>
        <w:keepNext w:val="0"/>
        <w:keepLines w:val="0"/>
        <w:pageBreakBefore w:val="0"/>
        <w:kinsoku/>
        <w:wordWrap/>
        <w:overflowPunct/>
        <w:topLinePunct w:val="0"/>
        <w:autoSpaceDE/>
        <w:autoSpaceDN/>
        <w:bidi w:val="0"/>
        <w:spacing w:after="0" w:afterLines="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                              传真：</w:t>
      </w:r>
    </w:p>
    <w:p w14:paraId="73F77834">
      <w:pPr>
        <w:pStyle w:val="400"/>
        <w:keepNext w:val="0"/>
        <w:keepLines w:val="0"/>
        <w:pageBreakBefore w:val="0"/>
        <w:kinsoku/>
        <w:wordWrap/>
        <w:overflowPunct/>
        <w:topLinePunct w:val="0"/>
        <w:autoSpaceDE/>
        <w:autoSpaceDN/>
        <w:bidi w:val="0"/>
        <w:spacing w:after="0" w:afterLines="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开户银行：                          帐号：</w:t>
      </w:r>
    </w:p>
    <w:p w14:paraId="03BE0AE2">
      <w:pPr>
        <w:pStyle w:val="400"/>
        <w:keepNext w:val="0"/>
        <w:keepLines w:val="0"/>
        <w:pageBreakBefore w:val="0"/>
        <w:kinsoku/>
        <w:wordWrap/>
        <w:overflowPunct/>
        <w:topLinePunct w:val="0"/>
        <w:autoSpaceDE/>
        <w:autoSpaceDN/>
        <w:bidi w:val="0"/>
        <w:spacing w:after="0" w:afterLines="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法定代表人或其授权代表(签字或盖章)：</w:t>
      </w:r>
    </w:p>
    <w:p w14:paraId="0DDC11F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p>
    <w:p w14:paraId="3768385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投标人(电子签章)：　　　　　　　　　日期：  </w:t>
      </w:r>
    </w:p>
    <w:p w14:paraId="6F85A176">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二</w:t>
      </w: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p>
    <w:p w14:paraId="0674FA1A">
      <w:pPr>
        <w:jc w:val="center"/>
        <w:rPr>
          <w:rFonts w:hint="eastAsia" w:ascii="仿宋" w:hAnsi="仿宋" w:eastAsia="仿宋" w:cs="仿宋"/>
          <w:b/>
          <w:color w:val="000000" w:themeColor="text1"/>
          <w:sz w:val="24"/>
          <w:highlight w:val="none"/>
          <w14:textFill>
            <w14:solidFill>
              <w14:schemeClr w14:val="tx1"/>
            </w14:solidFill>
          </w14:textFill>
        </w:rPr>
      </w:pPr>
    </w:p>
    <w:p w14:paraId="1521D74F">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6AC06471">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48675893">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63699E5B">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08FE9E80">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4F3190B4">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350941FD">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71F678FC">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213B06C0">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48DD833D">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2CD16E14">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46AC8A6E">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14:paraId="5B7231A3">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41A99D41">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72A4AD48">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14:paraId="388C2BCB">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2035030B">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56B53581">
      <w:pPr>
        <w:ind w:firstLine="5280" w:firstLineChars="2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2DB14E39">
      <w:pPr>
        <w:ind w:firstLine="4920" w:firstLineChars="2050"/>
        <w:jc w:val="left"/>
        <w:rPr>
          <w:rFonts w:hint="eastAsia" w:ascii="仿宋" w:hAnsi="仿宋" w:eastAsia="仿宋" w:cs="仿宋"/>
          <w:color w:val="000000" w:themeColor="text1"/>
          <w:sz w:val="24"/>
          <w:highlight w:val="none"/>
          <w14:textFill>
            <w14:solidFill>
              <w14:schemeClr w14:val="tx1"/>
            </w14:solidFill>
          </w14:textFill>
        </w:rPr>
      </w:pPr>
    </w:p>
    <w:p w14:paraId="4DAC015E">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27D9E5CE">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6F36803B">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三</w:t>
      </w:r>
      <w:r>
        <w:rPr>
          <w:rFonts w:hint="eastAsia" w:ascii="仿宋" w:hAnsi="仿宋" w:eastAsia="仿宋" w:cs="仿宋"/>
          <w:b/>
          <w:color w:val="000000" w:themeColor="text1"/>
          <w:sz w:val="30"/>
          <w:szCs w:val="30"/>
          <w:highlight w:val="none"/>
          <w14:textFill>
            <w14:solidFill>
              <w14:schemeClr w14:val="tx1"/>
            </w14:solidFill>
          </w14:textFill>
        </w:rPr>
        <w:t>、法定代表人及其授权代表身份证复印件（正反面）</w:t>
      </w:r>
    </w:p>
    <w:p w14:paraId="0F258208">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21F640BD">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23D5F2C0">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四</w:t>
      </w:r>
      <w:r>
        <w:rPr>
          <w:rFonts w:hint="eastAsia" w:ascii="仿宋" w:hAnsi="仿宋" w:eastAsia="仿宋" w:cs="仿宋"/>
          <w:b/>
          <w:color w:val="000000" w:themeColor="text1"/>
          <w:sz w:val="30"/>
          <w:szCs w:val="30"/>
          <w:highlight w:val="none"/>
          <w14:textFill>
            <w14:solidFill>
              <w14:schemeClr w14:val="tx1"/>
            </w14:solidFill>
          </w14:textFill>
        </w:rPr>
        <w:t>、法定代表人身份证明书(格式)</w:t>
      </w:r>
    </w:p>
    <w:p w14:paraId="37198EC3">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C57CEA1">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9221F77">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261D931">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2420FBA">
      <w:pPr>
        <w:spacing w:line="440" w:lineRule="exact"/>
        <w:ind w:right="281" w:rightChars="134"/>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7C3FA15">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14:paraId="2C55FE2D">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2345A769">
      <w:pPr>
        <w:spacing w:line="440" w:lineRule="exact"/>
        <w:rPr>
          <w:rFonts w:hint="eastAsia" w:ascii="仿宋" w:hAnsi="仿宋" w:eastAsia="仿宋" w:cs="仿宋"/>
          <w:color w:val="000000" w:themeColor="text1"/>
          <w:sz w:val="24"/>
          <w:highlight w:val="none"/>
          <w14:textFill>
            <w14:solidFill>
              <w14:schemeClr w14:val="tx1"/>
            </w14:solidFill>
          </w14:textFill>
        </w:rPr>
      </w:pPr>
    </w:p>
    <w:p w14:paraId="0A442077">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color w:val="000000" w:themeColor="text1"/>
          <w:sz w:val="24"/>
          <w:highlight w:val="none"/>
          <w:lang w:eastAsia="zh-CN"/>
          <w14:textFill>
            <w14:solidFill>
              <w14:schemeClr w14:val="tx1"/>
            </w14:solidFill>
          </w14:textFill>
        </w:rPr>
        <w:t>名称</w:t>
      </w:r>
      <w:r>
        <w:rPr>
          <w:rFonts w:hint="eastAsia" w:ascii="仿宋" w:hAnsi="仿宋" w:eastAsia="仿宋" w:cs="仿宋"/>
          <w:color w:val="000000" w:themeColor="text1"/>
          <w:sz w:val="24"/>
          <w:highlight w:val="none"/>
          <w14:textFill>
            <w14:solidFill>
              <w14:schemeClr w14:val="tx1"/>
            </w14:solidFill>
          </w14:textFill>
        </w:rPr>
        <w:t>：                             （电子签章）</w:t>
      </w:r>
    </w:p>
    <w:p w14:paraId="4A3EFF9E">
      <w:pPr>
        <w:spacing w:line="440" w:lineRule="exact"/>
        <w:ind w:right="480"/>
        <w:rPr>
          <w:rFonts w:hint="eastAsia" w:ascii="仿宋" w:hAnsi="仿宋" w:eastAsia="仿宋" w:cs="仿宋"/>
          <w:color w:val="000000" w:themeColor="text1"/>
          <w:sz w:val="24"/>
          <w:highlight w:val="none"/>
          <w14:textFill>
            <w14:solidFill>
              <w14:schemeClr w14:val="tx1"/>
            </w14:solidFill>
          </w14:textFill>
        </w:rPr>
      </w:pPr>
    </w:p>
    <w:p w14:paraId="4B6FBA91">
      <w:pPr>
        <w:spacing w:line="440" w:lineRule="exact"/>
        <w:ind w:right="72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14:paraId="3E5DFAF4">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785A690">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11296C4">
      <w:pPr>
        <w:pStyle w:val="26"/>
        <w:rPr>
          <w:rFonts w:hint="eastAsia" w:ascii="仿宋" w:hAnsi="仿宋" w:eastAsia="仿宋" w:cs="仿宋"/>
          <w:color w:val="000000" w:themeColor="text1"/>
          <w:highlight w:val="none"/>
          <w14:textFill>
            <w14:solidFill>
              <w14:schemeClr w14:val="tx1"/>
            </w14:solidFill>
          </w14:textFill>
        </w:rPr>
      </w:pPr>
    </w:p>
    <w:p w14:paraId="43BF740D">
      <w:pPr>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2E17AC82">
      <w:pPr>
        <w:rPr>
          <w:rFonts w:hint="eastAsia" w:ascii="仿宋" w:hAnsi="仿宋" w:eastAsia="仿宋" w:cs="仿宋"/>
          <w:b/>
          <w:color w:val="000000" w:themeColor="text1"/>
          <w:kern w:val="0"/>
          <w:sz w:val="32"/>
          <w:szCs w:val="32"/>
          <w:highlight w:val="none"/>
          <w:lang w:eastAsia="zh-CN"/>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br w:type="page"/>
      </w:r>
    </w:p>
    <w:p w14:paraId="3FE961BC">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eastAsia="zh-CN"/>
          <w14:textFill>
            <w14:solidFill>
              <w14:schemeClr w14:val="tx1"/>
            </w14:solidFill>
          </w14:textFill>
        </w:rPr>
        <w:t>技术响应偏离表</w:t>
      </w:r>
    </w:p>
    <w:p w14:paraId="7A666B87">
      <w:pPr>
        <w:pStyle w:val="727"/>
        <w:keepNext w:val="0"/>
        <w:keepLines w:val="0"/>
        <w:pBdr>
          <w:top w:val="none" w:color="auto" w:sz="0" w:space="0"/>
          <w:left w:val="none" w:color="auto" w:sz="0" w:space="0"/>
          <w:bottom w:val="none" w:color="auto" w:sz="0" w:space="0"/>
          <w:right w:val="none" w:color="auto" w:sz="0" w:space="0"/>
        </w:pBdr>
        <w:autoSpaceDE w:val="0"/>
        <w:autoSpaceDN w:val="0"/>
        <w:spacing w:before="0" w:after="0" w:line="240" w:lineRule="auto"/>
        <w:ind w:left="0" w:leftChars="0" w:firstLine="0" w:firstLineChars="0"/>
        <w:jc w:val="both"/>
        <w:outlineLvl w:val="9"/>
        <w:rPr>
          <w:rFonts w:hint="eastAsia" w:ascii="仿宋" w:hAnsi="仿宋" w:eastAsia="仿宋" w:cs="仿宋"/>
          <w:b w:val="0"/>
          <w:bCs w:val="0"/>
          <w:color w:val="000000" w:themeColor="text1"/>
          <w:sz w:val="24"/>
          <w:szCs w:val="24"/>
          <w14:textFill>
            <w14:solidFill>
              <w14:schemeClr w14:val="tx1"/>
            </w14:solidFill>
          </w14:textFill>
        </w:rPr>
      </w:pPr>
      <w:bookmarkStart w:id="39" w:name="_Toc23415"/>
      <w:bookmarkStart w:id="40" w:name="_Toc8247"/>
      <w:bookmarkStart w:id="41" w:name="_Toc476645124"/>
      <w:r>
        <w:rPr>
          <w:rFonts w:hint="eastAsia" w:ascii="仿宋" w:hAnsi="仿宋" w:eastAsia="仿宋" w:cs="仿宋"/>
          <w:b w:val="0"/>
          <w:bCs w:val="0"/>
          <w:color w:val="000000" w:themeColor="text1"/>
          <w:sz w:val="24"/>
          <w:szCs w:val="24"/>
          <w14:textFill>
            <w14:solidFill>
              <w14:schemeClr w14:val="tx1"/>
            </w14:solidFill>
          </w14:textFill>
        </w:rPr>
        <w:t>项目名称：</w:t>
      </w:r>
      <w:bookmarkEnd w:id="39"/>
      <w:bookmarkEnd w:id="40"/>
      <w:bookmarkEnd w:id="41"/>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2249"/>
        <w:gridCol w:w="1529"/>
        <w:gridCol w:w="1529"/>
        <w:gridCol w:w="1530"/>
        <w:gridCol w:w="1530"/>
      </w:tblGrid>
      <w:tr w14:paraId="5BF8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2156C82C">
            <w:pPr>
              <w:pStyle w:val="25"/>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2297" w:type="dxa"/>
            <w:vAlign w:val="center"/>
          </w:tcPr>
          <w:p w14:paraId="051D3D4A">
            <w:pPr>
              <w:pStyle w:val="25"/>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名称</w:t>
            </w:r>
          </w:p>
        </w:tc>
        <w:tc>
          <w:tcPr>
            <w:tcW w:w="1557" w:type="dxa"/>
            <w:vAlign w:val="center"/>
          </w:tcPr>
          <w:p w14:paraId="6660D4FA">
            <w:pPr>
              <w:pStyle w:val="25"/>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招标文件参数规格要求</w:t>
            </w:r>
          </w:p>
        </w:tc>
        <w:tc>
          <w:tcPr>
            <w:tcW w:w="1557" w:type="dxa"/>
            <w:vAlign w:val="center"/>
          </w:tcPr>
          <w:p w14:paraId="3A5CB6F2">
            <w:pPr>
              <w:pStyle w:val="25"/>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投标人响应详细内容</w:t>
            </w:r>
          </w:p>
        </w:tc>
        <w:tc>
          <w:tcPr>
            <w:tcW w:w="1558" w:type="dxa"/>
            <w:vAlign w:val="center"/>
          </w:tcPr>
          <w:p w14:paraId="55C18ABB">
            <w:pPr>
              <w:pStyle w:val="25"/>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无/</w:t>
            </w:r>
            <w:r>
              <w:rPr>
                <w:rFonts w:hint="eastAsia" w:ascii="仿宋" w:hAnsi="仿宋" w:eastAsia="仿宋" w:cs="仿宋"/>
                <w:color w:val="000000" w:themeColor="text1"/>
                <w:sz w:val="24"/>
                <w:szCs w:val="24"/>
                <w14:textFill>
                  <w14:solidFill>
                    <w14:schemeClr w14:val="tx1"/>
                  </w14:solidFill>
                </w14:textFill>
              </w:rPr>
              <w:t>正/</w:t>
            </w:r>
          </w:p>
          <w:p w14:paraId="7B07C31B">
            <w:pPr>
              <w:pStyle w:val="25"/>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负偏离</w:t>
            </w:r>
          </w:p>
        </w:tc>
        <w:tc>
          <w:tcPr>
            <w:tcW w:w="1558" w:type="dxa"/>
            <w:vAlign w:val="center"/>
          </w:tcPr>
          <w:p w14:paraId="5BD693A7">
            <w:pPr>
              <w:pStyle w:val="25"/>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偏离说明</w:t>
            </w:r>
          </w:p>
        </w:tc>
      </w:tr>
      <w:tr w14:paraId="3233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7740EDDD">
            <w:pPr>
              <w:widowControl w:val="0"/>
              <w:autoSpaceDE w:val="0"/>
              <w:autoSpaceDN w:val="0"/>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p>
        </w:tc>
        <w:tc>
          <w:tcPr>
            <w:tcW w:w="2297" w:type="dxa"/>
          </w:tcPr>
          <w:p w14:paraId="4BE96687">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71C656AC">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089A9CE4">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5DD4DCAB">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6CF7778E">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r>
      <w:tr w14:paraId="57D2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71B07F32">
            <w:pPr>
              <w:widowControl w:val="0"/>
              <w:autoSpaceDE w:val="0"/>
              <w:autoSpaceDN w:val="0"/>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p>
        </w:tc>
        <w:tc>
          <w:tcPr>
            <w:tcW w:w="2297" w:type="dxa"/>
          </w:tcPr>
          <w:p w14:paraId="616C3848">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68EF63A8">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67281794">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26749979">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4137DEE2">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r>
      <w:tr w14:paraId="004E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39E4F955">
            <w:pPr>
              <w:widowControl w:val="0"/>
              <w:autoSpaceDE w:val="0"/>
              <w:autoSpaceDN w:val="0"/>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p>
        </w:tc>
        <w:tc>
          <w:tcPr>
            <w:tcW w:w="2297" w:type="dxa"/>
          </w:tcPr>
          <w:p w14:paraId="41784D6C">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1449C129">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387FD9CF">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4802D912">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638D45D4">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r>
      <w:tr w14:paraId="146A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0512A7D2">
            <w:pPr>
              <w:widowControl w:val="0"/>
              <w:autoSpaceDE w:val="0"/>
              <w:autoSpaceDN w:val="0"/>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w:t>
            </w:r>
          </w:p>
        </w:tc>
        <w:tc>
          <w:tcPr>
            <w:tcW w:w="2297" w:type="dxa"/>
          </w:tcPr>
          <w:p w14:paraId="6ACD91A6">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42B9D947">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1798D06E">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681E0C30">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41F6F3BC">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r>
      <w:tr w14:paraId="0F68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679548C1">
            <w:pPr>
              <w:widowControl w:val="0"/>
              <w:autoSpaceDE w:val="0"/>
              <w:autoSpaceDN w:val="0"/>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w:t>
            </w:r>
          </w:p>
        </w:tc>
        <w:tc>
          <w:tcPr>
            <w:tcW w:w="2297" w:type="dxa"/>
          </w:tcPr>
          <w:p w14:paraId="5C561BFB">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429354F2">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387871C3">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266D4F1E">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3B6B2DE7">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r>
      <w:tr w14:paraId="2460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4FD282AE">
            <w:pPr>
              <w:widowControl w:val="0"/>
              <w:autoSpaceDE w:val="0"/>
              <w:autoSpaceDN w:val="0"/>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w:t>
            </w:r>
          </w:p>
        </w:tc>
        <w:tc>
          <w:tcPr>
            <w:tcW w:w="2297" w:type="dxa"/>
          </w:tcPr>
          <w:p w14:paraId="273E9D7B">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6ADEF57C">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56232DB9">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16C9BAC8">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381855AC">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r>
      <w:tr w14:paraId="5C93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160174A9">
            <w:pPr>
              <w:widowControl w:val="0"/>
              <w:autoSpaceDE w:val="0"/>
              <w:autoSpaceDN w:val="0"/>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w:t>
            </w:r>
          </w:p>
        </w:tc>
        <w:tc>
          <w:tcPr>
            <w:tcW w:w="2297" w:type="dxa"/>
          </w:tcPr>
          <w:p w14:paraId="6EC93809">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442066F2">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3BF0E896">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724F5FA7">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3FC5610C">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r>
      <w:tr w14:paraId="6292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2C506467">
            <w:pPr>
              <w:widowControl w:val="0"/>
              <w:autoSpaceDE w:val="0"/>
              <w:autoSpaceDN w:val="0"/>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w:t>
            </w:r>
          </w:p>
        </w:tc>
        <w:tc>
          <w:tcPr>
            <w:tcW w:w="2297" w:type="dxa"/>
          </w:tcPr>
          <w:p w14:paraId="1B608A3B">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0897110A">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02FB53C4">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21284708">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7E87394F">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r>
      <w:tr w14:paraId="3EB7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0CB83D49">
            <w:pPr>
              <w:widowControl w:val="0"/>
              <w:autoSpaceDE w:val="0"/>
              <w:autoSpaceDN w:val="0"/>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w:t>
            </w:r>
          </w:p>
        </w:tc>
        <w:tc>
          <w:tcPr>
            <w:tcW w:w="2297" w:type="dxa"/>
          </w:tcPr>
          <w:p w14:paraId="25BFEDBD">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0A0D23D7">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70301349">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3D1A138D">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33001D9B">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r>
      <w:tr w14:paraId="737E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10F07FA8">
            <w:pPr>
              <w:widowControl w:val="0"/>
              <w:autoSpaceDE w:val="0"/>
              <w:autoSpaceDN w:val="0"/>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w:t>
            </w:r>
          </w:p>
        </w:tc>
        <w:tc>
          <w:tcPr>
            <w:tcW w:w="2297" w:type="dxa"/>
          </w:tcPr>
          <w:p w14:paraId="73A5F1BB">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2CC501B8">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7" w:type="dxa"/>
          </w:tcPr>
          <w:p w14:paraId="1C0E9D66">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58D51625">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c>
          <w:tcPr>
            <w:tcW w:w="1558" w:type="dxa"/>
          </w:tcPr>
          <w:p w14:paraId="6DE6B766">
            <w:pPr>
              <w:widowControl w:val="0"/>
              <w:autoSpaceDE w:val="0"/>
              <w:autoSpaceDN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p>
        </w:tc>
      </w:tr>
    </w:tbl>
    <w:p w14:paraId="0F7C9BA6">
      <w:pPr>
        <w:spacing w:line="360" w:lineRule="auto"/>
        <w:jc w:val="both"/>
        <w:outlineLvl w:val="0"/>
        <w:rPr>
          <w:rFonts w:hint="eastAsia" w:ascii="仿宋" w:hAnsi="仿宋" w:eastAsia="仿宋" w:cs="仿宋"/>
          <w:b/>
          <w:color w:val="000000" w:themeColor="text1"/>
          <w:kern w:val="0"/>
          <w:sz w:val="36"/>
          <w:szCs w:val="36"/>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注：投标人递交的技术规格书中与招标文件的技术规格书中的要求有不同时，应逐条列在技术偏离表中并作出“</w:t>
      </w:r>
      <w:r>
        <w:rPr>
          <w:rFonts w:hint="eastAsia" w:ascii="仿宋" w:hAnsi="仿宋" w:eastAsia="仿宋" w:cs="仿宋"/>
          <w:b/>
          <w:bCs/>
          <w:color w:val="000000" w:themeColor="text1"/>
          <w:sz w:val="24"/>
          <w:szCs w:val="24"/>
          <w:lang w:val="en-US" w:eastAsia="zh-CN"/>
          <w14:textFill>
            <w14:solidFill>
              <w14:schemeClr w14:val="tx1"/>
            </w14:solidFill>
          </w14:textFill>
        </w:rPr>
        <w:t>无偏离/</w:t>
      </w:r>
      <w:r>
        <w:rPr>
          <w:rFonts w:hint="eastAsia" w:ascii="仿宋" w:hAnsi="仿宋" w:eastAsia="仿宋" w:cs="仿宋"/>
          <w:b/>
          <w:bCs/>
          <w:color w:val="000000" w:themeColor="text1"/>
          <w:sz w:val="24"/>
          <w:szCs w:val="24"/>
          <w14:textFill>
            <w14:solidFill>
              <w14:schemeClr w14:val="tx1"/>
            </w14:solidFill>
          </w14:textFill>
        </w:rPr>
        <w:t>正偏离/负偏离”，同时在说明栏目中具体说明及填写页码，否则将认为投标人接受招标文件的要求。</w:t>
      </w:r>
    </w:p>
    <w:p w14:paraId="48B1C9FE">
      <w:pPr>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br w:type="page"/>
      </w:r>
    </w:p>
    <w:p w14:paraId="7C0B530A">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322687E7">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4D7BABAC">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1959BE82">
      <w:pPr>
        <w:pStyle w:val="26"/>
        <w:numPr>
          <w:ilvl w:val="0"/>
          <w:numId w:val="0"/>
        </w:num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开标一览表（报价表）………………………………………………………（页码）</w:t>
      </w:r>
    </w:p>
    <w:p w14:paraId="127A5664">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2D0BE7A">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BD779DD">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8B277BF">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9DBDA22">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3681878">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6679B23">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7F6CD94">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80AA3B4">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77AADBA">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2257685">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FDCF09A">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8D87042">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DECE457">
      <w:pPr>
        <w:snapToGrid w:val="0"/>
        <w:spacing w:line="360" w:lineRule="auto"/>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07BDD3F9">
      <w:pPr>
        <w:pStyle w:val="696"/>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footerReference r:id="rId8" w:type="first"/>
          <w:footerReference r:id="rId7" w:type="default"/>
          <w:pgSz w:w="11906" w:h="16838"/>
          <w:pgMar w:top="1276" w:right="1474" w:bottom="1247" w:left="1474" w:header="851" w:footer="992" w:gutter="0"/>
          <w:pgBorders>
            <w:top w:val="none" w:sz="0" w:space="0"/>
            <w:left w:val="none" w:sz="0" w:space="0"/>
            <w:bottom w:val="none" w:sz="0" w:space="0"/>
            <w:right w:val="none" w:sz="0" w:space="0"/>
          </w:pgBorders>
          <w:pgNumType w:fmt="decimal" w:start="1"/>
          <w:cols w:space="720" w:num="1"/>
          <w:docGrid w:linePitch="312" w:charSpace="0"/>
        </w:sectPr>
      </w:pPr>
    </w:p>
    <w:p w14:paraId="33E7C902">
      <w:pPr>
        <w:pStyle w:val="696"/>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14:paraId="7859CAB6">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94459B9">
      <w:pPr>
        <w:snapToGrid w:val="0"/>
        <w:spacing w:line="360" w:lineRule="auto"/>
        <w:ind w:firstLine="482"/>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lang w:eastAsia="zh-CN"/>
          <w14:textFill>
            <w14:solidFill>
              <w14:schemeClr w14:val="tx1"/>
            </w14:solidFill>
          </w14:textFill>
        </w:rPr>
        <w:t>（项目名称）</w:t>
      </w:r>
      <w:r>
        <w:rPr>
          <w:rFonts w:hint="eastAsia"/>
          <w:color w:val="000000" w:themeColor="text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【项目编号：</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CD49297">
      <w:pPr>
        <w:spacing w:line="360" w:lineRule="auto"/>
        <w:jc w:val="right"/>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开标一览表（报价表）(单位均为人民币元)</w:t>
      </w:r>
    </w:p>
    <w:tbl>
      <w:tblPr>
        <w:tblStyle w:val="63"/>
        <w:tblpPr w:leftFromText="180" w:rightFromText="180" w:vertAnchor="text" w:horzAnchor="page" w:tblpX="1551" w:tblpY="18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843"/>
        <w:gridCol w:w="2892"/>
        <w:gridCol w:w="1833"/>
        <w:gridCol w:w="1165"/>
        <w:gridCol w:w="1546"/>
        <w:gridCol w:w="1549"/>
        <w:gridCol w:w="1692"/>
      </w:tblGrid>
      <w:tr w14:paraId="56FE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1546" w:type="dxa"/>
            <w:vAlign w:val="center"/>
          </w:tcPr>
          <w:p w14:paraId="63AE1D8C">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r>
              <w:rPr>
                <w:rFonts w:hint="eastAsia" w:ascii="仿宋" w:hAnsi="仿宋" w:eastAsia="仿宋" w:cs="仿宋"/>
                <w:color w:val="000000" w:themeColor="text1"/>
                <w:highlight w:val="none"/>
                <w:vertAlign w:val="baseline"/>
                <w:lang w:val="en-US" w:eastAsia="zh-CN"/>
                <w14:textFill>
                  <w14:solidFill>
                    <w14:schemeClr w14:val="tx1"/>
                  </w14:solidFill>
                </w14:textFill>
              </w:rPr>
              <w:t>序号</w:t>
            </w:r>
          </w:p>
        </w:tc>
        <w:tc>
          <w:tcPr>
            <w:tcW w:w="1843" w:type="dxa"/>
            <w:vAlign w:val="center"/>
          </w:tcPr>
          <w:p w14:paraId="184EDC17">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r>
              <w:rPr>
                <w:rFonts w:hint="eastAsia" w:ascii="仿宋" w:hAnsi="仿宋" w:eastAsia="仿宋" w:cs="仿宋"/>
                <w:color w:val="000000" w:themeColor="text1"/>
                <w:highlight w:val="none"/>
                <w:vertAlign w:val="baseline"/>
                <w:lang w:val="en-US" w:eastAsia="zh-CN"/>
                <w14:textFill>
                  <w14:solidFill>
                    <w14:schemeClr w14:val="tx1"/>
                  </w14:solidFill>
                </w14:textFill>
              </w:rPr>
              <w:t>名称</w:t>
            </w:r>
          </w:p>
        </w:tc>
        <w:tc>
          <w:tcPr>
            <w:tcW w:w="2892" w:type="dxa"/>
            <w:vAlign w:val="center"/>
          </w:tcPr>
          <w:p w14:paraId="7E7F5A76">
            <w:pPr>
              <w:jc w:val="center"/>
              <w:rPr>
                <w:rFonts w:hint="default" w:ascii="仿宋" w:hAnsi="仿宋" w:eastAsia="仿宋" w:cs="仿宋"/>
                <w:color w:val="000000" w:themeColor="text1"/>
                <w:highlight w:val="none"/>
                <w:vertAlign w:val="baseli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规格及参数</w:t>
            </w:r>
          </w:p>
        </w:tc>
        <w:tc>
          <w:tcPr>
            <w:tcW w:w="1833" w:type="dxa"/>
            <w:vAlign w:val="center"/>
          </w:tcPr>
          <w:p w14:paraId="59C4EE9D">
            <w:pPr>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品牌</w:t>
            </w:r>
            <w:r>
              <w:rPr>
                <w:rFonts w:hint="eastAsia" w:ascii="仿宋" w:hAnsi="仿宋" w:eastAsia="仿宋" w:cs="仿宋"/>
                <w:color w:val="000000" w:themeColor="text1"/>
                <w:szCs w:val="21"/>
                <w:highlight w:val="none"/>
                <w:lang w:val="en-US"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型号</w:t>
            </w:r>
          </w:p>
        </w:tc>
        <w:tc>
          <w:tcPr>
            <w:tcW w:w="1165" w:type="dxa"/>
            <w:vAlign w:val="center"/>
          </w:tcPr>
          <w:p w14:paraId="639B90FA">
            <w:pPr>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数量</w:t>
            </w:r>
          </w:p>
        </w:tc>
        <w:tc>
          <w:tcPr>
            <w:tcW w:w="1546" w:type="dxa"/>
            <w:vAlign w:val="center"/>
          </w:tcPr>
          <w:p w14:paraId="3CB41D42">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r>
              <w:rPr>
                <w:rFonts w:hint="eastAsia" w:ascii="仿宋" w:hAnsi="仿宋" w:eastAsia="仿宋" w:cs="仿宋"/>
                <w:color w:val="000000" w:themeColor="text1"/>
                <w:highlight w:val="none"/>
                <w:vertAlign w:val="baseline"/>
                <w:lang w:val="en-US" w:eastAsia="zh-CN"/>
                <w14:textFill>
                  <w14:solidFill>
                    <w14:schemeClr w14:val="tx1"/>
                  </w14:solidFill>
                </w14:textFill>
              </w:rPr>
              <w:t>单价</w:t>
            </w:r>
          </w:p>
        </w:tc>
        <w:tc>
          <w:tcPr>
            <w:tcW w:w="1549" w:type="dxa"/>
            <w:vAlign w:val="center"/>
          </w:tcPr>
          <w:p w14:paraId="62D47595">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r>
              <w:rPr>
                <w:rFonts w:hint="eastAsia" w:ascii="仿宋" w:hAnsi="仿宋" w:eastAsia="仿宋" w:cs="仿宋"/>
                <w:color w:val="000000" w:themeColor="text1"/>
                <w:highlight w:val="none"/>
                <w:vertAlign w:val="baseline"/>
                <w:lang w:val="en-US" w:eastAsia="zh-CN"/>
                <w14:textFill>
                  <w14:solidFill>
                    <w14:schemeClr w14:val="tx1"/>
                  </w14:solidFill>
                </w14:textFill>
              </w:rPr>
              <w:t>合价（元）</w:t>
            </w:r>
          </w:p>
        </w:tc>
        <w:tc>
          <w:tcPr>
            <w:tcW w:w="1692" w:type="dxa"/>
            <w:vAlign w:val="center"/>
          </w:tcPr>
          <w:p w14:paraId="17FF97D9">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r>
              <w:rPr>
                <w:rFonts w:hint="eastAsia" w:ascii="仿宋" w:hAnsi="仿宋" w:eastAsia="仿宋" w:cs="仿宋"/>
                <w:color w:val="000000" w:themeColor="text1"/>
                <w:highlight w:val="none"/>
                <w:vertAlign w:val="baseline"/>
                <w:lang w:val="en-US" w:eastAsia="zh-CN"/>
                <w14:textFill>
                  <w14:solidFill>
                    <w14:schemeClr w14:val="tx1"/>
                  </w14:solidFill>
                </w14:textFill>
              </w:rPr>
              <w:t>备注</w:t>
            </w:r>
          </w:p>
        </w:tc>
      </w:tr>
      <w:tr w14:paraId="4AF8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6" w:type="dxa"/>
            <w:vAlign w:val="center"/>
          </w:tcPr>
          <w:p w14:paraId="68BAE1A2">
            <w:pPr>
              <w:jc w:val="center"/>
              <w:rPr>
                <w:rFonts w:hint="default" w:ascii="仿宋" w:hAnsi="仿宋" w:eastAsia="仿宋" w:cs="仿宋"/>
                <w:color w:val="000000" w:themeColor="text1"/>
                <w:highlight w:val="none"/>
                <w:vertAlign w:val="baseline"/>
                <w:lang w:val="en-US" w:eastAsia="zh-CN"/>
                <w14:textFill>
                  <w14:solidFill>
                    <w14:schemeClr w14:val="tx1"/>
                  </w14:solidFill>
                </w14:textFill>
              </w:rPr>
            </w:pPr>
          </w:p>
        </w:tc>
        <w:tc>
          <w:tcPr>
            <w:tcW w:w="1843" w:type="dxa"/>
            <w:vAlign w:val="center"/>
          </w:tcPr>
          <w:p w14:paraId="4F14D638">
            <w:pPr>
              <w:jc w:val="center"/>
              <w:rPr>
                <w:rFonts w:hint="default" w:ascii="仿宋" w:hAnsi="仿宋" w:eastAsia="仿宋" w:cs="仿宋"/>
                <w:color w:val="000000" w:themeColor="text1"/>
                <w:highlight w:val="none"/>
                <w:vertAlign w:val="baseline"/>
                <w:lang w:val="en-US" w:eastAsia="zh-CN"/>
                <w14:textFill>
                  <w14:solidFill>
                    <w14:schemeClr w14:val="tx1"/>
                  </w14:solidFill>
                </w14:textFill>
              </w:rPr>
            </w:pPr>
          </w:p>
        </w:tc>
        <w:tc>
          <w:tcPr>
            <w:tcW w:w="2892" w:type="dxa"/>
            <w:vAlign w:val="center"/>
          </w:tcPr>
          <w:p w14:paraId="69081970">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p>
        </w:tc>
        <w:tc>
          <w:tcPr>
            <w:tcW w:w="1833" w:type="dxa"/>
            <w:vAlign w:val="center"/>
          </w:tcPr>
          <w:p w14:paraId="7846D69D">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p>
        </w:tc>
        <w:tc>
          <w:tcPr>
            <w:tcW w:w="1165" w:type="dxa"/>
            <w:vAlign w:val="center"/>
          </w:tcPr>
          <w:p w14:paraId="48094A97">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p>
        </w:tc>
        <w:tc>
          <w:tcPr>
            <w:tcW w:w="1546" w:type="dxa"/>
            <w:vAlign w:val="center"/>
          </w:tcPr>
          <w:p w14:paraId="4D987B8E">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p>
        </w:tc>
        <w:tc>
          <w:tcPr>
            <w:tcW w:w="1549" w:type="dxa"/>
            <w:vAlign w:val="center"/>
          </w:tcPr>
          <w:p w14:paraId="0BF2FA23">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p>
        </w:tc>
        <w:tc>
          <w:tcPr>
            <w:tcW w:w="1692" w:type="dxa"/>
            <w:vAlign w:val="center"/>
          </w:tcPr>
          <w:p w14:paraId="7DAB99CB">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p>
        </w:tc>
      </w:tr>
      <w:tr w14:paraId="6D6E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546" w:type="dxa"/>
          </w:tcPr>
          <w:p w14:paraId="17C18B83">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p>
        </w:tc>
        <w:tc>
          <w:tcPr>
            <w:tcW w:w="1843" w:type="dxa"/>
          </w:tcPr>
          <w:p w14:paraId="3D65F431">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p>
        </w:tc>
        <w:tc>
          <w:tcPr>
            <w:tcW w:w="2892" w:type="dxa"/>
          </w:tcPr>
          <w:p w14:paraId="3E78A1AC">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833" w:type="dxa"/>
          </w:tcPr>
          <w:p w14:paraId="70A4AA20">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165" w:type="dxa"/>
          </w:tcPr>
          <w:p w14:paraId="060D6721">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p>
        </w:tc>
        <w:tc>
          <w:tcPr>
            <w:tcW w:w="1546" w:type="dxa"/>
          </w:tcPr>
          <w:p w14:paraId="07D16071">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9" w:type="dxa"/>
          </w:tcPr>
          <w:p w14:paraId="5ED5D3BE">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692" w:type="dxa"/>
          </w:tcPr>
          <w:p w14:paraId="1E97364F">
            <w:pPr>
              <w:jc w:val="center"/>
              <w:rPr>
                <w:rFonts w:hint="eastAsia" w:ascii="仿宋" w:hAnsi="仿宋" w:eastAsia="仿宋" w:cs="仿宋"/>
                <w:color w:val="000000" w:themeColor="text1"/>
                <w:highlight w:val="none"/>
                <w:vertAlign w:val="baseline"/>
                <w14:textFill>
                  <w14:solidFill>
                    <w14:schemeClr w14:val="tx1"/>
                  </w14:solidFill>
                </w14:textFill>
              </w:rPr>
            </w:pPr>
          </w:p>
        </w:tc>
      </w:tr>
      <w:tr w14:paraId="0628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546" w:type="dxa"/>
          </w:tcPr>
          <w:p w14:paraId="73323FF7">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p>
        </w:tc>
        <w:tc>
          <w:tcPr>
            <w:tcW w:w="1843" w:type="dxa"/>
          </w:tcPr>
          <w:p w14:paraId="3A8BAC72">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p>
        </w:tc>
        <w:tc>
          <w:tcPr>
            <w:tcW w:w="2892" w:type="dxa"/>
          </w:tcPr>
          <w:p w14:paraId="40C0F43F">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833" w:type="dxa"/>
          </w:tcPr>
          <w:p w14:paraId="42DF8702">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165" w:type="dxa"/>
          </w:tcPr>
          <w:p w14:paraId="499A2148">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6" w:type="dxa"/>
          </w:tcPr>
          <w:p w14:paraId="037CD6EB">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9" w:type="dxa"/>
          </w:tcPr>
          <w:p w14:paraId="2BB39C97">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692" w:type="dxa"/>
          </w:tcPr>
          <w:p w14:paraId="4007D4D4">
            <w:pPr>
              <w:jc w:val="center"/>
              <w:rPr>
                <w:rFonts w:hint="eastAsia" w:ascii="仿宋" w:hAnsi="仿宋" w:eastAsia="仿宋" w:cs="仿宋"/>
                <w:color w:val="000000" w:themeColor="text1"/>
                <w:highlight w:val="none"/>
                <w:vertAlign w:val="baseline"/>
                <w14:textFill>
                  <w14:solidFill>
                    <w14:schemeClr w14:val="tx1"/>
                  </w14:solidFill>
                </w14:textFill>
              </w:rPr>
            </w:pPr>
          </w:p>
        </w:tc>
      </w:tr>
      <w:tr w14:paraId="0E90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546" w:type="dxa"/>
          </w:tcPr>
          <w:p w14:paraId="00C81F21">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p>
        </w:tc>
        <w:tc>
          <w:tcPr>
            <w:tcW w:w="1843" w:type="dxa"/>
          </w:tcPr>
          <w:p w14:paraId="7A4AE65B">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2892" w:type="dxa"/>
          </w:tcPr>
          <w:p w14:paraId="70FEE747">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833" w:type="dxa"/>
          </w:tcPr>
          <w:p w14:paraId="50AB0672">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165" w:type="dxa"/>
          </w:tcPr>
          <w:p w14:paraId="3C1FF302">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6" w:type="dxa"/>
          </w:tcPr>
          <w:p w14:paraId="0F5C6085">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9" w:type="dxa"/>
          </w:tcPr>
          <w:p w14:paraId="3D5F1F94">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692" w:type="dxa"/>
          </w:tcPr>
          <w:p w14:paraId="46584361">
            <w:pPr>
              <w:jc w:val="center"/>
              <w:rPr>
                <w:rFonts w:hint="eastAsia" w:ascii="仿宋" w:hAnsi="仿宋" w:eastAsia="仿宋" w:cs="仿宋"/>
                <w:color w:val="000000" w:themeColor="text1"/>
                <w:highlight w:val="none"/>
                <w:vertAlign w:val="baseline"/>
                <w14:textFill>
                  <w14:solidFill>
                    <w14:schemeClr w14:val="tx1"/>
                  </w14:solidFill>
                </w14:textFill>
              </w:rPr>
            </w:pPr>
          </w:p>
        </w:tc>
      </w:tr>
      <w:tr w14:paraId="59B0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546" w:type="dxa"/>
          </w:tcPr>
          <w:p w14:paraId="2DFABA1A">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p>
        </w:tc>
        <w:tc>
          <w:tcPr>
            <w:tcW w:w="1843" w:type="dxa"/>
          </w:tcPr>
          <w:p w14:paraId="1D5B4E65">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2892" w:type="dxa"/>
          </w:tcPr>
          <w:p w14:paraId="1A8C6F64">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833" w:type="dxa"/>
          </w:tcPr>
          <w:p w14:paraId="25E29229">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165" w:type="dxa"/>
          </w:tcPr>
          <w:p w14:paraId="5BBD7BAC">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6" w:type="dxa"/>
          </w:tcPr>
          <w:p w14:paraId="4B0274F9">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9" w:type="dxa"/>
          </w:tcPr>
          <w:p w14:paraId="6A7C4EDC">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692" w:type="dxa"/>
          </w:tcPr>
          <w:p w14:paraId="63BFE4CA">
            <w:pPr>
              <w:jc w:val="center"/>
              <w:rPr>
                <w:rFonts w:hint="eastAsia" w:ascii="仿宋" w:hAnsi="仿宋" w:eastAsia="仿宋" w:cs="仿宋"/>
                <w:color w:val="000000" w:themeColor="text1"/>
                <w:highlight w:val="none"/>
                <w:vertAlign w:val="baseline"/>
                <w14:textFill>
                  <w14:solidFill>
                    <w14:schemeClr w14:val="tx1"/>
                  </w14:solidFill>
                </w14:textFill>
              </w:rPr>
            </w:pPr>
          </w:p>
        </w:tc>
      </w:tr>
      <w:tr w14:paraId="1926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46" w:type="dxa"/>
          </w:tcPr>
          <w:p w14:paraId="58CEDC99">
            <w:pPr>
              <w:jc w:val="center"/>
              <w:rPr>
                <w:rFonts w:hint="eastAsia" w:ascii="仿宋" w:hAnsi="仿宋" w:eastAsia="仿宋" w:cs="仿宋"/>
                <w:color w:val="000000" w:themeColor="text1"/>
                <w:highlight w:val="none"/>
                <w:vertAlign w:val="baseline"/>
                <w:lang w:val="en-US" w:eastAsia="zh-CN"/>
                <w14:textFill>
                  <w14:solidFill>
                    <w14:schemeClr w14:val="tx1"/>
                  </w14:solidFill>
                </w14:textFill>
              </w:rPr>
            </w:pPr>
          </w:p>
        </w:tc>
        <w:tc>
          <w:tcPr>
            <w:tcW w:w="1843" w:type="dxa"/>
          </w:tcPr>
          <w:p w14:paraId="28385ECD">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2892" w:type="dxa"/>
          </w:tcPr>
          <w:p w14:paraId="45C6AD2F">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833" w:type="dxa"/>
          </w:tcPr>
          <w:p w14:paraId="7E3C1A15">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165" w:type="dxa"/>
          </w:tcPr>
          <w:p w14:paraId="571BA8AA">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6" w:type="dxa"/>
          </w:tcPr>
          <w:p w14:paraId="4A2E71D2">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9" w:type="dxa"/>
          </w:tcPr>
          <w:p w14:paraId="52D93AF5">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692" w:type="dxa"/>
          </w:tcPr>
          <w:p w14:paraId="78987207">
            <w:pPr>
              <w:jc w:val="center"/>
              <w:rPr>
                <w:rFonts w:hint="eastAsia" w:ascii="仿宋" w:hAnsi="仿宋" w:eastAsia="仿宋" w:cs="仿宋"/>
                <w:color w:val="000000" w:themeColor="text1"/>
                <w:highlight w:val="none"/>
                <w:vertAlign w:val="baseline"/>
                <w14:textFill>
                  <w14:solidFill>
                    <w14:schemeClr w14:val="tx1"/>
                  </w14:solidFill>
                </w14:textFill>
              </w:rPr>
            </w:pPr>
          </w:p>
        </w:tc>
      </w:tr>
      <w:tr w14:paraId="2F70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546" w:type="dxa"/>
          </w:tcPr>
          <w:p w14:paraId="21CA6E46">
            <w:pPr>
              <w:jc w:val="center"/>
              <w:rPr>
                <w:rFonts w:hint="default" w:ascii="仿宋" w:hAnsi="仿宋" w:eastAsia="仿宋" w:cs="仿宋"/>
                <w:color w:val="000000" w:themeColor="text1"/>
                <w:highlight w:val="none"/>
                <w:vertAlign w:val="baseline"/>
                <w:lang w:val="en-US" w:eastAsia="zh-CN"/>
                <w14:textFill>
                  <w14:solidFill>
                    <w14:schemeClr w14:val="tx1"/>
                  </w14:solidFill>
                </w14:textFill>
              </w:rPr>
            </w:pPr>
          </w:p>
        </w:tc>
        <w:tc>
          <w:tcPr>
            <w:tcW w:w="1843" w:type="dxa"/>
            <w:shd w:val="clear" w:color="auto" w:fill="auto"/>
            <w:vAlign w:val="top"/>
          </w:tcPr>
          <w:p w14:paraId="2D7C7F06">
            <w:pPr>
              <w:jc w:val="center"/>
              <w:rPr>
                <w:rFonts w:hint="default"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2892" w:type="dxa"/>
            <w:shd w:val="clear" w:color="auto" w:fill="auto"/>
            <w:vAlign w:val="top"/>
          </w:tcPr>
          <w:p w14:paraId="0724B1BB">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1833" w:type="dxa"/>
            <w:shd w:val="clear" w:color="auto" w:fill="auto"/>
            <w:vAlign w:val="top"/>
          </w:tcPr>
          <w:p w14:paraId="3E3EEF3F">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1165" w:type="dxa"/>
          </w:tcPr>
          <w:p w14:paraId="7E785D13">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6" w:type="dxa"/>
          </w:tcPr>
          <w:p w14:paraId="0278500A">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9" w:type="dxa"/>
          </w:tcPr>
          <w:p w14:paraId="7D8605D2">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692" w:type="dxa"/>
          </w:tcPr>
          <w:p w14:paraId="47B5A2DF">
            <w:pPr>
              <w:jc w:val="center"/>
              <w:rPr>
                <w:rFonts w:hint="eastAsia" w:ascii="仿宋" w:hAnsi="仿宋" w:eastAsia="仿宋" w:cs="仿宋"/>
                <w:color w:val="000000" w:themeColor="text1"/>
                <w:highlight w:val="none"/>
                <w:vertAlign w:val="baseline"/>
                <w14:textFill>
                  <w14:solidFill>
                    <w14:schemeClr w14:val="tx1"/>
                  </w14:solidFill>
                </w14:textFill>
              </w:rPr>
            </w:pPr>
          </w:p>
        </w:tc>
      </w:tr>
      <w:tr w14:paraId="4A68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546" w:type="dxa"/>
            <w:shd w:val="clear" w:color="auto" w:fill="auto"/>
            <w:vAlign w:val="top"/>
          </w:tcPr>
          <w:p w14:paraId="77EF02B3">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1843" w:type="dxa"/>
            <w:shd w:val="clear" w:color="auto" w:fill="auto"/>
            <w:vAlign w:val="top"/>
          </w:tcPr>
          <w:p w14:paraId="6434A30E">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2892" w:type="dxa"/>
            <w:shd w:val="clear" w:color="auto" w:fill="auto"/>
            <w:vAlign w:val="top"/>
          </w:tcPr>
          <w:p w14:paraId="06CEDE4E">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1833" w:type="dxa"/>
            <w:shd w:val="clear" w:color="auto" w:fill="auto"/>
            <w:vAlign w:val="top"/>
          </w:tcPr>
          <w:p w14:paraId="3A619415">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1165" w:type="dxa"/>
          </w:tcPr>
          <w:p w14:paraId="71E38FEA">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6" w:type="dxa"/>
          </w:tcPr>
          <w:p w14:paraId="5D99BD5D">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9" w:type="dxa"/>
          </w:tcPr>
          <w:p w14:paraId="52901C69">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692" w:type="dxa"/>
          </w:tcPr>
          <w:p w14:paraId="627B2D86">
            <w:pPr>
              <w:jc w:val="center"/>
              <w:rPr>
                <w:rFonts w:hint="eastAsia" w:ascii="仿宋" w:hAnsi="仿宋" w:eastAsia="仿宋" w:cs="仿宋"/>
                <w:color w:val="000000" w:themeColor="text1"/>
                <w:highlight w:val="none"/>
                <w:vertAlign w:val="baseline"/>
                <w14:textFill>
                  <w14:solidFill>
                    <w14:schemeClr w14:val="tx1"/>
                  </w14:solidFill>
                </w14:textFill>
              </w:rPr>
            </w:pPr>
          </w:p>
        </w:tc>
      </w:tr>
      <w:tr w14:paraId="75FB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546" w:type="dxa"/>
            <w:shd w:val="clear" w:color="auto" w:fill="auto"/>
            <w:vAlign w:val="top"/>
          </w:tcPr>
          <w:p w14:paraId="6C631D20">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1843" w:type="dxa"/>
            <w:shd w:val="clear" w:color="auto" w:fill="auto"/>
            <w:vAlign w:val="top"/>
          </w:tcPr>
          <w:p w14:paraId="568DBD76">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2892" w:type="dxa"/>
            <w:shd w:val="clear" w:color="auto" w:fill="auto"/>
            <w:vAlign w:val="top"/>
          </w:tcPr>
          <w:p w14:paraId="5138154F">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1833" w:type="dxa"/>
            <w:shd w:val="clear" w:color="auto" w:fill="auto"/>
            <w:vAlign w:val="top"/>
          </w:tcPr>
          <w:p w14:paraId="307E1CE2">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1165" w:type="dxa"/>
          </w:tcPr>
          <w:p w14:paraId="60E119DB">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6" w:type="dxa"/>
          </w:tcPr>
          <w:p w14:paraId="4B9A7AE3">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9" w:type="dxa"/>
          </w:tcPr>
          <w:p w14:paraId="20DDE9C8">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692" w:type="dxa"/>
          </w:tcPr>
          <w:p w14:paraId="2AF1FD1A">
            <w:pPr>
              <w:jc w:val="center"/>
              <w:rPr>
                <w:rFonts w:hint="eastAsia" w:ascii="仿宋" w:hAnsi="仿宋" w:eastAsia="仿宋" w:cs="仿宋"/>
                <w:color w:val="000000" w:themeColor="text1"/>
                <w:highlight w:val="none"/>
                <w:vertAlign w:val="baseline"/>
                <w14:textFill>
                  <w14:solidFill>
                    <w14:schemeClr w14:val="tx1"/>
                  </w14:solidFill>
                </w14:textFill>
              </w:rPr>
            </w:pPr>
          </w:p>
        </w:tc>
      </w:tr>
      <w:tr w14:paraId="26BD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546" w:type="dxa"/>
            <w:shd w:val="clear" w:color="auto" w:fill="auto"/>
            <w:vAlign w:val="top"/>
          </w:tcPr>
          <w:p w14:paraId="1F401F79">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1843" w:type="dxa"/>
            <w:shd w:val="clear" w:color="auto" w:fill="auto"/>
            <w:vAlign w:val="top"/>
          </w:tcPr>
          <w:p w14:paraId="4FF63CBE">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2892" w:type="dxa"/>
            <w:shd w:val="clear" w:color="auto" w:fill="auto"/>
            <w:vAlign w:val="top"/>
          </w:tcPr>
          <w:p w14:paraId="535BD7FD">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1833" w:type="dxa"/>
            <w:shd w:val="clear" w:color="auto" w:fill="auto"/>
            <w:vAlign w:val="top"/>
          </w:tcPr>
          <w:p w14:paraId="63888F54">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1165" w:type="dxa"/>
          </w:tcPr>
          <w:p w14:paraId="02C9E7BC">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6" w:type="dxa"/>
          </w:tcPr>
          <w:p w14:paraId="74DF697C">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9" w:type="dxa"/>
          </w:tcPr>
          <w:p w14:paraId="581B1103">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692" w:type="dxa"/>
          </w:tcPr>
          <w:p w14:paraId="2BAA56BC">
            <w:pPr>
              <w:jc w:val="center"/>
              <w:rPr>
                <w:rFonts w:hint="eastAsia" w:ascii="仿宋" w:hAnsi="仿宋" w:eastAsia="仿宋" w:cs="仿宋"/>
                <w:color w:val="000000" w:themeColor="text1"/>
                <w:highlight w:val="none"/>
                <w:vertAlign w:val="baseline"/>
                <w14:textFill>
                  <w14:solidFill>
                    <w14:schemeClr w14:val="tx1"/>
                  </w14:solidFill>
                </w14:textFill>
              </w:rPr>
            </w:pPr>
          </w:p>
        </w:tc>
      </w:tr>
      <w:tr w14:paraId="6653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546" w:type="dxa"/>
            <w:shd w:val="clear" w:color="auto" w:fill="auto"/>
            <w:vAlign w:val="top"/>
          </w:tcPr>
          <w:p w14:paraId="5A1A0257">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1843" w:type="dxa"/>
            <w:shd w:val="clear" w:color="auto" w:fill="auto"/>
            <w:vAlign w:val="top"/>
          </w:tcPr>
          <w:p w14:paraId="5C8CD8B9">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2892" w:type="dxa"/>
            <w:shd w:val="clear" w:color="auto" w:fill="auto"/>
            <w:vAlign w:val="top"/>
          </w:tcPr>
          <w:p w14:paraId="3CEA2351">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1833" w:type="dxa"/>
            <w:shd w:val="clear" w:color="auto" w:fill="auto"/>
            <w:vAlign w:val="top"/>
          </w:tcPr>
          <w:p w14:paraId="0136286F">
            <w:pPr>
              <w:jc w:val="center"/>
              <w:rPr>
                <w:rFonts w:hint="eastAsia"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1165" w:type="dxa"/>
          </w:tcPr>
          <w:p w14:paraId="5A7194DE">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6" w:type="dxa"/>
          </w:tcPr>
          <w:p w14:paraId="0164F534">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549" w:type="dxa"/>
          </w:tcPr>
          <w:p w14:paraId="1C37295D">
            <w:pPr>
              <w:jc w:val="center"/>
              <w:rPr>
                <w:rFonts w:hint="eastAsia" w:ascii="仿宋" w:hAnsi="仿宋" w:eastAsia="仿宋" w:cs="仿宋"/>
                <w:color w:val="000000" w:themeColor="text1"/>
                <w:highlight w:val="none"/>
                <w:vertAlign w:val="baseline"/>
                <w14:textFill>
                  <w14:solidFill>
                    <w14:schemeClr w14:val="tx1"/>
                  </w14:solidFill>
                </w14:textFill>
              </w:rPr>
            </w:pPr>
          </w:p>
        </w:tc>
        <w:tc>
          <w:tcPr>
            <w:tcW w:w="1692" w:type="dxa"/>
          </w:tcPr>
          <w:p w14:paraId="38AEFAC8">
            <w:pPr>
              <w:jc w:val="center"/>
              <w:rPr>
                <w:rFonts w:hint="eastAsia" w:ascii="仿宋" w:hAnsi="仿宋" w:eastAsia="仿宋" w:cs="仿宋"/>
                <w:color w:val="000000" w:themeColor="text1"/>
                <w:highlight w:val="none"/>
                <w:vertAlign w:val="baseline"/>
                <w14:textFill>
                  <w14:solidFill>
                    <w14:schemeClr w14:val="tx1"/>
                  </w14:solidFill>
                </w14:textFill>
              </w:rPr>
            </w:pPr>
          </w:p>
        </w:tc>
      </w:tr>
      <w:tr w14:paraId="4839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546" w:type="dxa"/>
            <w:shd w:val="clear" w:color="auto" w:fill="auto"/>
            <w:vAlign w:val="top"/>
          </w:tcPr>
          <w:p w14:paraId="7B154406">
            <w:pPr>
              <w:jc w:val="center"/>
              <w:rPr>
                <w:rFonts w:hint="default"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1843" w:type="dxa"/>
            <w:shd w:val="clear" w:color="auto" w:fill="auto"/>
            <w:vAlign w:val="top"/>
          </w:tcPr>
          <w:p w14:paraId="6AC85B14">
            <w:pPr>
              <w:jc w:val="center"/>
              <w:rPr>
                <w:rFonts w:hint="default" w:ascii="仿宋" w:hAnsi="仿宋" w:eastAsia="仿宋" w:cs="仿宋"/>
                <w:color w:val="000000" w:themeColor="text1"/>
                <w:kern w:val="2"/>
                <w:sz w:val="21"/>
                <w:szCs w:val="24"/>
                <w:highlight w:val="none"/>
                <w:vertAlign w:val="baseline"/>
                <w:lang w:val="en-US" w:eastAsia="zh-CN" w:bidi="ar-SA"/>
                <w14:textFill>
                  <w14:solidFill>
                    <w14:schemeClr w14:val="tx1"/>
                  </w14:solidFill>
                </w14:textFill>
              </w:rPr>
            </w:pPr>
          </w:p>
        </w:tc>
        <w:tc>
          <w:tcPr>
            <w:tcW w:w="4725" w:type="dxa"/>
            <w:gridSpan w:val="2"/>
            <w:vAlign w:val="center"/>
          </w:tcPr>
          <w:p w14:paraId="38F39AC0">
            <w:pPr>
              <w:jc w:val="center"/>
              <w:rPr>
                <w:rFonts w:hint="default" w:ascii="仿宋" w:hAnsi="仿宋" w:eastAsia="仿宋" w:cs="仿宋"/>
                <w:color w:val="000000" w:themeColor="text1"/>
                <w:highlight w:val="none"/>
                <w:vertAlign w:val="baseline"/>
                <w:lang w:val="en-US" w:eastAsia="zh-CN"/>
                <w14:textFill>
                  <w14:solidFill>
                    <w14:schemeClr w14:val="tx1"/>
                  </w14:solidFill>
                </w14:textFill>
              </w:rPr>
            </w:pPr>
            <w:r>
              <w:rPr>
                <w:rFonts w:hint="eastAsia" w:ascii="仿宋" w:hAnsi="仿宋" w:eastAsia="仿宋" w:cs="仿宋"/>
                <w:color w:val="000000" w:themeColor="text1"/>
                <w:highlight w:val="none"/>
                <w:vertAlign w:val="baseline"/>
                <w:lang w:val="en-US" w:eastAsia="zh-CN"/>
                <w14:textFill>
                  <w14:solidFill>
                    <w14:schemeClr w14:val="tx1"/>
                  </w14:solidFill>
                </w14:textFill>
              </w:rPr>
              <w:t>总价</w:t>
            </w:r>
          </w:p>
        </w:tc>
        <w:tc>
          <w:tcPr>
            <w:tcW w:w="5952" w:type="dxa"/>
            <w:gridSpan w:val="4"/>
            <w:vAlign w:val="center"/>
          </w:tcPr>
          <w:p w14:paraId="059F4A7E">
            <w:pPr>
              <w:jc w:val="both"/>
              <w:rPr>
                <w:rFonts w:hint="eastAsia" w:ascii="仿宋" w:hAnsi="仿宋" w:eastAsia="仿宋" w:cs="仿宋"/>
                <w:color w:val="000000" w:themeColor="text1"/>
                <w:highlight w:val="none"/>
                <w:vertAlign w:val="baseline"/>
                <w:lang w:val="en-US" w:eastAsia="zh-CN"/>
                <w14:textFill>
                  <w14:solidFill>
                    <w14:schemeClr w14:val="tx1"/>
                  </w14:solidFill>
                </w14:textFill>
              </w:rPr>
            </w:pPr>
            <w:r>
              <w:rPr>
                <w:rFonts w:hint="eastAsia" w:ascii="仿宋" w:hAnsi="仿宋" w:eastAsia="仿宋" w:cs="仿宋"/>
                <w:color w:val="000000" w:themeColor="text1"/>
                <w:highlight w:val="none"/>
                <w:vertAlign w:val="baseline"/>
                <w:lang w:val="en-US" w:eastAsia="zh-CN"/>
                <w14:textFill>
                  <w14:solidFill>
                    <w14:schemeClr w14:val="tx1"/>
                  </w14:solidFill>
                </w14:textFill>
              </w:rPr>
              <w:t>小写：</w:t>
            </w:r>
          </w:p>
          <w:p w14:paraId="3DC4A048">
            <w:pPr>
              <w:jc w:val="both"/>
              <w:rPr>
                <w:rFonts w:hint="default" w:ascii="仿宋" w:hAnsi="仿宋" w:eastAsia="仿宋" w:cs="仿宋"/>
                <w:color w:val="000000" w:themeColor="text1"/>
                <w:highlight w:val="none"/>
                <w:vertAlign w:val="baseline"/>
                <w:lang w:val="en-US" w:eastAsia="zh-CN"/>
                <w14:textFill>
                  <w14:solidFill>
                    <w14:schemeClr w14:val="tx1"/>
                  </w14:solidFill>
                </w14:textFill>
              </w:rPr>
            </w:pPr>
            <w:r>
              <w:rPr>
                <w:rFonts w:hint="eastAsia" w:ascii="仿宋" w:hAnsi="仿宋" w:eastAsia="仿宋" w:cs="仿宋"/>
                <w:color w:val="000000" w:themeColor="text1"/>
                <w:highlight w:val="none"/>
                <w:vertAlign w:val="baseline"/>
                <w:lang w:val="en-US" w:eastAsia="zh-CN"/>
                <w14:textFill>
                  <w14:solidFill>
                    <w14:schemeClr w14:val="tx1"/>
                  </w14:solidFill>
                </w14:textFill>
              </w:rPr>
              <w:t>大写：</w:t>
            </w:r>
          </w:p>
        </w:tc>
      </w:tr>
    </w:tbl>
    <w:p w14:paraId="446AEEA2">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p>
    <w:p w14:paraId="11DFF468">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37B46675">
      <w:pPr>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lang w:val="zh-CN"/>
          <w14:textFill>
            <w14:solidFill>
              <w14:schemeClr w14:val="tx1"/>
            </w14:solidFill>
          </w14:textFill>
        </w:rPr>
        <w:t>、有关本项目实施所涉及的一切费用均计入报价。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14:paraId="1AEFE28A">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2</w:t>
      </w:r>
      <w:r>
        <w:rPr>
          <w:rFonts w:hint="eastAsia" w:ascii="仿宋" w:hAnsi="仿宋" w:eastAsia="仿宋" w:cs="仿宋"/>
          <w:color w:val="000000" w:themeColor="text1"/>
          <w:kern w:val="0"/>
          <w:sz w:val="24"/>
          <w:highlight w:val="none"/>
          <w:lang w:val="zh-CN"/>
          <w14:textFill>
            <w14:solidFill>
              <w14:schemeClr w14:val="tx1"/>
            </w14:solidFill>
          </w14:textFill>
        </w:rPr>
        <w:t>、特别提示：采购代理机构将对项目名称和项目编号，中标供应商名称、地址和中标金额，主要中标标的名称、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采购</w:t>
      </w:r>
      <w:r>
        <w:rPr>
          <w:rFonts w:hint="eastAsia" w:ascii="仿宋" w:hAnsi="仿宋" w:eastAsia="仿宋" w:cs="仿宋"/>
          <w:color w:val="000000" w:themeColor="text1"/>
          <w:kern w:val="0"/>
          <w:sz w:val="24"/>
          <w:highlight w:val="none"/>
          <w:lang w:val="zh-CN"/>
          <w14:textFill>
            <w14:solidFill>
              <w14:schemeClr w14:val="tx1"/>
            </w14:solidFill>
          </w14:textFill>
        </w:rPr>
        <w:t>范围等予以公示。</w:t>
      </w:r>
    </w:p>
    <w:p w14:paraId="2097979B">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2"/>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6F08804">
      <w:pPr>
        <w:spacing w:line="360" w:lineRule="auto"/>
        <w:ind w:firstLine="482" w:firstLineChars="200"/>
        <w:rPr>
          <w:rFonts w:hint="eastAsia" w:ascii="仿宋" w:hAnsi="仿宋" w:eastAsia="仿宋" w:cs="仿宋"/>
          <w:b/>
          <w:color w:val="000000" w:themeColor="text1"/>
          <w:kern w:val="0"/>
          <w:sz w:val="24"/>
          <w:highlight w:val="none"/>
          <w14:textFill>
            <w14:solidFill>
              <w14:schemeClr w14:val="tx1"/>
            </w14:solidFill>
          </w14:textFill>
        </w:rPr>
      </w:pPr>
    </w:p>
    <w:p w14:paraId="2A7F864A">
      <w:pPr>
        <w:pStyle w:val="696"/>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14:paraId="3F39A1B9">
      <w:pPr>
        <w:pStyle w:val="696"/>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418" w:right="1247" w:bottom="1418" w:left="1276"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6F2DE5E">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附件</w:t>
      </w:r>
    </w:p>
    <w:p w14:paraId="2FF1C97D">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附件1：质疑函范本及制作说明</w:t>
      </w:r>
    </w:p>
    <w:p w14:paraId="1CA4092A">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1D87B3C3">
      <w:pPr>
        <w:snapToGrid w:val="0"/>
        <w:spacing w:before="240" w:beforeLines="100"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2616319E">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2AF756C">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A02D94D">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277E7F5">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9AF493A">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1162403B">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DE06489">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75D220DA">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88DAAF7">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3D4BF7E">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7B8C700">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F9455C0">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47F74371">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F530C4E">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A468E97">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6B191E2">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C065596">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F7D5501">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3B06B205">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266D9A25">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7A9F672E">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7C91180">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22A81650">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011051EF">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03C9154C">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5817F748">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3C875EFE">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22BF4783">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2B1DA906">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3A535D05">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111BD58E">
      <w:pPr>
        <w:widowControl/>
        <w:spacing w:line="360" w:lineRule="auto"/>
        <w:ind w:firstLine="600" w:firstLineChars="200"/>
        <w:jc w:val="left"/>
        <w:rPr>
          <w:rFonts w:hint="eastAsia" w:ascii="仿宋" w:hAnsi="仿宋" w:eastAsia="仿宋" w:cs="仿宋"/>
          <w:color w:val="000000" w:themeColor="text1"/>
          <w:sz w:val="30"/>
          <w:szCs w:val="30"/>
          <w:highlight w:val="none"/>
          <w14:textFill>
            <w14:solidFill>
              <w14:schemeClr w14:val="tx1"/>
            </w14:solidFill>
          </w14:textFill>
        </w:rPr>
      </w:pPr>
    </w:p>
    <w:p w14:paraId="6BA885D9">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77CECF1">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4F8B4F9">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029214B">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19FD5D7">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0D45BE3">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A1021CD">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B2C155C">
      <w:pPr>
        <w:pStyle w:val="26"/>
        <w:rPr>
          <w:rFonts w:hint="eastAsia" w:ascii="仿宋" w:hAnsi="仿宋" w:eastAsia="仿宋" w:cs="仿宋"/>
          <w:b/>
          <w:color w:val="000000" w:themeColor="text1"/>
          <w:spacing w:val="6"/>
          <w:sz w:val="32"/>
          <w:szCs w:val="32"/>
          <w:highlight w:val="none"/>
          <w14:textFill>
            <w14:solidFill>
              <w14:schemeClr w14:val="tx1"/>
            </w14:solidFill>
          </w14:textFill>
        </w:rPr>
      </w:pPr>
    </w:p>
    <w:p w14:paraId="534DAABC">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1D7DB9F3">
      <w:pPr>
        <w:pStyle w:val="26"/>
        <w:rPr>
          <w:rFonts w:hint="eastAsia" w:ascii="仿宋" w:hAnsi="仿宋" w:eastAsia="仿宋" w:cs="仿宋"/>
          <w:b/>
          <w:color w:val="000000" w:themeColor="text1"/>
          <w:spacing w:val="6"/>
          <w:sz w:val="32"/>
          <w:szCs w:val="32"/>
          <w:highlight w:val="none"/>
          <w14:textFill>
            <w14:solidFill>
              <w14:schemeClr w14:val="tx1"/>
            </w14:solidFill>
          </w14:textFill>
        </w:rPr>
      </w:pPr>
    </w:p>
    <w:p w14:paraId="6F1C2E55">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5D0CAE95">
      <w:pPr>
        <w:pStyle w:val="26"/>
        <w:rPr>
          <w:rFonts w:hint="eastAsia" w:ascii="仿宋" w:hAnsi="仿宋" w:eastAsia="仿宋" w:cs="仿宋"/>
          <w:color w:val="000000" w:themeColor="text1"/>
          <w:highlight w:val="none"/>
          <w14:textFill>
            <w14:solidFill>
              <w14:schemeClr w14:val="tx1"/>
            </w14:solidFill>
          </w14:textFill>
        </w:rPr>
      </w:pPr>
    </w:p>
    <w:p w14:paraId="502129C8">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252B354A">
      <w:pPr>
        <w:pStyle w:val="26"/>
        <w:rPr>
          <w:rFonts w:hint="eastAsia" w:ascii="仿宋" w:hAnsi="仿宋" w:eastAsia="仿宋" w:cs="仿宋"/>
          <w:b/>
          <w:color w:val="000000" w:themeColor="text1"/>
          <w:spacing w:val="6"/>
          <w:sz w:val="32"/>
          <w:szCs w:val="32"/>
          <w:highlight w:val="none"/>
          <w14:textFill>
            <w14:solidFill>
              <w14:schemeClr w14:val="tx1"/>
            </w14:solidFill>
          </w14:textFill>
        </w:rPr>
      </w:pPr>
    </w:p>
    <w:p w14:paraId="1B7008B0">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46831CA0">
      <w:pPr>
        <w:pStyle w:val="26"/>
        <w:rPr>
          <w:rFonts w:hint="eastAsia" w:ascii="仿宋" w:hAnsi="仿宋" w:eastAsia="仿宋" w:cs="仿宋"/>
          <w:b/>
          <w:color w:val="000000" w:themeColor="text1"/>
          <w:spacing w:val="6"/>
          <w:sz w:val="32"/>
          <w:szCs w:val="32"/>
          <w:highlight w:val="none"/>
          <w14:textFill>
            <w14:solidFill>
              <w14:schemeClr w14:val="tx1"/>
            </w14:solidFill>
          </w14:textFill>
        </w:rPr>
      </w:pPr>
    </w:p>
    <w:p w14:paraId="41E44A79">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2</w:t>
      </w:r>
      <w:r>
        <w:rPr>
          <w:rFonts w:hint="eastAsia" w:ascii="仿宋" w:hAnsi="仿宋" w:eastAsia="仿宋" w:cs="仿宋"/>
          <w:b/>
          <w:color w:val="000000" w:themeColor="text1"/>
          <w:spacing w:val="6"/>
          <w:sz w:val="32"/>
          <w:szCs w:val="32"/>
          <w:highlight w:val="none"/>
          <w14:textFill>
            <w14:solidFill>
              <w14:schemeClr w14:val="tx1"/>
            </w14:solidFill>
          </w14:textFill>
        </w:rPr>
        <w:t>：投诉书范本及制作说明</w:t>
      </w:r>
    </w:p>
    <w:p w14:paraId="33211994">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7A6AB31C">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011B7D1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69E91062">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69CA588">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C0B3862">
      <w:pPr>
        <w:tabs>
          <w:tab w:val="left" w:pos="6510"/>
        </w:tabs>
        <w:spacing w:line="360" w:lineRule="auto"/>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47530A29">
      <w:pPr>
        <w:tabs>
          <w:tab w:val="left" w:pos="6510"/>
        </w:tabs>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6F8DADD">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0AF73C0">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6AFB9BD">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1B0C445">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E162AA7">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24F9250">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4AA82894">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6F01D4E6">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C507ADC">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DE82937">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CA9DD7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1AF71717">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3C1EE66">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FCE9AD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F351632">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40EFE6C">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A6806B0">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C1EE101">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3F27FC17">
      <w:pPr>
        <w:spacing w:line="360" w:lineRule="auto"/>
        <w:ind w:firstLine="480" w:firstLineChars="200"/>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36C2CFD">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140609D6">
      <w:pPr>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14:paraId="401C4888">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3EC16F9A">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5D70669">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4D3DAFC">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535288E">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838B2D6">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21CF3C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09915F49">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2EB94DF9">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0FF2A2B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3A8EC00E">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6704A654">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0B848E2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64B87443">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3C11BE94">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11F6CA18">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5730EB37">
      <w:pPr>
        <w:widowControl/>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0088F464">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2AE9741E">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4305DEB0">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01CB2C80">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5B9FD0D2">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3FC2B088">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24C59B0B">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3DAB70E6">
      <w:pP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14:paraId="0118F825">
      <w:pPr>
        <w:autoSpaceDE w:val="0"/>
        <w:autoSpaceDN w:val="0"/>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3</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14:paraId="1CDFD76A">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p>
    <w:p w14:paraId="6518CB2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p>
    <w:p w14:paraId="6B85A3B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项目编号</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Cs/>
          <w:color w:val="000000" w:themeColor="text1"/>
          <w:sz w:val="24"/>
          <w:highlight w:val="none"/>
          <w14:textFill>
            <w14:solidFill>
              <w14:schemeClr w14:val="tx1"/>
            </w14:solidFill>
          </w14:textFill>
        </w:rPr>
        <w:t>投标活动中作如下说明：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0DC3308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14:paraId="016410E0">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3C17A522">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7FF51AAE">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787C087F">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1C2E4AB7">
      <w:pPr>
        <w:spacing w:line="360" w:lineRule="auto"/>
        <w:ind w:right="480" w:firstLine="4080" w:firstLineChars="17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14:paraId="26C1A83B">
      <w:pPr>
        <w:ind w:right="1440" w:firstLine="49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FC42B2D">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14:paraId="475F6BB3">
      <w:pPr>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14:paraId="51DB1B8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CB184A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6D3979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A11979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58271A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3A1114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41DF49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2BBCA3A">
      <w:pPr>
        <w:pStyle w:val="26"/>
        <w:rPr>
          <w:rFonts w:hint="eastAsia" w:ascii="仿宋" w:hAnsi="仿宋" w:eastAsia="仿宋" w:cs="仿宋"/>
          <w:b/>
          <w:color w:val="000000" w:themeColor="text1"/>
          <w:spacing w:val="6"/>
          <w:sz w:val="32"/>
          <w:szCs w:val="32"/>
          <w:highlight w:val="none"/>
          <w14:textFill>
            <w14:solidFill>
              <w14:schemeClr w14:val="tx1"/>
            </w14:solidFill>
          </w14:textFill>
        </w:rPr>
      </w:pPr>
    </w:p>
    <w:p w14:paraId="107AC213">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5D0A2FAE">
      <w:pPr>
        <w:pStyle w:val="26"/>
        <w:rPr>
          <w:rFonts w:hint="eastAsia" w:ascii="仿宋" w:hAnsi="仿宋" w:eastAsia="仿宋" w:cs="仿宋"/>
          <w:b/>
          <w:color w:val="000000" w:themeColor="text1"/>
          <w:spacing w:val="6"/>
          <w:sz w:val="32"/>
          <w:szCs w:val="32"/>
          <w:highlight w:val="none"/>
          <w14:textFill>
            <w14:solidFill>
              <w14:schemeClr w14:val="tx1"/>
            </w14:solidFill>
          </w14:textFill>
        </w:rPr>
      </w:pPr>
    </w:p>
    <w:p w14:paraId="1CD3220F">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57CB95A1">
      <w:pPr>
        <w:pStyle w:val="26"/>
        <w:rPr>
          <w:rFonts w:hint="eastAsia" w:ascii="仿宋" w:hAnsi="仿宋" w:eastAsia="仿宋" w:cs="仿宋"/>
          <w:b/>
          <w:color w:val="000000" w:themeColor="text1"/>
          <w:spacing w:val="6"/>
          <w:sz w:val="32"/>
          <w:szCs w:val="32"/>
          <w:highlight w:val="none"/>
          <w14:textFill>
            <w14:solidFill>
              <w14:schemeClr w14:val="tx1"/>
            </w14:solidFill>
          </w14:textFill>
        </w:rPr>
      </w:pPr>
    </w:p>
    <w:p w14:paraId="648C56BE">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4D74D7B1">
      <w:pPr>
        <w:pStyle w:val="26"/>
        <w:rPr>
          <w:rFonts w:hint="eastAsia" w:ascii="仿宋" w:hAnsi="仿宋" w:eastAsia="仿宋" w:cs="仿宋"/>
          <w:b/>
          <w:color w:val="000000" w:themeColor="text1"/>
          <w:spacing w:val="6"/>
          <w:sz w:val="32"/>
          <w:szCs w:val="32"/>
          <w:highlight w:val="none"/>
          <w14:textFill>
            <w14:solidFill>
              <w14:schemeClr w14:val="tx1"/>
            </w14:solidFill>
          </w14:textFill>
        </w:rPr>
      </w:pPr>
    </w:p>
    <w:p w14:paraId="1F52653F">
      <w:pPr>
        <w:pStyle w:val="26"/>
        <w:rPr>
          <w:rFonts w:hint="eastAsia" w:ascii="仿宋" w:hAnsi="仿宋" w:eastAsia="仿宋" w:cs="仿宋"/>
          <w:color w:val="000000" w:themeColor="text1"/>
          <w:highlight w:val="none"/>
          <w14:textFill>
            <w14:solidFill>
              <w14:schemeClr w14:val="tx1"/>
            </w14:solidFill>
          </w14:textFill>
        </w:rPr>
      </w:pPr>
    </w:p>
    <w:p w14:paraId="5B8E3376">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spacing w:val="6"/>
          <w:sz w:val="32"/>
          <w:szCs w:val="32"/>
          <w:highlight w:val="none"/>
          <w14:textFill>
            <w14:solidFill>
              <w14:schemeClr w14:val="tx1"/>
            </w14:solidFill>
          </w14:textFill>
        </w:rPr>
        <w:t>：</w:t>
      </w:r>
      <w:bookmarkStart w:id="42" w:name="OLE_LINK13"/>
      <w:bookmarkStart w:id="43" w:name="OLE_LINK14"/>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42"/>
    <w:bookmarkEnd w:id="43"/>
    <w:p w14:paraId="0C0CF097">
      <w:pPr>
        <w:spacing w:line="360" w:lineRule="auto"/>
        <w:rPr>
          <w:rFonts w:hint="eastAsia" w:ascii="仿宋" w:hAnsi="仿宋" w:eastAsia="仿宋" w:cs="仿宋"/>
          <w:b/>
          <w:color w:val="000000" w:themeColor="text1"/>
          <w:spacing w:val="6"/>
          <w:sz w:val="30"/>
          <w:szCs w:val="30"/>
          <w:highlight w:val="none"/>
          <w14:textFill>
            <w14:solidFill>
              <w14:schemeClr w14:val="tx1"/>
            </w14:solidFill>
          </w14:textFill>
        </w:rPr>
      </w:pPr>
    </w:p>
    <w:p w14:paraId="40E44363">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2EA32621">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18306E4B">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7F78577C">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2F0ACD7F">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14:paraId="271E5171">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5E33007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58D120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14083F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459A75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9F549D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879F95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CE4678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CFD763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14A262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B4D556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7D8EB0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07A6F4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7D11E2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4569CB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D80E2C9">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01EE0A0">
      <w:pPr>
        <w:pStyle w:val="25"/>
        <w:rPr>
          <w:rFonts w:hint="eastAsia" w:ascii="仿宋" w:hAnsi="仿宋" w:eastAsia="仿宋" w:cs="仿宋"/>
          <w:color w:val="000000" w:themeColor="text1"/>
          <w:highlight w:val="none"/>
          <w14:textFill>
            <w14:solidFill>
              <w14:schemeClr w14:val="tx1"/>
            </w14:solidFill>
          </w14:textFill>
        </w:rPr>
      </w:pPr>
    </w:p>
    <w:p w14:paraId="72B8684F">
      <w:pPr>
        <w:pStyle w:val="26"/>
        <w:rPr>
          <w:rFonts w:hint="eastAsia" w:ascii="仿宋" w:hAnsi="仿宋" w:eastAsia="仿宋" w:cs="仿宋"/>
          <w:color w:val="000000" w:themeColor="text1"/>
          <w:highlight w:val="none"/>
          <w14:textFill>
            <w14:solidFill>
              <w14:schemeClr w14:val="tx1"/>
            </w14:solidFill>
          </w14:textFill>
        </w:rPr>
      </w:pPr>
    </w:p>
    <w:p w14:paraId="45834A4E">
      <w:pPr>
        <w:rPr>
          <w:rFonts w:hint="eastAsia" w:ascii="仿宋" w:hAnsi="仿宋" w:eastAsia="仿宋" w:cs="仿宋"/>
          <w:color w:val="000000" w:themeColor="text1"/>
          <w:highlight w:val="none"/>
          <w14:textFill>
            <w14:solidFill>
              <w14:schemeClr w14:val="tx1"/>
            </w14:solidFill>
          </w14:textFill>
        </w:rPr>
      </w:pPr>
    </w:p>
    <w:p w14:paraId="4A19788A">
      <w:pPr>
        <w:pStyle w:val="26"/>
        <w:rPr>
          <w:rFonts w:hint="eastAsia" w:ascii="仿宋" w:hAnsi="仿宋" w:eastAsia="仿宋" w:cs="仿宋"/>
          <w:color w:val="000000" w:themeColor="text1"/>
          <w:highlight w:val="none"/>
          <w14:textFill>
            <w14:solidFill>
              <w14:schemeClr w14:val="tx1"/>
            </w14:solidFill>
          </w14:textFill>
        </w:rPr>
      </w:pPr>
    </w:p>
    <w:p w14:paraId="5B20B4D4">
      <w:pPr>
        <w:pStyle w:val="26"/>
        <w:rPr>
          <w:rFonts w:hint="eastAsia" w:ascii="仿宋" w:hAnsi="仿宋" w:eastAsia="仿宋" w:cs="仿宋"/>
          <w:color w:val="000000" w:themeColor="text1"/>
          <w:highlight w:val="none"/>
          <w14:textFill>
            <w14:solidFill>
              <w14:schemeClr w14:val="tx1"/>
            </w14:solidFill>
          </w14:textFill>
        </w:rPr>
      </w:pPr>
    </w:p>
    <w:p w14:paraId="3B5C346A">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kern w:val="0"/>
          <w:sz w:val="32"/>
          <w:szCs w:val="32"/>
          <w:highlight w:val="none"/>
          <w14:textFill>
            <w14:solidFill>
              <w14:schemeClr w14:val="tx1"/>
            </w14:solidFill>
          </w14:textFill>
        </w:rPr>
        <w:t>：中小企业声明函</w:t>
      </w:r>
    </w:p>
    <w:p w14:paraId="1FA30354">
      <w:pPr>
        <w:pStyle w:val="977"/>
        <w:keepNext/>
        <w:keepLines/>
        <w:spacing w:before="120" w:after="540" w:line="240" w:lineRule="auto"/>
        <w:ind w:firstLine="0"/>
        <w:rPr>
          <w:b/>
          <w:bCs/>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w:t>
      </w:r>
      <w:r>
        <w:rPr>
          <w:rFonts w:hint="eastAsia" w:ascii="仿宋" w:hAnsi="仿宋" w:eastAsia="仿宋" w:cs="仿宋"/>
          <w:b/>
          <w:color w:val="000000" w:themeColor="text1"/>
          <w:sz w:val="32"/>
          <w:szCs w:val="32"/>
          <w:highlight w:val="none"/>
          <w:lang w:val="en-US" w:eastAsia="zh-CN"/>
          <w14:textFill>
            <w14:solidFill>
              <w14:schemeClr w14:val="tx1"/>
            </w14:solidFill>
          </w14:textFill>
        </w:rPr>
        <w:t>货物</w:t>
      </w:r>
      <w:r>
        <w:rPr>
          <w:rFonts w:hint="eastAsia" w:ascii="仿宋" w:hAnsi="仿宋" w:eastAsia="仿宋" w:cs="仿宋"/>
          <w:b/>
          <w:color w:val="000000" w:themeColor="text1"/>
          <w:sz w:val="32"/>
          <w:szCs w:val="32"/>
          <w:highlight w:val="none"/>
          <w14:textFill>
            <w14:solidFill>
              <w14:schemeClr w14:val="tx1"/>
            </w14:solidFill>
          </w14:textFill>
        </w:rPr>
        <w:t>）</w:t>
      </w:r>
    </w:p>
    <w:p w14:paraId="4B181544">
      <w:pPr>
        <w:pStyle w:val="978"/>
        <w:spacing w:line="360" w:lineRule="auto"/>
        <w:ind w:firstLine="66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本公司（联合体）郑重声明，根据《政府采购促进中小企业发展管理办法》（财库〔2020）46号）的规定，本公司 （联合体）参加</w:t>
      </w:r>
      <w:r>
        <w:rPr>
          <w:rFonts w:hint="eastAsia" w:ascii="仿宋" w:hAnsi="仿宋" w:eastAsia="仿宋" w:cs="仿宋"/>
          <w:iCs/>
          <w:color w:val="000000" w:themeColor="text1"/>
          <w:sz w:val="24"/>
          <w:szCs w:val="24"/>
          <w:highlight w:val="none"/>
          <w:u w:val="single"/>
          <w14:textFill>
            <w14:solidFill>
              <w14:schemeClr w14:val="tx1"/>
            </w14:solidFill>
          </w14:textFill>
        </w:rPr>
        <w:t>（单位名称）</w:t>
      </w:r>
      <w:r>
        <w:rPr>
          <w:rFonts w:hint="eastAsia" w:ascii="仿宋" w:hAnsi="仿宋" w:eastAsia="仿宋" w:cs="仿宋"/>
          <w:color w:val="000000" w:themeColor="text1"/>
          <w:sz w:val="24"/>
          <w:szCs w:val="24"/>
          <w:highlight w:val="none"/>
          <w14:textFill>
            <w14:solidFill>
              <w14:schemeClr w14:val="tx1"/>
            </w14:solidFill>
          </w14:textFill>
        </w:rPr>
        <w:t>的</w:t>
      </w:r>
      <w:r>
        <w:rPr>
          <w:rFonts w:hint="eastAsia" w:ascii="仿宋" w:hAnsi="仿宋" w:eastAsia="仿宋" w:cs="仿宋"/>
          <w:iCs/>
          <w:color w:val="000000" w:themeColor="text1"/>
          <w:sz w:val="24"/>
          <w:szCs w:val="24"/>
          <w:highlight w:val="none"/>
          <w:u w:val="single"/>
          <w14:textFill>
            <w14:solidFill>
              <w14:schemeClr w14:val="tx1"/>
            </w14:solidFill>
          </w14:textFill>
        </w:rPr>
        <w:t>（项目名称）</w:t>
      </w:r>
      <w:r>
        <w:rPr>
          <w:rFonts w:hint="eastAsia" w:ascii="仿宋" w:hAnsi="仿宋" w:eastAsia="仿宋" w:cs="仿宋"/>
          <w:color w:val="000000" w:themeColor="text1"/>
          <w:sz w:val="24"/>
          <w:szCs w:val="24"/>
          <w:highlight w:val="none"/>
          <w14:textFill>
            <w14:solidFill>
              <w14:schemeClr w14:val="tx1"/>
            </w14:solidFill>
          </w14:textFill>
        </w:rPr>
        <w:t>采购活动,提供的货物全部由符合政策要求的中小企业制造。相关企业</w:t>
      </w:r>
      <w:r>
        <w:rPr>
          <w:rFonts w:hint="eastAsia" w:ascii="仿宋" w:hAnsi="仿宋" w:eastAsia="仿宋" w:cs="仿宋"/>
          <w:color w:val="000000" w:themeColor="text1"/>
          <w:sz w:val="24"/>
          <w:szCs w:val="24"/>
          <w:highlight w:val="none"/>
          <w:u w:val="single"/>
          <w14:textFill>
            <w14:solidFill>
              <w14:schemeClr w14:val="tx1"/>
            </w14:solidFill>
          </w14:textFill>
        </w:rPr>
        <w:t xml:space="preserve"> （含联合体中的中小企业、签订分包意向协议的中小企业） </w:t>
      </w:r>
      <w:r>
        <w:rPr>
          <w:rFonts w:hint="eastAsia" w:ascii="仿宋" w:hAnsi="仿宋" w:eastAsia="仿宋" w:cs="仿宋"/>
          <w:color w:val="000000" w:themeColor="text1"/>
          <w:sz w:val="24"/>
          <w:szCs w:val="24"/>
          <w:highlight w:val="none"/>
          <w14:textFill>
            <w14:solidFill>
              <w14:schemeClr w14:val="tx1"/>
            </w14:solidFill>
          </w14:textFill>
        </w:rPr>
        <w:t>的具体情况如下：</w:t>
      </w:r>
    </w:p>
    <w:p w14:paraId="3F41F24B">
      <w:pPr>
        <w:pStyle w:val="978"/>
        <w:numPr>
          <w:ilvl w:val="0"/>
          <w:numId w:val="3"/>
        </w:numPr>
        <w:tabs>
          <w:tab w:val="left" w:pos="1238"/>
          <w:tab w:val="left" w:pos="4435"/>
          <w:tab w:val="left" w:pos="6672"/>
        </w:tabs>
        <w:spacing w:line="360" w:lineRule="auto"/>
        <w:ind w:firstLine="66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Cs/>
          <w:color w:val="000000" w:themeColor="text1"/>
          <w:sz w:val="24"/>
          <w:szCs w:val="24"/>
          <w:highlight w:val="none"/>
          <w:u w:val="single"/>
          <w14:textFill>
            <w14:solidFill>
              <w14:schemeClr w14:val="tx1"/>
            </w14:solidFill>
          </w14:textFill>
        </w:rPr>
        <w:t>（标的名称）</w:t>
      </w:r>
      <w:r>
        <w:rPr>
          <w:rFonts w:hint="eastAsia" w:ascii="仿宋" w:hAnsi="仿宋" w:eastAsia="仿宋" w:cs="仿宋"/>
          <w:color w:val="000000" w:themeColor="text1"/>
          <w:sz w:val="24"/>
          <w:szCs w:val="24"/>
          <w:highlight w:val="none"/>
          <w14:textFill>
            <w14:solidFill>
              <w14:schemeClr w14:val="tx1"/>
            </w14:solidFill>
          </w14:textFill>
        </w:rPr>
        <w:t>,属于</w:t>
      </w:r>
      <w:r>
        <w:rPr>
          <w:rFonts w:hint="eastAsia" w:ascii="仿宋" w:hAnsi="仿宋" w:eastAsia="仿宋" w:cs="仿宋"/>
          <w:b/>
          <w:bCs/>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14:textFill>
            <w14:solidFill>
              <w14:schemeClr w14:val="tx1"/>
            </w14:solidFill>
          </w14:textFill>
        </w:rPr>
        <w:t>（采购文件中明确的所属行业）</w:t>
      </w:r>
      <w:r>
        <w:rPr>
          <w:rFonts w:hint="eastAsia" w:ascii="仿宋" w:hAnsi="仿宋" w:eastAsia="仿宋" w:cs="仿宋"/>
          <w:b/>
          <w:bCs/>
          <w:iCs/>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iCs/>
          <w:color w:val="000000" w:themeColor="text1"/>
          <w:sz w:val="24"/>
          <w:szCs w:val="24"/>
          <w:highlight w:val="none"/>
          <w:u w:val="none"/>
          <w14:textFill>
            <w14:solidFill>
              <w14:schemeClr w14:val="tx1"/>
            </w14:solidFill>
          </w14:textFill>
        </w:rPr>
        <w:t>行业</w:t>
      </w:r>
      <w:r>
        <w:rPr>
          <w:rFonts w:hint="eastAsia" w:ascii="仿宋" w:hAnsi="仿宋" w:eastAsia="仿宋" w:cs="仿宋"/>
          <w:iCs/>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制造商为</w:t>
      </w:r>
      <w:r>
        <w:rPr>
          <w:rFonts w:hint="eastAsia" w:ascii="仿宋" w:hAnsi="仿宋" w:eastAsia="仿宋" w:cs="仿宋"/>
          <w:iCs/>
          <w:color w:val="000000" w:themeColor="text1"/>
          <w:sz w:val="24"/>
          <w:szCs w:val="24"/>
          <w:highlight w:val="none"/>
          <w:u w:val="single"/>
          <w14:textFill>
            <w14:solidFill>
              <w14:schemeClr w14:val="tx1"/>
            </w14:solidFill>
          </w14:textFill>
        </w:rPr>
        <w:t>（企业名称）</w:t>
      </w:r>
      <w:r>
        <w:rPr>
          <w:rFonts w:hint="eastAsia" w:ascii="仿宋" w:hAnsi="仿宋" w:eastAsia="仿宋" w:cs="仿宋"/>
          <w:iCs/>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从业人员</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人，营业收入为</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万元，资产总额为</w:t>
      </w:r>
      <w:r>
        <w:rPr>
          <w:rFonts w:hint="eastAsia" w:ascii="仿宋" w:hAnsi="仿宋" w:eastAsia="仿宋" w:cs="仿宋"/>
          <w:color w:val="000000" w:themeColor="text1"/>
          <w:sz w:val="24"/>
          <w:szCs w:val="24"/>
          <w:highlight w:val="none"/>
          <w:u w:val="single"/>
          <w14:textFill>
            <w14:solidFill>
              <w14:schemeClr w14:val="tx1"/>
            </w14:solidFill>
          </w14:textFill>
        </w:rPr>
        <w:tab/>
      </w:r>
      <w:r>
        <w:rPr>
          <w:rFonts w:hint="eastAsia" w:ascii="仿宋" w:hAnsi="仿宋" w:eastAsia="仿宋" w:cs="仿宋"/>
          <w:color w:val="000000" w:themeColor="text1"/>
          <w:sz w:val="24"/>
          <w:szCs w:val="24"/>
          <w:highlight w:val="none"/>
          <w14:textFill>
            <w14:solidFill>
              <w14:schemeClr w14:val="tx1"/>
            </w14:solidFill>
          </w14:textFill>
        </w:rPr>
        <w:t>万元</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属于</w:t>
      </w:r>
      <w:r>
        <w:rPr>
          <w:rFonts w:hint="eastAsia" w:ascii="仿宋" w:hAnsi="仿宋" w:eastAsia="仿宋" w:cs="仿宋"/>
          <w:iCs/>
          <w:color w:val="000000" w:themeColor="text1"/>
          <w:sz w:val="24"/>
          <w:szCs w:val="24"/>
          <w:highlight w:val="none"/>
          <w:u w:val="single"/>
          <w14:textFill>
            <w14:solidFill>
              <w14:schemeClr w14:val="tx1"/>
            </w14:solidFill>
          </w14:textFill>
        </w:rPr>
        <w:t>（中型企业、小 型企业、微型企业）</w:t>
      </w:r>
      <w:r>
        <w:rPr>
          <w:rFonts w:hint="eastAsia" w:ascii="仿宋" w:hAnsi="仿宋" w:eastAsia="仿宋" w:cs="仿宋"/>
          <w:iCs/>
          <w:color w:val="000000" w:themeColor="text1"/>
          <w:sz w:val="24"/>
          <w:szCs w:val="24"/>
          <w:highlight w:val="none"/>
          <w14:textFill>
            <w14:solidFill>
              <w14:schemeClr w14:val="tx1"/>
            </w14:solidFill>
          </w14:textFill>
        </w:rPr>
        <w:t>,</w:t>
      </w:r>
    </w:p>
    <w:p w14:paraId="5209A568">
      <w:pPr>
        <w:pStyle w:val="978"/>
        <w:numPr>
          <w:ilvl w:val="0"/>
          <w:numId w:val="3"/>
        </w:numPr>
        <w:tabs>
          <w:tab w:val="left" w:pos="1238"/>
          <w:tab w:val="left" w:pos="6331"/>
        </w:tabs>
        <w:spacing w:line="360" w:lineRule="auto"/>
        <w:ind w:firstLine="66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Cs/>
          <w:color w:val="000000" w:themeColor="text1"/>
          <w:sz w:val="24"/>
          <w:szCs w:val="24"/>
          <w:highlight w:val="none"/>
          <w:u w:val="single"/>
          <w14:textFill>
            <w14:solidFill>
              <w14:schemeClr w14:val="tx1"/>
            </w14:solidFill>
          </w14:textFill>
        </w:rPr>
        <w:t>（标的名称）</w:t>
      </w:r>
      <w:r>
        <w:rPr>
          <w:rFonts w:hint="eastAsia" w:ascii="仿宋" w:hAnsi="仿宋" w:eastAsia="仿宋" w:cs="仿宋"/>
          <w:color w:val="000000" w:themeColor="text1"/>
          <w:sz w:val="24"/>
          <w:szCs w:val="24"/>
          <w:highlight w:val="none"/>
          <w14:textFill>
            <w14:solidFill>
              <w14:schemeClr w14:val="tx1"/>
            </w14:solidFill>
          </w14:textFill>
        </w:rPr>
        <w:t>,属于</w:t>
      </w:r>
      <w:r>
        <w:rPr>
          <w:rFonts w:hint="eastAsia" w:ascii="仿宋" w:hAnsi="仿宋" w:eastAsia="仿宋" w:cs="仿宋"/>
          <w:iCs/>
          <w:color w:val="000000" w:themeColor="text1"/>
          <w:sz w:val="24"/>
          <w:szCs w:val="24"/>
          <w:highlight w:val="none"/>
          <w:u w:val="single"/>
          <w14:textFill>
            <w14:solidFill>
              <w14:schemeClr w14:val="tx1"/>
            </w14:solidFill>
          </w14:textFill>
        </w:rPr>
        <w:t>（采购文件中明确的所属行业） 行业</w:t>
      </w:r>
      <w:r>
        <w:rPr>
          <w:rFonts w:hint="eastAsia" w:ascii="仿宋" w:hAnsi="仿宋" w:eastAsia="仿宋" w:cs="仿宋"/>
          <w:iCs/>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制造商为</w:t>
      </w:r>
      <w:r>
        <w:rPr>
          <w:rFonts w:hint="eastAsia" w:ascii="仿宋" w:hAnsi="仿宋" w:eastAsia="仿宋" w:cs="仿宋"/>
          <w:iCs/>
          <w:color w:val="000000" w:themeColor="text1"/>
          <w:sz w:val="24"/>
          <w:szCs w:val="24"/>
          <w:highlight w:val="none"/>
          <w:u w:val="single"/>
          <w14:textFill>
            <w14:solidFill>
              <w14:schemeClr w14:val="tx1"/>
            </w14:solidFill>
          </w14:textFill>
        </w:rPr>
        <w:t>（企业名称）</w:t>
      </w:r>
      <w:r>
        <w:rPr>
          <w:rFonts w:hint="eastAsia" w:ascii="仿宋" w:hAnsi="仿宋" w:eastAsia="仿宋" w:cs="仿宋"/>
          <w:iCs/>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从业人员</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人，营业收入为</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万元，资产总额为</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万元，属于</w:t>
      </w:r>
      <w:r>
        <w:rPr>
          <w:rFonts w:hint="eastAsia" w:ascii="仿宋" w:hAnsi="仿宋" w:eastAsia="仿宋" w:cs="仿宋"/>
          <w:iCs/>
          <w:color w:val="000000" w:themeColor="text1"/>
          <w:sz w:val="24"/>
          <w:szCs w:val="24"/>
          <w:highlight w:val="none"/>
          <w:u w:val="single"/>
          <w14:textFill>
            <w14:solidFill>
              <w14:schemeClr w14:val="tx1"/>
            </w14:solidFill>
          </w14:textFill>
        </w:rPr>
        <w:t>（中型企业、小型 企业、微型企</w:t>
      </w:r>
      <w:r>
        <w:rPr>
          <w:rFonts w:hint="eastAsia" w:ascii="仿宋" w:hAnsi="仿宋" w:eastAsia="仿宋" w:cs="仿宋"/>
          <w:iCs/>
          <w:color w:val="000000" w:themeColor="text1"/>
          <w:sz w:val="24"/>
          <w:szCs w:val="24"/>
          <w:highlight w:val="none"/>
          <w:u w:val="single"/>
          <w:lang w:val="zh-CN" w:eastAsia="zh-CN" w:bidi="zh-CN"/>
          <w14:textFill>
            <w14:solidFill>
              <w14:schemeClr w14:val="tx1"/>
            </w14:solidFill>
          </w14:textFill>
        </w:rPr>
        <w:t>业）</w:t>
      </w:r>
      <w:r>
        <w:rPr>
          <w:rFonts w:hint="eastAsia" w:ascii="仿宋" w:hAnsi="仿宋" w:eastAsia="仿宋" w:cs="仿宋"/>
          <w:iCs/>
          <w:color w:val="000000" w:themeColor="text1"/>
          <w:sz w:val="24"/>
          <w:szCs w:val="24"/>
          <w:highlight w:val="none"/>
          <w:lang w:val="zh-CN" w:eastAsia="zh-CN" w:bidi="zh-CN"/>
          <w14:textFill>
            <w14:solidFill>
              <w14:schemeClr w14:val="tx1"/>
            </w14:solidFill>
          </w14:textFill>
        </w:rPr>
        <w:t>,</w:t>
      </w:r>
    </w:p>
    <w:p w14:paraId="625A5EC8">
      <w:pPr>
        <w:pStyle w:val="978"/>
        <w:tabs>
          <w:tab w:val="left" w:leader="dot" w:pos="-1007"/>
        </w:tabs>
        <w:spacing w:line="360"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p>
    <w:p w14:paraId="423AAF37">
      <w:pPr>
        <w:pStyle w:val="978"/>
        <w:spacing w:line="360" w:lineRule="auto"/>
        <w:ind w:firstLine="66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以上企业，不属于大企业的分支机构，不存在控股股东为大企业的情形，也不存在与大企业的负责人为同一人的情形。</w:t>
      </w:r>
    </w:p>
    <w:p w14:paraId="2271A787">
      <w:pPr>
        <w:pStyle w:val="978"/>
        <w:spacing w:line="360" w:lineRule="auto"/>
        <w:ind w:firstLine="66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本企业对上述声明内容的真实性负责。如有虚假，将依法承担相应责任。</w:t>
      </w:r>
    </w:p>
    <w:p w14:paraId="685E4E0A">
      <w:pPr>
        <w:pStyle w:val="978"/>
        <w:spacing w:line="240" w:lineRule="auto"/>
        <w:ind w:firstLine="0"/>
        <w:rPr>
          <w:rFonts w:hint="eastAsia" w:ascii="仿宋" w:hAnsi="仿宋" w:eastAsia="仿宋" w:cs="仿宋"/>
          <w:color w:val="000000" w:themeColor="text1"/>
          <w:sz w:val="24"/>
          <w:szCs w:val="24"/>
          <w:highlight w:val="none"/>
          <w14:textFill>
            <w14:solidFill>
              <w14:schemeClr w14:val="tx1"/>
            </w14:solidFill>
          </w14:textFill>
        </w:rPr>
      </w:pPr>
    </w:p>
    <w:p w14:paraId="65A77573">
      <w:pPr>
        <w:pStyle w:val="978"/>
        <w:spacing w:line="240" w:lineRule="auto"/>
        <w:ind w:firstLine="4800" w:firstLineChars="2000"/>
        <w:rPr>
          <w:rFonts w:hint="eastAsia" w:ascii="仿宋" w:hAnsi="仿宋" w:eastAsia="仿宋" w:cs="仿宋"/>
          <w:color w:val="000000" w:themeColor="text1"/>
          <w:sz w:val="24"/>
          <w:szCs w:val="24"/>
          <w:highlight w:val="none"/>
          <w14:textFill>
            <w14:solidFill>
              <w14:schemeClr w14:val="tx1"/>
            </w14:solidFill>
          </w14:textFill>
        </w:rPr>
      </w:pPr>
    </w:p>
    <w:p w14:paraId="5631B41C">
      <w:pPr>
        <w:pStyle w:val="978"/>
        <w:spacing w:line="240" w:lineRule="auto"/>
        <w:ind w:firstLine="4800" w:firstLineChars="20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企业名称（盖章）</w:t>
      </w:r>
    </w:p>
    <w:p w14:paraId="0146BD86">
      <w:pPr>
        <w:pStyle w:val="978"/>
        <w:spacing w:line="240" w:lineRule="auto"/>
        <w:ind w:firstLine="4800" w:firstLineChars="2000"/>
        <w:rPr>
          <w:rFonts w:hint="eastAsia" w:ascii="仿宋" w:hAnsi="仿宋" w:eastAsia="仿宋" w:cs="仿宋"/>
          <w:color w:val="000000" w:themeColor="text1"/>
          <w:sz w:val="24"/>
          <w:szCs w:val="24"/>
          <w:highlight w:val="none"/>
          <w14:textFill>
            <w14:solidFill>
              <w14:schemeClr w14:val="tx1"/>
            </w14:solidFill>
          </w14:textFill>
        </w:rPr>
      </w:pPr>
    </w:p>
    <w:p w14:paraId="2B66875D">
      <w:pPr>
        <w:pStyle w:val="978"/>
        <w:spacing w:line="240" w:lineRule="auto"/>
        <w:ind w:firstLine="4800" w:firstLineChars="20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日期：</w:t>
      </w:r>
    </w:p>
    <w:p w14:paraId="1DDB0678">
      <w:pPr>
        <w:pStyle w:val="978"/>
        <w:spacing w:line="240" w:lineRule="auto"/>
        <w:ind w:firstLine="4800" w:firstLineChars="2000"/>
        <w:rPr>
          <w:rFonts w:hint="eastAsia" w:ascii="仿宋" w:hAnsi="仿宋" w:eastAsia="仿宋" w:cs="仿宋"/>
          <w:color w:val="000000" w:themeColor="text1"/>
          <w:sz w:val="24"/>
          <w:szCs w:val="24"/>
          <w:highlight w:val="none"/>
          <w14:textFill>
            <w14:solidFill>
              <w14:schemeClr w14:val="tx1"/>
            </w14:solidFill>
          </w14:textFill>
        </w:rPr>
      </w:pPr>
    </w:p>
    <w:p w14:paraId="171DCC57">
      <w:pPr>
        <w:pStyle w:val="978"/>
        <w:spacing w:line="240" w:lineRule="auto"/>
        <w:ind w:firstLine="4800" w:firstLineChars="2000"/>
        <w:rPr>
          <w:rFonts w:hint="eastAsia" w:ascii="仿宋" w:hAnsi="仿宋" w:eastAsia="仿宋" w:cs="仿宋"/>
          <w:color w:val="000000" w:themeColor="text1"/>
          <w:sz w:val="24"/>
          <w:szCs w:val="24"/>
          <w:highlight w:val="none"/>
          <w14:textFill>
            <w14:solidFill>
              <w14:schemeClr w14:val="tx1"/>
            </w14:solidFill>
          </w14:textFill>
        </w:rPr>
      </w:pPr>
    </w:p>
    <w:p w14:paraId="28E44D00">
      <w:pPr>
        <w:snapToGrid w:val="0"/>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0943FCC4">
      <w:pPr>
        <w:spacing w:line="360" w:lineRule="auto"/>
        <w:ind w:firstLine="354" w:firstLineChars="147"/>
        <w:jc w:val="left"/>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1、从业人员、营业收入、资产总额填报上一年度数据，无上一年度数据的新成立企业可不填报。</w:t>
      </w:r>
    </w:p>
    <w:p w14:paraId="32C1E21C">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p>
    <w:p w14:paraId="0F71B1B1">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注：</w:t>
      </w:r>
    </w:p>
    <w:p w14:paraId="67819B72">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1F160AA">
      <w:pPr>
        <w:spacing w:line="360" w:lineRule="auto"/>
        <w:ind w:right="420"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9F8466A">
      <w:pPr>
        <w:pStyle w:val="4"/>
        <w:rPr>
          <w:rFonts w:hint="eastAsia" w:ascii="仿宋" w:hAnsi="仿宋" w:eastAsia="仿宋" w:cs="仿宋"/>
          <w:color w:val="000000" w:themeColor="text1"/>
          <w:highlight w:val="none"/>
          <w:lang w:val="en-US"/>
          <w14:textFill>
            <w14:solidFill>
              <w14:schemeClr w14:val="tx1"/>
            </w14:solidFill>
          </w14:textFill>
        </w:rPr>
      </w:pPr>
    </w:p>
    <w:p w14:paraId="5E81FC3B">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1938FB43">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278928BE">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C583A3D">
      <w:pPr>
        <w:widowControl/>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48EF8D21">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5C6713A2">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59768007">
      <w:pPr>
        <w:pStyle w:val="25"/>
        <w:rPr>
          <w:rFonts w:hint="eastAsia" w:ascii="仿宋" w:hAnsi="仿宋" w:eastAsia="仿宋" w:cs="仿宋"/>
          <w:color w:val="000000" w:themeColor="text1"/>
          <w:highlight w:val="none"/>
          <w:lang w:val="en-US" w:eastAsia="zh-CN"/>
          <w14:textFill>
            <w14:solidFill>
              <w14:schemeClr w14:val="tx1"/>
            </w14:solidFill>
          </w14:textFill>
        </w:rPr>
      </w:pPr>
    </w:p>
    <w:p w14:paraId="30D260C9">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26878B76">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79B50A9B">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2FF9F71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92FAAF0">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75D13762">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4363A353">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696A7C5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4B3A092D">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4EAA543B">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D636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8FD9A7">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14:paraId="36C791EB">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14:paraId="4E0A000F">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14:paraId="5C6F9D2E">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14:paraId="3E4A407E">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14:paraId="6540E55B">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14:paraId="0A13D05F">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450AE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7CA987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14:paraId="5DF9CC5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C14A7B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2C1E47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060AE99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7C5774A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14:paraId="4CA9DFD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5816B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D367A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14:paraId="268506F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62D375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30E8B9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6A3AC3A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2039CBC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3743E6B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64802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036D0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308978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F0A0AC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2B9789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330381F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14:paraId="71ADF51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14:paraId="230397A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0658E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84DE5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14:paraId="2A11D30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A9A444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9FF5C5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14:paraId="2B6C020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14:paraId="01F9CF7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14:paraId="390993E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0E6B7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EAE4A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133D02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316645B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B01C3F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14:paraId="0EFC82F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14:paraId="48223EA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14:paraId="16A76E4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38472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D7FF7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14:paraId="0F0B19E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D3BB93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F201DD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07FD278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14:paraId="348DAEA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14:paraId="02058EA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15B65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4376E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77351C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251D16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E02181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712BB5F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14:paraId="7FA258E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14:paraId="1D5F7F3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09EE5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CE53D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14:paraId="676DEE9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BCC0A5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3D84F1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73373B4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14:paraId="304387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14:paraId="7AF32B6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1250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1D9ED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715E65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52449E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D4E2A2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723823A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3F08AFA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14:paraId="7F078BC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222D6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FF76D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14:paraId="61FCF53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C79F6E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F0D4F3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41402D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4121AB4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42C4544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516E8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BEE60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798E5E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3E9168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04FC21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086B3E9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14:paraId="0653399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14:paraId="3FD7F8F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508F0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B1299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14:paraId="5205977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0B9755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014117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44110C5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14:paraId="373C716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14:paraId="7D02721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3C3FC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ADFE7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087C8C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7A9B9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BE1E0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768912B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14:paraId="3FFB7B7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41B516A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52A58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F162C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14:paraId="6CFDC28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406D86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A92841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15C63F3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261E5B4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25EF1A5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5239A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EF92A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C16A0C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0AEC12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D55311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30D87A7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14:paraId="3E19E7E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6919829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5C9B8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90493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14:paraId="69CB6DF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70D8AC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261012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23BC433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72AF428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554B2A2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639CA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9524A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FA957B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DA2537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E0F3F9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696AE91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44E2156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05685D1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5F15E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96709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14:paraId="5167DB8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A4ED7F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CB9149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7CBFEFE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5D01763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3A99FED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0C98B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85CE3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DA0D59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F26180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4086D1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7BBBCD1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044CC86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654854E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3C28F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4715C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14:paraId="11ADB0E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192E2D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5BAA98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14:paraId="55EB4F1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14:paraId="1304166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3FE6709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17CF1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D42AA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238D45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B7A35C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DE4BC0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14:paraId="7CC2A5B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14:paraId="35A5D96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5A92BB2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6942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1A282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14:paraId="51621EF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41BEAB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A4A8DD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5960A3D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5945E25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4B2EEEB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1A91D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DAD29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3C7D3E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4EDDB4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0F3D67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2D5D46D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14:paraId="1280761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14:paraId="7869996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779FA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709AE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14:paraId="16F0C49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FB7D9C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D8E488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14:paraId="2727BBB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14:paraId="1FD08E2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3CA4B23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41361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F42D0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141BE0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39D4F3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9C9CF9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14:paraId="2CBF218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14:paraId="3DC774E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14:paraId="7433CE7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2C181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E4A44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14:paraId="2939CE3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F32FF8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7B142B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5EBAC87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1F0305A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14:paraId="5B08362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4E86C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A97EC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1B4DAA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630801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D93FA7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14:paraId="32A34BB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14:paraId="79E47BB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14:paraId="2A53BD0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2785C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D0DC3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14:paraId="6CED403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6C7F87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2688AD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24D48C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4BCAE4A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530C570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C0FE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AA1B8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C9FD8B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44C4E6B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13D99B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14:paraId="064B94B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14:paraId="1B10945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14:paraId="34ECA90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3BB13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EFD019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14:paraId="1A5D8A5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A85CC8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9BB9A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078640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3718CE7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1FD1F40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197BC0B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30F33E19">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1.大型、中型和小型企业须同时满足所列指标的下限，否则下划一档；微型企业只须满足所列指标中的一项即可。 　　</w:t>
      </w:r>
    </w:p>
    <w:p w14:paraId="691D0A73">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0CD832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138642AB">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350CEA4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AD33EA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6659012E">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031706BE">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1E728A22">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1F07E7A5">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0B98F601">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96B31DF">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ED38223">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27F2544B">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D87E0A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14:paraId="481364EB">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0E0C9C8D">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22289F59">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211A50C2">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7C6092AF">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3ED7F427">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3E8A0DE8">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07763EFF">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5F4B6B2">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03BAA91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4E594CD6">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23EC440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158F74A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适用范围。本规定适用于从事《国民经济行业分类》(GB/T4754-2011)中J门类（金融业）活动的企业。</w:t>
      </w:r>
    </w:p>
    <w:p w14:paraId="0E484EF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2826937">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37135F7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五、指标标准值。依据指标标准值，将各类金融业企业划分为大、中、小、微四个规模类型，中型企业标准上限及以上的为大型企业。</w:t>
      </w:r>
    </w:p>
    <w:p w14:paraId="395F9AB3">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7B85FDC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5E3F3B7B">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29A1EC7F">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2C8A359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1F356F42">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1E687B9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757B6D49">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430460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EFDE948">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标准值的评估和调整。金融业企业划型标准工作组毎五年对划型标准值受经济发展与通货膨胀等因素的响程度进行评估和调整。</w:t>
      </w:r>
    </w:p>
    <w:p w14:paraId="57D46A04">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153F49CA">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九、 融资担保公司参照本规定中“除贷款公司、小额贷款公司、典当行以外的其他金融机构”标准划型。</w:t>
      </w:r>
    </w:p>
    <w:p w14:paraId="29AD6CEB">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十、本规定由人民银行会同银监会，证监会、保监会和统计局负责解释。</w:t>
      </w:r>
    </w:p>
    <w:p w14:paraId="5EA02F7F">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十一、本规定自发布之日起实施。</w:t>
      </w:r>
    </w:p>
    <w:p w14:paraId="220FB259">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7A77C393">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ED08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BBD1DA2">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14:paraId="7B001F51">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14:paraId="1EF6FBFA">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14:paraId="5BAF92A7">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35B40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936DEC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14:paraId="0A86597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14:paraId="33D1097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14:paraId="34124C2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5319B8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74F69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ACA17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335F96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0F89CD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C6F1AA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0F72241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2731F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1769C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EB695E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670EE9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C66AD7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775640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0AB99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FF3F4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3404358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14:paraId="09D2E8B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14:paraId="0C25B5F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7FBF337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7FA2F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23266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3AD60A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BC74B0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4CFCD0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8F4B6A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42DF3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534DF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EDA3DB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6656AD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523D68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D285DA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11EC8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CD80A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8D1CD1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14:paraId="7A33100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14:paraId="1301450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D2A13C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5C192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B695C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725649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4A6B28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F28017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1B1CCDE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04D10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FD813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3C1F7A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ADE665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FCD042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DA91C8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1851D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E42803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14:paraId="06DF318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14:paraId="0975F0B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057EF4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6E28A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BD8672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E0FEA1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4F478C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0D8592D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7397A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3AC23C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41829F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5990E0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1914040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7B683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FC79C4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14:paraId="2BCF9B6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14:paraId="54ABBB6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FF887D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2DC15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8D0772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1EF4C2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A7880D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74E23C8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573A9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6B2D1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F4EC90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173DE9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474395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7F34A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24704F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14:paraId="75932DC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14:paraId="2520388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14:paraId="69F2F5B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603E49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2E00A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F1169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A3E528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8673E1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A0BEC1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00F2A7C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5ABCE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2A593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4A8BC6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BF56EB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33531E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BF468D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40EA1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8885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58A4ECE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14:paraId="2E3216C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14:paraId="35645FE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0B1F8E4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77536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27A01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D1172B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D74B03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D7CFEF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44845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057EC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C3D9A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37CC9A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6DB43D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630CD2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D3F9DD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5D9E7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467B3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7DBA895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14:paraId="70E53C4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14:paraId="173B2D6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D757EE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64966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03208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E843B2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A46A4C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73F26B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5C049C4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5D44C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783B3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77827B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6E0CED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A3A18E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16341C0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4DD315CB">
      <w:pPr>
        <w:rPr>
          <w:rFonts w:hint="eastAsia" w:ascii="仿宋" w:hAnsi="仿宋" w:eastAsia="仿宋" w:cs="仿宋"/>
          <w:color w:val="000000" w:themeColor="text1"/>
          <w:sz w:val="24"/>
          <w:highlight w:val="none"/>
          <w14:textFill>
            <w14:solidFill>
              <w14:schemeClr w14:val="tx1"/>
            </w14:solidFill>
          </w14:textFill>
        </w:rPr>
      </w:pPr>
    </w:p>
    <w:p w14:paraId="55CCD994">
      <w:pPr>
        <w:ind w:firstLine="420" w:firstLineChars="200"/>
        <w:rPr>
          <w:rFonts w:hint="eastAsia" w:ascii="仿宋" w:hAnsi="仿宋" w:eastAsia="仿宋" w:cs="仿宋"/>
          <w:color w:val="000000" w:themeColor="text1"/>
          <w:highlight w:val="none"/>
          <w14:textFill>
            <w14:solidFill>
              <w14:schemeClr w14:val="tx1"/>
            </w14:solidFill>
          </w14:textFill>
        </w:rPr>
      </w:pPr>
    </w:p>
    <w:p w14:paraId="2738F48E">
      <w:pPr>
        <w:spacing w:line="360" w:lineRule="auto"/>
        <w:ind w:right="420"/>
        <w:rPr>
          <w:rFonts w:hint="eastAsia" w:ascii="仿宋" w:hAnsi="仿宋" w:eastAsia="仿宋" w:cs="仿宋"/>
          <w:color w:val="000000" w:themeColor="text1"/>
          <w:highlight w:val="none"/>
          <w14:textFill>
            <w14:solidFill>
              <w14:schemeClr w14:val="tx1"/>
            </w14:solidFill>
          </w14:textFill>
        </w:rPr>
      </w:pPr>
    </w:p>
    <w:p w14:paraId="0E5C4739">
      <w:pPr>
        <w:spacing w:line="360" w:lineRule="auto"/>
        <w:rPr>
          <w:rFonts w:hint="eastAsia" w:ascii="仿宋" w:hAnsi="仿宋" w:eastAsia="仿宋" w:cs="仿宋"/>
          <w:bCs/>
          <w:color w:val="000000" w:themeColor="text1"/>
          <w:sz w:val="24"/>
          <w:highlight w:val="none"/>
          <w14:textFill>
            <w14:solidFill>
              <w14:schemeClr w14:val="tx1"/>
            </w14:solidFill>
          </w14:textFill>
        </w:rPr>
      </w:pPr>
    </w:p>
    <w:sectPr>
      <w:headerReference r:id="rId10" w:type="first"/>
      <w:footerReference r:id="rId13" w:type="first"/>
      <w:headerReference r:id="rId9" w:type="default"/>
      <w:footerReference r:id="rId11" w:type="default"/>
      <w:footerReference r:id="rId12"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0000000000000000000"/>
    <w:charset w:val="00"/>
    <w:family w:val="swiss"/>
    <w:pitch w:val="default"/>
    <w:sig w:usb0="00000000" w:usb1="00000000" w:usb2="00000000" w:usb3="00000000" w:csb0="2000019F" w:csb1="4F01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PMingLiU-ExtB"/>
    <w:panose1 w:val="02020503050405090304"/>
    <w:charset w:val="00"/>
    <w:family w:val="modern"/>
    <w:pitch w:val="default"/>
    <w:sig w:usb0="00000000" w:usb1="00000000" w:usb2="00000001" w:usb3="00000000" w:csb0="400001BF" w:csb1="DFF70000"/>
  </w:font>
  <w:font w:name="PMingLiU-ExtB">
    <w:panose1 w:val="02020500000000000000"/>
    <w:charset w:val="88"/>
    <w:family w:val="auto"/>
    <w:pitch w:val="default"/>
    <w:sig w:usb0="8000002F" w:usb1="02000008" w:usb2="00000000" w:usb3="00000000" w:csb0="00100001" w:csb1="00000000"/>
  </w:font>
  <w:font w:name="Wingdings 2">
    <w:altName w:val="Wingdings"/>
    <w:panose1 w:val="05020102010507070707"/>
    <w:charset w:val="02"/>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D2A57">
    <w:pPr>
      <w:pStyle w:val="41"/>
      <w:jc w:val="center"/>
      <w:rPr>
        <w:rFonts w:ascii="仿宋_GB2312" w:eastAsia="仿宋_GB2312"/>
      </w:rPr>
    </w:pPr>
  </w:p>
  <w:p w14:paraId="19629A25">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371CD">
    <w:pPr>
      <w:pStyle w:val="41"/>
      <w:jc w:val="center"/>
      <w:rPr>
        <w:rFonts w:ascii="仿宋_GB2312" w:eastAsia="仿宋_GB2312"/>
      </w:rPr>
    </w:pPr>
  </w:p>
  <w:p w14:paraId="182A1B44">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C2BA2">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E11AC">
                          <w:pPr>
                            <w:pStyle w:val="41"/>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C7E11AC">
                    <w:pPr>
                      <w:pStyle w:val="41"/>
                    </w:pPr>
                    <w:r>
                      <w:fldChar w:fldCharType="begin"/>
                    </w:r>
                    <w:r>
                      <w:instrText xml:space="preserve"> PAGE  \* MERGEFORMAT </w:instrText>
                    </w:r>
                    <w:r>
                      <w:fldChar w:fldCharType="separate"/>
                    </w:r>
                    <w:r>
                      <w:t>27</w:t>
                    </w:r>
                    <w:r>
                      <w:fldChar w:fldCharType="end"/>
                    </w:r>
                  </w:p>
                </w:txbxContent>
              </v:textbox>
            </v:shape>
          </w:pict>
        </mc:Fallback>
      </mc:AlternateContent>
    </w:r>
  </w:p>
  <w:p w14:paraId="02A7B5FE">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DB0E9">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E5F8C">
                          <w:pPr>
                            <w:pStyle w:val="41"/>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08AE5F8C">
                    <w:pPr>
                      <w:pStyle w:val="41"/>
                    </w:pPr>
                    <w:r>
                      <w:fldChar w:fldCharType="begin"/>
                    </w:r>
                    <w:r>
                      <w:instrText xml:space="preserve"> PAGE  \* MERGEFORMAT </w:instrText>
                    </w:r>
                    <w:r>
                      <w:fldChar w:fldCharType="separate"/>
                    </w:r>
                    <w:r>
                      <w:t>26</w:t>
                    </w:r>
                    <w:r>
                      <w:fldChar w:fldCharType="end"/>
                    </w:r>
                  </w:p>
                </w:txbxContent>
              </v:textbox>
            </v:shape>
          </w:pict>
        </mc:Fallback>
      </mc:AlternateContent>
    </w:r>
  </w:p>
  <w:p w14:paraId="266CE13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F1C87">
    <w:pPr>
      <w:pStyle w:val="41"/>
      <w:jc w:val="center"/>
      <w:rPr>
        <w:rFonts w:ascii="仿宋_GB2312" w:eastAsia="仿宋_GB2312"/>
        <w:szCs w:val="24"/>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F04504">
                          <w:pPr>
                            <w:pStyle w:val="41"/>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F04504">
                    <w:pPr>
                      <w:pStyle w:val="41"/>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3E359">
    <w:pPr>
      <w:pStyle w:val="41"/>
      <w:framePr w:wrap="around" w:vAnchor="text" w:hAnchor="margin" w:xAlign="right" w:y="1"/>
      <w:rPr>
        <w:rStyle w:val="72"/>
      </w:rPr>
    </w:pPr>
    <w:r>
      <w:fldChar w:fldCharType="begin"/>
    </w:r>
    <w:r>
      <w:rPr>
        <w:rStyle w:val="72"/>
      </w:rPr>
      <w:instrText xml:space="preserve">PAGE  </w:instrText>
    </w:r>
    <w:r>
      <w:fldChar w:fldCharType="end"/>
    </w:r>
  </w:p>
  <w:p w14:paraId="7E368F86">
    <w:pPr>
      <w:pStyle w:val="41"/>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89EE8">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3CC1EA">
                          <w:pPr>
                            <w:pStyle w:val="41"/>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13CC1EA">
                    <w:pPr>
                      <w:pStyle w:val="41"/>
                    </w:pPr>
                    <w:r>
                      <w:fldChar w:fldCharType="begin"/>
                    </w:r>
                    <w:r>
                      <w:instrText xml:space="preserve"> PAGE  \* MERGEFORMAT </w:instrText>
                    </w:r>
                    <w:r>
                      <w:fldChar w:fldCharType="separate"/>
                    </w:r>
                    <w:r>
                      <w:t>49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7A039">
    <w:pPr>
      <w:pStyle w:val="42"/>
      <w:jc w:val="left"/>
      <w:rPr>
        <w:rFonts w:ascii="仿宋_GB2312" w:eastAsia="仿宋_GB2312"/>
        <w:b/>
        <w:i/>
        <w:u w:val="single"/>
      </w:rPr>
    </w:pPr>
    <w:r>
      <w:rPr>
        <w:rFonts w:hint="eastAsia"/>
      </w:rPr>
      <w:t xml:space="preserve">   </w:t>
    </w:r>
  </w:p>
  <w:p w14:paraId="0BB3F945">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370F4">
    <w:pPr>
      <w:pStyle w:val="42"/>
      <w:pBdr>
        <w:bottom w:val="none" w:color="auto" w:sz="0" w:space="1"/>
      </w:pBdr>
      <w:jc w:val="right"/>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02F4B">
    <w:pPr>
      <w:pStyle w:val="42"/>
      <w:pBdr>
        <w:bottom w:val="none" w:color="auto" w:sz="0" w:space="1"/>
      </w:pBdr>
      <w:jc w:val="right"/>
      <w:rPr>
        <w:rFonts w:ascii="仿宋_GB2312" w:eastAsia="仿宋_GB2312"/>
        <w:b/>
        <w:i/>
        <w:iCs/>
        <w:u w:val="single"/>
      </w:rP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BC52E">
    <w:pPr>
      <w:pStyle w:val="42"/>
      <w:jc w:val="left"/>
      <w:rPr>
        <w:rFonts w:ascii="仿宋_GB2312" w:eastAsia="仿宋_GB2312"/>
        <w:b w:val="0"/>
        <w:i/>
        <w:sz w:val="18"/>
        <w:u w:val="single"/>
        <w:lang w:val="en-US"/>
      </w:rPr>
    </w:pPr>
  </w:p>
  <w:p w14:paraId="7AEC029E">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87001B"/>
    <w:multiLevelType w:val="singleLevel"/>
    <w:tmpl w:val="EB87001B"/>
    <w:lvl w:ilvl="0" w:tentative="0">
      <w:start w:val="4"/>
      <w:numFmt w:val="decimal"/>
      <w:lvlText w:val="%1."/>
      <w:lvlJc w:val="left"/>
      <w:pPr>
        <w:tabs>
          <w:tab w:val="left" w:pos="312"/>
        </w:tabs>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53208E"/>
    <w:multiLevelType w:val="singleLevel"/>
    <w:tmpl w:val="0053208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lNTNiMWI2MjkxZmJhNWViOWRmMzRiMGU4ZjQ4ZTIifQ=="/>
  </w:docVars>
  <w:rsids>
    <w:rsidRoot w:val="00172A27"/>
    <w:rsid w:val="00B34AC1"/>
    <w:rsid w:val="00FF47C1"/>
    <w:rsid w:val="011B78E4"/>
    <w:rsid w:val="012A6BDB"/>
    <w:rsid w:val="012D2227"/>
    <w:rsid w:val="013712F7"/>
    <w:rsid w:val="014E28AD"/>
    <w:rsid w:val="01731936"/>
    <w:rsid w:val="017E6F26"/>
    <w:rsid w:val="01B40563"/>
    <w:rsid w:val="01B42948"/>
    <w:rsid w:val="01CE57B8"/>
    <w:rsid w:val="01DF79C5"/>
    <w:rsid w:val="02025461"/>
    <w:rsid w:val="02572B53"/>
    <w:rsid w:val="026B74AB"/>
    <w:rsid w:val="02A4476B"/>
    <w:rsid w:val="02B349AE"/>
    <w:rsid w:val="02F85E46"/>
    <w:rsid w:val="031B1A0A"/>
    <w:rsid w:val="033176C9"/>
    <w:rsid w:val="033A6423"/>
    <w:rsid w:val="03537341"/>
    <w:rsid w:val="035A3F4A"/>
    <w:rsid w:val="03681C3C"/>
    <w:rsid w:val="03910FD6"/>
    <w:rsid w:val="0397158C"/>
    <w:rsid w:val="03A43768"/>
    <w:rsid w:val="03B35EB3"/>
    <w:rsid w:val="03BE0CEC"/>
    <w:rsid w:val="03C267A2"/>
    <w:rsid w:val="03CC3F79"/>
    <w:rsid w:val="03D1333D"/>
    <w:rsid w:val="03E2723E"/>
    <w:rsid w:val="04130155"/>
    <w:rsid w:val="046A27A9"/>
    <w:rsid w:val="0478689E"/>
    <w:rsid w:val="04914B02"/>
    <w:rsid w:val="04B0621C"/>
    <w:rsid w:val="0512299B"/>
    <w:rsid w:val="05785BDD"/>
    <w:rsid w:val="05CA44E8"/>
    <w:rsid w:val="05D47115"/>
    <w:rsid w:val="05F03280"/>
    <w:rsid w:val="060519C4"/>
    <w:rsid w:val="063A78C0"/>
    <w:rsid w:val="064029FC"/>
    <w:rsid w:val="06563AE1"/>
    <w:rsid w:val="066C57D4"/>
    <w:rsid w:val="068723D9"/>
    <w:rsid w:val="06A25D50"/>
    <w:rsid w:val="06B21FAE"/>
    <w:rsid w:val="07074D4B"/>
    <w:rsid w:val="070E6657"/>
    <w:rsid w:val="07470F48"/>
    <w:rsid w:val="07645999"/>
    <w:rsid w:val="077C1E70"/>
    <w:rsid w:val="077E558A"/>
    <w:rsid w:val="07852DBD"/>
    <w:rsid w:val="078A0D82"/>
    <w:rsid w:val="079554EC"/>
    <w:rsid w:val="07A64FBB"/>
    <w:rsid w:val="07B02F55"/>
    <w:rsid w:val="07F67C52"/>
    <w:rsid w:val="082320BB"/>
    <w:rsid w:val="083B1090"/>
    <w:rsid w:val="084367D4"/>
    <w:rsid w:val="08471E20"/>
    <w:rsid w:val="08CB596A"/>
    <w:rsid w:val="08DA0EE6"/>
    <w:rsid w:val="08E104C7"/>
    <w:rsid w:val="08E25E9D"/>
    <w:rsid w:val="08FD46E8"/>
    <w:rsid w:val="08FF6B9F"/>
    <w:rsid w:val="092108C3"/>
    <w:rsid w:val="09306D58"/>
    <w:rsid w:val="09436C00"/>
    <w:rsid w:val="09465165"/>
    <w:rsid w:val="097B2056"/>
    <w:rsid w:val="09842713"/>
    <w:rsid w:val="098827C8"/>
    <w:rsid w:val="099C619C"/>
    <w:rsid w:val="09D32D2B"/>
    <w:rsid w:val="0A1A3B9F"/>
    <w:rsid w:val="0A324109"/>
    <w:rsid w:val="0A3E54A5"/>
    <w:rsid w:val="0A950E17"/>
    <w:rsid w:val="0AA3355A"/>
    <w:rsid w:val="0AA96DC2"/>
    <w:rsid w:val="0AC97464"/>
    <w:rsid w:val="0B064214"/>
    <w:rsid w:val="0B065FC2"/>
    <w:rsid w:val="0B1B1595"/>
    <w:rsid w:val="0B412664"/>
    <w:rsid w:val="0B666A61"/>
    <w:rsid w:val="0B941820"/>
    <w:rsid w:val="0B9A495D"/>
    <w:rsid w:val="0BA70938"/>
    <w:rsid w:val="0BC727C6"/>
    <w:rsid w:val="0BD936D7"/>
    <w:rsid w:val="0BE455FE"/>
    <w:rsid w:val="0BED7182"/>
    <w:rsid w:val="0BEF07CB"/>
    <w:rsid w:val="0C1D1389"/>
    <w:rsid w:val="0C46551C"/>
    <w:rsid w:val="0C4F369E"/>
    <w:rsid w:val="0CEE4F60"/>
    <w:rsid w:val="0D411534"/>
    <w:rsid w:val="0D434693"/>
    <w:rsid w:val="0D532E09"/>
    <w:rsid w:val="0DAA6D09"/>
    <w:rsid w:val="0DC12675"/>
    <w:rsid w:val="0DFB7091"/>
    <w:rsid w:val="0E2A021A"/>
    <w:rsid w:val="0E3C6461"/>
    <w:rsid w:val="0E552DBD"/>
    <w:rsid w:val="0E771DFA"/>
    <w:rsid w:val="0E7C79F0"/>
    <w:rsid w:val="0EA94A2F"/>
    <w:rsid w:val="0F046FF2"/>
    <w:rsid w:val="0F096B8F"/>
    <w:rsid w:val="0F3A02DE"/>
    <w:rsid w:val="0F63063F"/>
    <w:rsid w:val="0F76123D"/>
    <w:rsid w:val="0FA81DE2"/>
    <w:rsid w:val="0FAB0EE6"/>
    <w:rsid w:val="0FB35FED"/>
    <w:rsid w:val="0FBF9BD6"/>
    <w:rsid w:val="0FD416B1"/>
    <w:rsid w:val="0FD6408A"/>
    <w:rsid w:val="0FEF171B"/>
    <w:rsid w:val="0FF64531"/>
    <w:rsid w:val="0FFD54BA"/>
    <w:rsid w:val="10861954"/>
    <w:rsid w:val="1092303F"/>
    <w:rsid w:val="10953945"/>
    <w:rsid w:val="114F1320"/>
    <w:rsid w:val="116E041E"/>
    <w:rsid w:val="118C679D"/>
    <w:rsid w:val="11A4040E"/>
    <w:rsid w:val="11AF4B82"/>
    <w:rsid w:val="12274A70"/>
    <w:rsid w:val="122A33BD"/>
    <w:rsid w:val="130628D8"/>
    <w:rsid w:val="132822F9"/>
    <w:rsid w:val="13712447"/>
    <w:rsid w:val="137A38FF"/>
    <w:rsid w:val="13904FC3"/>
    <w:rsid w:val="13A303FD"/>
    <w:rsid w:val="13E677A1"/>
    <w:rsid w:val="145E6E6F"/>
    <w:rsid w:val="14787805"/>
    <w:rsid w:val="147C5547"/>
    <w:rsid w:val="148166BA"/>
    <w:rsid w:val="14A449C1"/>
    <w:rsid w:val="14AD74AF"/>
    <w:rsid w:val="14B44CE1"/>
    <w:rsid w:val="14EF1875"/>
    <w:rsid w:val="152DC506"/>
    <w:rsid w:val="153951E6"/>
    <w:rsid w:val="155E6AD3"/>
    <w:rsid w:val="156009C5"/>
    <w:rsid w:val="15796B4E"/>
    <w:rsid w:val="158E3DE7"/>
    <w:rsid w:val="1598015F"/>
    <w:rsid w:val="15AB710C"/>
    <w:rsid w:val="165E747B"/>
    <w:rsid w:val="166167A3"/>
    <w:rsid w:val="16797378"/>
    <w:rsid w:val="16900E36"/>
    <w:rsid w:val="16A11295"/>
    <w:rsid w:val="16B56AEF"/>
    <w:rsid w:val="16BE59A3"/>
    <w:rsid w:val="1700420E"/>
    <w:rsid w:val="17070FBA"/>
    <w:rsid w:val="170D06D9"/>
    <w:rsid w:val="17397720"/>
    <w:rsid w:val="17435EA8"/>
    <w:rsid w:val="17544559"/>
    <w:rsid w:val="17740758"/>
    <w:rsid w:val="17991F6C"/>
    <w:rsid w:val="17DA25AD"/>
    <w:rsid w:val="17E10BD4"/>
    <w:rsid w:val="18272DAA"/>
    <w:rsid w:val="182A1A90"/>
    <w:rsid w:val="183E4E91"/>
    <w:rsid w:val="18736C61"/>
    <w:rsid w:val="18864252"/>
    <w:rsid w:val="18876269"/>
    <w:rsid w:val="18A46E1B"/>
    <w:rsid w:val="18CD4D57"/>
    <w:rsid w:val="18DC7CA7"/>
    <w:rsid w:val="18E60774"/>
    <w:rsid w:val="18FE652B"/>
    <w:rsid w:val="193463F1"/>
    <w:rsid w:val="193471C9"/>
    <w:rsid w:val="1941466A"/>
    <w:rsid w:val="19726F19"/>
    <w:rsid w:val="19803DDB"/>
    <w:rsid w:val="19BD7FA9"/>
    <w:rsid w:val="19C808E7"/>
    <w:rsid w:val="1A3E71E0"/>
    <w:rsid w:val="1A4833E8"/>
    <w:rsid w:val="1A491A28"/>
    <w:rsid w:val="1A736AA5"/>
    <w:rsid w:val="1B866CAC"/>
    <w:rsid w:val="1B8847D2"/>
    <w:rsid w:val="1BBA312A"/>
    <w:rsid w:val="1BF14E41"/>
    <w:rsid w:val="1BF22332"/>
    <w:rsid w:val="1C175669"/>
    <w:rsid w:val="1C930EB9"/>
    <w:rsid w:val="1CD13F56"/>
    <w:rsid w:val="1CD31A7D"/>
    <w:rsid w:val="1D1E0C8A"/>
    <w:rsid w:val="1D2300B7"/>
    <w:rsid w:val="1D291620"/>
    <w:rsid w:val="1D2F1C3B"/>
    <w:rsid w:val="1D2F75FB"/>
    <w:rsid w:val="1D6923E1"/>
    <w:rsid w:val="1D73025B"/>
    <w:rsid w:val="1D762F10"/>
    <w:rsid w:val="1D8F0099"/>
    <w:rsid w:val="1DB01DBE"/>
    <w:rsid w:val="1DD51824"/>
    <w:rsid w:val="1DDF1B3A"/>
    <w:rsid w:val="1E1660C5"/>
    <w:rsid w:val="1E2A1B70"/>
    <w:rsid w:val="1E94348E"/>
    <w:rsid w:val="1E9A15B7"/>
    <w:rsid w:val="1E9D3052"/>
    <w:rsid w:val="1EC03BAC"/>
    <w:rsid w:val="1ED55F80"/>
    <w:rsid w:val="1F0417E7"/>
    <w:rsid w:val="1F0B1394"/>
    <w:rsid w:val="1F1C3BAF"/>
    <w:rsid w:val="1F234F3D"/>
    <w:rsid w:val="1F272C96"/>
    <w:rsid w:val="1F274302"/>
    <w:rsid w:val="1F59201C"/>
    <w:rsid w:val="1F780DC2"/>
    <w:rsid w:val="1F7C363A"/>
    <w:rsid w:val="200750AC"/>
    <w:rsid w:val="2020147D"/>
    <w:rsid w:val="204643F8"/>
    <w:rsid w:val="2059673D"/>
    <w:rsid w:val="20692E24"/>
    <w:rsid w:val="20717F2A"/>
    <w:rsid w:val="207215AC"/>
    <w:rsid w:val="20781741"/>
    <w:rsid w:val="20887022"/>
    <w:rsid w:val="209239FD"/>
    <w:rsid w:val="20AD0A3C"/>
    <w:rsid w:val="20CB0BD0"/>
    <w:rsid w:val="21274A8D"/>
    <w:rsid w:val="2149055F"/>
    <w:rsid w:val="214B4867"/>
    <w:rsid w:val="215B0647"/>
    <w:rsid w:val="215D04AF"/>
    <w:rsid w:val="21AB2FC8"/>
    <w:rsid w:val="21AF0D0A"/>
    <w:rsid w:val="21B16C08"/>
    <w:rsid w:val="21D342CD"/>
    <w:rsid w:val="22237360"/>
    <w:rsid w:val="22286CD5"/>
    <w:rsid w:val="222C5B8B"/>
    <w:rsid w:val="22327245"/>
    <w:rsid w:val="223E5BEA"/>
    <w:rsid w:val="22460F43"/>
    <w:rsid w:val="229972C4"/>
    <w:rsid w:val="22A46395"/>
    <w:rsid w:val="22C04851"/>
    <w:rsid w:val="22C82B96"/>
    <w:rsid w:val="22D92F66"/>
    <w:rsid w:val="22DB5B2F"/>
    <w:rsid w:val="22F844C9"/>
    <w:rsid w:val="23046E34"/>
    <w:rsid w:val="230706D2"/>
    <w:rsid w:val="2322375E"/>
    <w:rsid w:val="235002CB"/>
    <w:rsid w:val="235F22BC"/>
    <w:rsid w:val="23696C97"/>
    <w:rsid w:val="239913B5"/>
    <w:rsid w:val="239C706C"/>
    <w:rsid w:val="23A27F0E"/>
    <w:rsid w:val="23A93537"/>
    <w:rsid w:val="23C6233B"/>
    <w:rsid w:val="242B221D"/>
    <w:rsid w:val="242C3C7B"/>
    <w:rsid w:val="242E465A"/>
    <w:rsid w:val="24432E15"/>
    <w:rsid w:val="24443260"/>
    <w:rsid w:val="2467693F"/>
    <w:rsid w:val="24870315"/>
    <w:rsid w:val="24B25078"/>
    <w:rsid w:val="24C32302"/>
    <w:rsid w:val="24F61A6A"/>
    <w:rsid w:val="2500187D"/>
    <w:rsid w:val="252512E3"/>
    <w:rsid w:val="25310FEB"/>
    <w:rsid w:val="25C9131B"/>
    <w:rsid w:val="26487037"/>
    <w:rsid w:val="264B2FCC"/>
    <w:rsid w:val="2659489A"/>
    <w:rsid w:val="268C261C"/>
    <w:rsid w:val="268F4C66"/>
    <w:rsid w:val="269F0C21"/>
    <w:rsid w:val="26ED5E31"/>
    <w:rsid w:val="26FB3D55"/>
    <w:rsid w:val="271D6716"/>
    <w:rsid w:val="27551F4C"/>
    <w:rsid w:val="275C3465"/>
    <w:rsid w:val="276339D3"/>
    <w:rsid w:val="27895E51"/>
    <w:rsid w:val="278E4F1E"/>
    <w:rsid w:val="27983FEE"/>
    <w:rsid w:val="2798746D"/>
    <w:rsid w:val="27A31E9C"/>
    <w:rsid w:val="27B4D17C"/>
    <w:rsid w:val="27C80B7B"/>
    <w:rsid w:val="280E0EF6"/>
    <w:rsid w:val="28176278"/>
    <w:rsid w:val="28245395"/>
    <w:rsid w:val="28595F19"/>
    <w:rsid w:val="287A00D4"/>
    <w:rsid w:val="28911331"/>
    <w:rsid w:val="28924EE2"/>
    <w:rsid w:val="294D7EAC"/>
    <w:rsid w:val="296C74E1"/>
    <w:rsid w:val="297168A5"/>
    <w:rsid w:val="29733D0B"/>
    <w:rsid w:val="297D524A"/>
    <w:rsid w:val="298365D8"/>
    <w:rsid w:val="2985212C"/>
    <w:rsid w:val="29916CC9"/>
    <w:rsid w:val="29A502DB"/>
    <w:rsid w:val="29B50E88"/>
    <w:rsid w:val="29D54782"/>
    <w:rsid w:val="29FD282F"/>
    <w:rsid w:val="29FF0355"/>
    <w:rsid w:val="2A281FC1"/>
    <w:rsid w:val="2A2C466D"/>
    <w:rsid w:val="2A465F84"/>
    <w:rsid w:val="2A587E6A"/>
    <w:rsid w:val="2A97058D"/>
    <w:rsid w:val="2AA333D6"/>
    <w:rsid w:val="2AC33130"/>
    <w:rsid w:val="2AC95D2C"/>
    <w:rsid w:val="2ACB46DB"/>
    <w:rsid w:val="2B114234"/>
    <w:rsid w:val="2B195446"/>
    <w:rsid w:val="2B1C5C3D"/>
    <w:rsid w:val="2B2966E6"/>
    <w:rsid w:val="2B3B0DBE"/>
    <w:rsid w:val="2B514F38"/>
    <w:rsid w:val="2B747EB1"/>
    <w:rsid w:val="2B82123D"/>
    <w:rsid w:val="2BA271EA"/>
    <w:rsid w:val="2BA61558"/>
    <w:rsid w:val="2BA77B9F"/>
    <w:rsid w:val="2BB745DB"/>
    <w:rsid w:val="2BE538F2"/>
    <w:rsid w:val="2BFA48EE"/>
    <w:rsid w:val="2BFF89C9"/>
    <w:rsid w:val="2C054218"/>
    <w:rsid w:val="2C0C6D59"/>
    <w:rsid w:val="2C1F6A8C"/>
    <w:rsid w:val="2C330E69"/>
    <w:rsid w:val="2C622E1D"/>
    <w:rsid w:val="2C844B41"/>
    <w:rsid w:val="2D0363AE"/>
    <w:rsid w:val="2D1A7254"/>
    <w:rsid w:val="2D393907"/>
    <w:rsid w:val="2D611E73"/>
    <w:rsid w:val="2DAB3E52"/>
    <w:rsid w:val="2DCE3898"/>
    <w:rsid w:val="2DEA72B8"/>
    <w:rsid w:val="2DEF41AB"/>
    <w:rsid w:val="2DF9330D"/>
    <w:rsid w:val="2E153E47"/>
    <w:rsid w:val="2E5365C6"/>
    <w:rsid w:val="2E6B020F"/>
    <w:rsid w:val="2E8157DC"/>
    <w:rsid w:val="2E846E3C"/>
    <w:rsid w:val="2E8B4AAB"/>
    <w:rsid w:val="2EBA484A"/>
    <w:rsid w:val="2EC92CDF"/>
    <w:rsid w:val="2ECA0DA1"/>
    <w:rsid w:val="2EDC2A13"/>
    <w:rsid w:val="2EDF188A"/>
    <w:rsid w:val="2F051FC5"/>
    <w:rsid w:val="2F2A1380"/>
    <w:rsid w:val="2F971D7D"/>
    <w:rsid w:val="2FA90412"/>
    <w:rsid w:val="2FAD43AF"/>
    <w:rsid w:val="2FB361F0"/>
    <w:rsid w:val="2FBB213D"/>
    <w:rsid w:val="2FE0392F"/>
    <w:rsid w:val="2FFD4A0C"/>
    <w:rsid w:val="30406FD1"/>
    <w:rsid w:val="309A4933"/>
    <w:rsid w:val="30C6397A"/>
    <w:rsid w:val="30CD01D9"/>
    <w:rsid w:val="30D758A6"/>
    <w:rsid w:val="30DF2C8E"/>
    <w:rsid w:val="311A1F18"/>
    <w:rsid w:val="31301F8B"/>
    <w:rsid w:val="31376626"/>
    <w:rsid w:val="31411253"/>
    <w:rsid w:val="315216B2"/>
    <w:rsid w:val="317B75D7"/>
    <w:rsid w:val="31815AF3"/>
    <w:rsid w:val="31C12394"/>
    <w:rsid w:val="31CC3212"/>
    <w:rsid w:val="31F14A27"/>
    <w:rsid w:val="325154C6"/>
    <w:rsid w:val="327A6CA9"/>
    <w:rsid w:val="32814191"/>
    <w:rsid w:val="328C0BF4"/>
    <w:rsid w:val="32A87D40"/>
    <w:rsid w:val="32C330EE"/>
    <w:rsid w:val="332A4581"/>
    <w:rsid w:val="334A2505"/>
    <w:rsid w:val="33536F6E"/>
    <w:rsid w:val="33AA3BD3"/>
    <w:rsid w:val="33B77F13"/>
    <w:rsid w:val="33BB353F"/>
    <w:rsid w:val="33EB4795"/>
    <w:rsid w:val="3431735D"/>
    <w:rsid w:val="3454129D"/>
    <w:rsid w:val="345B535D"/>
    <w:rsid w:val="346445BC"/>
    <w:rsid w:val="34C44675"/>
    <w:rsid w:val="34FB7470"/>
    <w:rsid w:val="350D32F3"/>
    <w:rsid w:val="35187000"/>
    <w:rsid w:val="351C625F"/>
    <w:rsid w:val="35337105"/>
    <w:rsid w:val="353F1F4D"/>
    <w:rsid w:val="3550415A"/>
    <w:rsid w:val="35647C06"/>
    <w:rsid w:val="359E4EC6"/>
    <w:rsid w:val="363E3FB3"/>
    <w:rsid w:val="364517E5"/>
    <w:rsid w:val="365332EA"/>
    <w:rsid w:val="36DA376C"/>
    <w:rsid w:val="36DB3EF8"/>
    <w:rsid w:val="36F31241"/>
    <w:rsid w:val="37076A9B"/>
    <w:rsid w:val="37092813"/>
    <w:rsid w:val="37443B2D"/>
    <w:rsid w:val="37863E63"/>
    <w:rsid w:val="37DC00A4"/>
    <w:rsid w:val="37EC4555"/>
    <w:rsid w:val="37EF1A09"/>
    <w:rsid w:val="381E0C74"/>
    <w:rsid w:val="38606463"/>
    <w:rsid w:val="38797524"/>
    <w:rsid w:val="3881462B"/>
    <w:rsid w:val="388C7258"/>
    <w:rsid w:val="389E6F8B"/>
    <w:rsid w:val="38AE355A"/>
    <w:rsid w:val="38BE5886"/>
    <w:rsid w:val="38E2085E"/>
    <w:rsid w:val="38F2046B"/>
    <w:rsid w:val="391E6CA0"/>
    <w:rsid w:val="395D29A2"/>
    <w:rsid w:val="3974760A"/>
    <w:rsid w:val="39785A2E"/>
    <w:rsid w:val="3985506D"/>
    <w:rsid w:val="398C119A"/>
    <w:rsid w:val="39912D3E"/>
    <w:rsid w:val="39E6508D"/>
    <w:rsid w:val="39F96B6F"/>
    <w:rsid w:val="3A141A1A"/>
    <w:rsid w:val="3A334E5D"/>
    <w:rsid w:val="3A7A5D7E"/>
    <w:rsid w:val="3A9643BE"/>
    <w:rsid w:val="3A9E734E"/>
    <w:rsid w:val="3AA54601"/>
    <w:rsid w:val="3ADC3D9A"/>
    <w:rsid w:val="3AFC57B7"/>
    <w:rsid w:val="3B031646"/>
    <w:rsid w:val="3B4B5FDE"/>
    <w:rsid w:val="3B516536"/>
    <w:rsid w:val="3B590826"/>
    <w:rsid w:val="3B5F5322"/>
    <w:rsid w:val="3B854432"/>
    <w:rsid w:val="3B883620"/>
    <w:rsid w:val="3B9823B7"/>
    <w:rsid w:val="3BAF0FED"/>
    <w:rsid w:val="3C277297"/>
    <w:rsid w:val="3C574020"/>
    <w:rsid w:val="3C5F2ED5"/>
    <w:rsid w:val="3C7C5835"/>
    <w:rsid w:val="3CCD54F2"/>
    <w:rsid w:val="3CCF1E09"/>
    <w:rsid w:val="3CD27D44"/>
    <w:rsid w:val="3CFB0E50"/>
    <w:rsid w:val="3D01041E"/>
    <w:rsid w:val="3D031AB2"/>
    <w:rsid w:val="3D18555E"/>
    <w:rsid w:val="3D2A69F0"/>
    <w:rsid w:val="3D3554F7"/>
    <w:rsid w:val="3D3954D4"/>
    <w:rsid w:val="3D3D6E92"/>
    <w:rsid w:val="3D4F2F4A"/>
    <w:rsid w:val="3D5B369C"/>
    <w:rsid w:val="3D684A0B"/>
    <w:rsid w:val="3D7306E9"/>
    <w:rsid w:val="3DAC6EDB"/>
    <w:rsid w:val="3DB01584"/>
    <w:rsid w:val="3DC56E57"/>
    <w:rsid w:val="3E0A124F"/>
    <w:rsid w:val="3E133F77"/>
    <w:rsid w:val="3E705A59"/>
    <w:rsid w:val="3E956359"/>
    <w:rsid w:val="3E9C59B1"/>
    <w:rsid w:val="3EB2553E"/>
    <w:rsid w:val="3EBE9823"/>
    <w:rsid w:val="3EC201C7"/>
    <w:rsid w:val="3ED90D1D"/>
    <w:rsid w:val="3EDE27D7"/>
    <w:rsid w:val="3EE01D9D"/>
    <w:rsid w:val="3EFBB40A"/>
    <w:rsid w:val="3F0B7643"/>
    <w:rsid w:val="3F0D17FF"/>
    <w:rsid w:val="3F23EFB0"/>
    <w:rsid w:val="3F3B5D44"/>
    <w:rsid w:val="3F97003A"/>
    <w:rsid w:val="3FBDBEDF"/>
    <w:rsid w:val="3FBF3CE2"/>
    <w:rsid w:val="3FCA1921"/>
    <w:rsid w:val="3FEB52B2"/>
    <w:rsid w:val="3FF9878C"/>
    <w:rsid w:val="3FFBB338"/>
    <w:rsid w:val="400766F2"/>
    <w:rsid w:val="400B3158"/>
    <w:rsid w:val="40354679"/>
    <w:rsid w:val="40442B0E"/>
    <w:rsid w:val="405B6F2C"/>
    <w:rsid w:val="407C5E04"/>
    <w:rsid w:val="408569C9"/>
    <w:rsid w:val="40DA4F12"/>
    <w:rsid w:val="40F97EBF"/>
    <w:rsid w:val="410E678B"/>
    <w:rsid w:val="411575E1"/>
    <w:rsid w:val="412C782A"/>
    <w:rsid w:val="41524DB6"/>
    <w:rsid w:val="41534404"/>
    <w:rsid w:val="41815E93"/>
    <w:rsid w:val="41854814"/>
    <w:rsid w:val="41AC4782"/>
    <w:rsid w:val="41AE46E3"/>
    <w:rsid w:val="41C9353A"/>
    <w:rsid w:val="41CA1806"/>
    <w:rsid w:val="41D659E7"/>
    <w:rsid w:val="42004812"/>
    <w:rsid w:val="4205007B"/>
    <w:rsid w:val="422C5607"/>
    <w:rsid w:val="42334BE8"/>
    <w:rsid w:val="425312C5"/>
    <w:rsid w:val="427E60E8"/>
    <w:rsid w:val="42810851"/>
    <w:rsid w:val="42997141"/>
    <w:rsid w:val="42A76FC5"/>
    <w:rsid w:val="42F308B1"/>
    <w:rsid w:val="432A3542"/>
    <w:rsid w:val="4364559D"/>
    <w:rsid w:val="4366367B"/>
    <w:rsid w:val="439C62D0"/>
    <w:rsid w:val="439F6C52"/>
    <w:rsid w:val="43C23BF4"/>
    <w:rsid w:val="44095C00"/>
    <w:rsid w:val="44137C90"/>
    <w:rsid w:val="447050CA"/>
    <w:rsid w:val="449C6A74"/>
    <w:rsid w:val="44C164DB"/>
    <w:rsid w:val="44F22952"/>
    <w:rsid w:val="453C3C29"/>
    <w:rsid w:val="453E7B2C"/>
    <w:rsid w:val="45667082"/>
    <w:rsid w:val="457B225A"/>
    <w:rsid w:val="4588349D"/>
    <w:rsid w:val="459534C4"/>
    <w:rsid w:val="45C42C62"/>
    <w:rsid w:val="45D1274E"/>
    <w:rsid w:val="45DB537A"/>
    <w:rsid w:val="45E06E35"/>
    <w:rsid w:val="45E07589"/>
    <w:rsid w:val="45E83F3B"/>
    <w:rsid w:val="45F34DBA"/>
    <w:rsid w:val="46017D10"/>
    <w:rsid w:val="460C0745"/>
    <w:rsid w:val="465313B5"/>
    <w:rsid w:val="467557CF"/>
    <w:rsid w:val="46B341C0"/>
    <w:rsid w:val="46C16C66"/>
    <w:rsid w:val="472035D2"/>
    <w:rsid w:val="475C79A2"/>
    <w:rsid w:val="477041E8"/>
    <w:rsid w:val="477F442B"/>
    <w:rsid w:val="47856107"/>
    <w:rsid w:val="479F0B82"/>
    <w:rsid w:val="47AB19BB"/>
    <w:rsid w:val="47AD75EE"/>
    <w:rsid w:val="47C562E2"/>
    <w:rsid w:val="47D06CCE"/>
    <w:rsid w:val="48014FD4"/>
    <w:rsid w:val="483F42E6"/>
    <w:rsid w:val="48743864"/>
    <w:rsid w:val="48C71E90"/>
    <w:rsid w:val="48C72BD1"/>
    <w:rsid w:val="48D662CD"/>
    <w:rsid w:val="48F1714A"/>
    <w:rsid w:val="49320E3E"/>
    <w:rsid w:val="495A0CAC"/>
    <w:rsid w:val="49610C37"/>
    <w:rsid w:val="497A4912"/>
    <w:rsid w:val="49926698"/>
    <w:rsid w:val="4A9F106C"/>
    <w:rsid w:val="4AEC145A"/>
    <w:rsid w:val="4AF84C20"/>
    <w:rsid w:val="4AFEE7AA"/>
    <w:rsid w:val="4B3B24B9"/>
    <w:rsid w:val="4B3D6AD7"/>
    <w:rsid w:val="4B4B4D50"/>
    <w:rsid w:val="4B4F76A7"/>
    <w:rsid w:val="4B7A70E2"/>
    <w:rsid w:val="4B9756AD"/>
    <w:rsid w:val="4B9E2CE6"/>
    <w:rsid w:val="4BC35604"/>
    <w:rsid w:val="4BDE5BC4"/>
    <w:rsid w:val="4BFFEA39"/>
    <w:rsid w:val="4C074502"/>
    <w:rsid w:val="4C0D2022"/>
    <w:rsid w:val="4C3B0461"/>
    <w:rsid w:val="4C5F2E23"/>
    <w:rsid w:val="4C621D61"/>
    <w:rsid w:val="4C6656CD"/>
    <w:rsid w:val="4C746661"/>
    <w:rsid w:val="4C79300D"/>
    <w:rsid w:val="4C83676C"/>
    <w:rsid w:val="4C9170DB"/>
    <w:rsid w:val="4C9335FB"/>
    <w:rsid w:val="4C9A3AC9"/>
    <w:rsid w:val="4CA47FA3"/>
    <w:rsid w:val="4CAE465E"/>
    <w:rsid w:val="4CC0176E"/>
    <w:rsid w:val="4CCA52D3"/>
    <w:rsid w:val="4CD62D3F"/>
    <w:rsid w:val="4CED0E58"/>
    <w:rsid w:val="4D0F7FFF"/>
    <w:rsid w:val="4D106251"/>
    <w:rsid w:val="4D2832EB"/>
    <w:rsid w:val="4D330192"/>
    <w:rsid w:val="4D381304"/>
    <w:rsid w:val="4D8101C6"/>
    <w:rsid w:val="4DA42E3E"/>
    <w:rsid w:val="4DAB514A"/>
    <w:rsid w:val="4DB841F3"/>
    <w:rsid w:val="4DBC3CE3"/>
    <w:rsid w:val="4DFA07FF"/>
    <w:rsid w:val="4DFBCC78"/>
    <w:rsid w:val="4E202280"/>
    <w:rsid w:val="4E593C28"/>
    <w:rsid w:val="4E6B6615"/>
    <w:rsid w:val="4ECA68D4"/>
    <w:rsid w:val="4ED269B9"/>
    <w:rsid w:val="4EE23C1E"/>
    <w:rsid w:val="4F0E4A13"/>
    <w:rsid w:val="4F0F2539"/>
    <w:rsid w:val="4F3B26EA"/>
    <w:rsid w:val="4F4B3D85"/>
    <w:rsid w:val="4FCF6920"/>
    <w:rsid w:val="4FD84D55"/>
    <w:rsid w:val="4FF20C57"/>
    <w:rsid w:val="4FF5172F"/>
    <w:rsid w:val="503264DF"/>
    <w:rsid w:val="50451354"/>
    <w:rsid w:val="505C768D"/>
    <w:rsid w:val="507C7C38"/>
    <w:rsid w:val="50E84DEF"/>
    <w:rsid w:val="50F70D61"/>
    <w:rsid w:val="51112598"/>
    <w:rsid w:val="51167BAE"/>
    <w:rsid w:val="5122646C"/>
    <w:rsid w:val="51257DF2"/>
    <w:rsid w:val="513F0082"/>
    <w:rsid w:val="516C3C72"/>
    <w:rsid w:val="516C5A20"/>
    <w:rsid w:val="51B573C7"/>
    <w:rsid w:val="51BE40A2"/>
    <w:rsid w:val="51E41A5B"/>
    <w:rsid w:val="520357F6"/>
    <w:rsid w:val="523ABEE3"/>
    <w:rsid w:val="523F4EE3"/>
    <w:rsid w:val="525F10E1"/>
    <w:rsid w:val="52BE22AC"/>
    <w:rsid w:val="52D153E1"/>
    <w:rsid w:val="52DC0984"/>
    <w:rsid w:val="52DF37D5"/>
    <w:rsid w:val="53095004"/>
    <w:rsid w:val="531603B6"/>
    <w:rsid w:val="534D43D7"/>
    <w:rsid w:val="535D7D17"/>
    <w:rsid w:val="537B1F4B"/>
    <w:rsid w:val="538708F0"/>
    <w:rsid w:val="538A1F90"/>
    <w:rsid w:val="53B042EA"/>
    <w:rsid w:val="53B107DB"/>
    <w:rsid w:val="53C90F08"/>
    <w:rsid w:val="53CA4102"/>
    <w:rsid w:val="53CD4284"/>
    <w:rsid w:val="53CE4770"/>
    <w:rsid w:val="53D278B5"/>
    <w:rsid w:val="53D53D51"/>
    <w:rsid w:val="53DE3680"/>
    <w:rsid w:val="53EE7EBD"/>
    <w:rsid w:val="54161C73"/>
    <w:rsid w:val="54190C85"/>
    <w:rsid w:val="545F21A9"/>
    <w:rsid w:val="549A0AF6"/>
    <w:rsid w:val="54A23691"/>
    <w:rsid w:val="54BE6593"/>
    <w:rsid w:val="54D1276A"/>
    <w:rsid w:val="54F5478A"/>
    <w:rsid w:val="5540344C"/>
    <w:rsid w:val="55456CB4"/>
    <w:rsid w:val="554A7E27"/>
    <w:rsid w:val="557B0928"/>
    <w:rsid w:val="5591749D"/>
    <w:rsid w:val="55AF412E"/>
    <w:rsid w:val="55BB5498"/>
    <w:rsid w:val="55C73B6D"/>
    <w:rsid w:val="55E97640"/>
    <w:rsid w:val="562D62EF"/>
    <w:rsid w:val="563665FD"/>
    <w:rsid w:val="56646BDD"/>
    <w:rsid w:val="5675326A"/>
    <w:rsid w:val="567B7A0D"/>
    <w:rsid w:val="56981066"/>
    <w:rsid w:val="56A7BAF1"/>
    <w:rsid w:val="56D27CC5"/>
    <w:rsid w:val="56E322E1"/>
    <w:rsid w:val="57266671"/>
    <w:rsid w:val="573174F0"/>
    <w:rsid w:val="576D2C6B"/>
    <w:rsid w:val="57723665"/>
    <w:rsid w:val="57A31A70"/>
    <w:rsid w:val="57CF6A2F"/>
    <w:rsid w:val="57DD4F82"/>
    <w:rsid w:val="585103F5"/>
    <w:rsid w:val="58533496"/>
    <w:rsid w:val="585711D8"/>
    <w:rsid w:val="58606AF0"/>
    <w:rsid w:val="58D028C0"/>
    <w:rsid w:val="58ED38EB"/>
    <w:rsid w:val="593E5EF4"/>
    <w:rsid w:val="59520BF7"/>
    <w:rsid w:val="59770627"/>
    <w:rsid w:val="5982104A"/>
    <w:rsid w:val="598D29D8"/>
    <w:rsid w:val="59FB2037"/>
    <w:rsid w:val="5A130056"/>
    <w:rsid w:val="5A880B9D"/>
    <w:rsid w:val="5A9E28C7"/>
    <w:rsid w:val="5AF423C3"/>
    <w:rsid w:val="5B2335F4"/>
    <w:rsid w:val="5B322515"/>
    <w:rsid w:val="5B394BC5"/>
    <w:rsid w:val="5B501F0F"/>
    <w:rsid w:val="5B5E3E3E"/>
    <w:rsid w:val="5B6E42E3"/>
    <w:rsid w:val="5B717BEA"/>
    <w:rsid w:val="5BC57B50"/>
    <w:rsid w:val="5BDD2A9F"/>
    <w:rsid w:val="5BE06819"/>
    <w:rsid w:val="5BE851B4"/>
    <w:rsid w:val="5BF14F23"/>
    <w:rsid w:val="5C1C6A7E"/>
    <w:rsid w:val="5C1D5B1C"/>
    <w:rsid w:val="5C1E5D13"/>
    <w:rsid w:val="5C5F2610"/>
    <w:rsid w:val="5CB5C397"/>
    <w:rsid w:val="5CD379A9"/>
    <w:rsid w:val="5CED6182"/>
    <w:rsid w:val="5D0B07E3"/>
    <w:rsid w:val="5D2031A1"/>
    <w:rsid w:val="5D2E002E"/>
    <w:rsid w:val="5D2F0E85"/>
    <w:rsid w:val="5D3A2E77"/>
    <w:rsid w:val="5D6677C8"/>
    <w:rsid w:val="5D6A4387"/>
    <w:rsid w:val="5D8258D8"/>
    <w:rsid w:val="5DAC0E28"/>
    <w:rsid w:val="5DFF7EC9"/>
    <w:rsid w:val="5E24275D"/>
    <w:rsid w:val="5E2F7D75"/>
    <w:rsid w:val="5E341674"/>
    <w:rsid w:val="5E3D4525"/>
    <w:rsid w:val="5E473A9D"/>
    <w:rsid w:val="5E554891"/>
    <w:rsid w:val="5E7843C5"/>
    <w:rsid w:val="5EE27322"/>
    <w:rsid w:val="5EE31044"/>
    <w:rsid w:val="5EF595D7"/>
    <w:rsid w:val="5F0059FA"/>
    <w:rsid w:val="5F0454EA"/>
    <w:rsid w:val="5F131BD1"/>
    <w:rsid w:val="5F396D54"/>
    <w:rsid w:val="5F447FDD"/>
    <w:rsid w:val="5F561B6F"/>
    <w:rsid w:val="5F571A27"/>
    <w:rsid w:val="5F57E5CA"/>
    <w:rsid w:val="5F5F6BC4"/>
    <w:rsid w:val="5F795ED8"/>
    <w:rsid w:val="5F9C1BC7"/>
    <w:rsid w:val="5FB5358F"/>
    <w:rsid w:val="5FB94527"/>
    <w:rsid w:val="5FBB2837"/>
    <w:rsid w:val="5FCA2158"/>
    <w:rsid w:val="5FE7AC00"/>
    <w:rsid w:val="5FEF0A80"/>
    <w:rsid w:val="601F2285"/>
    <w:rsid w:val="60BEC41F"/>
    <w:rsid w:val="60D62EB6"/>
    <w:rsid w:val="60F31CBA"/>
    <w:rsid w:val="60F35816"/>
    <w:rsid w:val="60FF240D"/>
    <w:rsid w:val="61021EFD"/>
    <w:rsid w:val="613100ED"/>
    <w:rsid w:val="61C61AE6"/>
    <w:rsid w:val="61D90EB0"/>
    <w:rsid w:val="61EF537D"/>
    <w:rsid w:val="62382A94"/>
    <w:rsid w:val="623B7475"/>
    <w:rsid w:val="626544F2"/>
    <w:rsid w:val="627C7262"/>
    <w:rsid w:val="62B4458F"/>
    <w:rsid w:val="62BD2580"/>
    <w:rsid w:val="62D31A4C"/>
    <w:rsid w:val="62D869EC"/>
    <w:rsid w:val="62F13654"/>
    <w:rsid w:val="63116428"/>
    <w:rsid w:val="63493BD5"/>
    <w:rsid w:val="634B193A"/>
    <w:rsid w:val="6353510B"/>
    <w:rsid w:val="63554566"/>
    <w:rsid w:val="63B35731"/>
    <w:rsid w:val="63BC514E"/>
    <w:rsid w:val="6416125B"/>
    <w:rsid w:val="6461518D"/>
    <w:rsid w:val="647C5B23"/>
    <w:rsid w:val="64C51278"/>
    <w:rsid w:val="653077B7"/>
    <w:rsid w:val="65444B6A"/>
    <w:rsid w:val="655C7215"/>
    <w:rsid w:val="656C5B97"/>
    <w:rsid w:val="65F938CF"/>
    <w:rsid w:val="65FF6A0B"/>
    <w:rsid w:val="661E3335"/>
    <w:rsid w:val="663D275F"/>
    <w:rsid w:val="664803B2"/>
    <w:rsid w:val="666176C6"/>
    <w:rsid w:val="669C35D3"/>
    <w:rsid w:val="669E6224"/>
    <w:rsid w:val="66D4213A"/>
    <w:rsid w:val="66F33D28"/>
    <w:rsid w:val="66FA39C2"/>
    <w:rsid w:val="67345EA6"/>
    <w:rsid w:val="674072DB"/>
    <w:rsid w:val="67C41CBB"/>
    <w:rsid w:val="67C65A33"/>
    <w:rsid w:val="67E01FDE"/>
    <w:rsid w:val="67E759A9"/>
    <w:rsid w:val="681B1687"/>
    <w:rsid w:val="682D4F2F"/>
    <w:rsid w:val="68330BEE"/>
    <w:rsid w:val="68332888"/>
    <w:rsid w:val="685C1EF3"/>
    <w:rsid w:val="688A2F04"/>
    <w:rsid w:val="68A815DC"/>
    <w:rsid w:val="68AB69D7"/>
    <w:rsid w:val="68D26659"/>
    <w:rsid w:val="68F4225D"/>
    <w:rsid w:val="69665F6D"/>
    <w:rsid w:val="69B143EF"/>
    <w:rsid w:val="69F06D97"/>
    <w:rsid w:val="6A1A02B8"/>
    <w:rsid w:val="6A1D3904"/>
    <w:rsid w:val="6A222CC8"/>
    <w:rsid w:val="6A2A1419"/>
    <w:rsid w:val="6A5A4B58"/>
    <w:rsid w:val="6A6D03E7"/>
    <w:rsid w:val="6AAB7162"/>
    <w:rsid w:val="6AB25720"/>
    <w:rsid w:val="6ABF12C5"/>
    <w:rsid w:val="6AE38D72"/>
    <w:rsid w:val="6AEA7541"/>
    <w:rsid w:val="6B19314A"/>
    <w:rsid w:val="6B290F6C"/>
    <w:rsid w:val="6B361121"/>
    <w:rsid w:val="6B5E41D4"/>
    <w:rsid w:val="6B6A05EB"/>
    <w:rsid w:val="6B6A0DCB"/>
    <w:rsid w:val="6B7D7CB3"/>
    <w:rsid w:val="6B7F5892"/>
    <w:rsid w:val="6B8E2D0B"/>
    <w:rsid w:val="6BAB022C"/>
    <w:rsid w:val="6BAC75D4"/>
    <w:rsid w:val="6BAF4543"/>
    <w:rsid w:val="6BBD714D"/>
    <w:rsid w:val="6BD23797"/>
    <w:rsid w:val="6C5DBC20"/>
    <w:rsid w:val="6CB30550"/>
    <w:rsid w:val="6CB467A2"/>
    <w:rsid w:val="6CE32BE3"/>
    <w:rsid w:val="6D0446EE"/>
    <w:rsid w:val="6D3451EC"/>
    <w:rsid w:val="6D3B4F62"/>
    <w:rsid w:val="6D5A4168"/>
    <w:rsid w:val="6D6A6E60"/>
    <w:rsid w:val="6D793547"/>
    <w:rsid w:val="6D8F7B19"/>
    <w:rsid w:val="6D9739CD"/>
    <w:rsid w:val="6DB4178C"/>
    <w:rsid w:val="6DB602F7"/>
    <w:rsid w:val="6DF215A4"/>
    <w:rsid w:val="6DF332FA"/>
    <w:rsid w:val="6E0077C5"/>
    <w:rsid w:val="6E11552E"/>
    <w:rsid w:val="6E1F40EF"/>
    <w:rsid w:val="6E4678CD"/>
    <w:rsid w:val="6E4B1911"/>
    <w:rsid w:val="6E9F0D8B"/>
    <w:rsid w:val="6ECE341F"/>
    <w:rsid w:val="6ECE68AC"/>
    <w:rsid w:val="6ECE6E01"/>
    <w:rsid w:val="6EFF11DF"/>
    <w:rsid w:val="6F116A5E"/>
    <w:rsid w:val="6F2519A7"/>
    <w:rsid w:val="6F524050"/>
    <w:rsid w:val="6F525DFE"/>
    <w:rsid w:val="6F5C0DC4"/>
    <w:rsid w:val="6F78274D"/>
    <w:rsid w:val="6F9E1043"/>
    <w:rsid w:val="6F9F410A"/>
    <w:rsid w:val="6FB70357"/>
    <w:rsid w:val="6FB919A4"/>
    <w:rsid w:val="6FC37AD4"/>
    <w:rsid w:val="6FFA4815"/>
    <w:rsid w:val="6FFD4572"/>
    <w:rsid w:val="6FFE2617"/>
    <w:rsid w:val="701051AB"/>
    <w:rsid w:val="70790B32"/>
    <w:rsid w:val="70A02B99"/>
    <w:rsid w:val="70A703CB"/>
    <w:rsid w:val="71033854"/>
    <w:rsid w:val="71055F6C"/>
    <w:rsid w:val="71173FF0"/>
    <w:rsid w:val="713B2574"/>
    <w:rsid w:val="7148395C"/>
    <w:rsid w:val="715E0A8A"/>
    <w:rsid w:val="717E7CD4"/>
    <w:rsid w:val="717F6C52"/>
    <w:rsid w:val="718F0D51"/>
    <w:rsid w:val="719F4271"/>
    <w:rsid w:val="71BC1C54"/>
    <w:rsid w:val="71C70D25"/>
    <w:rsid w:val="71CE2F82"/>
    <w:rsid w:val="71E219DE"/>
    <w:rsid w:val="71EC253A"/>
    <w:rsid w:val="722D4413"/>
    <w:rsid w:val="723F6B0D"/>
    <w:rsid w:val="72646574"/>
    <w:rsid w:val="72666A33"/>
    <w:rsid w:val="726B602C"/>
    <w:rsid w:val="726B771C"/>
    <w:rsid w:val="729F75AC"/>
    <w:rsid w:val="72A14155"/>
    <w:rsid w:val="72CD718D"/>
    <w:rsid w:val="72FB6788"/>
    <w:rsid w:val="73107E04"/>
    <w:rsid w:val="732D105C"/>
    <w:rsid w:val="7346211D"/>
    <w:rsid w:val="73813156"/>
    <w:rsid w:val="73911760"/>
    <w:rsid w:val="73A81128"/>
    <w:rsid w:val="73B01345"/>
    <w:rsid w:val="73B0366B"/>
    <w:rsid w:val="74335E05"/>
    <w:rsid w:val="743F5C73"/>
    <w:rsid w:val="74597C2E"/>
    <w:rsid w:val="74607793"/>
    <w:rsid w:val="746E1D09"/>
    <w:rsid w:val="748A603A"/>
    <w:rsid w:val="74AF5462"/>
    <w:rsid w:val="74B90B5D"/>
    <w:rsid w:val="74CC6652"/>
    <w:rsid w:val="74E514C2"/>
    <w:rsid w:val="74F11C15"/>
    <w:rsid w:val="74F33BDF"/>
    <w:rsid w:val="74FE636F"/>
    <w:rsid w:val="74FED510"/>
    <w:rsid w:val="74FFC21A"/>
    <w:rsid w:val="75022074"/>
    <w:rsid w:val="75157394"/>
    <w:rsid w:val="75295853"/>
    <w:rsid w:val="75930F1E"/>
    <w:rsid w:val="75E90518"/>
    <w:rsid w:val="75EF5A9A"/>
    <w:rsid w:val="761E2EDE"/>
    <w:rsid w:val="7639378F"/>
    <w:rsid w:val="763F2967"/>
    <w:rsid w:val="765C63B7"/>
    <w:rsid w:val="766A6123"/>
    <w:rsid w:val="76877721"/>
    <w:rsid w:val="768F512C"/>
    <w:rsid w:val="769D2054"/>
    <w:rsid w:val="76CF5F86"/>
    <w:rsid w:val="76FEB1C1"/>
    <w:rsid w:val="76FFA0C5"/>
    <w:rsid w:val="7728448C"/>
    <w:rsid w:val="777C7EBC"/>
    <w:rsid w:val="77AC443F"/>
    <w:rsid w:val="77E6160F"/>
    <w:rsid w:val="77FA5A2D"/>
    <w:rsid w:val="780E4365"/>
    <w:rsid w:val="78464596"/>
    <w:rsid w:val="78AD1F79"/>
    <w:rsid w:val="78BA61D2"/>
    <w:rsid w:val="79536535"/>
    <w:rsid w:val="795626C6"/>
    <w:rsid w:val="796F570B"/>
    <w:rsid w:val="79737C50"/>
    <w:rsid w:val="799FEB79"/>
    <w:rsid w:val="79A47660"/>
    <w:rsid w:val="79B853F7"/>
    <w:rsid w:val="79BC4EE7"/>
    <w:rsid w:val="79CD2C51"/>
    <w:rsid w:val="79D264B9"/>
    <w:rsid w:val="79E96A0E"/>
    <w:rsid w:val="7A1E525A"/>
    <w:rsid w:val="7A545120"/>
    <w:rsid w:val="7A7A15B4"/>
    <w:rsid w:val="7A913CBB"/>
    <w:rsid w:val="7A951295"/>
    <w:rsid w:val="7AAE6C3A"/>
    <w:rsid w:val="7AB2229F"/>
    <w:rsid w:val="7ABD0F17"/>
    <w:rsid w:val="7ACA4480"/>
    <w:rsid w:val="7AD27B38"/>
    <w:rsid w:val="7AD4000F"/>
    <w:rsid w:val="7B130F00"/>
    <w:rsid w:val="7B137904"/>
    <w:rsid w:val="7B3A2568"/>
    <w:rsid w:val="7B537AD4"/>
    <w:rsid w:val="7B6D5CD3"/>
    <w:rsid w:val="7B6F52CB"/>
    <w:rsid w:val="7B786BEC"/>
    <w:rsid w:val="7B7900DB"/>
    <w:rsid w:val="7B7D2454"/>
    <w:rsid w:val="7BBA0FB3"/>
    <w:rsid w:val="7BD52290"/>
    <w:rsid w:val="7BE129E3"/>
    <w:rsid w:val="7BFE1015"/>
    <w:rsid w:val="7C0F2262"/>
    <w:rsid w:val="7C4F5666"/>
    <w:rsid w:val="7C683105"/>
    <w:rsid w:val="7C715C64"/>
    <w:rsid w:val="7CD43DA8"/>
    <w:rsid w:val="7CE6293A"/>
    <w:rsid w:val="7CE93C33"/>
    <w:rsid w:val="7CED2A49"/>
    <w:rsid w:val="7D142945"/>
    <w:rsid w:val="7D3923AB"/>
    <w:rsid w:val="7D3D633F"/>
    <w:rsid w:val="7D6E474B"/>
    <w:rsid w:val="7D7B6E68"/>
    <w:rsid w:val="7DB22DA3"/>
    <w:rsid w:val="7DC223A1"/>
    <w:rsid w:val="7DC9372F"/>
    <w:rsid w:val="7DCE51E9"/>
    <w:rsid w:val="7DEF9E07"/>
    <w:rsid w:val="7DF743DD"/>
    <w:rsid w:val="7DFF3A1B"/>
    <w:rsid w:val="7E5020A2"/>
    <w:rsid w:val="7E927FC5"/>
    <w:rsid w:val="7E9F0447"/>
    <w:rsid w:val="7EA773F9"/>
    <w:rsid w:val="7EA83C8C"/>
    <w:rsid w:val="7EC363D0"/>
    <w:rsid w:val="7EFDCB6C"/>
    <w:rsid w:val="7F1B13EF"/>
    <w:rsid w:val="7F1C1874"/>
    <w:rsid w:val="7F1C1F84"/>
    <w:rsid w:val="7F36308F"/>
    <w:rsid w:val="7F425A2A"/>
    <w:rsid w:val="7F550E42"/>
    <w:rsid w:val="7F6364A4"/>
    <w:rsid w:val="7F7F201D"/>
    <w:rsid w:val="7FA44454"/>
    <w:rsid w:val="7FAD5166"/>
    <w:rsid w:val="7FC5261C"/>
    <w:rsid w:val="7FCDA35E"/>
    <w:rsid w:val="7FCE9F2A"/>
    <w:rsid w:val="7FDF3E4D"/>
    <w:rsid w:val="7FE35E32"/>
    <w:rsid w:val="7FEB2A4E"/>
    <w:rsid w:val="7FEFBD7D"/>
    <w:rsid w:val="7FF7847A"/>
    <w:rsid w:val="7FFB5D0D"/>
    <w:rsid w:val="7FFF91D9"/>
    <w:rsid w:val="83EB1B17"/>
    <w:rsid w:val="89DB0FE1"/>
    <w:rsid w:val="8FF70A23"/>
    <w:rsid w:val="90DB1CEB"/>
    <w:rsid w:val="99FE56B9"/>
    <w:rsid w:val="9DEB0446"/>
    <w:rsid w:val="9F97E2A0"/>
    <w:rsid w:val="9FEFA95B"/>
    <w:rsid w:val="A9EE1125"/>
    <w:rsid w:val="AFFE45D1"/>
    <w:rsid w:val="BC731E46"/>
    <w:rsid w:val="BDD6BC2B"/>
    <w:rsid w:val="BF7E2DA8"/>
    <w:rsid w:val="BFB7BE92"/>
    <w:rsid w:val="BFBF724F"/>
    <w:rsid w:val="BFEFDB2D"/>
    <w:rsid w:val="BFFF6B0B"/>
    <w:rsid w:val="C5EEBB9B"/>
    <w:rsid w:val="C9BF62BE"/>
    <w:rsid w:val="CDBF1593"/>
    <w:rsid w:val="D6BEFC19"/>
    <w:rsid w:val="D7FE6FB7"/>
    <w:rsid w:val="DBBFA05A"/>
    <w:rsid w:val="DBFE6F53"/>
    <w:rsid w:val="DDBE54F4"/>
    <w:rsid w:val="DF3F3ED4"/>
    <w:rsid w:val="DFB7A79E"/>
    <w:rsid w:val="DFDF9123"/>
    <w:rsid w:val="DFFB74FA"/>
    <w:rsid w:val="ECEAAC18"/>
    <w:rsid w:val="EE5E788D"/>
    <w:rsid w:val="EFBF277E"/>
    <w:rsid w:val="EFFA2B67"/>
    <w:rsid w:val="F5DD4643"/>
    <w:rsid w:val="F7FAFC82"/>
    <w:rsid w:val="F7FB2FBE"/>
    <w:rsid w:val="FA7E9AFB"/>
    <w:rsid w:val="FB7F6E4A"/>
    <w:rsid w:val="FBFDA165"/>
    <w:rsid w:val="FC7CE368"/>
    <w:rsid w:val="FCFFC37E"/>
    <w:rsid w:val="FD5B8856"/>
    <w:rsid w:val="FD7FADB2"/>
    <w:rsid w:val="FE2F079F"/>
    <w:rsid w:val="FED6385E"/>
    <w:rsid w:val="FEF91813"/>
    <w:rsid w:val="FF3F59ED"/>
    <w:rsid w:val="FF45D512"/>
    <w:rsid w:val="FF6F1329"/>
    <w:rsid w:val="FF7D5194"/>
    <w:rsid w:val="FF9F5426"/>
    <w:rsid w:val="FFEFE070"/>
    <w:rsid w:val="FFFC2BBA"/>
    <w:rsid w:val="FFFF8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6"/>
    <w:link w:val="330"/>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6"/>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52"/>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10"/>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61"/>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7"/>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2">
    <w:name w:val="Normal Indent"/>
    <w:basedOn w:val="1"/>
    <w:link w:val="198"/>
    <w:autoRedefine/>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First Indent 2"/>
    <w:basedOn w:val="7"/>
    <w:link w:val="126"/>
    <w:autoRedefine/>
    <w:qFormat/>
    <w:uiPriority w:val="0"/>
    <w:pPr>
      <w:adjustRightInd/>
      <w:spacing w:after="120" w:line="240" w:lineRule="auto"/>
      <w:ind w:left="420" w:leftChars="200" w:firstLine="210"/>
    </w:pPr>
    <w:rPr>
      <w:sz w:val="21"/>
    </w:rPr>
  </w:style>
  <w:style w:type="paragraph" w:styleId="7">
    <w:name w:val="Body Text Indent"/>
    <w:basedOn w:val="1"/>
    <w:link w:val="269"/>
    <w:autoRedefine/>
    <w:qFormat/>
    <w:uiPriority w:val="0"/>
    <w:pPr>
      <w:spacing w:line="480" w:lineRule="exact"/>
      <w:ind w:firstLine="480" w:firstLineChars="200"/>
    </w:pPr>
    <w:rPr>
      <w:rFonts w:ascii="宋体" w:hAnsi="宋体"/>
      <w:sz w:val="24"/>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34"/>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7"/>
    <w:autoRedefine/>
    <w:qFormat/>
    <w:uiPriority w:val="0"/>
    <w:pPr>
      <w:shd w:val="clear" w:color="auto" w:fill="000080"/>
    </w:pPr>
  </w:style>
  <w:style w:type="paragraph" w:styleId="21">
    <w:name w:val="annotation text"/>
    <w:basedOn w:val="1"/>
    <w:link w:val="347"/>
    <w:autoRedefine/>
    <w:qFormat/>
    <w:uiPriority w:val="99"/>
    <w:pPr>
      <w:jc w:val="left"/>
    </w:pPr>
  </w:style>
  <w:style w:type="paragraph" w:styleId="22">
    <w:name w:val="Salutation"/>
    <w:basedOn w:val="1"/>
    <w:next w:val="1"/>
    <w:link w:val="301"/>
    <w:autoRedefine/>
    <w:qFormat/>
    <w:uiPriority w:val="0"/>
    <w:rPr>
      <w:rFonts w:ascii="仿宋_GB2312" w:eastAsia="仿宋_GB2312"/>
      <w:sz w:val="28"/>
      <w:szCs w:val="20"/>
    </w:rPr>
  </w:style>
  <w:style w:type="paragraph" w:styleId="23">
    <w:name w:val="Body Text 3"/>
    <w:basedOn w:val="1"/>
    <w:link w:val="333"/>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w:basedOn w:val="1"/>
    <w:next w:val="26"/>
    <w:link w:val="433"/>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4"/>
    <w:autoRedefine/>
    <w:qFormat/>
    <w:uiPriority w:val="0"/>
    <w:pPr>
      <w:ind w:firstLine="420"/>
    </w:pPr>
    <w:rPr>
      <w:rFonts w:hAnsi="Calibri" w:cs="Times New Roman"/>
      <w:snapToGrid/>
      <w:szCs w:val="20"/>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4"/>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30"/>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6"/>
    <w:autoRedefine/>
    <w:qFormat/>
    <w:uiPriority w:val="0"/>
    <w:pPr>
      <w:ind w:left="100" w:leftChars="2500"/>
    </w:pPr>
    <w:rPr>
      <w:rFonts w:ascii="宋体"/>
      <w:sz w:val="24"/>
      <w:szCs w:val="21"/>
      <w:lang w:val="zh-CN"/>
    </w:rPr>
  </w:style>
  <w:style w:type="paragraph" w:styleId="38">
    <w:name w:val="Body Text Indent 2"/>
    <w:basedOn w:val="1"/>
    <w:link w:val="311"/>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5"/>
    <w:autoRedefine/>
    <w:qFormat/>
    <w:uiPriority w:val="0"/>
    <w:rPr>
      <w:lang w:val="zh-CN"/>
    </w:rPr>
  </w:style>
  <w:style w:type="paragraph" w:styleId="40">
    <w:name w:val="Balloon Text"/>
    <w:basedOn w:val="1"/>
    <w:next w:val="1"/>
    <w:link w:val="193"/>
    <w:autoRedefine/>
    <w:qFormat/>
    <w:uiPriority w:val="0"/>
    <w:rPr>
      <w:sz w:val="18"/>
      <w:szCs w:val="18"/>
    </w:rPr>
  </w:style>
  <w:style w:type="paragraph" w:styleId="41">
    <w:name w:val="footer"/>
    <w:basedOn w:val="1"/>
    <w:link w:val="386"/>
    <w:autoRedefine/>
    <w:qFormat/>
    <w:uiPriority w:val="99"/>
    <w:pPr>
      <w:tabs>
        <w:tab w:val="center" w:pos="4153"/>
        <w:tab w:val="right" w:pos="8306"/>
      </w:tabs>
      <w:snapToGrid w:val="0"/>
      <w:jc w:val="left"/>
    </w:pPr>
    <w:rPr>
      <w:sz w:val="18"/>
      <w:szCs w:val="18"/>
    </w:rPr>
  </w:style>
  <w:style w:type="paragraph" w:styleId="42">
    <w:name w:val="header"/>
    <w:basedOn w:val="1"/>
    <w:link w:val="395"/>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8"/>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8"/>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2"/>
    <w:link w:val="313"/>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8"/>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5"/>
    <w:autoRedefine/>
    <w:qFormat/>
    <w:uiPriority w:val="0"/>
    <w:pPr>
      <w:spacing w:after="120" w:line="480" w:lineRule="auto"/>
    </w:pPr>
  </w:style>
  <w:style w:type="paragraph" w:styleId="58">
    <w:name w:val="HTML Preformatted"/>
    <w:basedOn w:val="1"/>
    <w:link w:val="30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next w:val="1"/>
    <w:link w:val="289"/>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102"/>
    <w:autoRedefine/>
    <w:qFormat/>
    <w:uiPriority w:val="0"/>
    <w:rPr>
      <w:b/>
      <w:bCs/>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首行缩进"/>
    <w:basedOn w:val="1"/>
    <w:autoRedefine/>
    <w:qFormat/>
    <w:uiPriority w:val="0"/>
    <w:pPr>
      <w:spacing w:line="360" w:lineRule="auto"/>
      <w:ind w:firstLine="480" w:firstLineChars="200"/>
    </w:pPr>
    <w:rPr>
      <w:rFonts w:ascii="宋体"/>
      <w:sz w:val="24"/>
      <w:szCs w:val="20"/>
    </w:rPr>
  </w:style>
  <w:style w:type="character" w:customStyle="1" w:styleId="80">
    <w:name w:val="标题 1 Char"/>
    <w:link w:val="3"/>
    <w:autoRedefine/>
    <w:qFormat/>
    <w:uiPriority w:val="9"/>
    <w:rPr>
      <w:b/>
      <w:bCs/>
      <w:kern w:val="44"/>
      <w:sz w:val="44"/>
      <w:szCs w:val="44"/>
    </w:rPr>
  </w:style>
  <w:style w:type="character" w:customStyle="1" w:styleId="81">
    <w:name w:val="标题 3 字符"/>
    <w:autoRedefine/>
    <w:qFormat/>
    <w:uiPriority w:val="9"/>
    <w:rPr>
      <w:b/>
      <w:bCs/>
      <w:kern w:val="2"/>
      <w:sz w:val="32"/>
      <w:szCs w:val="32"/>
    </w:rPr>
  </w:style>
  <w:style w:type="paragraph" w:customStyle="1" w:styleId="82">
    <w:name w:val="表格文字"/>
    <w:basedOn w:val="1"/>
    <w:next w:val="25"/>
    <w:autoRedefine/>
    <w:qFormat/>
    <w:uiPriority w:val="0"/>
    <w:pPr>
      <w:adjustRightInd/>
      <w:ind w:firstLine="200" w:firstLineChars="200"/>
    </w:pPr>
    <w:rPr>
      <w:rFonts w:ascii="Arial" w:hAnsi="Arial"/>
      <w:spacing w:val="-5"/>
      <w:kern w:val="0"/>
      <w:sz w:val="24"/>
      <w:szCs w:val="20"/>
    </w:rPr>
  </w:style>
  <w:style w:type="paragraph" w:customStyle="1" w:styleId="83">
    <w:name w:val="文章正文"/>
    <w:basedOn w:val="1"/>
    <w:next w:val="84"/>
    <w:autoRedefine/>
    <w:qFormat/>
    <w:uiPriority w:val="0"/>
    <w:pPr>
      <w:spacing w:line="360" w:lineRule="auto"/>
      <w:ind w:firstLine="200" w:firstLineChars="200"/>
    </w:pPr>
    <w:rPr>
      <w:rFonts w:ascii="Times New Roman" w:hAnsi="Times New Roman" w:cs="Times New Roman"/>
      <w:snapToGrid/>
      <w:sz w:val="24"/>
      <w:szCs w:val="24"/>
    </w:rPr>
  </w:style>
  <w:style w:type="paragraph" w:customStyle="1" w:styleId="84">
    <w:name w:val="公式样式 变量"/>
    <w:autoRedefine/>
    <w:qFormat/>
    <w:uiPriority w:val="0"/>
    <w:rPr>
      <w:rFonts w:ascii="Times New Roman" w:hAnsi="Times New Roman" w:eastAsia="宋体" w:cs="Times New Roman"/>
      <w:i/>
      <w:lang w:val="en-US" w:eastAsia="zh-CN" w:bidi="ar-SA"/>
    </w:rPr>
  </w:style>
  <w:style w:type="paragraph" w:customStyle="1" w:styleId="85">
    <w:name w:val="Default"/>
    <w:next w:val="86"/>
    <w:link w:val="239"/>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6">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7">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8">
    <w:name w:val="表格非标题文字 Char"/>
    <w:link w:val="89"/>
    <w:autoRedefine/>
    <w:qFormat/>
    <w:uiPriority w:val="0"/>
    <w:rPr>
      <w:rFonts w:ascii="Futura Bk" w:hAnsi="Futura Bk"/>
      <w:kern w:val="2"/>
      <w:sz w:val="18"/>
      <w:szCs w:val="21"/>
      <w:lang w:val="en-US" w:eastAsia="zh-CN" w:bidi="ar-SA"/>
    </w:rPr>
  </w:style>
  <w:style w:type="paragraph" w:customStyle="1" w:styleId="89">
    <w:name w:val="表格非标题文字"/>
    <w:link w:val="88"/>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0">
    <w:name w:val="*正文 Char"/>
    <w:link w:val="91"/>
    <w:autoRedefine/>
    <w:qFormat/>
    <w:uiPriority w:val="0"/>
    <w:rPr>
      <w:rFonts w:ascii="宋体" w:hAnsi="宋体"/>
      <w:sz w:val="24"/>
    </w:rPr>
  </w:style>
  <w:style w:type="paragraph" w:customStyle="1" w:styleId="91">
    <w:name w:val="*正文"/>
    <w:basedOn w:val="1"/>
    <w:link w:val="90"/>
    <w:autoRedefine/>
    <w:qFormat/>
    <w:uiPriority w:val="0"/>
    <w:pPr>
      <w:snapToGrid w:val="0"/>
      <w:spacing w:line="360" w:lineRule="auto"/>
      <w:ind w:firstLine="482"/>
      <w:jc w:val="left"/>
    </w:pPr>
    <w:rPr>
      <w:rFonts w:ascii="宋体" w:hAnsi="宋体"/>
      <w:kern w:val="0"/>
      <w:sz w:val="24"/>
      <w:szCs w:val="20"/>
    </w:rPr>
  </w:style>
  <w:style w:type="character" w:customStyle="1" w:styleId="92">
    <w:name w:val="Char Char71"/>
    <w:autoRedefine/>
    <w:qFormat/>
    <w:uiPriority w:val="0"/>
    <w:rPr>
      <w:rFonts w:eastAsia="宋体"/>
      <w:kern w:val="2"/>
      <w:sz w:val="21"/>
      <w:szCs w:val="24"/>
      <w:lang w:val="en-US" w:eastAsia="zh-CN" w:bidi="ar-SA"/>
    </w:rPr>
  </w:style>
  <w:style w:type="character" w:customStyle="1" w:styleId="93">
    <w:name w:val="Char Char6"/>
    <w:autoRedefine/>
    <w:qFormat/>
    <w:uiPriority w:val="0"/>
    <w:rPr>
      <w:rFonts w:eastAsia="宋体"/>
      <w:kern w:val="2"/>
      <w:sz w:val="21"/>
      <w:szCs w:val="24"/>
      <w:lang w:val="en-US" w:eastAsia="zh-CN" w:bidi="ar-SA"/>
    </w:rPr>
  </w:style>
  <w:style w:type="character" w:customStyle="1" w:styleId="94">
    <w:name w:val="正文缩进 Char"/>
    <w:autoRedefine/>
    <w:qFormat/>
    <w:uiPriority w:val="0"/>
    <w:rPr>
      <w:rFonts w:eastAsia="宋体"/>
      <w:kern w:val="2"/>
      <w:sz w:val="21"/>
      <w:lang w:val="en-US" w:eastAsia="zh-CN"/>
    </w:rPr>
  </w:style>
  <w:style w:type="character" w:customStyle="1" w:styleId="95">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6">
    <w:name w:val="Char Char28"/>
    <w:autoRedefine/>
    <w:qFormat/>
    <w:uiPriority w:val="6"/>
    <w:rPr>
      <w:rFonts w:ascii="仿宋_GB2312" w:hAnsi="仿宋_GB2312" w:eastAsia="仿宋_GB2312"/>
      <w:kern w:val="1"/>
      <w:sz w:val="28"/>
    </w:rPr>
  </w:style>
  <w:style w:type="character" w:customStyle="1" w:styleId="97">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8">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9">
    <w:name w:val="U_正文 Char"/>
    <w:link w:val="100"/>
    <w:autoRedefine/>
    <w:qFormat/>
    <w:uiPriority w:val="0"/>
    <w:rPr>
      <w:sz w:val="24"/>
      <w:szCs w:val="24"/>
    </w:rPr>
  </w:style>
  <w:style w:type="paragraph" w:customStyle="1" w:styleId="100">
    <w:name w:val="U_正文"/>
    <w:basedOn w:val="1"/>
    <w:link w:val="99"/>
    <w:autoRedefine/>
    <w:qFormat/>
    <w:uiPriority w:val="0"/>
    <w:pPr>
      <w:adjustRightInd/>
      <w:spacing w:beforeLines="20" w:afterLines="20" w:line="300" w:lineRule="auto"/>
      <w:ind w:firstLine="200" w:firstLineChars="200"/>
    </w:pPr>
    <w:rPr>
      <w:kern w:val="0"/>
      <w:sz w:val="24"/>
    </w:rPr>
  </w:style>
  <w:style w:type="character" w:customStyle="1" w:styleId="101">
    <w:name w:val="HTML 地址 Char1"/>
    <w:autoRedefine/>
    <w:qFormat/>
    <w:uiPriority w:val="0"/>
    <w:rPr>
      <w:rFonts w:ascii="Times New Roman" w:hAnsi="Times New Roman" w:eastAsia="宋体" w:cs="Times New Roman"/>
      <w:i/>
      <w:iCs/>
      <w:szCs w:val="24"/>
    </w:rPr>
  </w:style>
  <w:style w:type="character" w:customStyle="1" w:styleId="102">
    <w:name w:val="批注主题 Char1"/>
    <w:link w:val="61"/>
    <w:autoRedefine/>
    <w:qFormat/>
    <w:uiPriority w:val="0"/>
    <w:rPr>
      <w:b/>
      <w:bCs/>
      <w:kern w:val="2"/>
      <w:sz w:val="21"/>
      <w:szCs w:val="24"/>
    </w:rPr>
  </w:style>
  <w:style w:type="character" w:customStyle="1" w:styleId="103">
    <w:name w:val="Char Char51"/>
    <w:autoRedefine/>
    <w:qFormat/>
    <w:uiPriority w:val="0"/>
    <w:rPr>
      <w:rFonts w:ascii="宋体" w:hAnsi="Courier New" w:eastAsia="宋体"/>
      <w:kern w:val="2"/>
      <w:sz w:val="21"/>
      <w:lang w:val="en-US" w:eastAsia="zh-CN"/>
    </w:rPr>
  </w:style>
  <w:style w:type="character" w:customStyle="1" w:styleId="104">
    <w:name w:val="表正文 Char"/>
    <w:autoRedefine/>
    <w:qFormat/>
    <w:uiPriority w:val="0"/>
    <w:rPr>
      <w:rFonts w:ascii="宋体" w:eastAsia="宋体"/>
      <w:snapToGrid w:val="0"/>
      <w:color w:val="000000"/>
      <w:kern w:val="28"/>
      <w:sz w:val="28"/>
      <w:lang w:val="en-US" w:eastAsia="zh-CN" w:bidi="ar-SA"/>
    </w:rPr>
  </w:style>
  <w:style w:type="character" w:customStyle="1" w:styleId="105">
    <w:name w:val="Char Char34"/>
    <w:autoRedefine/>
    <w:qFormat/>
    <w:uiPriority w:val="6"/>
    <w:rPr>
      <w:b/>
      <w:kern w:val="1"/>
      <w:sz w:val="28"/>
      <w:szCs w:val="28"/>
    </w:rPr>
  </w:style>
  <w:style w:type="character" w:customStyle="1" w:styleId="106">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7">
    <w:name w:val="哈哈正文 Char"/>
    <w:link w:val="108"/>
    <w:autoRedefine/>
    <w:qFormat/>
    <w:uiPriority w:val="0"/>
    <w:rPr>
      <w:rFonts w:ascii="宋体" w:hAnsi="宋体" w:eastAsia="宋体"/>
      <w:kern w:val="2"/>
      <w:sz w:val="24"/>
      <w:lang w:bidi="ar-SA"/>
    </w:rPr>
  </w:style>
  <w:style w:type="paragraph" w:customStyle="1" w:styleId="108">
    <w:name w:val="哈哈正文"/>
    <w:basedOn w:val="1"/>
    <w:link w:val="107"/>
    <w:autoRedefine/>
    <w:qFormat/>
    <w:uiPriority w:val="0"/>
    <w:pPr>
      <w:adjustRightInd/>
      <w:spacing w:line="360" w:lineRule="auto"/>
      <w:ind w:firstLine="200" w:firstLineChars="200"/>
    </w:pPr>
    <w:rPr>
      <w:rFonts w:ascii="宋体" w:hAnsi="宋体"/>
      <w:sz w:val="24"/>
      <w:szCs w:val="20"/>
    </w:rPr>
  </w:style>
  <w:style w:type="character" w:customStyle="1" w:styleId="109">
    <w:name w:val="未处理的提及1"/>
    <w:autoRedefine/>
    <w:qFormat/>
    <w:uiPriority w:val="0"/>
    <w:rPr>
      <w:color w:val="808080"/>
      <w:shd w:val="clear" w:color="auto" w:fill="E6E6E6"/>
    </w:rPr>
  </w:style>
  <w:style w:type="character" w:customStyle="1" w:styleId="110">
    <w:name w:val="txt"/>
    <w:autoRedefine/>
    <w:qFormat/>
    <w:uiPriority w:val="0"/>
    <w:rPr>
      <w:rFonts w:ascii="仿宋_GB2312" w:eastAsia="微软雅黑"/>
      <w:b/>
      <w:kern w:val="2"/>
      <w:sz w:val="32"/>
      <w:szCs w:val="32"/>
      <w:lang w:val="en-US" w:eastAsia="zh-CN" w:bidi="ar-SA"/>
    </w:rPr>
  </w:style>
  <w:style w:type="character" w:customStyle="1" w:styleId="111">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12">
    <w:name w:val="Char Char32"/>
    <w:autoRedefine/>
    <w:qFormat/>
    <w:uiPriority w:val="6"/>
    <w:rPr>
      <w:b/>
      <w:kern w:val="1"/>
      <w:sz w:val="24"/>
      <w:szCs w:val="24"/>
    </w:rPr>
  </w:style>
  <w:style w:type="character" w:customStyle="1" w:styleId="113">
    <w:name w:val="PI Char1"/>
    <w:autoRedefine/>
    <w:qFormat/>
    <w:uiPriority w:val="0"/>
    <w:rPr>
      <w:rFonts w:ascii="宋体" w:hAnsi="宋体"/>
      <w:kern w:val="2"/>
      <w:sz w:val="24"/>
      <w:szCs w:val="24"/>
    </w:rPr>
  </w:style>
  <w:style w:type="character" w:customStyle="1" w:styleId="114">
    <w:name w:val="tw4winTerm"/>
    <w:autoRedefine/>
    <w:qFormat/>
    <w:uiPriority w:val="0"/>
    <w:rPr>
      <w:color w:val="0000FF"/>
    </w:rPr>
  </w:style>
  <w:style w:type="character" w:customStyle="1" w:styleId="115">
    <w:name w:val="Footer Char_29dca83e-cfa0-4d29-9006-28a1b752e563"/>
    <w:autoRedefine/>
    <w:qFormat/>
    <w:uiPriority w:val="0"/>
    <w:rPr>
      <w:rFonts w:eastAsia="宋体"/>
      <w:kern w:val="2"/>
      <w:sz w:val="18"/>
      <w:lang w:val="en-US" w:eastAsia="zh-CN" w:bidi="ar-SA"/>
    </w:rPr>
  </w:style>
  <w:style w:type="character" w:customStyle="1" w:styleId="116">
    <w:name w:val="普通文字 Char Char1"/>
    <w:autoRedefine/>
    <w:qFormat/>
    <w:uiPriority w:val="0"/>
    <w:rPr>
      <w:rFonts w:ascii="宋体" w:hAnsi="Courier New"/>
      <w:kern w:val="2"/>
      <w:sz w:val="21"/>
    </w:rPr>
  </w:style>
  <w:style w:type="character" w:customStyle="1" w:styleId="117">
    <w:name w:val="Char Char101"/>
    <w:autoRedefine/>
    <w:qFormat/>
    <w:uiPriority w:val="6"/>
    <w:rPr>
      <w:rFonts w:ascii="宋体" w:hAnsi="宋体"/>
      <w:kern w:val="2"/>
      <w:sz w:val="21"/>
      <w:szCs w:val="24"/>
      <w:lang w:val="en-US" w:eastAsia="zh-CN"/>
    </w:rPr>
  </w:style>
  <w:style w:type="character" w:customStyle="1" w:styleId="118">
    <w:name w:val="标题 4 Char"/>
    <w:autoRedefine/>
    <w:qFormat/>
    <w:uiPriority w:val="0"/>
    <w:rPr>
      <w:rFonts w:ascii="Arial" w:hAnsi="Arial" w:eastAsia="黑体"/>
      <w:b/>
      <w:kern w:val="2"/>
      <w:sz w:val="28"/>
    </w:rPr>
  </w:style>
  <w:style w:type="character" w:customStyle="1" w:styleId="119">
    <w:name w:val="链接"/>
    <w:autoRedefine/>
    <w:qFormat/>
    <w:uiPriority w:val="0"/>
    <w:rPr>
      <w:color w:val="0000FF"/>
      <w:sz w:val="21"/>
      <w:szCs w:val="21"/>
      <w:u w:val="single"/>
    </w:rPr>
  </w:style>
  <w:style w:type="character" w:customStyle="1" w:styleId="120">
    <w:name w:val="h4 Char"/>
    <w:autoRedefine/>
    <w:qFormat/>
    <w:uiPriority w:val="0"/>
    <w:rPr>
      <w:rFonts w:ascii="Arial" w:hAnsi="Arial" w:eastAsia="黑体"/>
      <w:b/>
      <w:bCs/>
      <w:kern w:val="2"/>
      <w:sz w:val="28"/>
      <w:szCs w:val="28"/>
      <w:lang w:val="zh-CN" w:eastAsia="zh-CN" w:bidi="ar-SA"/>
    </w:rPr>
  </w:style>
  <w:style w:type="character" w:customStyle="1" w:styleId="121">
    <w:name w:val="5正文 Char"/>
    <w:link w:val="122"/>
    <w:autoRedefine/>
    <w:qFormat/>
    <w:uiPriority w:val="0"/>
    <w:rPr>
      <w:rFonts w:ascii="仿宋_GB2312" w:hAnsi="微软雅黑" w:eastAsia="仿宋_GB2312"/>
      <w:sz w:val="28"/>
      <w:szCs w:val="21"/>
    </w:rPr>
  </w:style>
  <w:style w:type="paragraph" w:customStyle="1" w:styleId="122">
    <w:name w:val="5正文"/>
    <w:basedOn w:val="1"/>
    <w:link w:val="121"/>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3">
    <w:name w:val="样式6 Char"/>
    <w:autoRedefine/>
    <w:qFormat/>
    <w:uiPriority w:val="0"/>
    <w:rPr>
      <w:rFonts w:ascii="仿宋_GB2312" w:hAnsi="宋体" w:eastAsia="仿宋_GB2312"/>
      <w:b/>
      <w:bCs/>
      <w:kern w:val="2"/>
      <w:sz w:val="24"/>
      <w:szCs w:val="24"/>
      <w:lang w:val="en-US" w:eastAsia="zh-CN" w:bidi="ar-SA"/>
    </w:rPr>
  </w:style>
  <w:style w:type="character" w:customStyle="1" w:styleId="124">
    <w:name w:val="Char Char14"/>
    <w:autoRedefine/>
    <w:qFormat/>
    <w:uiPriority w:val="6"/>
    <w:rPr>
      <w:rFonts w:ascii="黑体" w:hAnsi="黑体" w:eastAsia="黑体"/>
    </w:rPr>
  </w:style>
  <w:style w:type="character" w:customStyle="1" w:styleId="125">
    <w:name w:val="Heading 2 Hidden Char"/>
    <w:autoRedefine/>
    <w:qFormat/>
    <w:uiPriority w:val="0"/>
    <w:rPr>
      <w:rFonts w:ascii="仿宋_GB2312" w:eastAsia="仿宋_GB2312"/>
      <w:b/>
      <w:bCs/>
      <w:kern w:val="2"/>
      <w:sz w:val="24"/>
      <w:szCs w:val="24"/>
      <w:lang w:val="zh-CN" w:eastAsia="zh-CN" w:bidi="ar-SA"/>
    </w:rPr>
  </w:style>
  <w:style w:type="character" w:customStyle="1" w:styleId="126">
    <w:name w:val="正文首行缩进 2 Char"/>
    <w:link w:val="6"/>
    <w:autoRedefine/>
    <w:qFormat/>
    <w:uiPriority w:val="0"/>
    <w:rPr>
      <w:rFonts w:ascii="宋体" w:hAnsi="宋体"/>
      <w:kern w:val="2"/>
      <w:sz w:val="21"/>
      <w:szCs w:val="24"/>
    </w:rPr>
  </w:style>
  <w:style w:type="character" w:customStyle="1" w:styleId="127">
    <w:name w:val="font11"/>
    <w:autoRedefine/>
    <w:qFormat/>
    <w:uiPriority w:val="0"/>
    <w:rPr>
      <w:rFonts w:hint="default" w:ascii="Times New Roman" w:hAnsi="Times New Roman" w:cs="Times New Roman"/>
      <w:color w:val="000000"/>
      <w:sz w:val="22"/>
      <w:szCs w:val="22"/>
      <w:u w:val="none"/>
    </w:rPr>
  </w:style>
  <w:style w:type="character" w:customStyle="1" w:styleId="128">
    <w:name w:val="表正文 Char1"/>
    <w:autoRedefine/>
    <w:qFormat/>
    <w:uiPriority w:val="0"/>
    <w:rPr>
      <w:rFonts w:ascii="宋体" w:eastAsia="宋体"/>
      <w:snapToGrid w:val="0"/>
      <w:color w:val="000000"/>
      <w:kern w:val="28"/>
      <w:sz w:val="28"/>
    </w:rPr>
  </w:style>
  <w:style w:type="character" w:customStyle="1" w:styleId="129">
    <w:name w:val="blue1"/>
    <w:basedOn w:val="69"/>
    <w:autoRedefine/>
    <w:qFormat/>
    <w:uiPriority w:val="0"/>
    <w:rPr>
      <w:rFonts w:ascii="Arial" w:hAnsi="Arial" w:eastAsia="黑体" w:cs="Arial"/>
      <w:snapToGrid w:val="0"/>
      <w:kern w:val="0"/>
      <w:szCs w:val="21"/>
    </w:rPr>
  </w:style>
  <w:style w:type="character" w:customStyle="1" w:styleId="130">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31">
    <w:name w:val="标书1 Char"/>
    <w:autoRedefine/>
    <w:qFormat/>
    <w:uiPriority w:val="0"/>
    <w:rPr>
      <w:rFonts w:eastAsia="宋体"/>
      <w:b/>
      <w:bCs/>
      <w:kern w:val="44"/>
      <w:sz w:val="44"/>
      <w:szCs w:val="44"/>
      <w:lang w:val="en-US" w:eastAsia="zh-CN" w:bidi="ar-SA"/>
    </w:rPr>
  </w:style>
  <w:style w:type="character" w:customStyle="1" w:styleId="132">
    <w:name w:val="样式5 Char"/>
    <w:autoRedefine/>
    <w:qFormat/>
    <w:uiPriority w:val="0"/>
    <w:rPr>
      <w:rFonts w:ascii="仿宋_GB2312" w:hAnsi="仿宋" w:eastAsia="仿宋_GB2312"/>
      <w:kern w:val="2"/>
      <w:sz w:val="24"/>
      <w:szCs w:val="24"/>
    </w:rPr>
  </w:style>
  <w:style w:type="character" w:customStyle="1" w:styleId="133">
    <w:name w:val="样式4 Char"/>
    <w:autoRedefine/>
    <w:qFormat/>
    <w:uiPriority w:val="0"/>
    <w:rPr>
      <w:rFonts w:ascii="仿宋_GB2312" w:hAnsi="仿宋" w:eastAsia="仿宋_GB2312"/>
      <w:b/>
      <w:kern w:val="2"/>
      <w:sz w:val="32"/>
      <w:szCs w:val="32"/>
      <w:lang w:bidi="ar-SA"/>
    </w:rPr>
  </w:style>
  <w:style w:type="character" w:customStyle="1" w:styleId="134">
    <w:name w:val="插图说明 Char"/>
    <w:autoRedefine/>
    <w:qFormat/>
    <w:uiPriority w:val="0"/>
    <w:rPr>
      <w:rFonts w:eastAsia="黑体"/>
      <w:sz w:val="24"/>
      <w:lang w:val="en-US" w:eastAsia="zh-CN"/>
    </w:rPr>
  </w:style>
  <w:style w:type="character" w:customStyle="1" w:styleId="135">
    <w:name w:val="正文2 Char Char"/>
    <w:link w:val="136"/>
    <w:autoRedefine/>
    <w:qFormat/>
    <w:uiPriority w:val="0"/>
    <w:rPr>
      <w:rFonts w:eastAsia="宋体"/>
      <w:kern w:val="2"/>
      <w:sz w:val="24"/>
      <w:lang w:val="en-US" w:eastAsia="zh-CN" w:bidi="ar-SA"/>
    </w:rPr>
  </w:style>
  <w:style w:type="paragraph" w:customStyle="1" w:styleId="136">
    <w:name w:val="正文2"/>
    <w:basedOn w:val="1"/>
    <w:next w:val="44"/>
    <w:link w:val="135"/>
    <w:autoRedefine/>
    <w:qFormat/>
    <w:uiPriority w:val="0"/>
    <w:pPr>
      <w:spacing w:before="156" w:line="360" w:lineRule="auto"/>
      <w:ind w:firstLine="510" w:firstLineChars="200"/>
    </w:pPr>
    <w:rPr>
      <w:sz w:val="24"/>
      <w:szCs w:val="20"/>
    </w:rPr>
  </w:style>
  <w:style w:type="character" w:customStyle="1" w:styleId="137">
    <w:name w:val="Char Char24"/>
    <w:autoRedefine/>
    <w:qFormat/>
    <w:uiPriority w:val="6"/>
    <w:rPr>
      <w:kern w:val="1"/>
      <w:sz w:val="21"/>
    </w:rPr>
  </w:style>
  <w:style w:type="character" w:customStyle="1" w:styleId="138">
    <w:name w:val="副标题 Char"/>
    <w:link w:val="48"/>
    <w:autoRedefine/>
    <w:qFormat/>
    <w:uiPriority w:val="0"/>
    <w:rPr>
      <w:rFonts w:ascii="Arial" w:hAnsi="Arial" w:eastAsia="隶书"/>
      <w:b/>
      <w:bCs/>
      <w:kern w:val="28"/>
      <w:sz w:val="44"/>
      <w:szCs w:val="32"/>
      <w:lang w:val="en-US" w:eastAsia="zh-CN" w:bidi="ar-SA"/>
    </w:rPr>
  </w:style>
  <w:style w:type="character" w:customStyle="1" w:styleId="139">
    <w:name w:val="普通文字 Char1 Char"/>
    <w:autoRedefine/>
    <w:qFormat/>
    <w:uiPriority w:val="0"/>
    <w:rPr>
      <w:rFonts w:ascii="宋体" w:hAnsi="Courier New" w:eastAsia="宋体"/>
      <w:kern w:val="2"/>
      <w:sz w:val="21"/>
      <w:szCs w:val="24"/>
      <w:lang w:val="en-US" w:eastAsia="zh-CN" w:bidi="ar-SA"/>
    </w:rPr>
  </w:style>
  <w:style w:type="character" w:customStyle="1" w:styleId="140">
    <w:name w:val="h3 Char1"/>
    <w:autoRedefine/>
    <w:qFormat/>
    <w:uiPriority w:val="0"/>
    <w:rPr>
      <w:rFonts w:eastAsia="宋体"/>
      <w:b/>
      <w:bCs/>
      <w:kern w:val="2"/>
      <w:sz w:val="32"/>
      <w:szCs w:val="32"/>
      <w:lang w:bidi="ar-SA"/>
    </w:rPr>
  </w:style>
  <w:style w:type="character" w:customStyle="1" w:styleId="141">
    <w:name w:val="标题 Char1"/>
    <w:autoRedefine/>
    <w:qFormat/>
    <w:uiPriority w:val="0"/>
    <w:rPr>
      <w:rFonts w:ascii="Cambria" w:hAnsi="Cambria" w:eastAsia="宋体" w:cs="Times New Roman"/>
      <w:b/>
      <w:bCs/>
      <w:sz w:val="32"/>
      <w:szCs w:val="32"/>
      <w:lang w:bidi="ar-SA"/>
    </w:rPr>
  </w:style>
  <w:style w:type="character" w:customStyle="1" w:styleId="142">
    <w:name w:val="gf正文1 Char"/>
    <w:autoRedefine/>
    <w:qFormat/>
    <w:uiPriority w:val="0"/>
    <w:rPr>
      <w:rFonts w:ascii="宋体" w:hAnsi="宋体" w:eastAsia="宋体" w:cs="宋体"/>
      <w:kern w:val="2"/>
      <w:sz w:val="24"/>
      <w:szCs w:val="24"/>
      <w:lang w:val="en-US" w:eastAsia="zh-CN" w:bidi="ar-SA"/>
    </w:rPr>
  </w:style>
  <w:style w:type="character" w:customStyle="1" w:styleId="143">
    <w:name w:val="正文文本缩进 Char1"/>
    <w:autoRedefine/>
    <w:qFormat/>
    <w:uiPriority w:val="0"/>
    <w:rPr>
      <w:rFonts w:ascii="Calibri" w:hAnsi="Calibri"/>
      <w:sz w:val="28"/>
    </w:rPr>
  </w:style>
  <w:style w:type="character" w:customStyle="1" w:styleId="144">
    <w:name w:val="No Spacing Char"/>
    <w:link w:val="145"/>
    <w:autoRedefine/>
    <w:qFormat/>
    <w:uiPriority w:val="1"/>
    <w:rPr>
      <w:sz w:val="22"/>
      <w:szCs w:val="22"/>
      <w:lang w:val="en-US" w:eastAsia="zh-CN" w:bidi="ar-SA"/>
    </w:rPr>
  </w:style>
  <w:style w:type="paragraph" w:customStyle="1" w:styleId="145">
    <w:name w:val="无间隔1"/>
    <w:link w:val="144"/>
    <w:autoRedefine/>
    <w:qFormat/>
    <w:uiPriority w:val="1"/>
    <w:rPr>
      <w:rFonts w:ascii="Times New Roman" w:hAnsi="Times New Roman" w:eastAsia="宋体" w:cs="Times New Roman"/>
      <w:sz w:val="22"/>
      <w:szCs w:val="22"/>
      <w:lang w:val="en-US" w:eastAsia="zh-CN" w:bidi="ar-SA"/>
    </w:rPr>
  </w:style>
  <w:style w:type="character" w:customStyle="1" w:styleId="146">
    <w:name w:val="样式7 Char"/>
    <w:autoRedefine/>
    <w:qFormat/>
    <w:uiPriority w:val="0"/>
    <w:rPr>
      <w:rFonts w:ascii="仿宋_GB2312" w:hAnsi="仿宋" w:eastAsia="仿宋_GB2312"/>
      <w:b/>
      <w:kern w:val="2"/>
      <w:sz w:val="24"/>
      <w:szCs w:val="24"/>
    </w:rPr>
  </w:style>
  <w:style w:type="character" w:customStyle="1" w:styleId="147">
    <w:name w:val="font12gray1"/>
    <w:autoRedefine/>
    <w:qFormat/>
    <w:uiPriority w:val="0"/>
    <w:rPr>
      <w:rFonts w:ascii="仿宋_GB2312" w:eastAsia="微软雅黑"/>
      <w:b/>
      <w:spacing w:val="300"/>
      <w:kern w:val="2"/>
      <w:sz w:val="18"/>
      <w:szCs w:val="18"/>
      <w:lang w:val="en-US" w:eastAsia="zh-CN" w:bidi="ar-SA"/>
    </w:rPr>
  </w:style>
  <w:style w:type="character" w:customStyle="1" w:styleId="148">
    <w:name w:val="Char Char7"/>
    <w:autoRedefine/>
    <w:qFormat/>
    <w:uiPriority w:val="0"/>
    <w:rPr>
      <w:rFonts w:eastAsia="宋体"/>
      <w:kern w:val="2"/>
      <w:sz w:val="21"/>
      <w:szCs w:val="24"/>
      <w:lang w:val="en-US" w:eastAsia="zh-CN" w:bidi="ar-SA"/>
    </w:rPr>
  </w:style>
  <w:style w:type="character" w:customStyle="1" w:styleId="149">
    <w:name w:val="表名 Char"/>
    <w:autoRedefine/>
    <w:qFormat/>
    <w:uiPriority w:val="0"/>
    <w:rPr>
      <w:rFonts w:eastAsia="宋体"/>
      <w:b/>
      <w:bCs/>
      <w:kern w:val="2"/>
      <w:sz w:val="24"/>
      <w:szCs w:val="24"/>
      <w:lang w:val="en-US" w:eastAsia="zh-CN" w:bidi="ar-SA"/>
    </w:rPr>
  </w:style>
  <w:style w:type="character" w:customStyle="1" w:styleId="150">
    <w:name w:val="Document Map Char"/>
    <w:autoRedefine/>
    <w:qFormat/>
    <w:uiPriority w:val="0"/>
    <w:rPr>
      <w:rFonts w:eastAsia="宋体"/>
      <w:kern w:val="2"/>
      <w:sz w:val="21"/>
      <w:szCs w:val="24"/>
      <w:lang w:val="en-US" w:eastAsia="zh-CN" w:bidi="ar-SA"/>
    </w:rPr>
  </w:style>
  <w:style w:type="character" w:customStyle="1" w:styleId="151">
    <w:name w:val="font41"/>
    <w:basedOn w:val="69"/>
    <w:autoRedefine/>
    <w:qFormat/>
    <w:uiPriority w:val="0"/>
    <w:rPr>
      <w:rFonts w:hint="eastAsia" w:ascii="仿宋_GB2312" w:eastAsia="仿宋_GB2312" w:cs="仿宋_GB2312"/>
      <w:color w:val="000000"/>
      <w:sz w:val="22"/>
      <w:szCs w:val="22"/>
      <w:u w:val="none"/>
    </w:rPr>
  </w:style>
  <w:style w:type="character" w:customStyle="1" w:styleId="152">
    <w:name w:val="标题 6 Char"/>
    <w:link w:val="10"/>
    <w:autoRedefine/>
    <w:qFormat/>
    <w:uiPriority w:val="0"/>
    <w:rPr>
      <w:rFonts w:ascii="Arial" w:hAnsi="Arial" w:eastAsia="黑体"/>
      <w:b/>
      <w:bCs/>
      <w:kern w:val="2"/>
      <w:sz w:val="24"/>
      <w:szCs w:val="24"/>
    </w:rPr>
  </w:style>
  <w:style w:type="character" w:customStyle="1" w:styleId="153">
    <w:name w:val="纯文本 Char_0"/>
    <w:link w:val="154"/>
    <w:autoRedefine/>
    <w:qFormat/>
    <w:uiPriority w:val="0"/>
    <w:rPr>
      <w:rFonts w:ascii="宋体" w:hAnsi="Courier New"/>
      <w:kern w:val="2"/>
      <w:sz w:val="21"/>
      <w:szCs w:val="21"/>
      <w:lang w:val="en-US" w:eastAsia="zh-CN"/>
    </w:rPr>
  </w:style>
  <w:style w:type="paragraph" w:customStyle="1" w:styleId="154">
    <w:name w:val="纯文本_0_0"/>
    <w:basedOn w:val="155"/>
    <w:link w:val="153"/>
    <w:autoRedefine/>
    <w:qFormat/>
    <w:uiPriority w:val="0"/>
    <w:rPr>
      <w:rFonts w:ascii="宋体" w:hAnsi="Courier New"/>
      <w:szCs w:val="21"/>
    </w:rPr>
  </w:style>
  <w:style w:type="paragraph" w:customStyle="1" w:styleId="155">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6">
    <w:name w:val="Balloon Text Char"/>
    <w:autoRedefine/>
    <w:qFormat/>
    <w:uiPriority w:val="0"/>
    <w:rPr>
      <w:rFonts w:eastAsia="宋体"/>
      <w:kern w:val="2"/>
      <w:sz w:val="18"/>
      <w:szCs w:val="18"/>
      <w:lang w:val="en-US" w:eastAsia="zh-CN" w:bidi="ar-SA"/>
    </w:rPr>
  </w:style>
  <w:style w:type="character" w:customStyle="1" w:styleId="157">
    <w:name w:val="正文 项目2 Char"/>
    <w:basedOn w:val="158"/>
    <w:autoRedefine/>
    <w:qFormat/>
    <w:uiPriority w:val="0"/>
    <w:rPr>
      <w:rFonts w:ascii="仿宋_GB2312" w:hAnsi="仿宋_GB2312" w:eastAsia="仿宋_GB2312"/>
      <w:kern w:val="2"/>
      <w:sz w:val="24"/>
      <w:lang w:bidi="ar-SA"/>
    </w:rPr>
  </w:style>
  <w:style w:type="character" w:customStyle="1" w:styleId="158">
    <w:name w:val="正文 项目 Char"/>
    <w:autoRedefine/>
    <w:qFormat/>
    <w:uiPriority w:val="0"/>
    <w:rPr>
      <w:rFonts w:ascii="仿宋_GB2312" w:hAnsi="仿宋_GB2312" w:eastAsia="仿宋_GB2312"/>
      <w:kern w:val="2"/>
      <w:sz w:val="24"/>
      <w:lang w:bidi="ar-SA"/>
    </w:rPr>
  </w:style>
  <w:style w:type="character" w:customStyle="1" w:styleId="159">
    <w:name w:val="h Char Char1"/>
    <w:autoRedefine/>
    <w:qFormat/>
    <w:uiPriority w:val="0"/>
    <w:rPr>
      <w:rFonts w:eastAsia="宋体"/>
      <w:kern w:val="2"/>
      <w:sz w:val="18"/>
      <w:szCs w:val="18"/>
      <w:lang w:val="en-US" w:eastAsia="zh-CN" w:bidi="ar-SA"/>
    </w:rPr>
  </w:style>
  <w:style w:type="character" w:customStyle="1" w:styleId="160">
    <w:name w:val="Char Char27"/>
    <w:autoRedefine/>
    <w:qFormat/>
    <w:uiPriority w:val="6"/>
    <w:rPr>
      <w:rFonts w:ascii="宋体" w:hAnsi="宋体" w:eastAsia="宋体"/>
      <w:color w:val="000000"/>
      <w:kern w:val="1"/>
      <w:sz w:val="28"/>
      <w:lang w:val="en-US" w:eastAsia="zh-CN" w:bidi="ar-SA"/>
    </w:rPr>
  </w:style>
  <w:style w:type="character" w:customStyle="1" w:styleId="161">
    <w:name w:val="px14"/>
    <w:autoRedefine/>
    <w:qFormat/>
    <w:uiPriority w:val="0"/>
    <w:rPr>
      <w:rFonts w:ascii="仿宋_GB2312" w:eastAsia="微软雅黑" w:cs="Times New Roman"/>
      <w:b/>
      <w:kern w:val="2"/>
      <w:sz w:val="32"/>
      <w:szCs w:val="32"/>
      <w:lang w:val="en-US" w:eastAsia="zh-CN" w:bidi="ar-SA"/>
    </w:rPr>
  </w:style>
  <w:style w:type="character" w:customStyle="1" w:styleId="162">
    <w:name w:val="HTML 预设格式 Char1"/>
    <w:autoRedefine/>
    <w:qFormat/>
    <w:uiPriority w:val="0"/>
    <w:rPr>
      <w:rFonts w:ascii="Courier New" w:hAnsi="Courier New" w:eastAsia="宋体" w:cs="Courier New"/>
      <w:sz w:val="20"/>
      <w:szCs w:val="20"/>
    </w:rPr>
  </w:style>
  <w:style w:type="character" w:customStyle="1" w:styleId="163">
    <w:name w:val="普通文字 Char1"/>
    <w:autoRedefine/>
    <w:qFormat/>
    <w:uiPriority w:val="0"/>
    <w:rPr>
      <w:rFonts w:ascii="宋体" w:hAnsi="Courier New" w:eastAsia="宋体"/>
      <w:kern w:val="2"/>
      <w:sz w:val="21"/>
      <w:lang w:val="en-US" w:eastAsia="zh-CN"/>
    </w:rPr>
  </w:style>
  <w:style w:type="character" w:customStyle="1" w:styleId="164">
    <w:name w:val="hei16b1"/>
    <w:autoRedefine/>
    <w:qFormat/>
    <w:uiPriority w:val="0"/>
    <w:rPr>
      <w:rFonts w:hint="default" w:ascii="Arial" w:hAnsi="Arial" w:cs="Arial"/>
      <w:b/>
      <w:bCs/>
      <w:color w:val="000000"/>
      <w:sz w:val="24"/>
      <w:szCs w:val="24"/>
    </w:rPr>
  </w:style>
  <w:style w:type="character" w:customStyle="1" w:styleId="165">
    <w:name w:val="正文（绿盟科技） Char"/>
    <w:link w:val="166"/>
    <w:autoRedefine/>
    <w:qFormat/>
    <w:uiPriority w:val="0"/>
    <w:rPr>
      <w:rFonts w:ascii="Arial" w:hAnsi="Arial"/>
      <w:sz w:val="21"/>
      <w:szCs w:val="21"/>
    </w:rPr>
  </w:style>
  <w:style w:type="paragraph" w:customStyle="1" w:styleId="166">
    <w:name w:val="正文（绿盟科技）"/>
    <w:link w:val="165"/>
    <w:autoRedefine/>
    <w:qFormat/>
    <w:uiPriority w:val="0"/>
    <w:pPr>
      <w:spacing w:line="300" w:lineRule="auto"/>
    </w:pPr>
    <w:rPr>
      <w:rFonts w:ascii="Arial" w:hAnsi="Arial" w:eastAsia="宋体" w:cs="Times New Roman"/>
      <w:sz w:val="21"/>
      <w:szCs w:val="21"/>
      <w:lang w:val="en-US" w:eastAsia="zh-CN" w:bidi="ar-SA"/>
    </w:rPr>
  </w:style>
  <w:style w:type="character" w:customStyle="1" w:styleId="167">
    <w:name w:val="Char Char19"/>
    <w:autoRedefine/>
    <w:qFormat/>
    <w:uiPriority w:val="6"/>
    <w:rPr>
      <w:rFonts w:ascii="宋体" w:hAnsi="宋体"/>
      <w:i/>
      <w:sz w:val="24"/>
      <w:szCs w:val="24"/>
    </w:rPr>
  </w:style>
  <w:style w:type="character" w:customStyle="1" w:styleId="168">
    <w:name w:val="页脚 Char"/>
    <w:autoRedefine/>
    <w:qFormat/>
    <w:uiPriority w:val="0"/>
    <w:rPr>
      <w:rFonts w:eastAsia="仿宋_GB2312"/>
      <w:kern w:val="2"/>
      <w:sz w:val="18"/>
      <w:lang w:val="en-US" w:eastAsia="zh-CN"/>
    </w:rPr>
  </w:style>
  <w:style w:type="character" w:customStyle="1" w:styleId="169">
    <w:name w:val="批注主题 Char"/>
    <w:autoRedefine/>
    <w:qFormat/>
    <w:uiPriority w:val="0"/>
    <w:rPr>
      <w:rFonts w:eastAsia="宋体"/>
      <w:b/>
      <w:bCs/>
      <w:kern w:val="2"/>
      <w:sz w:val="21"/>
      <w:szCs w:val="24"/>
      <w:lang w:val="en-US" w:eastAsia="zh-CN" w:bidi="ar-SA"/>
    </w:rPr>
  </w:style>
  <w:style w:type="character" w:customStyle="1" w:styleId="170">
    <w:name w:val="Comment Text Char"/>
    <w:autoRedefine/>
    <w:qFormat/>
    <w:uiPriority w:val="0"/>
    <w:rPr>
      <w:rFonts w:ascii="宋体" w:hAnsi="宋体" w:eastAsia="宋体"/>
      <w:kern w:val="2"/>
      <w:sz w:val="24"/>
      <w:lang w:val="en-US" w:eastAsia="zh-CN" w:bidi="ar-SA"/>
    </w:rPr>
  </w:style>
  <w:style w:type="character" w:customStyle="1" w:styleId="171">
    <w:name w:val="标题 2 字符"/>
    <w:autoRedefine/>
    <w:qFormat/>
    <w:uiPriority w:val="1"/>
    <w:rPr>
      <w:rFonts w:ascii="仿宋_GB2312" w:hAnsi="Times New Roman" w:eastAsia="仿宋_GB2312" w:cs="Times New Roman"/>
      <w:b/>
      <w:kern w:val="2"/>
      <w:sz w:val="24"/>
      <w:lang w:val="zh-CN"/>
    </w:rPr>
  </w:style>
  <w:style w:type="character" w:customStyle="1" w:styleId="172">
    <w:name w:val="Char Char72"/>
    <w:autoRedefine/>
    <w:qFormat/>
    <w:uiPriority w:val="0"/>
    <w:rPr>
      <w:rFonts w:eastAsia="宋体"/>
      <w:kern w:val="2"/>
      <w:sz w:val="21"/>
      <w:szCs w:val="24"/>
      <w:lang w:val="en-US" w:eastAsia="zh-CN" w:bidi="ar-SA"/>
    </w:rPr>
  </w:style>
  <w:style w:type="character" w:customStyle="1" w:styleId="173">
    <w:name w:val="正文文本缩进 Char2"/>
    <w:autoRedefine/>
    <w:qFormat/>
    <w:uiPriority w:val="0"/>
    <w:rPr>
      <w:rFonts w:ascii="Times New Roman" w:hAnsi="Times New Roman" w:eastAsia="宋体" w:cs="Times New Roman"/>
      <w:snapToGrid w:val="0"/>
      <w:kern w:val="0"/>
      <w:szCs w:val="24"/>
    </w:rPr>
  </w:style>
  <w:style w:type="character" w:customStyle="1" w:styleId="174">
    <w:name w:val="样式2 Char"/>
    <w:autoRedefine/>
    <w:qFormat/>
    <w:uiPriority w:val="0"/>
    <w:rPr>
      <w:rFonts w:ascii="仿宋_GB2312" w:hAnsi="仿宋" w:eastAsia="仿宋_GB2312" w:cs="仿宋_GB2312"/>
      <w:b/>
      <w:bCs/>
      <w:sz w:val="32"/>
      <w:szCs w:val="30"/>
      <w:lang w:val="zh-CN"/>
    </w:rPr>
  </w:style>
  <w:style w:type="character" w:customStyle="1" w:styleId="175">
    <w:name w:val="表格名称[858D7CFB-ED40-4347-BF05-701D383B685F]"/>
    <w:link w:val="176"/>
    <w:autoRedefine/>
    <w:qFormat/>
    <w:uiPriority w:val="0"/>
    <w:rPr>
      <w:sz w:val="32"/>
    </w:rPr>
  </w:style>
  <w:style w:type="paragraph" w:customStyle="1" w:styleId="176">
    <w:name w:val="表格名称"/>
    <w:basedOn w:val="4"/>
    <w:link w:val="175"/>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7">
    <w:name w:val="Char Char4"/>
    <w:autoRedefine/>
    <w:qFormat/>
    <w:uiPriority w:val="0"/>
    <w:rPr>
      <w:rFonts w:eastAsia="宋体"/>
      <w:b/>
      <w:sz w:val="24"/>
      <w:lang w:val="en-GB" w:eastAsia="zh-CN" w:bidi="ar-SA"/>
    </w:rPr>
  </w:style>
  <w:style w:type="character" w:customStyle="1" w:styleId="178">
    <w:name w:val="c7 style3"/>
    <w:autoRedefine/>
    <w:qFormat/>
    <w:uiPriority w:val="0"/>
  </w:style>
  <w:style w:type="character" w:customStyle="1" w:styleId="179">
    <w:name w:val="正文文本 3 Char1"/>
    <w:autoRedefine/>
    <w:qFormat/>
    <w:uiPriority w:val="99"/>
    <w:rPr>
      <w:rFonts w:ascii="Times New Roman" w:hAnsi="Times New Roman" w:eastAsia="宋体" w:cs="Times New Roman"/>
      <w:sz w:val="16"/>
      <w:szCs w:val="16"/>
    </w:rPr>
  </w:style>
  <w:style w:type="character" w:customStyle="1" w:styleId="180">
    <w:name w:val="tw4winInternal"/>
    <w:autoRedefine/>
    <w:qFormat/>
    <w:uiPriority w:val="0"/>
    <w:rPr>
      <w:rFonts w:ascii="Courier New" w:hAnsi="Courier New" w:cs="Courier New"/>
      <w:color w:val="FF0000"/>
      <w:lang w:val="en-US" w:eastAsia="zh-CN"/>
    </w:rPr>
  </w:style>
  <w:style w:type="character" w:customStyle="1" w:styleId="181">
    <w:name w:val="Char Char10"/>
    <w:autoRedefine/>
    <w:qFormat/>
    <w:uiPriority w:val="0"/>
    <w:rPr>
      <w:rFonts w:ascii="宋体" w:hAnsi="宋体"/>
      <w:kern w:val="2"/>
      <w:sz w:val="21"/>
      <w:szCs w:val="24"/>
      <w:lang w:val="en-US" w:eastAsia="zh-CN"/>
    </w:rPr>
  </w:style>
  <w:style w:type="character" w:customStyle="1" w:styleId="182">
    <w:name w:val="shadow11"/>
    <w:autoRedefine/>
    <w:qFormat/>
    <w:uiPriority w:val="0"/>
    <w:rPr>
      <w:color w:val="000000"/>
      <w:sz w:val="21"/>
    </w:rPr>
  </w:style>
  <w:style w:type="character" w:customStyle="1" w:styleId="183">
    <w:name w:val="正文非缩进 Char3"/>
    <w:autoRedefine/>
    <w:qFormat/>
    <w:uiPriority w:val="0"/>
    <w:rPr>
      <w:rFonts w:ascii="宋体" w:eastAsia="宋体"/>
      <w:snapToGrid w:val="0"/>
      <w:color w:val="000000"/>
      <w:kern w:val="28"/>
      <w:sz w:val="28"/>
      <w:lang w:val="en-US" w:eastAsia="zh-CN" w:bidi="ar-SA"/>
    </w:rPr>
  </w:style>
  <w:style w:type="character" w:customStyle="1" w:styleId="184">
    <w:name w:val="Char Char"/>
    <w:autoRedefine/>
    <w:qFormat/>
    <w:uiPriority w:val="0"/>
    <w:rPr>
      <w:rFonts w:ascii="宋体" w:hAnsi="Courier New" w:eastAsia="宋体"/>
      <w:kern w:val="2"/>
      <w:sz w:val="21"/>
      <w:lang w:val="en-US" w:eastAsia="zh-CN" w:bidi="ar-SA"/>
    </w:rPr>
  </w:style>
  <w:style w:type="character" w:customStyle="1" w:styleId="185">
    <w:name w:val="签名 Char1"/>
    <w:autoRedefine/>
    <w:qFormat/>
    <w:uiPriority w:val="0"/>
    <w:rPr>
      <w:rFonts w:ascii="Times New Roman" w:hAnsi="Times New Roman" w:eastAsia="宋体" w:cs="Times New Roman"/>
      <w:szCs w:val="24"/>
    </w:rPr>
  </w:style>
  <w:style w:type="character" w:customStyle="1" w:styleId="186">
    <w:name w:val="日期 Char"/>
    <w:link w:val="37"/>
    <w:autoRedefine/>
    <w:qFormat/>
    <w:uiPriority w:val="0"/>
    <w:rPr>
      <w:rFonts w:ascii="宋体"/>
      <w:kern w:val="2"/>
      <w:sz w:val="24"/>
      <w:szCs w:val="21"/>
      <w:lang w:val="zh-CN"/>
    </w:rPr>
  </w:style>
  <w:style w:type="character" w:customStyle="1" w:styleId="187">
    <w:name w:val="标题 9 Char"/>
    <w:link w:val="13"/>
    <w:autoRedefine/>
    <w:qFormat/>
    <w:uiPriority w:val="0"/>
    <w:rPr>
      <w:rFonts w:ascii="Arial" w:hAnsi="Arial" w:eastAsia="黑体"/>
      <w:kern w:val="2"/>
      <w:sz w:val="21"/>
      <w:szCs w:val="21"/>
    </w:rPr>
  </w:style>
  <w:style w:type="character" w:customStyle="1" w:styleId="188">
    <w:name w:val="Char Char18"/>
    <w:autoRedefine/>
    <w:qFormat/>
    <w:uiPriority w:val="6"/>
    <w:rPr>
      <w:rFonts w:ascii="宋体" w:hAnsi="宋体"/>
      <w:sz w:val="28"/>
    </w:rPr>
  </w:style>
  <w:style w:type="character" w:customStyle="1" w:styleId="189">
    <w:name w:val="批注文字 Char"/>
    <w:autoRedefine/>
    <w:qFormat/>
    <w:uiPriority w:val="99"/>
    <w:rPr>
      <w:kern w:val="2"/>
      <w:sz w:val="21"/>
      <w:szCs w:val="24"/>
    </w:rPr>
  </w:style>
  <w:style w:type="character" w:customStyle="1" w:styleId="190">
    <w:name w:val="Char Char22"/>
    <w:autoRedefine/>
    <w:qFormat/>
    <w:uiPriority w:val="6"/>
    <w:rPr>
      <w:rFonts w:ascii="宋体" w:hAnsi="宋体"/>
      <w:kern w:val="1"/>
      <w:sz w:val="24"/>
      <w:szCs w:val="24"/>
    </w:rPr>
  </w:style>
  <w:style w:type="character" w:customStyle="1" w:styleId="191">
    <w:name w:val="pt141"/>
    <w:autoRedefine/>
    <w:qFormat/>
    <w:uiPriority w:val="0"/>
    <w:rPr>
      <w:color w:val="330066"/>
      <w:sz w:val="22"/>
      <w:szCs w:val="22"/>
    </w:rPr>
  </w:style>
  <w:style w:type="character" w:customStyle="1" w:styleId="192">
    <w:name w:val="正文文本缩进 2 Char1"/>
    <w:autoRedefine/>
    <w:qFormat/>
    <w:uiPriority w:val="99"/>
    <w:rPr>
      <w:rFonts w:ascii="Times New Roman" w:hAnsi="Times New Roman" w:eastAsia="宋体" w:cs="Times New Roman"/>
      <w:szCs w:val="24"/>
    </w:rPr>
  </w:style>
  <w:style w:type="character" w:customStyle="1" w:styleId="193">
    <w:name w:val="批注框文本 Char"/>
    <w:link w:val="40"/>
    <w:autoRedefine/>
    <w:qFormat/>
    <w:uiPriority w:val="0"/>
    <w:rPr>
      <w:kern w:val="2"/>
      <w:sz w:val="18"/>
      <w:szCs w:val="18"/>
    </w:rPr>
  </w:style>
  <w:style w:type="character" w:customStyle="1" w:styleId="194">
    <w:name w:val="Char Char611"/>
    <w:autoRedefine/>
    <w:qFormat/>
    <w:uiPriority w:val="0"/>
    <w:rPr>
      <w:rFonts w:eastAsia="宋体"/>
      <w:kern w:val="2"/>
      <w:sz w:val="21"/>
      <w:szCs w:val="24"/>
      <w:lang w:val="en-US" w:eastAsia="zh-CN" w:bidi="ar-SA"/>
    </w:rPr>
  </w:style>
  <w:style w:type="character" w:customStyle="1" w:styleId="195">
    <w:name w:val="highlight1"/>
    <w:autoRedefine/>
    <w:qFormat/>
    <w:uiPriority w:val="0"/>
    <w:rPr>
      <w:rFonts w:ascii="仿宋_GB2312" w:eastAsia="微软雅黑"/>
      <w:b/>
      <w:kern w:val="2"/>
      <w:sz w:val="23"/>
      <w:szCs w:val="23"/>
      <w:lang w:val="en-US" w:eastAsia="zh-CN" w:bidi="ar-SA"/>
    </w:rPr>
  </w:style>
  <w:style w:type="character" w:customStyle="1" w:styleId="196">
    <w:name w:val="my正文 Char"/>
    <w:link w:val="197"/>
    <w:autoRedefine/>
    <w:qFormat/>
    <w:uiPriority w:val="0"/>
    <w:rPr>
      <w:rFonts w:ascii="Tahoma" w:hAnsi="Tahoma"/>
      <w:sz w:val="24"/>
      <w:szCs w:val="24"/>
    </w:rPr>
  </w:style>
  <w:style w:type="paragraph" w:customStyle="1" w:styleId="197">
    <w:name w:val="my正文"/>
    <w:basedOn w:val="1"/>
    <w:link w:val="196"/>
    <w:autoRedefine/>
    <w:qFormat/>
    <w:uiPriority w:val="0"/>
    <w:pPr>
      <w:adjustRightInd/>
      <w:spacing w:line="360" w:lineRule="auto"/>
      <w:ind w:firstLine="480" w:firstLineChars="200"/>
    </w:pPr>
    <w:rPr>
      <w:rFonts w:ascii="Tahoma" w:hAnsi="Tahoma"/>
      <w:kern w:val="0"/>
      <w:sz w:val="24"/>
    </w:rPr>
  </w:style>
  <w:style w:type="character" w:customStyle="1" w:styleId="198">
    <w:name w:val="正文缩进 Char2"/>
    <w:link w:val="2"/>
    <w:autoRedefine/>
    <w:qFormat/>
    <w:uiPriority w:val="0"/>
    <w:rPr>
      <w:rFonts w:ascii="宋体" w:eastAsia="宋体"/>
      <w:snapToGrid w:val="0"/>
      <w:color w:val="000000"/>
      <w:kern w:val="28"/>
      <w:sz w:val="28"/>
      <w:lang w:val="en-US" w:eastAsia="zh-CN" w:bidi="ar-SA"/>
    </w:rPr>
  </w:style>
  <w:style w:type="character" w:customStyle="1" w:styleId="199">
    <w:name w:val="Used by Word for text of Help footnotes Char Char1"/>
    <w:autoRedefine/>
    <w:qFormat/>
    <w:uiPriority w:val="0"/>
    <w:rPr>
      <w:color w:val="0000FF"/>
      <w:sz w:val="21"/>
    </w:rPr>
  </w:style>
  <w:style w:type="character" w:customStyle="1" w:styleId="200">
    <w:name w:val="页眉 Char"/>
    <w:autoRedefine/>
    <w:qFormat/>
    <w:uiPriority w:val="0"/>
    <w:rPr>
      <w:rFonts w:eastAsia="仿宋_GB2312"/>
      <w:kern w:val="2"/>
      <w:sz w:val="18"/>
      <w:lang w:val="en-US" w:eastAsia="zh-CN"/>
    </w:rPr>
  </w:style>
  <w:style w:type="character" w:customStyle="1" w:styleId="201">
    <w:name w:val="FA正文 Char Char"/>
    <w:autoRedefine/>
    <w:qFormat/>
    <w:uiPriority w:val="0"/>
    <w:rPr>
      <w:rFonts w:hAnsi="宋体"/>
      <w:kern w:val="2"/>
      <w:sz w:val="24"/>
      <w:lang w:bidi="ar-SA"/>
    </w:rPr>
  </w:style>
  <w:style w:type="character" w:customStyle="1" w:styleId="202">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3">
    <w:name w:val="3级 Char"/>
    <w:link w:val="204"/>
    <w:autoRedefine/>
    <w:qFormat/>
    <w:uiPriority w:val="0"/>
    <w:rPr>
      <w:rFonts w:ascii="宋体" w:hAnsi="宋体"/>
      <w:b/>
      <w:bCs/>
      <w:snapToGrid/>
      <w:sz w:val="28"/>
    </w:rPr>
  </w:style>
  <w:style w:type="paragraph" w:customStyle="1" w:styleId="204">
    <w:name w:val="3级"/>
    <w:basedOn w:val="205"/>
    <w:link w:val="203"/>
    <w:autoRedefine/>
    <w:qFormat/>
    <w:uiPriority w:val="0"/>
    <w:pPr>
      <w:ind w:left="0" w:right="466" w:firstLine="288"/>
    </w:pPr>
    <w:rPr>
      <w:rFonts w:hAnsi="宋体"/>
      <w:snapToGrid/>
    </w:rPr>
  </w:style>
  <w:style w:type="paragraph" w:customStyle="1" w:styleId="205">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6">
    <w:name w:val="myp11"/>
    <w:autoRedefine/>
    <w:qFormat/>
    <w:uiPriority w:val="0"/>
    <w:rPr>
      <w:rFonts w:ascii="仿宋_GB2312" w:eastAsia="微软雅黑"/>
      <w:b/>
      <w:kern w:val="2"/>
      <w:sz w:val="32"/>
      <w:szCs w:val="32"/>
      <w:lang w:val="en-US" w:eastAsia="zh-CN" w:bidi="ar-SA"/>
    </w:rPr>
  </w:style>
  <w:style w:type="character" w:customStyle="1" w:styleId="207">
    <w:name w:val="文档结构图 Char1"/>
    <w:link w:val="20"/>
    <w:autoRedefine/>
    <w:qFormat/>
    <w:uiPriority w:val="0"/>
    <w:rPr>
      <w:kern w:val="2"/>
      <w:sz w:val="21"/>
      <w:szCs w:val="24"/>
      <w:shd w:val="clear" w:color="auto" w:fill="000080"/>
    </w:rPr>
  </w:style>
  <w:style w:type="character" w:customStyle="1" w:styleId="208">
    <w:name w:val="H6 Char"/>
    <w:autoRedefine/>
    <w:qFormat/>
    <w:uiPriority w:val="0"/>
    <w:rPr>
      <w:rFonts w:ascii="Arial" w:hAnsi="Arial" w:eastAsia="黑体"/>
      <w:b/>
      <w:bCs/>
      <w:kern w:val="2"/>
      <w:sz w:val="24"/>
      <w:szCs w:val="24"/>
    </w:rPr>
  </w:style>
  <w:style w:type="character" w:customStyle="1" w:styleId="209">
    <w:name w:val="Char Char91"/>
    <w:autoRedefine/>
    <w:qFormat/>
    <w:uiPriority w:val="0"/>
    <w:rPr>
      <w:rFonts w:eastAsia="宋体"/>
      <w:kern w:val="2"/>
      <w:sz w:val="18"/>
      <w:szCs w:val="18"/>
      <w:lang w:val="en-US" w:eastAsia="zh-CN" w:bidi="ar-SA"/>
    </w:rPr>
  </w:style>
  <w:style w:type="character" w:customStyle="1" w:styleId="210">
    <w:name w:val="副标题 Char1"/>
    <w:autoRedefine/>
    <w:qFormat/>
    <w:uiPriority w:val="0"/>
    <w:rPr>
      <w:rFonts w:ascii="Cambria" w:hAnsi="Cambria" w:eastAsia="宋体" w:cs="Times New Roman"/>
      <w:b/>
      <w:bCs/>
      <w:snapToGrid w:val="0"/>
      <w:kern w:val="28"/>
      <w:sz w:val="32"/>
      <w:szCs w:val="32"/>
    </w:rPr>
  </w:style>
  <w:style w:type="character" w:customStyle="1" w:styleId="211">
    <w:name w:val="font61"/>
    <w:autoRedefine/>
    <w:qFormat/>
    <w:uiPriority w:val="0"/>
    <w:rPr>
      <w:rFonts w:hint="eastAsia" w:ascii="仿宋" w:hAnsi="仿宋" w:eastAsia="仿宋" w:cs="仿宋"/>
      <w:color w:val="000000"/>
      <w:sz w:val="20"/>
      <w:szCs w:val="20"/>
      <w:u w:val="none"/>
    </w:rPr>
  </w:style>
  <w:style w:type="character" w:customStyle="1" w:styleId="21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3">
    <w:name w:val="Char Char211"/>
    <w:autoRedefine/>
    <w:qFormat/>
    <w:uiPriority w:val="0"/>
    <w:rPr>
      <w:rFonts w:eastAsia="宋体"/>
      <w:b/>
      <w:bCs/>
      <w:kern w:val="2"/>
      <w:sz w:val="21"/>
      <w:szCs w:val="24"/>
      <w:lang w:val="en-US" w:eastAsia="zh-CN" w:bidi="ar-SA"/>
    </w:rPr>
  </w:style>
  <w:style w:type="character" w:customStyle="1" w:styleId="214">
    <w:name w:val="标题 2 Char"/>
    <w:autoRedefine/>
    <w:qFormat/>
    <w:uiPriority w:val="0"/>
    <w:rPr>
      <w:rFonts w:ascii="Arial" w:hAnsi="Arial" w:eastAsia="黑体"/>
      <w:b/>
      <w:kern w:val="2"/>
      <w:sz w:val="32"/>
      <w:lang w:val="en-US" w:eastAsia="zh-CN"/>
    </w:rPr>
  </w:style>
  <w:style w:type="character" w:customStyle="1" w:styleId="215">
    <w:name w:val="maywed421"/>
    <w:autoRedefine/>
    <w:qFormat/>
    <w:uiPriority w:val="0"/>
    <w:rPr>
      <w:color w:val="366FB6"/>
      <w:u w:val="none"/>
    </w:rPr>
  </w:style>
  <w:style w:type="character" w:customStyle="1" w:styleId="216">
    <w:name w:val="正文文本缩进 Char"/>
    <w:autoRedefine/>
    <w:qFormat/>
    <w:uiPriority w:val="0"/>
    <w:rPr>
      <w:rFonts w:ascii="宋体" w:hAnsi="宋体"/>
      <w:kern w:val="2"/>
      <w:sz w:val="24"/>
      <w:szCs w:val="24"/>
    </w:rPr>
  </w:style>
  <w:style w:type="character" w:customStyle="1" w:styleId="217">
    <w:name w:val="Char Char102"/>
    <w:autoRedefine/>
    <w:qFormat/>
    <w:uiPriority w:val="0"/>
    <w:rPr>
      <w:rFonts w:ascii="宋体" w:hAnsi="宋体"/>
      <w:kern w:val="2"/>
      <w:sz w:val="21"/>
      <w:szCs w:val="24"/>
      <w:lang w:val="en-US" w:eastAsia="zh-CN"/>
    </w:rPr>
  </w:style>
  <w:style w:type="character" w:customStyle="1" w:styleId="218">
    <w:name w:val="页眉 Char1"/>
    <w:autoRedefine/>
    <w:qFormat/>
    <w:uiPriority w:val="0"/>
    <w:rPr>
      <w:rFonts w:eastAsia="宋体"/>
      <w:kern w:val="2"/>
      <w:sz w:val="18"/>
      <w:szCs w:val="18"/>
      <w:lang w:val="en-US" w:eastAsia="zh-CN" w:bidi="ar-SA"/>
    </w:rPr>
  </w:style>
  <w:style w:type="character" w:customStyle="1" w:styleId="219">
    <w:name w:val="md"/>
    <w:basedOn w:val="69"/>
    <w:autoRedefine/>
    <w:qFormat/>
    <w:uiPriority w:val="0"/>
    <w:rPr>
      <w:rFonts w:ascii="Arial" w:hAnsi="Arial" w:eastAsia="黑体" w:cs="Arial"/>
      <w:snapToGrid w:val="0"/>
      <w:kern w:val="0"/>
      <w:szCs w:val="21"/>
    </w:rPr>
  </w:style>
  <w:style w:type="character" w:customStyle="1" w:styleId="220">
    <w:name w:val="big1"/>
    <w:autoRedefine/>
    <w:qFormat/>
    <w:uiPriority w:val="0"/>
    <w:rPr>
      <w:rFonts w:hint="eastAsia" w:ascii="宋体" w:hAnsi="宋体" w:eastAsia="宋体"/>
      <w:color w:val="333333"/>
      <w:sz w:val="22"/>
      <w:szCs w:val="22"/>
    </w:rPr>
  </w:style>
  <w:style w:type="character" w:customStyle="1" w:styleId="221">
    <w:name w:val="Char Char311"/>
    <w:autoRedefine/>
    <w:qFormat/>
    <w:uiPriority w:val="0"/>
    <w:rPr>
      <w:rFonts w:eastAsia="宋体"/>
      <w:kern w:val="2"/>
      <w:sz w:val="21"/>
      <w:szCs w:val="24"/>
      <w:lang w:val="en-US" w:eastAsia="zh-CN" w:bidi="ar-SA"/>
    </w:rPr>
  </w:style>
  <w:style w:type="character" w:customStyle="1" w:styleId="222">
    <w:name w:val="Char Char81"/>
    <w:autoRedefine/>
    <w:qFormat/>
    <w:uiPriority w:val="6"/>
    <w:rPr>
      <w:rFonts w:eastAsia="宋体"/>
      <w:b/>
      <w:sz w:val="24"/>
      <w:lang w:val="en-GB" w:eastAsia="zh-CN"/>
    </w:rPr>
  </w:style>
  <w:style w:type="character" w:customStyle="1" w:styleId="223">
    <w:name w:val="样式3 Char"/>
    <w:basedOn w:val="174"/>
    <w:autoRedefine/>
    <w:qFormat/>
    <w:uiPriority w:val="0"/>
    <w:rPr>
      <w:rFonts w:ascii="仿宋_GB2312" w:hAnsi="仿宋" w:eastAsia="仿宋_GB2312" w:cs="仿宋_GB2312"/>
      <w:sz w:val="32"/>
      <w:szCs w:val="30"/>
      <w:lang w:val="zh-CN"/>
    </w:rPr>
  </w:style>
  <w:style w:type="character" w:customStyle="1" w:styleId="224">
    <w:name w:val="HTML 地址 Char"/>
    <w:link w:val="31"/>
    <w:autoRedefine/>
    <w:qFormat/>
    <w:uiPriority w:val="0"/>
    <w:rPr>
      <w:rFonts w:ascii="宋体" w:hAnsi="宋体"/>
      <w:i/>
      <w:iCs/>
      <w:sz w:val="24"/>
      <w:szCs w:val="24"/>
    </w:rPr>
  </w:style>
  <w:style w:type="character" w:customStyle="1" w:styleId="225">
    <w:name w:val="正文首行缩进 2 Char1"/>
    <w:autoRedefine/>
    <w:qFormat/>
    <w:uiPriority w:val="0"/>
    <w:rPr>
      <w:rFonts w:ascii="Times New Roman" w:hAnsi="Times New Roman" w:eastAsia="宋体" w:cs="Times New Roman"/>
      <w:kern w:val="2"/>
      <w:sz w:val="24"/>
      <w:szCs w:val="24"/>
    </w:rPr>
  </w:style>
  <w:style w:type="character" w:customStyle="1" w:styleId="226">
    <w:name w:val="副标题 Char2"/>
    <w:autoRedefine/>
    <w:qFormat/>
    <w:uiPriority w:val="0"/>
    <w:rPr>
      <w:rFonts w:ascii="Cambria" w:hAnsi="Cambria" w:eastAsia="宋体" w:cs="Times New Roman"/>
      <w:b/>
      <w:bCs/>
      <w:snapToGrid w:val="0"/>
      <w:kern w:val="28"/>
      <w:sz w:val="32"/>
      <w:szCs w:val="32"/>
    </w:rPr>
  </w:style>
  <w:style w:type="character" w:customStyle="1" w:styleId="227">
    <w:name w:val="标题4-dyf Char"/>
    <w:link w:val="228"/>
    <w:autoRedefine/>
    <w:qFormat/>
    <w:uiPriority w:val="0"/>
    <w:rPr>
      <w:rFonts w:ascii="Cambria" w:hAnsi="Cambria"/>
      <w:b/>
      <w:bCs/>
      <w:color w:val="000000"/>
      <w:kern w:val="2"/>
      <w:sz w:val="21"/>
      <w:szCs w:val="21"/>
    </w:rPr>
  </w:style>
  <w:style w:type="paragraph" w:customStyle="1" w:styleId="228">
    <w:name w:val="标题4-dyf"/>
    <w:basedOn w:val="8"/>
    <w:link w:val="227"/>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9">
    <w:name w:val="dectext1"/>
    <w:autoRedefine/>
    <w:qFormat/>
    <w:uiPriority w:val="0"/>
    <w:rPr>
      <w:rFonts w:ascii="宋体" w:hAnsi="宋体" w:eastAsia="宋体"/>
      <w:color w:val="333333"/>
      <w:sz w:val="21"/>
      <w:szCs w:val="21"/>
      <w:u w:val="none"/>
    </w:rPr>
  </w:style>
  <w:style w:type="character" w:customStyle="1" w:styleId="230">
    <w:name w:val="冯 Char"/>
    <w:link w:val="231"/>
    <w:autoRedefine/>
    <w:qFormat/>
    <w:uiPriority w:val="0"/>
    <w:rPr>
      <w:rFonts w:ascii="宋体" w:hAnsi="宋体"/>
      <w:color w:val="000000"/>
      <w:sz w:val="24"/>
      <w:szCs w:val="24"/>
    </w:rPr>
  </w:style>
  <w:style w:type="paragraph" w:customStyle="1" w:styleId="231">
    <w:name w:val="冯"/>
    <w:basedOn w:val="1"/>
    <w:link w:val="230"/>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32">
    <w:name w:val="Header Char_b6bb7154-40a1-4532-be09-cdbace51fda5"/>
    <w:autoRedefine/>
    <w:qFormat/>
    <w:uiPriority w:val="0"/>
    <w:rPr>
      <w:rFonts w:eastAsia="宋体"/>
      <w:kern w:val="2"/>
      <w:sz w:val="18"/>
      <w:szCs w:val="18"/>
      <w:lang w:val="en-US" w:eastAsia="zh-CN" w:bidi="ar-SA"/>
    </w:rPr>
  </w:style>
  <w:style w:type="character" w:customStyle="1" w:styleId="233">
    <w:name w:val="Char Char12"/>
    <w:autoRedefine/>
    <w:qFormat/>
    <w:uiPriority w:val="0"/>
    <w:rPr>
      <w:rFonts w:ascii="仿宋_GB2312" w:eastAsia="仿宋_GB2312"/>
      <w:b/>
      <w:bCs/>
      <w:kern w:val="2"/>
      <w:sz w:val="24"/>
      <w:szCs w:val="24"/>
      <w:lang w:val="zh-CN" w:eastAsia="zh-CN" w:bidi="ar-SA"/>
    </w:rPr>
  </w:style>
  <w:style w:type="character" w:customStyle="1" w:styleId="234">
    <w:name w:val="题注 Char"/>
    <w:link w:val="18"/>
    <w:autoRedefine/>
    <w:qFormat/>
    <w:uiPriority w:val="0"/>
    <w:rPr>
      <w:b/>
      <w:kern w:val="2"/>
      <w:sz w:val="28"/>
    </w:rPr>
  </w:style>
  <w:style w:type="character" w:customStyle="1" w:styleId="235">
    <w:name w:val="普通文字 Char3"/>
    <w:autoRedefine/>
    <w:qFormat/>
    <w:uiPriority w:val="0"/>
    <w:rPr>
      <w:rFonts w:ascii="宋体" w:hAnsi="Courier New" w:eastAsia="宋体"/>
      <w:kern w:val="2"/>
      <w:sz w:val="21"/>
      <w:lang w:val="en-US" w:eastAsia="zh-CN" w:bidi="ar-SA"/>
    </w:rPr>
  </w:style>
  <w:style w:type="character" w:customStyle="1" w:styleId="236">
    <w:name w:val="公文正文 Char"/>
    <w:autoRedefine/>
    <w:qFormat/>
    <w:uiPriority w:val="0"/>
    <w:rPr>
      <w:rFonts w:ascii="仿宋_GB2312" w:eastAsia="仿宋_GB2312"/>
      <w:kern w:val="2"/>
      <w:sz w:val="24"/>
      <w:szCs w:val="24"/>
      <w:lang w:val="en-US" w:eastAsia="zh-CN" w:bidi="ar-SA"/>
    </w:rPr>
  </w:style>
  <w:style w:type="character" w:customStyle="1" w:styleId="237">
    <w:name w:val="正文首行缩进 Char Char Char Char Char"/>
    <w:autoRedefine/>
    <w:qFormat/>
    <w:uiPriority w:val="0"/>
    <w:rPr>
      <w:rFonts w:ascii="宋体"/>
      <w:kern w:val="2"/>
      <w:sz w:val="24"/>
      <w:lang w:val="zh-CN"/>
    </w:rPr>
  </w:style>
  <w:style w:type="character" w:customStyle="1" w:styleId="238">
    <w:name w:val="PI Char"/>
    <w:autoRedefine/>
    <w:qFormat/>
    <w:uiPriority w:val="0"/>
    <w:rPr>
      <w:rFonts w:ascii="宋体" w:hAnsi="宋体" w:eastAsia="宋体"/>
      <w:kern w:val="2"/>
      <w:sz w:val="24"/>
      <w:szCs w:val="24"/>
      <w:lang w:val="en-US" w:eastAsia="zh-CN" w:bidi="ar-SA"/>
    </w:rPr>
  </w:style>
  <w:style w:type="character" w:customStyle="1" w:styleId="239">
    <w:name w:val="Default Char"/>
    <w:link w:val="85"/>
    <w:autoRedefine/>
    <w:qFormat/>
    <w:uiPriority w:val="0"/>
    <w:rPr>
      <w:rFonts w:ascii="仿宋_GB2312" w:eastAsia="仿宋_GB2312" w:cs="仿宋_GB2312"/>
      <w:color w:val="000000"/>
      <w:sz w:val="24"/>
      <w:szCs w:val="24"/>
      <w:lang w:val="en-US" w:eastAsia="zh-CN" w:bidi="ar-SA"/>
    </w:rPr>
  </w:style>
  <w:style w:type="character" w:customStyle="1" w:styleId="240">
    <w:name w:val="style91"/>
    <w:autoRedefine/>
    <w:qFormat/>
    <w:uiPriority w:val="0"/>
    <w:rPr>
      <w:color w:val="333333"/>
    </w:rPr>
  </w:style>
  <w:style w:type="character" w:customStyle="1" w:styleId="241">
    <w:name w:val="列出段落 Char2"/>
    <w:autoRedefine/>
    <w:qFormat/>
    <w:uiPriority w:val="34"/>
    <w:rPr>
      <w:rFonts w:ascii="Calibri" w:hAnsi="Calibri"/>
      <w:kern w:val="2"/>
      <w:sz w:val="28"/>
    </w:rPr>
  </w:style>
  <w:style w:type="character" w:customStyle="1" w:styleId="242">
    <w:name w:val="mdeck"/>
    <w:autoRedefine/>
    <w:qFormat/>
    <w:uiPriority w:val="0"/>
    <w:rPr>
      <w:rFonts w:ascii="仿宋_GB2312" w:eastAsia="微软雅黑"/>
      <w:b/>
      <w:kern w:val="2"/>
      <w:sz w:val="32"/>
      <w:szCs w:val="32"/>
      <w:lang w:val="en-US" w:eastAsia="zh-CN" w:bidi="ar-SA"/>
    </w:rPr>
  </w:style>
  <w:style w:type="character" w:customStyle="1" w:styleId="243">
    <w:name w:val="unnamed11"/>
    <w:autoRedefine/>
    <w:qFormat/>
    <w:uiPriority w:val="0"/>
    <w:rPr>
      <w:sz w:val="20"/>
      <w:szCs w:val="20"/>
    </w:rPr>
  </w:style>
  <w:style w:type="character" w:customStyle="1" w:styleId="244">
    <w:name w:val="正文文本 Char2"/>
    <w:autoRedefine/>
    <w:qFormat/>
    <w:uiPriority w:val="99"/>
    <w:rPr>
      <w:rFonts w:ascii="Times New Roman" w:hAnsi="Times New Roman" w:eastAsia="宋体" w:cs="Times New Roman"/>
      <w:snapToGrid w:val="0"/>
      <w:kern w:val="0"/>
      <w:szCs w:val="24"/>
    </w:rPr>
  </w:style>
  <w:style w:type="character" w:customStyle="1" w:styleId="245">
    <w:name w:val="标书正文格式 Char"/>
    <w:autoRedefine/>
    <w:qFormat/>
    <w:uiPriority w:val="0"/>
    <w:rPr>
      <w:rFonts w:eastAsia="楷体_GB2312"/>
      <w:kern w:val="2"/>
      <w:sz w:val="24"/>
      <w:szCs w:val="24"/>
      <w:lang w:bidi="ar-SA"/>
    </w:rPr>
  </w:style>
  <w:style w:type="character" w:customStyle="1" w:styleId="246">
    <w:name w:val="Char Char11"/>
    <w:autoRedefine/>
    <w:qFormat/>
    <w:uiPriority w:val="0"/>
    <w:rPr>
      <w:rFonts w:ascii="宋体" w:hAnsi="宋体" w:eastAsia="宋体"/>
      <w:b/>
      <w:kern w:val="2"/>
      <w:sz w:val="24"/>
      <w:szCs w:val="24"/>
      <w:lang w:val="en-US" w:eastAsia="zh-CN" w:bidi="ar-SA"/>
    </w:rPr>
  </w:style>
  <w:style w:type="character" w:customStyle="1" w:styleId="247">
    <w:name w:val="ca-131"/>
    <w:autoRedefine/>
    <w:qFormat/>
    <w:uiPriority w:val="0"/>
    <w:rPr>
      <w:rFonts w:hint="eastAsia" w:ascii="仿宋_GB2312" w:eastAsia="仿宋_GB2312"/>
      <w:b/>
      <w:bCs/>
      <w:color w:val="000000"/>
      <w:spacing w:val="-20"/>
      <w:sz w:val="24"/>
      <w:szCs w:val="24"/>
    </w:rPr>
  </w:style>
  <w:style w:type="character" w:customStyle="1" w:styleId="248">
    <w:name w:val="tw4winMark"/>
    <w:autoRedefine/>
    <w:qFormat/>
    <w:uiPriority w:val="0"/>
    <w:rPr>
      <w:rFonts w:ascii="Courier New" w:hAnsi="Courier New" w:cs="Courier New"/>
      <w:vanish/>
      <w:color w:val="800080"/>
      <w:sz w:val="24"/>
      <w:szCs w:val="24"/>
      <w:vertAlign w:val="subscript"/>
    </w:rPr>
  </w:style>
  <w:style w:type="character" w:customStyle="1" w:styleId="249">
    <w:name w:val="正文样式 Char"/>
    <w:link w:val="250"/>
    <w:autoRedefine/>
    <w:qFormat/>
    <w:uiPriority w:val="0"/>
    <w:rPr>
      <w:rFonts w:ascii="Calibri" w:hAnsi="Calibri"/>
      <w:sz w:val="24"/>
      <w:szCs w:val="24"/>
    </w:rPr>
  </w:style>
  <w:style w:type="paragraph" w:customStyle="1" w:styleId="250">
    <w:name w:val="正文样式"/>
    <w:basedOn w:val="1"/>
    <w:link w:val="249"/>
    <w:autoRedefine/>
    <w:qFormat/>
    <w:uiPriority w:val="0"/>
    <w:pPr>
      <w:adjustRightInd/>
      <w:spacing w:line="360" w:lineRule="auto"/>
      <w:ind w:firstLine="480" w:firstLineChars="200"/>
    </w:pPr>
    <w:rPr>
      <w:kern w:val="0"/>
      <w:sz w:val="24"/>
    </w:rPr>
  </w:style>
  <w:style w:type="character" w:customStyle="1" w:styleId="251">
    <w:name w:val="表正文 Char3"/>
    <w:autoRedefine/>
    <w:qFormat/>
    <w:uiPriority w:val="0"/>
    <w:rPr>
      <w:rFonts w:eastAsia="宋体"/>
    </w:rPr>
  </w:style>
  <w:style w:type="character" w:customStyle="1" w:styleId="252">
    <w:name w:val="H5 Char"/>
    <w:autoRedefine/>
    <w:qFormat/>
    <w:uiPriority w:val="0"/>
    <w:rPr>
      <w:b/>
      <w:bCs/>
      <w:kern w:val="2"/>
      <w:sz w:val="28"/>
      <w:szCs w:val="28"/>
    </w:rPr>
  </w:style>
  <w:style w:type="character" w:customStyle="1" w:styleId="253">
    <w:name w:val="Char Char3"/>
    <w:autoRedefine/>
    <w:qFormat/>
    <w:uiPriority w:val="0"/>
    <w:rPr>
      <w:rFonts w:eastAsia="宋体"/>
      <w:kern w:val="2"/>
      <w:sz w:val="21"/>
      <w:szCs w:val="24"/>
      <w:lang w:val="en-US" w:eastAsia="zh-CN" w:bidi="ar-SA"/>
    </w:rPr>
  </w:style>
  <w:style w:type="character" w:customStyle="1" w:styleId="254">
    <w:name w:val="正文 编号 Char"/>
    <w:autoRedefine/>
    <w:qFormat/>
    <w:uiPriority w:val="0"/>
    <w:rPr>
      <w:rFonts w:ascii="仿宋_GB2312" w:hAnsi="仿宋_GB2312" w:eastAsia="仿宋_GB2312"/>
      <w:kern w:val="2"/>
      <w:sz w:val="24"/>
      <w:lang w:bidi="ar-SA"/>
    </w:rPr>
  </w:style>
  <w:style w:type="character" w:customStyle="1" w:styleId="255">
    <w:name w:val="question-title2"/>
    <w:autoRedefine/>
    <w:qFormat/>
    <w:uiPriority w:val="6"/>
    <w:rPr>
      <w:rFonts w:ascii="Arial" w:hAnsi="Arial" w:eastAsia="黑体" w:cs="Arial"/>
      <w:snapToGrid w:val="0"/>
      <w:kern w:val="0"/>
      <w:szCs w:val="21"/>
    </w:rPr>
  </w:style>
  <w:style w:type="character" w:customStyle="1" w:styleId="256">
    <w:name w:val="gf正文1 Char Char"/>
    <w:link w:val="257"/>
    <w:autoRedefine/>
    <w:qFormat/>
    <w:uiPriority w:val="0"/>
    <w:rPr>
      <w:rFonts w:ascii="宋体" w:hAnsi="宋体" w:cs="宋体"/>
      <w:kern w:val="2"/>
      <w:sz w:val="24"/>
      <w:szCs w:val="24"/>
    </w:rPr>
  </w:style>
  <w:style w:type="paragraph" w:customStyle="1" w:styleId="257">
    <w:name w:val="gf正文1"/>
    <w:basedOn w:val="1"/>
    <w:link w:val="256"/>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8">
    <w:name w:val="Char Char15"/>
    <w:autoRedefine/>
    <w:qFormat/>
    <w:uiPriority w:val="6"/>
    <w:rPr>
      <w:rFonts w:ascii="宋体" w:hAnsi="宋体"/>
      <w:kern w:val="1"/>
      <w:sz w:val="21"/>
    </w:rPr>
  </w:style>
  <w:style w:type="character" w:customStyle="1" w:styleId="259">
    <w:name w:val="正文缩进 Char3"/>
    <w:autoRedefine/>
    <w:qFormat/>
    <w:uiPriority w:val="0"/>
    <w:rPr>
      <w:rFonts w:ascii="宋体" w:eastAsia="宋体"/>
      <w:snapToGrid w:val="0"/>
      <w:color w:val="000000"/>
      <w:kern w:val="28"/>
      <w:sz w:val="28"/>
      <w:lang w:val="en-US" w:eastAsia="zh-CN" w:bidi="ar-SA"/>
    </w:rPr>
  </w:style>
  <w:style w:type="character" w:customStyle="1" w:styleId="260">
    <w:name w:val="列出段落 Char1"/>
    <w:link w:val="261"/>
    <w:autoRedefine/>
    <w:qFormat/>
    <w:uiPriority w:val="0"/>
    <w:rPr>
      <w:rFonts w:ascii="Calibri" w:hAnsi="Calibri"/>
      <w:sz w:val="24"/>
      <w:lang w:eastAsia="en-US"/>
    </w:rPr>
  </w:style>
  <w:style w:type="paragraph" w:customStyle="1" w:styleId="261">
    <w:name w:val="列表1"/>
    <w:basedOn w:val="1"/>
    <w:next w:val="262"/>
    <w:link w:val="260"/>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2">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3">
    <w:name w:val="Char Char8"/>
    <w:autoRedefine/>
    <w:qFormat/>
    <w:uiPriority w:val="0"/>
    <w:rPr>
      <w:rFonts w:eastAsia="宋体"/>
      <w:b/>
      <w:sz w:val="24"/>
      <w:lang w:val="en-GB" w:eastAsia="zh-CN"/>
    </w:rPr>
  </w:style>
  <w:style w:type="character" w:customStyle="1" w:styleId="264">
    <w:name w:val="Normal Indent Char Char"/>
    <w:autoRedefine/>
    <w:qFormat/>
    <w:uiPriority w:val="0"/>
    <w:rPr>
      <w:rFonts w:eastAsia="宋体"/>
      <w:kern w:val="2"/>
      <w:sz w:val="21"/>
      <w:lang w:val="en-US" w:eastAsia="zh-CN" w:bidi="ar-SA"/>
    </w:rPr>
  </w:style>
  <w:style w:type="character" w:customStyle="1" w:styleId="265">
    <w:name w:val="列表段落 字符"/>
    <w:autoRedefine/>
    <w:qFormat/>
    <w:uiPriority w:val="99"/>
  </w:style>
  <w:style w:type="character" w:customStyle="1" w:styleId="266">
    <w:name w:val="Ò³Ã¼ Char Char1"/>
    <w:autoRedefine/>
    <w:qFormat/>
    <w:uiPriority w:val="0"/>
    <w:rPr>
      <w:rFonts w:eastAsia="宋体"/>
      <w:kern w:val="2"/>
      <w:sz w:val="18"/>
      <w:szCs w:val="18"/>
      <w:lang w:val="en-US" w:eastAsia="zh-CN" w:bidi="ar-SA"/>
    </w:rPr>
  </w:style>
  <w:style w:type="character" w:customStyle="1" w:styleId="267">
    <w:name w:val="方案正文 Char"/>
    <w:autoRedefine/>
    <w:qFormat/>
    <w:uiPriority w:val="0"/>
    <w:rPr>
      <w:rFonts w:ascii="仿宋_GB2312" w:eastAsia="仿宋_GB2312"/>
      <w:b/>
      <w:color w:val="000000"/>
      <w:kern w:val="2"/>
      <w:sz w:val="24"/>
      <w:lang w:val="en-US" w:eastAsia="zh-CN" w:bidi="ar-SA"/>
    </w:rPr>
  </w:style>
  <w:style w:type="character" w:customStyle="1" w:styleId="268">
    <w:name w:val="Char Char30"/>
    <w:autoRedefine/>
    <w:qFormat/>
    <w:uiPriority w:val="6"/>
    <w:rPr>
      <w:rFonts w:ascii="Arial" w:hAnsi="Arial" w:eastAsia="黑体"/>
      <w:kern w:val="1"/>
      <w:sz w:val="21"/>
      <w:szCs w:val="21"/>
    </w:rPr>
  </w:style>
  <w:style w:type="character" w:customStyle="1" w:styleId="269">
    <w:name w:val="正文文本缩进 Char3"/>
    <w:link w:val="7"/>
    <w:autoRedefine/>
    <w:qFormat/>
    <w:uiPriority w:val="0"/>
    <w:rPr>
      <w:rFonts w:ascii="宋体" w:hAnsi="宋体"/>
      <w:kern w:val="2"/>
      <w:sz w:val="24"/>
      <w:szCs w:val="24"/>
    </w:rPr>
  </w:style>
  <w:style w:type="character" w:customStyle="1" w:styleId="270">
    <w:name w:val="font01"/>
    <w:autoRedefine/>
    <w:qFormat/>
    <w:uiPriority w:val="0"/>
    <w:rPr>
      <w:rFonts w:hint="eastAsia" w:ascii="微软雅黑" w:hAnsi="微软雅黑" w:eastAsia="微软雅黑" w:cs="微软雅黑"/>
      <w:color w:val="000000"/>
      <w:sz w:val="20"/>
      <w:szCs w:val="20"/>
      <w:u w:val="none"/>
    </w:rPr>
  </w:style>
  <w:style w:type="character" w:customStyle="1" w:styleId="271">
    <w:name w:val="Char Char20"/>
    <w:autoRedefine/>
    <w:qFormat/>
    <w:uiPriority w:val="6"/>
    <w:rPr>
      <w:kern w:val="1"/>
      <w:sz w:val="24"/>
    </w:rPr>
  </w:style>
  <w:style w:type="character" w:customStyle="1" w:styleId="272">
    <w:name w:val="tw4winExternal"/>
    <w:autoRedefine/>
    <w:qFormat/>
    <w:uiPriority w:val="0"/>
    <w:rPr>
      <w:rFonts w:ascii="Courier New" w:hAnsi="Courier New" w:cs="Courier New"/>
      <w:color w:val="808080"/>
      <w:lang w:val="en-US" w:eastAsia="zh-CN"/>
    </w:rPr>
  </w:style>
  <w:style w:type="character" w:customStyle="1" w:styleId="273">
    <w:name w:val="标题 4 Char1"/>
    <w:autoRedefine/>
    <w:qFormat/>
    <w:uiPriority w:val="9"/>
    <w:rPr>
      <w:rFonts w:ascii="Cambria" w:hAnsi="Cambria" w:eastAsia="宋体" w:cs="Times New Roman"/>
      <w:b/>
      <w:bCs/>
      <w:kern w:val="2"/>
      <w:sz w:val="28"/>
      <w:szCs w:val="28"/>
    </w:rPr>
  </w:style>
  <w:style w:type="character" w:customStyle="1" w:styleId="274">
    <w:name w:val="批注文字 Char2"/>
    <w:autoRedefine/>
    <w:qFormat/>
    <w:uiPriority w:val="99"/>
    <w:rPr>
      <w:rFonts w:ascii="Times New Roman" w:hAnsi="Times New Roman" w:eastAsia="宋体" w:cs="Times New Roman"/>
      <w:snapToGrid w:val="0"/>
      <w:kern w:val="0"/>
      <w:szCs w:val="24"/>
    </w:rPr>
  </w:style>
  <w:style w:type="character" w:customStyle="1" w:styleId="275">
    <w:name w:val="正文文本 2 Char"/>
    <w:autoRedefine/>
    <w:qFormat/>
    <w:uiPriority w:val="0"/>
    <w:rPr>
      <w:rFonts w:eastAsia="宋体"/>
      <w:kern w:val="2"/>
      <w:sz w:val="21"/>
      <w:szCs w:val="24"/>
      <w:lang w:val="en-US" w:eastAsia="zh-CN" w:bidi="ar-SA"/>
    </w:rPr>
  </w:style>
  <w:style w:type="character" w:customStyle="1" w:styleId="276">
    <w:name w:val="Ò³Ã¼ Char Char"/>
    <w:autoRedefine/>
    <w:qFormat/>
    <w:uiPriority w:val="0"/>
    <w:rPr>
      <w:rFonts w:eastAsia="宋体"/>
      <w:kern w:val="2"/>
      <w:sz w:val="18"/>
      <w:lang w:val="en-US" w:eastAsia="zh-CN" w:bidi="ar-SA"/>
    </w:rPr>
  </w:style>
  <w:style w:type="character" w:customStyle="1" w:styleId="277">
    <w:name w:val="message1"/>
    <w:autoRedefine/>
    <w:qFormat/>
    <w:uiPriority w:val="0"/>
    <w:rPr>
      <w:rFonts w:hint="default" w:ascii="Tahoma" w:hAnsi="Tahoma" w:cs="Tahoma"/>
      <w:sz w:val="18"/>
      <w:szCs w:val="18"/>
    </w:rPr>
  </w:style>
  <w:style w:type="character" w:customStyle="1" w:styleId="278">
    <w:name w:val="Char Char23"/>
    <w:autoRedefine/>
    <w:qFormat/>
    <w:uiPriority w:val="6"/>
    <w:rPr>
      <w:color w:val="0000FF"/>
      <w:sz w:val="21"/>
    </w:rPr>
  </w:style>
  <w:style w:type="character" w:customStyle="1" w:styleId="279">
    <w:name w:val="批注框文本 字符"/>
    <w:autoRedefine/>
    <w:qFormat/>
    <w:uiPriority w:val="0"/>
    <w:rPr>
      <w:rFonts w:ascii="Arial" w:hAnsi="Arial" w:eastAsia="黑体" w:cs="Arial"/>
      <w:snapToGrid w:val="0"/>
      <w:kern w:val="0"/>
      <w:sz w:val="18"/>
      <w:szCs w:val="18"/>
    </w:rPr>
  </w:style>
  <w:style w:type="character" w:customStyle="1" w:styleId="280">
    <w:name w:val="纯文本 Char2"/>
    <w:autoRedefine/>
    <w:qFormat/>
    <w:uiPriority w:val="99"/>
    <w:rPr>
      <w:rFonts w:ascii="宋体" w:hAnsi="Courier New" w:eastAsia="宋体" w:cs="Courier New"/>
    </w:rPr>
  </w:style>
  <w:style w:type="character" w:customStyle="1" w:styleId="281">
    <w:name w:val="Char Char25"/>
    <w:autoRedefine/>
    <w:qFormat/>
    <w:uiPriority w:val="6"/>
    <w:rPr>
      <w:rFonts w:ascii="宋体" w:hAnsi="宋体"/>
      <w:kern w:val="1"/>
      <w:sz w:val="24"/>
      <w:lang w:val="zh-CN"/>
    </w:rPr>
  </w:style>
  <w:style w:type="character" w:customStyle="1" w:styleId="282">
    <w:name w:val="Char Char411"/>
    <w:autoRedefine/>
    <w:qFormat/>
    <w:uiPriority w:val="0"/>
    <w:rPr>
      <w:rFonts w:eastAsia="宋体"/>
      <w:b/>
      <w:sz w:val="24"/>
      <w:lang w:val="en-GB" w:eastAsia="zh-CN" w:bidi="ar-SA"/>
    </w:rPr>
  </w:style>
  <w:style w:type="character" w:customStyle="1" w:styleId="283">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84">
    <w:name w:val="此正文 Char"/>
    <w:link w:val="285"/>
    <w:autoRedefine/>
    <w:qFormat/>
    <w:uiPriority w:val="0"/>
    <w:rPr>
      <w:kern w:val="2"/>
      <w:sz w:val="24"/>
      <w:szCs w:val="24"/>
    </w:rPr>
  </w:style>
  <w:style w:type="paragraph" w:customStyle="1" w:styleId="285">
    <w:name w:val="此正文"/>
    <w:basedOn w:val="1"/>
    <w:link w:val="284"/>
    <w:autoRedefine/>
    <w:qFormat/>
    <w:uiPriority w:val="0"/>
    <w:pPr>
      <w:adjustRightInd/>
      <w:spacing w:line="360" w:lineRule="auto"/>
      <w:ind w:firstLine="200" w:firstLineChars="200"/>
    </w:pPr>
    <w:rPr>
      <w:sz w:val="24"/>
    </w:rPr>
  </w:style>
  <w:style w:type="character" w:customStyle="1" w:styleId="286">
    <w:name w:val="Char Char2"/>
    <w:autoRedefine/>
    <w:qFormat/>
    <w:uiPriority w:val="0"/>
    <w:rPr>
      <w:rFonts w:eastAsia="宋体"/>
      <w:b/>
      <w:bCs/>
      <w:kern w:val="2"/>
      <w:sz w:val="21"/>
      <w:szCs w:val="24"/>
      <w:lang w:val="en-US" w:eastAsia="zh-CN" w:bidi="ar-SA"/>
    </w:rPr>
  </w:style>
  <w:style w:type="character" w:customStyle="1" w:styleId="287">
    <w:name w:val="Footer-Even Char1"/>
    <w:autoRedefine/>
    <w:qFormat/>
    <w:uiPriority w:val="0"/>
    <w:rPr>
      <w:rFonts w:eastAsia="宋体"/>
      <w:kern w:val="2"/>
      <w:sz w:val="18"/>
      <w:szCs w:val="18"/>
      <w:lang w:val="en-US" w:eastAsia="zh-CN" w:bidi="ar-SA"/>
    </w:rPr>
  </w:style>
  <w:style w:type="character" w:customStyle="1" w:styleId="288">
    <w:name w:val="Char Char29"/>
    <w:autoRedefine/>
    <w:qFormat/>
    <w:uiPriority w:val="6"/>
    <w:rPr>
      <w:rFonts w:ascii="Arial" w:hAnsi="Arial" w:eastAsia="微软雅黑"/>
      <w:b/>
      <w:kern w:val="1"/>
      <w:sz w:val="44"/>
      <w:szCs w:val="32"/>
      <w:lang w:val="en-US" w:eastAsia="zh-CN" w:bidi="ar-SA"/>
    </w:rPr>
  </w:style>
  <w:style w:type="character" w:customStyle="1" w:styleId="289">
    <w:name w:val="标题 Char2"/>
    <w:link w:val="60"/>
    <w:autoRedefine/>
    <w:qFormat/>
    <w:uiPriority w:val="10"/>
    <w:rPr>
      <w:b/>
      <w:sz w:val="24"/>
      <w:lang w:val="en-GB"/>
    </w:rPr>
  </w:style>
  <w:style w:type="character" w:customStyle="1" w:styleId="290">
    <w:name w:val="font81"/>
    <w:autoRedefine/>
    <w:qFormat/>
    <w:uiPriority w:val="0"/>
    <w:rPr>
      <w:rFonts w:ascii="微软雅黑" w:hAnsi="微软雅黑" w:eastAsia="微软雅黑" w:cs="微软雅黑"/>
      <w:color w:val="000000"/>
      <w:sz w:val="20"/>
      <w:szCs w:val="20"/>
      <w:u w:val="none"/>
    </w:rPr>
  </w:style>
  <w:style w:type="character" w:customStyle="1" w:styleId="291">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2">
    <w:name w:val="t21"/>
    <w:autoRedefine/>
    <w:qFormat/>
    <w:uiPriority w:val="0"/>
    <w:rPr>
      <w:rFonts w:ascii="仿宋_GB2312" w:eastAsia="微软雅黑"/>
      <w:b/>
      <w:kern w:val="2"/>
      <w:sz w:val="23"/>
      <w:szCs w:val="23"/>
      <w:lang w:val="en-US" w:eastAsia="zh-CN" w:bidi="ar-SA"/>
    </w:rPr>
  </w:style>
  <w:style w:type="character" w:customStyle="1" w:styleId="293">
    <w:name w:val="样式8 Char"/>
    <w:autoRedefine/>
    <w:qFormat/>
    <w:uiPriority w:val="0"/>
    <w:rPr>
      <w:rFonts w:ascii="仿宋_GB2312" w:hAnsi="宋体" w:eastAsia="仿宋_GB2312"/>
      <w:b/>
      <w:bCs/>
      <w:kern w:val="2"/>
      <w:sz w:val="24"/>
      <w:szCs w:val="24"/>
    </w:rPr>
  </w:style>
  <w:style w:type="character" w:customStyle="1" w:styleId="294">
    <w:name w:val="表格 Char Char"/>
    <w:autoRedefine/>
    <w:qFormat/>
    <w:uiPriority w:val="0"/>
    <w:rPr>
      <w:rFonts w:ascii="宋体" w:hAnsi="宋体" w:eastAsia="宋体"/>
      <w:lang w:bidi="ar-SA"/>
    </w:rPr>
  </w:style>
  <w:style w:type="character" w:customStyle="1" w:styleId="295">
    <w:name w:val="正文文本 字符1"/>
    <w:autoRedefine/>
    <w:qFormat/>
    <w:uiPriority w:val="0"/>
    <w:rPr>
      <w:rFonts w:ascii="Calibri" w:hAnsi="Calibri" w:eastAsia="黑体" w:cs="Arial"/>
      <w:snapToGrid w:val="0"/>
      <w:kern w:val="2"/>
      <w:sz w:val="28"/>
      <w:szCs w:val="21"/>
    </w:rPr>
  </w:style>
  <w:style w:type="character" w:customStyle="1" w:styleId="296">
    <w:name w:val="标题 5 Char"/>
    <w:link w:val="9"/>
    <w:autoRedefine/>
    <w:qFormat/>
    <w:uiPriority w:val="9"/>
    <w:rPr>
      <w:b/>
      <w:bCs/>
      <w:kern w:val="2"/>
      <w:sz w:val="28"/>
      <w:szCs w:val="28"/>
    </w:rPr>
  </w:style>
  <w:style w:type="character" w:customStyle="1" w:styleId="297">
    <w:name w:val="标题 6 Char1"/>
    <w:autoRedefine/>
    <w:qFormat/>
    <w:uiPriority w:val="0"/>
    <w:rPr>
      <w:rFonts w:ascii="Arial" w:hAnsi="Arial" w:eastAsia="黑体" w:cs="Times New Roman"/>
      <w:b/>
      <w:sz w:val="24"/>
      <w:szCs w:val="20"/>
      <w:lang w:bidi="ar-SA"/>
    </w:rPr>
  </w:style>
  <w:style w:type="character" w:customStyle="1" w:styleId="298">
    <w:name w:val="带编号样式 Char"/>
    <w:autoRedefine/>
    <w:qFormat/>
    <w:uiPriority w:val="0"/>
    <w:rPr>
      <w:rFonts w:ascii="仿宋_GB2312" w:eastAsia="仿宋_GB2312"/>
      <w:color w:val="000000"/>
      <w:sz w:val="24"/>
      <w:lang w:bidi="ar-SA"/>
    </w:rPr>
  </w:style>
  <w:style w:type="character" w:customStyle="1" w:styleId="299">
    <w:name w:val="unnamed31"/>
    <w:autoRedefine/>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autoRedefine/>
    <w:qFormat/>
    <w:uiPriority w:val="0"/>
    <w:rPr>
      <w:rFonts w:ascii="宋体" w:eastAsia="宋体"/>
      <w:kern w:val="2"/>
      <w:sz w:val="24"/>
      <w:szCs w:val="24"/>
      <w:lang w:val="zh-CN" w:bidi="ar-SA"/>
    </w:rPr>
  </w:style>
  <w:style w:type="character" w:customStyle="1" w:styleId="301">
    <w:name w:val="称呼 Char"/>
    <w:link w:val="22"/>
    <w:autoRedefine/>
    <w:qFormat/>
    <w:uiPriority w:val="0"/>
    <w:rPr>
      <w:rFonts w:ascii="仿宋_GB2312" w:eastAsia="仿宋_GB2312"/>
      <w:kern w:val="2"/>
      <w:sz w:val="28"/>
    </w:rPr>
  </w:style>
  <w:style w:type="character" w:customStyle="1" w:styleId="302">
    <w:name w:val="文本正文 Char Char"/>
    <w:autoRedefine/>
    <w:qFormat/>
    <w:uiPriority w:val="0"/>
    <w:rPr>
      <w:sz w:val="24"/>
      <w:lang w:bidi="ar-SA"/>
    </w:rPr>
  </w:style>
  <w:style w:type="character" w:customStyle="1" w:styleId="303">
    <w:name w:val="正文缩进 字符"/>
    <w:autoRedefine/>
    <w:qFormat/>
    <w:uiPriority w:val="0"/>
    <w:rPr>
      <w:rFonts w:ascii="宋体" w:eastAsia="宋体"/>
      <w:snapToGrid w:val="0"/>
      <w:color w:val="000000"/>
      <w:kern w:val="28"/>
      <w:sz w:val="28"/>
      <w:lang w:val="en-US" w:eastAsia="zh-CN" w:bidi="ar-SA"/>
    </w:rPr>
  </w:style>
  <w:style w:type="character" w:customStyle="1" w:styleId="304">
    <w:name w:val="HTML 预设格式 Char"/>
    <w:link w:val="58"/>
    <w:autoRedefine/>
    <w:qFormat/>
    <w:uiPriority w:val="0"/>
    <w:rPr>
      <w:rFonts w:ascii="黑体" w:hAnsi="Courier New" w:eastAsia="黑体"/>
    </w:rPr>
  </w:style>
  <w:style w:type="character" w:customStyle="1" w:styleId="305">
    <w:name w:val="正文文本 2 Char1"/>
    <w:link w:val="57"/>
    <w:autoRedefine/>
    <w:qFormat/>
    <w:uiPriority w:val="0"/>
    <w:rPr>
      <w:kern w:val="2"/>
      <w:sz w:val="21"/>
      <w:szCs w:val="24"/>
    </w:rPr>
  </w:style>
  <w:style w:type="character" w:customStyle="1" w:styleId="306">
    <w:name w:val="样式 样式 标题 4h4H4Fab-4T5Ref Heading 1rh1Heading sqlsect 1.2.3.... +... Char"/>
    <w:link w:val="307"/>
    <w:autoRedefine/>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autoRedefine/>
    <w:qFormat/>
    <w:uiPriority w:val="0"/>
    <w:pPr>
      <w:tabs>
        <w:tab w:val="left" w:pos="2356"/>
      </w:tabs>
    </w:pPr>
  </w:style>
  <w:style w:type="paragraph" w:customStyle="1" w:styleId="308">
    <w:name w:val="样式 标题 4h4H4Fab-4T5Ref Heading 1rh1Heading sqlsect 1.2.3...."/>
    <w:basedOn w:val="8"/>
    <w:link w:val="416"/>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autoRedefine/>
    <w:qFormat/>
    <w:uiPriority w:val="0"/>
    <w:rPr>
      <w:rFonts w:ascii="宋体" w:eastAsia="宋体"/>
      <w:snapToGrid w:val="0"/>
      <w:color w:val="000000"/>
      <w:kern w:val="28"/>
      <w:sz w:val="28"/>
      <w:lang w:val="en-US" w:eastAsia="zh-CN" w:bidi="ar-SA"/>
    </w:rPr>
  </w:style>
  <w:style w:type="character" w:customStyle="1" w:styleId="310">
    <w:name w:val="标题 7 Char"/>
    <w:link w:val="11"/>
    <w:autoRedefine/>
    <w:qFormat/>
    <w:uiPriority w:val="0"/>
    <w:rPr>
      <w:b/>
      <w:bCs/>
      <w:kern w:val="2"/>
      <w:sz w:val="24"/>
      <w:szCs w:val="24"/>
    </w:rPr>
  </w:style>
  <w:style w:type="character" w:customStyle="1" w:styleId="311">
    <w:name w:val="正文文本缩进 2 Char"/>
    <w:link w:val="38"/>
    <w:autoRedefine/>
    <w:qFormat/>
    <w:uiPriority w:val="0"/>
    <w:rPr>
      <w:rFonts w:ascii="宋体"/>
      <w:sz w:val="28"/>
    </w:rPr>
  </w:style>
  <w:style w:type="character" w:customStyle="1" w:styleId="312">
    <w:name w:val="Char Char5"/>
    <w:autoRedefine/>
    <w:qFormat/>
    <w:uiPriority w:val="0"/>
    <w:rPr>
      <w:rFonts w:ascii="宋体" w:hAnsi="Courier New" w:eastAsia="宋体"/>
      <w:kern w:val="2"/>
      <w:sz w:val="21"/>
      <w:lang w:val="en-US" w:eastAsia="zh-CN"/>
    </w:rPr>
  </w:style>
  <w:style w:type="character" w:customStyle="1" w:styleId="313">
    <w:name w:val="脚注文本 Char"/>
    <w:link w:val="51"/>
    <w:autoRedefine/>
    <w:qFormat/>
    <w:uiPriority w:val="0"/>
    <w:rPr>
      <w:color w:val="0000FF"/>
      <w:sz w:val="21"/>
    </w:rPr>
  </w:style>
  <w:style w:type="character" w:customStyle="1" w:styleId="314">
    <w:name w:val="称呼 Char1"/>
    <w:autoRedefine/>
    <w:qFormat/>
    <w:uiPriority w:val="0"/>
    <w:rPr>
      <w:rFonts w:ascii="Times New Roman" w:hAnsi="Times New Roman" w:eastAsia="宋体" w:cs="Times New Roman"/>
      <w:szCs w:val="24"/>
    </w:rPr>
  </w:style>
  <w:style w:type="character" w:customStyle="1" w:styleId="315">
    <w:name w:val="正文1 Char"/>
    <w:autoRedefine/>
    <w:qFormat/>
    <w:uiPriority w:val="0"/>
    <w:rPr>
      <w:rFonts w:ascii="宋体" w:eastAsia="宋体"/>
      <w:snapToGrid w:val="0"/>
      <w:color w:val="000000"/>
      <w:kern w:val="28"/>
      <w:sz w:val="28"/>
      <w:lang w:val="en-US" w:eastAsia="zh-CN" w:bidi="ar-SA"/>
    </w:rPr>
  </w:style>
  <w:style w:type="character" w:customStyle="1" w:styleId="316">
    <w:name w:val="正文缩进 Char1"/>
    <w:autoRedefine/>
    <w:qFormat/>
    <w:uiPriority w:val="0"/>
    <w:rPr>
      <w:rFonts w:ascii="宋体" w:eastAsia="宋体"/>
      <w:snapToGrid w:val="0"/>
      <w:color w:val="000000"/>
      <w:kern w:val="28"/>
      <w:sz w:val="28"/>
      <w:lang w:val="en-US" w:eastAsia="zh-CN" w:bidi="ar-SA"/>
    </w:rPr>
  </w:style>
  <w:style w:type="character" w:customStyle="1" w:styleId="317">
    <w:name w:val="font21"/>
    <w:basedOn w:val="69"/>
    <w:autoRedefine/>
    <w:qFormat/>
    <w:uiPriority w:val="0"/>
    <w:rPr>
      <w:rFonts w:hint="eastAsia" w:ascii="宋体" w:hAnsi="宋体" w:eastAsia="宋体"/>
      <w:kern w:val="2"/>
      <w:sz w:val="28"/>
      <w:szCs w:val="28"/>
      <w:lang w:val="en-US" w:eastAsia="zh-CN" w:bidi="ar-SA"/>
    </w:rPr>
  </w:style>
  <w:style w:type="character" w:customStyle="1" w:styleId="318">
    <w:name w:val="Char Char26"/>
    <w:autoRedefine/>
    <w:qFormat/>
    <w:uiPriority w:val="6"/>
    <w:rPr>
      <w:kern w:val="1"/>
      <w:sz w:val="21"/>
      <w:szCs w:val="24"/>
    </w:rPr>
  </w:style>
  <w:style w:type="character" w:customStyle="1" w:styleId="319">
    <w:name w:val="Item List Char"/>
    <w:link w:val="320"/>
    <w:autoRedefine/>
    <w:qFormat/>
    <w:uiPriority w:val="0"/>
    <w:rPr>
      <w:rFonts w:ascii="Arial"/>
      <w:bCs/>
      <w:sz w:val="21"/>
      <w:szCs w:val="21"/>
      <w:lang w:val="en-US" w:eastAsia="zh-CN" w:bidi="ar-SA"/>
    </w:rPr>
  </w:style>
  <w:style w:type="paragraph" w:customStyle="1" w:styleId="320">
    <w:name w:val="Item List"/>
    <w:link w:val="319"/>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autoRedefine/>
    <w:qFormat/>
    <w:uiPriority w:val="0"/>
    <w:rPr>
      <w:rFonts w:ascii="Times New Roman" w:hAnsi="Times New Roman" w:eastAsia="宋体" w:cs="Times New Roman"/>
      <w:sz w:val="18"/>
      <w:szCs w:val="18"/>
    </w:rPr>
  </w:style>
  <w:style w:type="character" w:customStyle="1" w:styleId="322">
    <w:name w:val="纯文本 Char1"/>
    <w:link w:val="323"/>
    <w:autoRedefine/>
    <w:qFormat/>
    <w:uiPriority w:val="0"/>
    <w:rPr>
      <w:rFonts w:ascii="宋体" w:hAnsi="Courier New"/>
    </w:rPr>
  </w:style>
  <w:style w:type="paragraph" w:customStyle="1" w:styleId="323">
    <w:name w:val="纯文本1"/>
    <w:basedOn w:val="1"/>
    <w:link w:val="322"/>
    <w:autoRedefine/>
    <w:qFormat/>
    <w:uiPriority w:val="0"/>
    <w:pPr>
      <w:adjustRightInd/>
    </w:pPr>
    <w:rPr>
      <w:rFonts w:ascii="宋体" w:hAnsi="Courier New"/>
      <w:kern w:val="0"/>
      <w:sz w:val="20"/>
      <w:szCs w:val="20"/>
    </w:rPr>
  </w:style>
  <w:style w:type="character" w:customStyle="1" w:styleId="324">
    <w:name w:val="正文首行缩进 Char"/>
    <w:link w:val="26"/>
    <w:autoRedefine/>
    <w:qFormat/>
    <w:uiPriority w:val="0"/>
    <w:rPr>
      <w:rFonts w:ascii="宋体"/>
      <w:kern w:val="2"/>
      <w:sz w:val="24"/>
      <w:lang w:val="zh-CN"/>
    </w:rPr>
  </w:style>
  <w:style w:type="character" w:customStyle="1" w:styleId="325">
    <w:name w:val="h3 Char"/>
    <w:autoRedefine/>
    <w:qFormat/>
    <w:uiPriority w:val="0"/>
    <w:rPr>
      <w:rFonts w:eastAsia="宋体"/>
      <w:b/>
      <w:kern w:val="2"/>
      <w:sz w:val="32"/>
      <w:lang w:val="en-US" w:eastAsia="zh-CN" w:bidi="ar-SA"/>
    </w:rPr>
  </w:style>
  <w:style w:type="character" w:customStyle="1" w:styleId="326">
    <w:name w:val="dandyren_title1"/>
    <w:autoRedefine/>
    <w:qFormat/>
    <w:uiPriority w:val="0"/>
    <w:rPr>
      <w:b/>
      <w:bCs/>
      <w:color w:val="FF6633"/>
      <w:sz w:val="18"/>
      <w:szCs w:val="18"/>
    </w:rPr>
  </w:style>
  <w:style w:type="character" w:customStyle="1" w:styleId="327">
    <w:name w:val="Char Char31"/>
    <w:autoRedefine/>
    <w:qFormat/>
    <w:uiPriority w:val="6"/>
    <w:rPr>
      <w:rFonts w:ascii="Arial" w:hAnsi="Arial" w:eastAsia="黑体"/>
      <w:kern w:val="1"/>
      <w:sz w:val="24"/>
      <w:szCs w:val="24"/>
    </w:rPr>
  </w:style>
  <w:style w:type="character" w:customStyle="1" w:styleId="328">
    <w:name w:val="h Char1"/>
    <w:autoRedefine/>
    <w:qFormat/>
    <w:uiPriority w:val="0"/>
    <w:rPr>
      <w:sz w:val="18"/>
      <w:szCs w:val="18"/>
    </w:rPr>
  </w:style>
  <w:style w:type="character" w:customStyle="1" w:styleId="329">
    <w:name w:val="solutionfonts"/>
    <w:autoRedefine/>
    <w:qFormat/>
    <w:uiPriority w:val="0"/>
  </w:style>
  <w:style w:type="character" w:customStyle="1" w:styleId="330">
    <w:name w:val="标题 4 Char2"/>
    <w:link w:val="8"/>
    <w:autoRedefine/>
    <w:qFormat/>
    <w:uiPriority w:val="9"/>
    <w:rPr>
      <w:rFonts w:ascii="Arial" w:hAnsi="Arial" w:eastAsia="黑体"/>
      <w:b/>
      <w:bCs/>
      <w:kern w:val="2"/>
      <w:sz w:val="28"/>
      <w:szCs w:val="28"/>
      <w:lang w:val="zh-CN"/>
    </w:rPr>
  </w:style>
  <w:style w:type="character" w:customStyle="1" w:styleId="331">
    <w:name w:val="首行缩进 Char"/>
    <w:autoRedefine/>
    <w:qFormat/>
    <w:uiPriority w:val="0"/>
    <w:rPr>
      <w:rFonts w:ascii="宋体" w:eastAsia="宋体"/>
      <w:kern w:val="2"/>
      <w:sz w:val="24"/>
      <w:lang w:val="en-US" w:eastAsia="zh-CN" w:bidi="ar-SA"/>
    </w:rPr>
  </w:style>
  <w:style w:type="character" w:customStyle="1" w:styleId="332">
    <w:name w:val="Char Char52"/>
    <w:autoRedefine/>
    <w:qFormat/>
    <w:uiPriority w:val="0"/>
    <w:rPr>
      <w:rFonts w:ascii="宋体" w:hAnsi="Courier New" w:eastAsia="宋体"/>
      <w:kern w:val="2"/>
      <w:sz w:val="21"/>
      <w:lang w:val="en-US" w:eastAsia="zh-CN"/>
    </w:rPr>
  </w:style>
  <w:style w:type="character" w:customStyle="1" w:styleId="333">
    <w:name w:val="正文文本 3 Char"/>
    <w:link w:val="23"/>
    <w:autoRedefine/>
    <w:qFormat/>
    <w:uiPriority w:val="0"/>
    <w:rPr>
      <w:kern w:val="2"/>
      <w:sz w:val="21"/>
    </w:rPr>
  </w:style>
  <w:style w:type="character" w:customStyle="1" w:styleId="334">
    <w:name w:val="font31"/>
    <w:basedOn w:val="69"/>
    <w:autoRedefine/>
    <w:qFormat/>
    <w:uiPriority w:val="0"/>
    <w:rPr>
      <w:rFonts w:hint="eastAsia" w:ascii="仿宋" w:hAnsi="仿宋" w:eastAsia="仿宋" w:cs="仿宋"/>
      <w:color w:val="000000"/>
      <w:sz w:val="20"/>
      <w:szCs w:val="20"/>
      <w:u w:val="none"/>
    </w:rPr>
  </w:style>
  <w:style w:type="character" w:customStyle="1" w:styleId="335">
    <w:name w:val="正文说明 Char"/>
    <w:link w:val="336"/>
    <w:autoRedefine/>
    <w:qFormat/>
    <w:uiPriority w:val="0"/>
    <w:rPr>
      <w:sz w:val="24"/>
      <w:szCs w:val="24"/>
    </w:rPr>
  </w:style>
  <w:style w:type="paragraph" w:customStyle="1" w:styleId="336">
    <w:name w:val="正文说明"/>
    <w:basedOn w:val="1"/>
    <w:link w:val="335"/>
    <w:autoRedefine/>
    <w:qFormat/>
    <w:uiPriority w:val="0"/>
    <w:pPr>
      <w:adjustRightInd/>
      <w:spacing w:line="360" w:lineRule="auto"/>
    </w:pPr>
    <w:rPr>
      <w:kern w:val="0"/>
      <w:sz w:val="24"/>
    </w:rPr>
  </w:style>
  <w:style w:type="character" w:customStyle="1" w:styleId="337">
    <w:name w:val="脚注文本 Char1"/>
    <w:autoRedefine/>
    <w:qFormat/>
    <w:uiPriority w:val="0"/>
    <w:rPr>
      <w:rFonts w:ascii="Times New Roman" w:hAnsi="Times New Roman" w:eastAsia="宋体" w:cs="Times New Roman"/>
      <w:sz w:val="18"/>
      <w:szCs w:val="18"/>
    </w:rPr>
  </w:style>
  <w:style w:type="character" w:customStyle="1" w:styleId="338">
    <w:name w:val="Char Char1211"/>
    <w:autoRedefine/>
    <w:qFormat/>
    <w:uiPriority w:val="0"/>
    <w:rPr>
      <w:rFonts w:ascii="仿宋_GB2312" w:eastAsia="仿宋_GB2312"/>
      <w:b/>
      <w:bCs/>
      <w:kern w:val="2"/>
      <w:sz w:val="24"/>
      <w:szCs w:val="24"/>
      <w:lang w:val="zh-CN" w:eastAsia="zh-CN" w:bidi="ar-SA"/>
    </w:rPr>
  </w:style>
  <w:style w:type="character" w:customStyle="1" w:styleId="339">
    <w:name w:val="标题 Char"/>
    <w:autoRedefine/>
    <w:qFormat/>
    <w:uiPriority w:val="0"/>
    <w:rPr>
      <w:rFonts w:eastAsia="宋体"/>
      <w:b/>
      <w:sz w:val="24"/>
      <w:lang w:val="en-GB" w:eastAsia="zh-CN" w:bidi="ar-SA"/>
    </w:rPr>
  </w:style>
  <w:style w:type="character" w:customStyle="1" w:styleId="340">
    <w:name w:val="Char Char35"/>
    <w:autoRedefine/>
    <w:qFormat/>
    <w:uiPriority w:val="6"/>
    <w:rPr>
      <w:rFonts w:ascii="Arial" w:hAnsi="Arial" w:eastAsia="黑体"/>
      <w:b/>
      <w:kern w:val="1"/>
      <w:sz w:val="28"/>
      <w:szCs w:val="28"/>
      <w:lang w:val="zh-CN"/>
    </w:rPr>
  </w:style>
  <w:style w:type="character" w:customStyle="1" w:styleId="341">
    <w:name w:val="纯文本 Char Char Char"/>
    <w:autoRedefine/>
    <w:qFormat/>
    <w:uiPriority w:val="0"/>
    <w:rPr>
      <w:rFonts w:ascii="宋体" w:hAnsi="Courier New" w:eastAsia="宋体"/>
      <w:kern w:val="2"/>
      <w:sz w:val="21"/>
      <w:lang w:val="en-US" w:eastAsia="zh-CN" w:bidi="ar-SA"/>
    </w:rPr>
  </w:style>
  <w:style w:type="character" w:customStyle="1" w:styleId="342">
    <w:name w:val="Table Text Char"/>
    <w:link w:val="343"/>
    <w:autoRedefine/>
    <w:qFormat/>
    <w:uiPriority w:val="0"/>
    <w:rPr>
      <w:sz w:val="24"/>
      <w:szCs w:val="24"/>
    </w:rPr>
  </w:style>
  <w:style w:type="paragraph" w:customStyle="1" w:styleId="343">
    <w:name w:val="Table Text"/>
    <w:basedOn w:val="1"/>
    <w:link w:val="342"/>
    <w:autoRedefine/>
    <w:qFormat/>
    <w:uiPriority w:val="0"/>
    <w:pPr>
      <w:widowControl/>
      <w:spacing w:before="60" w:after="60"/>
      <w:jc w:val="left"/>
    </w:pPr>
    <w:rPr>
      <w:kern w:val="0"/>
      <w:sz w:val="24"/>
    </w:rPr>
  </w:style>
  <w:style w:type="character" w:customStyle="1" w:styleId="344">
    <w:name w:val="正文1 Char1"/>
    <w:autoRedefine/>
    <w:qFormat/>
    <w:uiPriority w:val="0"/>
    <w:rPr>
      <w:rFonts w:ascii="仿宋_GB2312" w:hAnsi="Courier New" w:eastAsia="仿宋_GB2312"/>
      <w:kern w:val="28"/>
      <w:sz w:val="24"/>
      <w:szCs w:val="24"/>
      <w:lang w:val="en-US" w:eastAsia="zh-CN"/>
    </w:rPr>
  </w:style>
  <w:style w:type="character" w:customStyle="1" w:styleId="345">
    <w:name w:val="页脚 Char1"/>
    <w:autoRedefine/>
    <w:qFormat/>
    <w:uiPriority w:val="0"/>
    <w:rPr>
      <w:rFonts w:eastAsia="宋体"/>
      <w:kern w:val="2"/>
      <w:sz w:val="18"/>
      <w:szCs w:val="18"/>
      <w:lang w:val="en-US" w:eastAsia="zh-CN" w:bidi="ar-SA"/>
    </w:rPr>
  </w:style>
  <w:style w:type="character" w:customStyle="1" w:styleId="346">
    <w:name w:val="Bold"/>
    <w:autoRedefine/>
    <w:qFormat/>
    <w:uiPriority w:val="0"/>
    <w:rPr>
      <w:rFonts w:ascii="Arial" w:hAnsi="Arial" w:eastAsia="黑体" w:cs="Times New Roman"/>
      <w:b/>
      <w:kern w:val="2"/>
      <w:sz w:val="32"/>
      <w:szCs w:val="32"/>
      <w:lang w:val="en-US" w:eastAsia="zh-CN" w:bidi="ar-SA"/>
    </w:rPr>
  </w:style>
  <w:style w:type="character" w:customStyle="1" w:styleId="347">
    <w:name w:val="批注文字 Char1"/>
    <w:link w:val="21"/>
    <w:autoRedefine/>
    <w:qFormat/>
    <w:uiPriority w:val="99"/>
    <w:rPr>
      <w:kern w:val="2"/>
      <w:sz w:val="21"/>
      <w:szCs w:val="24"/>
    </w:rPr>
  </w:style>
  <w:style w:type="character" w:customStyle="1" w:styleId="348">
    <w:name w:val="签名 Char"/>
    <w:link w:val="43"/>
    <w:autoRedefine/>
    <w:qFormat/>
    <w:uiPriority w:val="0"/>
    <w:rPr>
      <w:rFonts w:eastAsia="仿宋_GB2312"/>
      <w:sz w:val="24"/>
    </w:rPr>
  </w:style>
  <w:style w:type="character" w:customStyle="1" w:styleId="349">
    <w:name w:val="hui3"/>
    <w:autoRedefine/>
    <w:qFormat/>
    <w:uiPriority w:val="0"/>
    <w:rPr>
      <w:color w:val="333333"/>
    </w:rPr>
  </w:style>
  <w:style w:type="character" w:customStyle="1" w:styleId="350">
    <w:name w:val="Char Char17"/>
    <w:autoRedefine/>
    <w:qFormat/>
    <w:uiPriority w:val="6"/>
    <w:rPr>
      <w:rFonts w:eastAsia="仿宋_GB2312"/>
      <w:sz w:val="24"/>
    </w:rPr>
  </w:style>
  <w:style w:type="character" w:customStyle="1" w:styleId="351">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2">
    <w:name w:val="Char Char37"/>
    <w:autoRedefine/>
    <w:qFormat/>
    <w:uiPriority w:val="6"/>
    <w:rPr>
      <w:b/>
      <w:kern w:val="1"/>
      <w:sz w:val="44"/>
      <w:szCs w:val="44"/>
    </w:rPr>
  </w:style>
  <w:style w:type="character" w:customStyle="1" w:styleId="353">
    <w:name w:val="列出段落 Char"/>
    <w:autoRedefine/>
    <w:qFormat/>
    <w:uiPriority w:val="0"/>
    <w:rPr>
      <w:rFonts w:eastAsia="楷体_GB2312" w:cs="Lucida Sans"/>
      <w:kern w:val="2"/>
      <w:sz w:val="24"/>
      <w:szCs w:val="24"/>
      <w:lang w:val="en-US" w:eastAsia="zh-CN" w:bidi="ar-SA"/>
    </w:rPr>
  </w:style>
  <w:style w:type="character" w:customStyle="1" w:styleId="354">
    <w:name w:val="正文文本缩进 3 Char1"/>
    <w:autoRedefine/>
    <w:qFormat/>
    <w:uiPriority w:val="99"/>
    <w:rPr>
      <w:rFonts w:ascii="Times New Roman" w:hAnsi="Times New Roman" w:eastAsia="宋体" w:cs="Times New Roman"/>
      <w:sz w:val="16"/>
      <w:szCs w:val="16"/>
    </w:rPr>
  </w:style>
  <w:style w:type="character" w:customStyle="1" w:styleId="355">
    <w:name w:val="公文正文 Char Char"/>
    <w:link w:val="356"/>
    <w:autoRedefine/>
    <w:qFormat/>
    <w:uiPriority w:val="0"/>
    <w:rPr>
      <w:rFonts w:ascii="仿宋_GB2312" w:eastAsia="仿宋_GB2312"/>
      <w:kern w:val="2"/>
      <w:sz w:val="24"/>
      <w:szCs w:val="24"/>
    </w:rPr>
  </w:style>
  <w:style w:type="paragraph" w:customStyle="1" w:styleId="356">
    <w:name w:val="公文正文"/>
    <w:basedOn w:val="1"/>
    <w:link w:val="355"/>
    <w:autoRedefine/>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autoRedefine/>
    <w:qFormat/>
    <w:uiPriority w:val="0"/>
    <w:rPr>
      <w:rFonts w:eastAsia="宋体"/>
      <w:sz w:val="24"/>
      <w:szCs w:val="24"/>
      <w:lang w:val="en-US" w:eastAsia="zh-CN" w:bidi="ar-SA"/>
    </w:rPr>
  </w:style>
  <w:style w:type="character" w:customStyle="1" w:styleId="358">
    <w:name w:val="标题 1 Char Char"/>
    <w:autoRedefine/>
    <w:qFormat/>
    <w:uiPriority w:val="0"/>
    <w:rPr>
      <w:rFonts w:hint="eastAsia" w:ascii="宋体" w:hAnsi="宋体" w:eastAsia="宋体"/>
      <w:b/>
      <w:spacing w:val="-2"/>
      <w:sz w:val="24"/>
      <w:lang w:val="en-US" w:eastAsia="zh-CN" w:bidi="ar-SA"/>
    </w:rPr>
  </w:style>
  <w:style w:type="character" w:customStyle="1" w:styleId="359">
    <w:name w:val="正文（缩进2汉字） Char"/>
    <w:link w:val="360"/>
    <w:autoRedefine/>
    <w:qFormat/>
    <w:uiPriority w:val="0"/>
    <w:rPr>
      <w:rFonts w:ascii="宋体"/>
    </w:rPr>
  </w:style>
  <w:style w:type="paragraph" w:customStyle="1" w:styleId="360">
    <w:name w:val="正文（缩进2汉字）"/>
    <w:basedOn w:val="1"/>
    <w:link w:val="359"/>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2"/>
    <w:autoRedefine/>
    <w:qFormat/>
    <w:uiPriority w:val="0"/>
    <w:rPr>
      <w:rFonts w:ascii="Arial" w:hAnsi="Arial" w:eastAsia="黑体"/>
      <w:kern w:val="2"/>
      <w:sz w:val="24"/>
      <w:szCs w:val="24"/>
    </w:rPr>
  </w:style>
  <w:style w:type="character" w:customStyle="1" w:styleId="362">
    <w:name w:val="标书表格字体格式 Char"/>
    <w:autoRedefine/>
    <w:qFormat/>
    <w:uiPriority w:val="0"/>
    <w:rPr>
      <w:kern w:val="2"/>
      <w:sz w:val="21"/>
      <w:szCs w:val="24"/>
      <w:lang w:bidi="ar-SA"/>
    </w:rPr>
  </w:style>
  <w:style w:type="character" w:customStyle="1" w:styleId="363">
    <w:name w:val="tw4winError"/>
    <w:autoRedefine/>
    <w:qFormat/>
    <w:uiPriority w:val="0"/>
    <w:rPr>
      <w:rFonts w:ascii="Courier New" w:hAnsi="Courier New" w:cs="Courier New"/>
      <w:color w:val="00FF00"/>
      <w:sz w:val="40"/>
      <w:szCs w:val="40"/>
    </w:rPr>
  </w:style>
  <w:style w:type="character" w:customStyle="1" w:styleId="364">
    <w:name w:val="Body Text(ch) Char Char"/>
    <w:autoRedefine/>
    <w:qFormat/>
    <w:uiPriority w:val="0"/>
    <w:rPr>
      <w:rFonts w:ascii="宋体"/>
      <w:kern w:val="2"/>
      <w:sz w:val="24"/>
      <w:szCs w:val="21"/>
      <w:lang w:val="zh-CN"/>
    </w:rPr>
  </w:style>
  <w:style w:type="character" w:customStyle="1" w:styleId="365">
    <w:name w:val="正文首行缩进两字 Char"/>
    <w:autoRedefine/>
    <w:qFormat/>
    <w:uiPriority w:val="0"/>
    <w:rPr>
      <w:sz w:val="24"/>
      <w:szCs w:val="24"/>
      <w:lang w:val="en-US" w:eastAsia="zh-CN" w:bidi="ar-SA"/>
    </w:rPr>
  </w:style>
  <w:style w:type="character" w:customStyle="1" w:styleId="366">
    <w:name w:val="正文文本 Char"/>
    <w:autoRedefine/>
    <w:qFormat/>
    <w:uiPriority w:val="0"/>
    <w:rPr>
      <w:rFonts w:eastAsia="宋体"/>
      <w:kern w:val="2"/>
      <w:sz w:val="24"/>
      <w:szCs w:val="24"/>
      <w:lang w:val="en-US" w:eastAsia="zh-CN" w:bidi="ar-SA"/>
    </w:rPr>
  </w:style>
  <w:style w:type="character" w:customStyle="1" w:styleId="367">
    <w:name w:val="文档结构图 字符1"/>
    <w:autoRedefine/>
    <w:qFormat/>
    <w:uiPriority w:val="0"/>
    <w:rPr>
      <w:rFonts w:ascii="宋体" w:hAnsi="Calibri" w:eastAsia="黑体" w:cs="Arial"/>
      <w:snapToGrid w:val="0"/>
      <w:kern w:val="2"/>
      <w:sz w:val="18"/>
      <w:szCs w:val="18"/>
    </w:rPr>
  </w:style>
  <w:style w:type="character" w:customStyle="1" w:styleId="368">
    <w:name w:val="content"/>
    <w:autoRedefine/>
    <w:qFormat/>
    <w:uiPriority w:val="0"/>
  </w:style>
  <w:style w:type="character" w:customStyle="1" w:styleId="369">
    <w:name w:val="tw4winPopup"/>
    <w:autoRedefine/>
    <w:qFormat/>
    <w:uiPriority w:val="0"/>
    <w:rPr>
      <w:rFonts w:ascii="Courier New" w:hAnsi="Courier New" w:cs="Courier New"/>
      <w:color w:val="008000"/>
      <w:lang w:val="en-US" w:eastAsia="zh-CN"/>
    </w:rPr>
  </w:style>
  <w:style w:type="character" w:customStyle="1" w:styleId="370">
    <w:name w:val="param-name"/>
    <w:autoRedefine/>
    <w:qFormat/>
    <w:uiPriority w:val="99"/>
    <w:rPr>
      <w:rFonts w:ascii="Arial" w:hAnsi="Arial" w:eastAsia="黑体" w:cs="Arial"/>
      <w:snapToGrid w:val="0"/>
      <w:kern w:val="0"/>
      <w:szCs w:val="21"/>
    </w:rPr>
  </w:style>
  <w:style w:type="character" w:customStyle="1" w:styleId="371">
    <w:name w:val="标准正文格式 Char"/>
    <w:autoRedefine/>
    <w:qFormat/>
    <w:uiPriority w:val="0"/>
    <w:rPr>
      <w:rFonts w:ascii="宋体" w:eastAsia="仿宋_GB2312" w:cs="宋体"/>
      <w:color w:val="000000"/>
      <w:sz w:val="24"/>
      <w:lang w:val="en-US" w:eastAsia="zh-CN" w:bidi="ar-SA"/>
    </w:rPr>
  </w:style>
  <w:style w:type="character" w:customStyle="1" w:styleId="372">
    <w:name w:val="Char Char212"/>
    <w:autoRedefine/>
    <w:qFormat/>
    <w:uiPriority w:val="0"/>
    <w:rPr>
      <w:rFonts w:eastAsia="宋体"/>
      <w:b/>
      <w:bCs/>
      <w:kern w:val="2"/>
      <w:sz w:val="21"/>
      <w:szCs w:val="24"/>
      <w:lang w:val="en-US" w:eastAsia="zh-CN" w:bidi="ar-SA"/>
    </w:rPr>
  </w:style>
  <w:style w:type="character" w:customStyle="1" w:styleId="373">
    <w:name w:val="文档结构图 Char"/>
    <w:autoRedefine/>
    <w:qFormat/>
    <w:uiPriority w:val="0"/>
    <w:rPr>
      <w:rFonts w:eastAsia="宋体"/>
      <w:kern w:val="2"/>
      <w:sz w:val="21"/>
      <w:szCs w:val="24"/>
      <w:lang w:val="en-US" w:eastAsia="zh-CN" w:bidi="ar-SA"/>
    </w:rPr>
  </w:style>
  <w:style w:type="character" w:customStyle="1" w:styleId="374">
    <w:name w:val="zbggmain style9"/>
    <w:autoRedefine/>
    <w:qFormat/>
    <w:uiPriority w:val="0"/>
  </w:style>
  <w:style w:type="character" w:customStyle="1" w:styleId="375">
    <w:name w:val="Char Char16"/>
    <w:autoRedefine/>
    <w:qFormat/>
    <w:uiPriority w:val="6"/>
    <w:rPr>
      <w:kern w:val="1"/>
      <w:sz w:val="18"/>
      <w:szCs w:val="18"/>
    </w:rPr>
  </w:style>
  <w:style w:type="character" w:customStyle="1" w:styleId="376">
    <w:name w:val="font51"/>
    <w:autoRedefine/>
    <w:qFormat/>
    <w:uiPriority w:val="0"/>
    <w:rPr>
      <w:rFonts w:hint="eastAsia" w:ascii="仿宋" w:hAnsi="仿宋" w:eastAsia="仿宋" w:cs="仿宋"/>
      <w:color w:val="000000"/>
      <w:sz w:val="20"/>
      <w:szCs w:val="20"/>
      <w:u w:val="none"/>
    </w:rPr>
  </w:style>
  <w:style w:type="character" w:customStyle="1" w:styleId="377">
    <w:name w:val="Char Char82"/>
    <w:autoRedefine/>
    <w:qFormat/>
    <w:uiPriority w:val="0"/>
    <w:rPr>
      <w:rFonts w:eastAsia="宋体"/>
      <w:b/>
      <w:sz w:val="24"/>
      <w:lang w:val="en-GB" w:eastAsia="zh-CN"/>
    </w:rPr>
  </w:style>
  <w:style w:type="character" w:customStyle="1" w:styleId="378">
    <w:name w:val="正文文本缩进 3 Char"/>
    <w:link w:val="54"/>
    <w:autoRedefine/>
    <w:qFormat/>
    <w:uiPriority w:val="0"/>
    <w:rPr>
      <w:kern w:val="2"/>
      <w:sz w:val="24"/>
    </w:rPr>
  </w:style>
  <w:style w:type="character" w:customStyle="1" w:styleId="379">
    <w:name w:val="日期 Char1"/>
    <w:autoRedefine/>
    <w:qFormat/>
    <w:uiPriority w:val="99"/>
    <w:rPr>
      <w:rFonts w:ascii="Times New Roman" w:hAnsi="Times New Roman" w:eastAsia="宋体" w:cs="Times New Roman"/>
      <w:szCs w:val="24"/>
    </w:rPr>
  </w:style>
  <w:style w:type="character" w:customStyle="1" w:styleId="380">
    <w:name w:val="页眉 字符"/>
    <w:autoRedefine/>
    <w:qFormat/>
    <w:uiPriority w:val="99"/>
    <w:rPr>
      <w:kern w:val="2"/>
      <w:sz w:val="18"/>
      <w:szCs w:val="18"/>
    </w:rPr>
  </w:style>
  <w:style w:type="character" w:customStyle="1" w:styleId="381">
    <w:name w:val="Char Char33"/>
    <w:autoRedefine/>
    <w:qFormat/>
    <w:uiPriority w:val="6"/>
    <w:rPr>
      <w:rFonts w:ascii="Arial" w:hAnsi="Arial" w:eastAsia="黑体"/>
      <w:b/>
      <w:kern w:val="1"/>
      <w:sz w:val="24"/>
      <w:szCs w:val="24"/>
    </w:rPr>
  </w:style>
  <w:style w:type="character" w:customStyle="1" w:styleId="382">
    <w:name w:val="b11_01b Char"/>
    <w:link w:val="383"/>
    <w:autoRedefine/>
    <w:qFormat/>
    <w:uiPriority w:val="0"/>
    <w:rPr>
      <w:rFonts w:ascii="Verdana" w:hAnsi="Verdana"/>
      <w:b/>
      <w:bCs/>
      <w:color w:val="4A82CA"/>
      <w:sz w:val="17"/>
      <w:szCs w:val="17"/>
    </w:rPr>
  </w:style>
  <w:style w:type="paragraph" w:customStyle="1" w:styleId="383">
    <w:name w:val="b11_01b"/>
    <w:basedOn w:val="1"/>
    <w:next w:val="1"/>
    <w:link w:val="382"/>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autoRedefine/>
    <w:qFormat/>
    <w:uiPriority w:val="6"/>
    <w:rPr>
      <w:rFonts w:ascii="仿宋_GB2312" w:eastAsia="仿宋_GB2312"/>
      <w:b/>
      <w:bCs/>
      <w:kern w:val="2"/>
      <w:sz w:val="24"/>
      <w:szCs w:val="24"/>
      <w:lang w:val="zh-CN" w:eastAsia="zh-CN" w:bidi="ar-SA"/>
    </w:rPr>
  </w:style>
  <w:style w:type="character" w:customStyle="1" w:styleId="385">
    <w:name w:val="Footer-Even Char"/>
    <w:autoRedefine/>
    <w:qFormat/>
    <w:uiPriority w:val="0"/>
    <w:rPr>
      <w:rFonts w:eastAsia="宋体"/>
      <w:kern w:val="2"/>
      <w:sz w:val="18"/>
      <w:lang w:val="en-US" w:eastAsia="zh-CN" w:bidi="ar-SA"/>
    </w:rPr>
  </w:style>
  <w:style w:type="character" w:customStyle="1" w:styleId="386">
    <w:name w:val="页脚 Char2"/>
    <w:link w:val="41"/>
    <w:autoRedefine/>
    <w:qFormat/>
    <w:uiPriority w:val="99"/>
    <w:rPr>
      <w:kern w:val="2"/>
      <w:sz w:val="18"/>
      <w:szCs w:val="18"/>
    </w:rPr>
  </w:style>
  <w:style w:type="character" w:customStyle="1" w:styleId="387">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8">
    <w:name w:val="Char Char61"/>
    <w:autoRedefine/>
    <w:qFormat/>
    <w:uiPriority w:val="6"/>
    <w:rPr>
      <w:rFonts w:eastAsia="宋体"/>
      <w:kern w:val="2"/>
      <w:sz w:val="21"/>
      <w:szCs w:val="24"/>
      <w:lang w:val="en-US" w:eastAsia="zh-CN" w:bidi="ar-SA"/>
    </w:rPr>
  </w:style>
  <w:style w:type="character" w:customStyle="1" w:styleId="389">
    <w:name w:val="正文文字缩进 2 Char Char"/>
    <w:autoRedefine/>
    <w:qFormat/>
    <w:uiPriority w:val="0"/>
    <w:rPr>
      <w:rFonts w:ascii="宋体"/>
      <w:sz w:val="28"/>
    </w:rPr>
  </w:style>
  <w:style w:type="character" w:customStyle="1" w:styleId="390">
    <w:name w:val="f141"/>
    <w:autoRedefine/>
    <w:qFormat/>
    <w:uiPriority w:val="0"/>
    <w:rPr>
      <w:rFonts w:ascii="Tahoma" w:hAnsi="Tahoma" w:eastAsia="宋体"/>
      <w:b/>
      <w:kern w:val="2"/>
      <w:sz w:val="21"/>
      <w:szCs w:val="21"/>
      <w:lang w:val="en-US" w:eastAsia="zh-CN" w:bidi="ar-SA"/>
    </w:rPr>
  </w:style>
  <w:style w:type="character" w:customStyle="1" w:styleId="391">
    <w:name w:val="段落 Char Char"/>
    <w:link w:val="392"/>
    <w:autoRedefine/>
    <w:qFormat/>
    <w:uiPriority w:val="0"/>
    <w:rPr>
      <w:rFonts w:ascii="宋体" w:hAnsi="宋体"/>
      <w:sz w:val="24"/>
    </w:rPr>
  </w:style>
  <w:style w:type="paragraph" w:customStyle="1" w:styleId="392">
    <w:name w:val="段落"/>
    <w:basedOn w:val="1"/>
    <w:link w:val="391"/>
    <w:autoRedefine/>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autoRedefine/>
    <w:qFormat/>
    <w:uiPriority w:val="0"/>
    <w:rPr>
      <w:rFonts w:eastAsia="宋体"/>
      <w:b/>
      <w:bCs/>
      <w:kern w:val="2"/>
      <w:sz w:val="32"/>
      <w:szCs w:val="32"/>
      <w:lang w:val="en-US" w:eastAsia="zh-CN" w:bidi="ar-SA"/>
    </w:rPr>
  </w:style>
  <w:style w:type="character" w:customStyle="1" w:styleId="394">
    <w:name w:val="apple-converted-space"/>
    <w:autoRedefine/>
    <w:qFormat/>
    <w:uiPriority w:val="0"/>
  </w:style>
  <w:style w:type="character" w:customStyle="1" w:styleId="395">
    <w:name w:val="页眉 Char2"/>
    <w:link w:val="42"/>
    <w:autoRedefine/>
    <w:qFormat/>
    <w:uiPriority w:val="99"/>
    <w:rPr>
      <w:kern w:val="2"/>
      <w:sz w:val="18"/>
      <w:szCs w:val="18"/>
    </w:rPr>
  </w:style>
  <w:style w:type="character" w:customStyle="1" w:styleId="396">
    <w:name w:val="Char Char9"/>
    <w:autoRedefine/>
    <w:qFormat/>
    <w:uiPriority w:val="0"/>
    <w:rPr>
      <w:rFonts w:eastAsia="宋体"/>
      <w:kern w:val="2"/>
      <w:sz w:val="18"/>
      <w:szCs w:val="18"/>
      <w:lang w:val="en-US" w:eastAsia="zh-CN" w:bidi="ar-SA"/>
    </w:rPr>
  </w:style>
  <w:style w:type="character" w:customStyle="1" w:styleId="397">
    <w:name w:val="Char Char41"/>
    <w:autoRedefine/>
    <w:qFormat/>
    <w:uiPriority w:val="0"/>
    <w:rPr>
      <w:rFonts w:eastAsia="宋体"/>
      <w:b/>
      <w:sz w:val="24"/>
      <w:lang w:val="en-GB" w:eastAsia="zh-CN" w:bidi="ar-SA"/>
    </w:rPr>
  </w:style>
  <w:style w:type="character" w:customStyle="1" w:styleId="398">
    <w:name w:val="large1"/>
    <w:autoRedefine/>
    <w:qFormat/>
    <w:uiPriority w:val="0"/>
    <w:rPr>
      <w:rFonts w:hint="eastAsia" w:ascii="宋体" w:hAnsi="宋体" w:eastAsia="宋体"/>
      <w:sz w:val="21"/>
      <w:szCs w:val="21"/>
    </w:rPr>
  </w:style>
  <w:style w:type="character" w:customStyle="1" w:styleId="399">
    <w:name w:val="正文段 Char"/>
    <w:link w:val="400"/>
    <w:autoRedefine/>
    <w:qFormat/>
    <w:uiPriority w:val="0"/>
    <w:rPr>
      <w:sz w:val="24"/>
    </w:rPr>
  </w:style>
  <w:style w:type="paragraph" w:customStyle="1" w:styleId="400">
    <w:name w:val="正文段"/>
    <w:basedOn w:val="1"/>
    <w:link w:val="399"/>
    <w:autoRedefine/>
    <w:qFormat/>
    <w:uiPriority w:val="0"/>
    <w:pPr>
      <w:widowControl/>
      <w:snapToGrid w:val="0"/>
      <w:spacing w:after="156" w:afterLines="50"/>
      <w:ind w:firstLine="200" w:firstLineChars="200"/>
    </w:pPr>
    <w:rPr>
      <w:kern w:val="0"/>
      <w:sz w:val="24"/>
      <w:szCs w:val="20"/>
    </w:rPr>
  </w:style>
  <w:style w:type="character" w:customStyle="1" w:styleId="401">
    <w:name w:val="Char Char13"/>
    <w:autoRedefine/>
    <w:qFormat/>
    <w:uiPriority w:val="6"/>
    <w:rPr>
      <w:rFonts w:ascii="宋体" w:hAnsi="宋体"/>
      <w:kern w:val="1"/>
      <w:sz w:val="21"/>
      <w:szCs w:val="24"/>
    </w:rPr>
  </w:style>
  <w:style w:type="character" w:customStyle="1" w:styleId="402">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autoRedefine/>
    <w:qFormat/>
    <w:uiPriority w:val="0"/>
    <w:rPr>
      <w:rFonts w:ascii="宋体" w:hAnsi="宋体"/>
      <w:kern w:val="2"/>
      <w:sz w:val="24"/>
      <w:szCs w:val="22"/>
    </w:rPr>
  </w:style>
  <w:style w:type="paragraph" w:customStyle="1" w:styleId="404">
    <w:name w:val="冯广丽"/>
    <w:basedOn w:val="1"/>
    <w:link w:val="403"/>
    <w:autoRedefine/>
    <w:qFormat/>
    <w:uiPriority w:val="0"/>
    <w:pPr>
      <w:adjustRightInd/>
      <w:spacing w:line="360" w:lineRule="auto"/>
      <w:ind w:firstLine="480" w:firstLineChars="200"/>
    </w:pPr>
    <w:rPr>
      <w:rFonts w:ascii="宋体" w:hAnsi="宋体"/>
      <w:sz w:val="24"/>
      <w:szCs w:val="22"/>
    </w:rPr>
  </w:style>
  <w:style w:type="character" w:customStyle="1" w:styleId="405">
    <w:name w:val="批注文字 字符"/>
    <w:autoRedefine/>
    <w:qFormat/>
    <w:uiPriority w:val="0"/>
    <w:rPr>
      <w:rFonts w:ascii="Arial" w:hAnsi="Arial" w:eastAsia="黑体" w:cs="Arial"/>
      <w:snapToGrid w:val="0"/>
      <w:kern w:val="0"/>
      <w:szCs w:val="21"/>
    </w:rPr>
  </w:style>
  <w:style w:type="character" w:customStyle="1" w:styleId="406">
    <w:name w:val="Char Char161"/>
    <w:autoRedefine/>
    <w:qFormat/>
    <w:uiPriority w:val="0"/>
    <w:rPr>
      <w:rFonts w:eastAsia="宋体"/>
      <w:b/>
      <w:kern w:val="2"/>
      <w:sz w:val="32"/>
      <w:lang w:val="en-US" w:eastAsia="zh-CN"/>
    </w:rPr>
  </w:style>
  <w:style w:type="character" w:customStyle="1" w:styleId="407">
    <w:name w:val="javascript"/>
    <w:autoRedefine/>
    <w:qFormat/>
    <w:uiPriority w:val="0"/>
  </w:style>
  <w:style w:type="character" w:customStyle="1" w:styleId="408">
    <w:name w:val="图名 Char"/>
    <w:autoRedefine/>
    <w:qFormat/>
    <w:uiPriority w:val="0"/>
    <w:rPr>
      <w:rFonts w:ascii="Arial" w:hAnsi="Arial" w:eastAsia="黑体"/>
      <w:kern w:val="2"/>
      <w:sz w:val="24"/>
      <w:szCs w:val="24"/>
      <w:lang w:val="en-US" w:eastAsia="zh-CN" w:bidi="ar-SA"/>
    </w:rPr>
  </w:style>
  <w:style w:type="character" w:customStyle="1" w:styleId="409">
    <w:name w:val="Used by Word for text of Help footnotes Char Char"/>
    <w:autoRedefine/>
    <w:qFormat/>
    <w:uiPriority w:val="0"/>
    <w:rPr>
      <w:rFonts w:ascii="Times New Roman" w:hAnsi="Times New Roman" w:eastAsia="宋体" w:cs="Times New Roman"/>
      <w:sz w:val="20"/>
      <w:szCs w:val="20"/>
    </w:rPr>
  </w:style>
  <w:style w:type="character" w:customStyle="1" w:styleId="410">
    <w:name w:val="编号，小四 Char"/>
    <w:link w:val="411"/>
    <w:autoRedefine/>
    <w:qFormat/>
    <w:uiPriority w:val="0"/>
    <w:rPr>
      <w:rFonts w:ascii="Arial" w:hAnsi="Arial"/>
      <w:sz w:val="24"/>
    </w:rPr>
  </w:style>
  <w:style w:type="paragraph" w:customStyle="1" w:styleId="411">
    <w:name w:val="编号，小四"/>
    <w:basedOn w:val="1"/>
    <w:link w:val="410"/>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autoRedefine/>
    <w:qFormat/>
    <w:uiPriority w:val="99"/>
    <w:rPr>
      <w:rFonts w:ascii="宋体" w:eastAsia="宋体" w:cs="宋体"/>
      <w:color w:val="000000"/>
      <w:sz w:val="14"/>
      <w:szCs w:val="14"/>
    </w:rPr>
  </w:style>
  <w:style w:type="character" w:customStyle="1" w:styleId="413">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4">
    <w:name w:val="未用 Char"/>
    <w:autoRedefine/>
    <w:qFormat/>
    <w:uiPriority w:val="0"/>
    <w:rPr>
      <w:rFonts w:ascii="Arial" w:hAnsi="Arial" w:eastAsia="黑体"/>
      <w:kern w:val="2"/>
      <w:sz w:val="21"/>
      <w:szCs w:val="21"/>
      <w:lang w:val="en-US" w:eastAsia="zh-CN" w:bidi="ar-SA"/>
    </w:rPr>
  </w:style>
  <w:style w:type="character" w:customStyle="1" w:styleId="415">
    <w:name w:val="myp1111"/>
    <w:autoRedefine/>
    <w:qFormat/>
    <w:uiPriority w:val="0"/>
    <w:rPr>
      <w:rFonts w:hint="default" w:ascii="ˎ̥" w:hAnsi="ˎ̥"/>
      <w:color w:val="000000"/>
      <w:sz w:val="20"/>
      <w:szCs w:val="20"/>
      <w:u w:val="none"/>
    </w:rPr>
  </w:style>
  <w:style w:type="character" w:customStyle="1" w:styleId="416">
    <w:name w:val="样式 标题 4h4H4Fab-4T5Ref Heading 1rh1Heading sqlsect 1.2.3.... Char"/>
    <w:link w:val="308"/>
    <w:autoRedefine/>
    <w:qFormat/>
    <w:uiPriority w:val="0"/>
    <w:rPr>
      <w:rFonts w:ascii="微软雅黑" w:hAnsi="微软雅黑" w:eastAsia="微软雅黑"/>
      <w:b/>
      <w:bCs/>
      <w:kern w:val="2"/>
      <w:sz w:val="24"/>
      <w:szCs w:val="28"/>
    </w:rPr>
  </w:style>
  <w:style w:type="character" w:customStyle="1" w:styleId="417">
    <w:name w:val="h Char Char"/>
    <w:autoRedefine/>
    <w:qFormat/>
    <w:uiPriority w:val="0"/>
    <w:rPr>
      <w:rFonts w:eastAsia="宋体"/>
      <w:kern w:val="2"/>
      <w:sz w:val="18"/>
      <w:lang w:val="en-US" w:eastAsia="zh-CN" w:bidi="ar-SA"/>
    </w:rPr>
  </w:style>
  <w:style w:type="character" w:customStyle="1" w:styleId="418">
    <w:name w:val="仿宋正文 Char"/>
    <w:link w:val="419"/>
    <w:autoRedefine/>
    <w:qFormat/>
    <w:uiPriority w:val="0"/>
    <w:rPr>
      <w:rFonts w:ascii="仿宋_GB2312" w:eastAsia="仿宋_GB2312"/>
      <w:kern w:val="2"/>
      <w:sz w:val="24"/>
      <w:lang w:val="en-US" w:eastAsia="zh-CN" w:bidi="ar-SA"/>
    </w:rPr>
  </w:style>
  <w:style w:type="paragraph" w:customStyle="1" w:styleId="419">
    <w:name w:val="仿宋正文"/>
    <w:basedOn w:val="1"/>
    <w:link w:val="418"/>
    <w:autoRedefine/>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autoRedefine/>
    <w:qFormat/>
    <w:uiPriority w:val="0"/>
    <w:rPr>
      <w:rFonts w:ascii="宋体" w:eastAsia="宋体"/>
      <w:kern w:val="2"/>
      <w:sz w:val="24"/>
      <w:lang w:val="zh-CN" w:bidi="ar-SA"/>
    </w:rPr>
  </w:style>
  <w:style w:type="character" w:customStyle="1" w:styleId="421">
    <w:name w:val="样式 宋体"/>
    <w:autoRedefine/>
    <w:qFormat/>
    <w:uiPriority w:val="0"/>
    <w:rPr>
      <w:rFonts w:ascii="宋体" w:hAnsi="宋体"/>
      <w:sz w:val="24"/>
    </w:rPr>
  </w:style>
  <w:style w:type="character" w:customStyle="1" w:styleId="422">
    <w:name w:val="tw4winJump"/>
    <w:autoRedefine/>
    <w:qFormat/>
    <w:uiPriority w:val="0"/>
    <w:rPr>
      <w:rFonts w:ascii="Courier New" w:hAnsi="Courier New" w:cs="Courier New"/>
      <w:color w:val="008080"/>
      <w:lang w:val="en-US" w:eastAsia="zh-CN"/>
    </w:rPr>
  </w:style>
  <w:style w:type="character" w:customStyle="1" w:styleId="423">
    <w:name w:val="标题 1 字符"/>
    <w:autoRedefine/>
    <w:qFormat/>
    <w:uiPriority w:val="9"/>
    <w:rPr>
      <w:rFonts w:ascii="Arial" w:hAnsi="Arial" w:eastAsia="黑体" w:cs="Arial"/>
      <w:b/>
      <w:bCs/>
      <w:snapToGrid w:val="0"/>
      <w:kern w:val="44"/>
      <w:sz w:val="44"/>
      <w:szCs w:val="44"/>
    </w:rPr>
  </w:style>
  <w:style w:type="character" w:customStyle="1" w:styleId="424">
    <w:name w:val="style36"/>
    <w:basedOn w:val="69"/>
    <w:autoRedefine/>
    <w:qFormat/>
    <w:uiPriority w:val="0"/>
    <w:rPr>
      <w:rFonts w:ascii="Arial" w:hAnsi="Arial" w:eastAsia="黑体" w:cs="Arial"/>
      <w:snapToGrid w:val="0"/>
      <w:kern w:val="0"/>
      <w:szCs w:val="21"/>
    </w:rPr>
  </w:style>
  <w:style w:type="character" w:customStyle="1" w:styleId="425">
    <w:name w:val="pt9"/>
    <w:autoRedefine/>
    <w:qFormat/>
    <w:uiPriority w:val="0"/>
    <w:rPr>
      <w:rFonts w:ascii="仿宋_GB2312" w:eastAsia="微软雅黑"/>
      <w:b/>
      <w:kern w:val="2"/>
      <w:sz w:val="32"/>
      <w:szCs w:val="32"/>
      <w:lang w:val="en-US" w:eastAsia="zh-CN" w:bidi="ar-SA"/>
    </w:rPr>
  </w:style>
  <w:style w:type="character" w:customStyle="1" w:styleId="426">
    <w:name w:val="DO_NOT_TRANSLATE"/>
    <w:autoRedefine/>
    <w:qFormat/>
    <w:uiPriority w:val="0"/>
    <w:rPr>
      <w:rFonts w:ascii="Courier New" w:hAnsi="Courier New" w:cs="Courier New"/>
      <w:color w:val="800000"/>
      <w:lang w:val="en-US" w:eastAsia="zh-CN"/>
    </w:rPr>
  </w:style>
  <w:style w:type="character" w:customStyle="1" w:styleId="427">
    <w:name w:val="标书1 Char1"/>
    <w:autoRedefine/>
    <w:qFormat/>
    <w:uiPriority w:val="0"/>
    <w:rPr>
      <w:rFonts w:eastAsia="宋体"/>
      <w:b/>
      <w:bCs/>
      <w:kern w:val="44"/>
      <w:sz w:val="44"/>
      <w:szCs w:val="44"/>
      <w:lang w:val="en-US" w:eastAsia="zh-CN" w:bidi="ar-SA"/>
    </w:rPr>
  </w:style>
  <w:style w:type="character" w:customStyle="1" w:styleId="428">
    <w:name w:val="页脚 字符"/>
    <w:autoRedefine/>
    <w:qFormat/>
    <w:uiPriority w:val="99"/>
    <w:rPr>
      <w:kern w:val="2"/>
      <w:sz w:val="18"/>
      <w:szCs w:val="18"/>
    </w:rPr>
  </w:style>
  <w:style w:type="character" w:customStyle="1" w:styleId="429">
    <w:name w:val="正文2 Char"/>
    <w:autoRedefine/>
    <w:qFormat/>
    <w:uiPriority w:val="0"/>
    <w:rPr>
      <w:rFonts w:eastAsia="宋体"/>
      <w:kern w:val="2"/>
      <w:sz w:val="24"/>
      <w:lang w:val="en-US" w:eastAsia="zh-CN" w:bidi="ar-SA"/>
    </w:rPr>
  </w:style>
  <w:style w:type="character" w:customStyle="1" w:styleId="430">
    <w:name w:val="Char Char21"/>
    <w:autoRedefine/>
    <w:qFormat/>
    <w:uiPriority w:val="6"/>
    <w:rPr>
      <w:rFonts w:ascii="宋体" w:hAnsi="宋体"/>
      <w:kern w:val="1"/>
      <w:sz w:val="24"/>
      <w:szCs w:val="21"/>
      <w:lang w:val="zh-CN"/>
    </w:rPr>
  </w:style>
  <w:style w:type="character" w:customStyle="1" w:styleId="431">
    <w:name w:val="样式 正文缩进 + 首行缩进:  2 字符 Char Char"/>
    <w:link w:val="432"/>
    <w:autoRedefine/>
    <w:qFormat/>
    <w:uiPriority w:val="0"/>
    <w:rPr>
      <w:rFonts w:cs="宋体"/>
      <w:kern w:val="2"/>
      <w:sz w:val="24"/>
    </w:rPr>
  </w:style>
  <w:style w:type="paragraph" w:customStyle="1" w:styleId="432">
    <w:name w:val="样式 正文缩进 + 首行缩进:  2 字符"/>
    <w:basedOn w:val="2"/>
    <w:link w:val="431"/>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Char1"/>
    <w:link w:val="25"/>
    <w:autoRedefine/>
    <w:qFormat/>
    <w:uiPriority w:val="0"/>
    <w:rPr>
      <w:rFonts w:ascii="宋体" w:hAnsi="Arial" w:eastAsia="宋体" w:cs="Arial"/>
      <w:snapToGrid w:val="0"/>
      <w:kern w:val="2"/>
      <w:sz w:val="24"/>
      <w:szCs w:val="21"/>
      <w:lang w:val="zh-CN" w:eastAsia="zh-CN" w:bidi="ar-SA"/>
    </w:rPr>
  </w:style>
  <w:style w:type="character" w:customStyle="1" w:styleId="434">
    <w:name w:val="gray6"/>
    <w:basedOn w:val="69"/>
    <w:autoRedefine/>
    <w:qFormat/>
    <w:uiPriority w:val="0"/>
    <w:rPr>
      <w:rFonts w:ascii="Arial" w:hAnsi="Arial" w:eastAsia="黑体" w:cs="Arial"/>
      <w:snapToGrid w:val="0"/>
      <w:kern w:val="0"/>
      <w:szCs w:val="21"/>
    </w:rPr>
  </w:style>
  <w:style w:type="character" w:customStyle="1" w:styleId="435">
    <w:name w:val="hui"/>
    <w:basedOn w:val="69"/>
    <w:autoRedefine/>
    <w:qFormat/>
    <w:uiPriority w:val="0"/>
    <w:rPr>
      <w:rFonts w:ascii="Arial" w:hAnsi="Arial" w:eastAsia="黑体" w:cs="Arial"/>
      <w:snapToGrid w:val="0"/>
      <w:kern w:val="0"/>
      <w:szCs w:val="21"/>
    </w:rPr>
  </w:style>
  <w:style w:type="character" w:customStyle="1" w:styleId="436">
    <w:name w:val="哈哈正文 Char Char"/>
    <w:autoRedefine/>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7"/>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8"/>
    <w:autoRedefine/>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autoRedefine/>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autoRedefine/>
    <w:qFormat/>
    <w:uiPriority w:val="0"/>
    <w:pPr>
      <w:spacing w:before="120" w:line="360" w:lineRule="auto"/>
      <w:ind w:firstLine="567"/>
    </w:pPr>
    <w:rPr>
      <w:rFonts w:ascii="Arial" w:hAnsi="Arial"/>
      <w:sz w:val="20"/>
      <w:szCs w:val="20"/>
    </w:rPr>
  </w:style>
  <w:style w:type="paragraph" w:customStyle="1" w:styleId="447">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autoRedefine/>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autoRedefine/>
    <w:qFormat/>
    <w:uiPriority w:val="0"/>
    <w:pPr>
      <w:adjustRightInd/>
      <w:ind w:firstLine="200" w:firstLineChars="200"/>
    </w:pPr>
    <w:rPr>
      <w:rFonts w:ascii="Tahoma" w:hAnsi="Tahoma"/>
      <w:sz w:val="24"/>
      <w:szCs w:val="20"/>
    </w:rPr>
  </w:style>
  <w:style w:type="paragraph" w:customStyle="1" w:styleId="456">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autoRedefine/>
    <w:qFormat/>
    <w:uiPriority w:val="0"/>
    <w:pPr>
      <w:tabs>
        <w:tab w:val="left" w:pos="360"/>
      </w:tabs>
    </w:pPr>
    <w:rPr>
      <w:sz w:val="24"/>
      <w:szCs w:val="20"/>
    </w:rPr>
  </w:style>
  <w:style w:type="paragraph" w:customStyle="1" w:styleId="459">
    <w:name w:val="Char Char11 Char Char Char"/>
    <w:basedOn w:val="1"/>
    <w:autoRedefine/>
    <w:qFormat/>
    <w:uiPriority w:val="0"/>
    <w:pPr>
      <w:spacing w:line="360" w:lineRule="auto"/>
    </w:pPr>
    <w:rPr>
      <w:szCs w:val="20"/>
    </w:rPr>
  </w:style>
  <w:style w:type="paragraph" w:customStyle="1" w:styleId="460">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autoRedefine/>
    <w:qFormat/>
    <w:uiPriority w:val="0"/>
    <w:pPr>
      <w:tabs>
        <w:tab w:val="left" w:pos="2790"/>
        <w:tab w:val="left" w:pos="4230"/>
      </w:tabs>
      <w:spacing w:before="312" w:beforeLines="100"/>
      <w:jc w:val="left"/>
    </w:pPr>
  </w:style>
  <w:style w:type="paragraph" w:customStyle="1" w:styleId="463">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autoRedefine/>
    <w:qFormat/>
    <w:uiPriority w:val="0"/>
    <w:pPr>
      <w:tabs>
        <w:tab w:val="left" w:pos="840"/>
      </w:tabs>
      <w:ind w:left="840" w:hanging="420"/>
    </w:pPr>
    <w:rPr>
      <w:rFonts w:ascii="Tahoma" w:hAnsi="Tahoma"/>
      <w:sz w:val="24"/>
    </w:rPr>
  </w:style>
  <w:style w:type="paragraph" w:customStyle="1" w:styleId="465">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autoRedefine/>
    <w:qFormat/>
    <w:uiPriority w:val="0"/>
    <w:pPr>
      <w:adjustRightInd/>
      <w:spacing w:before="156" w:line="360" w:lineRule="auto"/>
      <w:ind w:firstLine="510" w:firstLineChars="200"/>
    </w:pPr>
    <w:rPr>
      <w:sz w:val="24"/>
      <w:szCs w:val="20"/>
    </w:rPr>
  </w:style>
  <w:style w:type="paragraph" w:customStyle="1" w:styleId="469">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autoRedefine/>
    <w:qFormat/>
    <w:uiPriority w:val="0"/>
    <w:rPr>
      <w:rFonts w:ascii="仿宋_GB2312" w:eastAsia="仿宋_GB2312"/>
      <w:b/>
      <w:sz w:val="32"/>
      <w:szCs w:val="32"/>
    </w:rPr>
  </w:style>
  <w:style w:type="paragraph" w:customStyle="1" w:styleId="472">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4">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5">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autoRedefine/>
    <w:qFormat/>
    <w:uiPriority w:val="0"/>
    <w:pPr>
      <w:keepNext/>
      <w:tabs>
        <w:tab w:val="left" w:pos="360"/>
      </w:tabs>
      <w:spacing w:before="0" w:after="0"/>
      <w:outlineLvl w:val="5"/>
    </w:pPr>
  </w:style>
  <w:style w:type="paragraph" w:customStyle="1" w:styleId="477">
    <w:name w:val="5级标题"/>
    <w:basedOn w:val="478"/>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62"/>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80">
    <w:name w:val="Char2 Char Char"/>
    <w:basedOn w:val="1"/>
    <w:autoRedefine/>
    <w:qFormat/>
    <w:uiPriority w:val="0"/>
    <w:pPr>
      <w:adjustRightInd/>
    </w:pPr>
    <w:rPr>
      <w:rFonts w:ascii="Tahoma" w:hAnsi="Tahoma"/>
      <w:sz w:val="24"/>
      <w:szCs w:val="20"/>
    </w:rPr>
  </w:style>
  <w:style w:type="paragraph" w:customStyle="1" w:styleId="481">
    <w:name w:val="_Style 11"/>
    <w:basedOn w:val="1"/>
    <w:autoRedefine/>
    <w:qFormat/>
    <w:uiPriority w:val="34"/>
    <w:pPr>
      <w:adjustRightInd/>
      <w:ind w:firstLine="420" w:firstLineChars="200"/>
    </w:pPr>
    <w:rPr>
      <w:rFonts w:eastAsia="仿宋_GB2312"/>
      <w:sz w:val="28"/>
    </w:rPr>
  </w:style>
  <w:style w:type="paragraph" w:customStyle="1" w:styleId="482">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autoRedefine/>
    <w:qFormat/>
    <w:uiPriority w:val="0"/>
    <w:rPr>
      <w:rFonts w:ascii="Tahoma" w:hAnsi="Tahoma"/>
      <w:sz w:val="24"/>
      <w:szCs w:val="20"/>
    </w:rPr>
  </w:style>
  <w:style w:type="paragraph" w:customStyle="1" w:styleId="484">
    <w:name w:val="数字标题6"/>
    <w:basedOn w:val="10"/>
    <w:next w:val="1"/>
    <w:autoRedefine/>
    <w:qFormat/>
    <w:uiPriority w:val="0"/>
    <w:pPr>
      <w:tabs>
        <w:tab w:val="left" w:pos="1080"/>
      </w:tabs>
      <w:ind w:left="1080" w:hanging="1080"/>
    </w:pPr>
    <w:rPr>
      <w:rFonts w:ascii="Times New Roman" w:hAnsi="Times New Roman" w:eastAsia="宋体"/>
      <w:i/>
    </w:rPr>
  </w:style>
  <w:style w:type="paragraph" w:customStyle="1" w:styleId="485">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No Spacing"/>
    <w:basedOn w:val="1"/>
    <w:link w:val="936"/>
    <w:autoRedefine/>
    <w:qFormat/>
    <w:uiPriority w:val="99"/>
    <w:rPr>
      <w:szCs w:val="22"/>
    </w:rPr>
  </w:style>
  <w:style w:type="paragraph" w:customStyle="1" w:styleId="487">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autoRedefine/>
    <w:qFormat/>
    <w:uiPriority w:val="6"/>
    <w:rPr>
      <w:rFonts w:ascii="Tahoma" w:hAnsi="Tahoma" w:cs="仿宋_GB2312"/>
      <w:sz w:val="24"/>
      <w:szCs w:val="20"/>
    </w:rPr>
  </w:style>
  <w:style w:type="paragraph" w:customStyle="1" w:styleId="489">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4"/>
    <w:autoRedefine/>
    <w:qFormat/>
    <w:uiPriority w:val="0"/>
    <w:pPr>
      <w:tabs>
        <w:tab w:val="left" w:pos="1260"/>
      </w:tabs>
      <w:ind w:left="1260" w:hanging="420"/>
    </w:pPr>
    <w:rPr>
      <w:rFonts w:ascii="Arial" w:hAnsi="Arial" w:eastAsia="黑体"/>
      <w:lang w:val="en-US"/>
    </w:rPr>
  </w:style>
  <w:style w:type="paragraph" w:customStyle="1" w:styleId="493">
    <w:name w:val="五级无标题条"/>
    <w:basedOn w:val="1"/>
    <w:autoRedefine/>
    <w:qFormat/>
    <w:uiPriority w:val="0"/>
    <w:pPr>
      <w:adjustRightInd/>
    </w:pPr>
  </w:style>
  <w:style w:type="paragraph" w:customStyle="1" w:styleId="494">
    <w:name w:val="Char5"/>
    <w:basedOn w:val="1"/>
    <w:autoRedefine/>
    <w:qFormat/>
    <w:uiPriority w:val="0"/>
    <w:rPr>
      <w:rFonts w:ascii="仿宋_GB2312" w:eastAsia="仿宋_GB2312"/>
      <w:b/>
      <w:sz w:val="32"/>
      <w:szCs w:val="32"/>
    </w:rPr>
  </w:style>
  <w:style w:type="paragraph" w:customStyle="1" w:styleId="495">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autoRedefine/>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autoRedefine/>
    <w:qFormat/>
    <w:uiPriority w:val="0"/>
    <w:rPr>
      <w:rFonts w:ascii="仿宋_GB2312" w:eastAsia="仿宋_GB2312"/>
      <w:b/>
      <w:sz w:val="32"/>
      <w:szCs w:val="32"/>
    </w:rPr>
  </w:style>
  <w:style w:type="paragraph" w:customStyle="1" w:styleId="499">
    <w:name w:val="数字标题3"/>
    <w:basedOn w:val="5"/>
    <w:next w:val="1"/>
    <w:autoRedefine/>
    <w:qFormat/>
    <w:uiPriority w:val="0"/>
    <w:pPr>
      <w:spacing w:line="240" w:lineRule="auto"/>
    </w:pPr>
    <w:rPr>
      <w:sz w:val="28"/>
      <w:szCs w:val="28"/>
    </w:rPr>
  </w:style>
  <w:style w:type="paragraph" w:customStyle="1" w:styleId="500">
    <w:name w:val="FA正文"/>
    <w:basedOn w:val="1"/>
    <w:autoRedefine/>
    <w:qFormat/>
    <w:uiPriority w:val="0"/>
    <w:pPr>
      <w:spacing w:line="360" w:lineRule="auto"/>
      <w:ind w:firstLine="480" w:firstLineChars="200"/>
    </w:pPr>
    <w:rPr>
      <w:rFonts w:hAnsi="宋体"/>
      <w:sz w:val="24"/>
      <w:szCs w:val="20"/>
    </w:rPr>
  </w:style>
  <w:style w:type="paragraph" w:customStyle="1" w:styleId="501">
    <w:name w:val="MM Topic 5"/>
    <w:basedOn w:val="9"/>
    <w:autoRedefine/>
    <w:qFormat/>
    <w:uiPriority w:val="0"/>
    <w:pPr>
      <w:tabs>
        <w:tab w:val="left" w:pos="2520"/>
      </w:tabs>
      <w:adjustRightInd/>
      <w:ind w:left="2520" w:hanging="420"/>
    </w:pPr>
  </w:style>
  <w:style w:type="paragraph" w:customStyle="1" w:styleId="502">
    <w:name w:val="Char Char Char Char Char Char Char Char Char Char1"/>
    <w:basedOn w:val="1"/>
    <w:autoRedefine/>
    <w:qFormat/>
    <w:uiPriority w:val="0"/>
    <w:rPr>
      <w:rFonts w:ascii="仿宋_GB2312" w:eastAsia="仿宋_GB2312"/>
      <w:b/>
      <w:sz w:val="32"/>
      <w:szCs w:val="32"/>
    </w:rPr>
  </w:style>
  <w:style w:type="paragraph" w:customStyle="1" w:styleId="503">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autoRedefine/>
    <w:qFormat/>
    <w:uiPriority w:val="0"/>
    <w:rPr>
      <w:rFonts w:ascii="仿宋_GB2312" w:eastAsia="仿宋_GB2312"/>
      <w:b/>
      <w:sz w:val="32"/>
      <w:szCs w:val="32"/>
    </w:rPr>
  </w:style>
  <w:style w:type="paragraph" w:customStyle="1" w:styleId="506">
    <w:name w:val="Char2 Char Char Char1"/>
    <w:basedOn w:val="1"/>
    <w:autoRedefine/>
    <w:qFormat/>
    <w:uiPriority w:val="6"/>
    <w:rPr>
      <w:rFonts w:ascii="仿宋_GB2312" w:eastAsia="仿宋_GB2312"/>
      <w:b/>
      <w:sz w:val="32"/>
      <w:szCs w:val="32"/>
    </w:rPr>
  </w:style>
  <w:style w:type="paragraph" w:customStyle="1" w:styleId="507">
    <w:name w:val="默认段落样式"/>
    <w:basedOn w:val="136"/>
    <w:autoRedefine/>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9">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5"/>
    <w:autoRedefine/>
    <w:qFormat/>
    <w:uiPriority w:val="0"/>
    <w:pPr>
      <w:tabs>
        <w:tab w:val="left" w:pos="1680"/>
      </w:tabs>
      <w:adjustRightInd/>
      <w:ind w:left="1680" w:hanging="420"/>
    </w:pPr>
  </w:style>
  <w:style w:type="paragraph" w:customStyle="1" w:styleId="511">
    <w:name w:val="标准小四"/>
    <w:basedOn w:val="1"/>
    <w:autoRedefine/>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autoRedefine/>
    <w:qFormat/>
    <w:uiPriority w:val="0"/>
    <w:pPr>
      <w:adjustRightInd/>
      <w:snapToGrid w:val="0"/>
      <w:spacing w:line="300" w:lineRule="auto"/>
    </w:pPr>
    <w:rPr>
      <w:rFonts w:eastAsia="仿宋"/>
      <w:szCs w:val="21"/>
    </w:rPr>
  </w:style>
  <w:style w:type="paragraph" w:customStyle="1" w:styleId="514">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autoRedefine/>
    <w:qFormat/>
    <w:uiPriority w:val="6"/>
    <w:pPr>
      <w:adjustRightInd/>
    </w:pPr>
    <w:rPr>
      <w:rFonts w:ascii="Tahoma" w:hAnsi="Tahoma"/>
      <w:sz w:val="24"/>
      <w:szCs w:val="20"/>
    </w:rPr>
  </w:style>
  <w:style w:type="paragraph" w:customStyle="1" w:styleId="516">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7">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2">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autoRedefine/>
    <w:qFormat/>
    <w:uiPriority w:val="0"/>
    <w:pPr>
      <w:adjustRightInd/>
      <w:ind w:firstLine="420" w:firstLineChars="200"/>
    </w:pPr>
    <w:rPr>
      <w:rFonts w:eastAsia="仿宋_GB2312"/>
      <w:sz w:val="28"/>
    </w:rPr>
  </w:style>
  <w:style w:type="paragraph" w:customStyle="1" w:styleId="524">
    <w:name w:val="xl39"/>
    <w:basedOn w:val="1"/>
    <w:next w:val="525"/>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分手多日，近况如何？"/>
    <w:next w:val="1"/>
    <w:autoRedefine/>
    <w:qFormat/>
    <w:uiPriority w:val="0"/>
    <w:pPr>
      <w:widowControl w:val="0"/>
      <w:jc w:val="both"/>
    </w:pPr>
    <w:rPr>
      <w:rFonts w:ascii="Times New Roman" w:hAnsi="Times New Roman" w:eastAsia="宋体" w:cs="Times New Roman"/>
      <w:sz w:val="21"/>
      <w:lang w:val="en-US" w:eastAsia="zh-CN" w:bidi="ar-SA"/>
    </w:rPr>
  </w:style>
  <w:style w:type="paragraph" w:customStyle="1" w:styleId="526">
    <w:name w:val="Bulleting First Indent 1"/>
    <w:basedOn w:val="26"/>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autoRedefine/>
    <w:qFormat/>
    <w:uiPriority w:val="0"/>
    <w:pPr>
      <w:adjustRightInd/>
      <w:ind w:firstLine="200" w:firstLineChars="200"/>
      <w:jc w:val="right"/>
    </w:pPr>
  </w:style>
  <w:style w:type="paragraph" w:customStyle="1" w:styleId="528">
    <w:name w:val="Char Char11 Char Char Char Char Char Char Char Char Char"/>
    <w:basedOn w:val="1"/>
    <w:autoRedefine/>
    <w:qFormat/>
    <w:uiPriority w:val="0"/>
    <w:pPr>
      <w:spacing w:line="360" w:lineRule="auto"/>
    </w:pPr>
    <w:rPr>
      <w:szCs w:val="20"/>
    </w:rPr>
  </w:style>
  <w:style w:type="paragraph" w:customStyle="1" w:styleId="529">
    <w:name w:val="正文1.25"/>
    <w:basedOn w:val="1"/>
    <w:autoRedefine/>
    <w:qFormat/>
    <w:uiPriority w:val="0"/>
    <w:pPr>
      <w:adjustRightInd/>
      <w:spacing w:line="300" w:lineRule="auto"/>
      <w:ind w:firstLine="480" w:firstLineChars="200"/>
    </w:pPr>
    <w:rPr>
      <w:sz w:val="24"/>
      <w:szCs w:val="20"/>
    </w:rPr>
  </w:style>
  <w:style w:type="paragraph" w:customStyle="1" w:styleId="530">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autoRedefine/>
    <w:qFormat/>
    <w:uiPriority w:val="6"/>
    <w:rPr>
      <w:rFonts w:ascii="仿宋_GB2312" w:eastAsia="仿宋_GB2312"/>
      <w:b/>
      <w:sz w:val="32"/>
      <w:szCs w:val="20"/>
    </w:rPr>
  </w:style>
  <w:style w:type="paragraph" w:customStyle="1" w:styleId="534">
    <w:name w:val="列出段落2"/>
    <w:basedOn w:val="1"/>
    <w:autoRedefine/>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autoRedefine/>
    <w:qFormat/>
    <w:uiPriority w:val="0"/>
    <w:rPr>
      <w:rFonts w:eastAsia="仿宋_GB2312"/>
      <w:sz w:val="28"/>
      <w:szCs w:val="20"/>
    </w:rPr>
  </w:style>
  <w:style w:type="paragraph" w:customStyle="1" w:styleId="536">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8"/>
    <w:autoRedefine/>
    <w:qFormat/>
    <w:uiPriority w:val="0"/>
    <w:pPr>
      <w:widowControl/>
      <w:jc w:val="left"/>
    </w:pPr>
    <w:rPr>
      <w:rFonts w:cs="宋体"/>
      <w:sz w:val="24"/>
      <w:szCs w:val="20"/>
    </w:rPr>
  </w:style>
  <w:style w:type="paragraph" w:customStyle="1" w:styleId="538">
    <w:name w:val="彩色列表 - 强调文字颜色 11"/>
    <w:basedOn w:val="1"/>
    <w:autoRedefine/>
    <w:qFormat/>
    <w:uiPriority w:val="0"/>
    <w:pPr>
      <w:adjustRightInd/>
      <w:ind w:firstLine="420" w:firstLineChars="200"/>
    </w:pPr>
    <w:rPr>
      <w:rFonts w:ascii="Calibri" w:hAnsi="Calibri"/>
      <w:szCs w:val="22"/>
    </w:rPr>
  </w:style>
  <w:style w:type="paragraph" w:customStyle="1" w:styleId="539">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autoRedefine/>
    <w:qFormat/>
    <w:uiPriority w:val="6"/>
    <w:rPr>
      <w:szCs w:val="20"/>
    </w:rPr>
  </w:style>
  <w:style w:type="paragraph" w:customStyle="1" w:styleId="543">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85"/>
    <w:next w:val="85"/>
    <w:autoRedefine/>
    <w:qFormat/>
    <w:uiPriority w:val="0"/>
    <w:pPr>
      <w:spacing w:after="68"/>
    </w:pPr>
    <w:rPr>
      <w:rFonts w:ascii="FHLHE E+ Futura Bk" w:eastAsia="FHLHE E+ Futura Bk" w:cs="Times New Roman"/>
      <w:color w:val="auto"/>
    </w:rPr>
  </w:style>
  <w:style w:type="paragraph" w:customStyle="1" w:styleId="549">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85"/>
    <w:next w:val="85"/>
    <w:autoRedefine/>
    <w:qFormat/>
    <w:uiPriority w:val="0"/>
    <w:rPr>
      <w:rFonts w:ascii="宋体" w:eastAsia="宋体" w:cs="Times New Roman"/>
      <w:color w:val="auto"/>
    </w:rPr>
  </w:style>
  <w:style w:type="paragraph" w:customStyle="1" w:styleId="553">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autoRedefine/>
    <w:qFormat/>
    <w:uiPriority w:val="0"/>
    <w:rPr>
      <w:rFonts w:ascii="仿宋_GB2312" w:eastAsia="仿宋_GB2312"/>
      <w:b/>
      <w:sz w:val="32"/>
      <w:szCs w:val="32"/>
    </w:rPr>
  </w:style>
  <w:style w:type="paragraph" w:customStyle="1" w:styleId="555">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autoRedefine/>
    <w:qFormat/>
    <w:uiPriority w:val="0"/>
    <w:pPr>
      <w:spacing w:line="360" w:lineRule="auto"/>
    </w:pPr>
    <w:rPr>
      <w:szCs w:val="20"/>
    </w:rPr>
  </w:style>
  <w:style w:type="paragraph" w:customStyle="1" w:styleId="558">
    <w:name w:val="Char"/>
    <w:basedOn w:val="1"/>
    <w:autoRedefine/>
    <w:qFormat/>
    <w:uiPriority w:val="0"/>
    <w:rPr>
      <w:rFonts w:ascii="仿宋_GB2312" w:eastAsia="仿宋_GB2312"/>
      <w:b/>
      <w:sz w:val="32"/>
      <w:szCs w:val="32"/>
    </w:rPr>
  </w:style>
  <w:style w:type="paragraph" w:customStyle="1" w:styleId="559">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autoRedefine/>
    <w:qFormat/>
    <w:uiPriority w:val="0"/>
    <w:rPr>
      <w:szCs w:val="20"/>
    </w:rPr>
  </w:style>
  <w:style w:type="paragraph" w:customStyle="1" w:styleId="562">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3">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5">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2"/>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autoRedefine/>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7">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8">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7"/>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autoRedefine/>
    <w:qFormat/>
    <w:uiPriority w:val="0"/>
    <w:rPr>
      <w:szCs w:val="20"/>
    </w:rPr>
  </w:style>
  <w:style w:type="paragraph" w:customStyle="1" w:styleId="585">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autoRedefine/>
    <w:qFormat/>
    <w:uiPriority w:val="0"/>
    <w:rPr>
      <w:rFonts w:ascii="Tahoma" w:hAnsi="Tahoma"/>
      <w:sz w:val="24"/>
      <w:szCs w:val="20"/>
    </w:rPr>
  </w:style>
  <w:style w:type="paragraph" w:customStyle="1" w:styleId="587">
    <w:name w:val="标题五"/>
    <w:basedOn w:val="1"/>
    <w:autoRedefine/>
    <w:qFormat/>
    <w:uiPriority w:val="0"/>
    <w:pPr>
      <w:adjustRightInd/>
      <w:spacing w:before="156" w:beforeLines="50" w:line="360" w:lineRule="auto"/>
    </w:pPr>
    <w:rPr>
      <w:b/>
      <w:sz w:val="24"/>
    </w:rPr>
  </w:style>
  <w:style w:type="paragraph" w:customStyle="1" w:styleId="588">
    <w:name w:val="Char Char1101"/>
    <w:basedOn w:val="1"/>
    <w:autoRedefine/>
    <w:qFormat/>
    <w:uiPriority w:val="0"/>
    <w:pPr>
      <w:spacing w:line="360" w:lineRule="auto"/>
    </w:pPr>
    <w:rPr>
      <w:rFonts w:ascii="Tahoma" w:hAnsi="Tahoma"/>
      <w:sz w:val="24"/>
      <w:szCs w:val="20"/>
    </w:rPr>
  </w:style>
  <w:style w:type="paragraph" w:customStyle="1" w:styleId="589">
    <w:name w:val="Char Char Char Char Char Char Char Char1"/>
    <w:basedOn w:val="1"/>
    <w:autoRedefine/>
    <w:qFormat/>
    <w:uiPriority w:val="0"/>
    <w:pPr>
      <w:tabs>
        <w:tab w:val="left" w:pos="360"/>
      </w:tabs>
    </w:pPr>
    <w:rPr>
      <w:sz w:val="24"/>
      <w:szCs w:val="20"/>
    </w:rPr>
  </w:style>
  <w:style w:type="paragraph" w:customStyle="1" w:styleId="590">
    <w:name w:val="Char Char Char 字元 字元"/>
    <w:basedOn w:val="1"/>
    <w:autoRedefine/>
    <w:qFormat/>
    <w:uiPriority w:val="0"/>
    <w:pPr>
      <w:adjustRightInd/>
      <w:spacing w:line="360" w:lineRule="auto"/>
      <w:ind w:firstLine="200" w:firstLineChars="200"/>
    </w:pPr>
    <w:rPr>
      <w:szCs w:val="20"/>
    </w:rPr>
  </w:style>
  <w:style w:type="paragraph" w:customStyle="1" w:styleId="591">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autoRedefine/>
    <w:qFormat/>
    <w:uiPriority w:val="0"/>
    <w:rPr>
      <w:rFonts w:ascii="仿宋_GB2312" w:eastAsia="仿宋_GB2312"/>
      <w:b/>
      <w:sz w:val="32"/>
      <w:szCs w:val="32"/>
    </w:rPr>
  </w:style>
  <w:style w:type="paragraph" w:customStyle="1" w:styleId="593">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autoRedefine/>
    <w:qFormat/>
    <w:uiPriority w:val="0"/>
    <w:pPr>
      <w:adjustRightInd/>
    </w:pPr>
    <w:rPr>
      <w:sz w:val="18"/>
      <w:szCs w:val="20"/>
    </w:rPr>
  </w:style>
  <w:style w:type="paragraph" w:customStyle="1" w:styleId="598">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3">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7"/>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autoRedefine/>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7"/>
    <w:autoRedefine/>
    <w:qFormat/>
    <w:uiPriority w:val="0"/>
    <w:pPr>
      <w:snapToGrid w:val="0"/>
      <w:spacing w:line="360" w:lineRule="auto"/>
    </w:pPr>
    <w:rPr>
      <w:rFonts w:ascii="宋体"/>
      <w:b/>
      <w:sz w:val="24"/>
      <w:szCs w:val="20"/>
    </w:rPr>
  </w:style>
  <w:style w:type="paragraph" w:customStyle="1" w:styleId="608">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autoRedefine/>
    <w:qFormat/>
    <w:uiPriority w:val="7"/>
    <w:pPr>
      <w:adjustRightInd/>
    </w:pPr>
    <w:rPr>
      <w:rFonts w:ascii="宋体" w:hAnsi="Courier New"/>
    </w:rPr>
  </w:style>
  <w:style w:type="paragraph" w:customStyle="1" w:styleId="611">
    <w:name w:val="Char3"/>
    <w:basedOn w:val="1"/>
    <w:autoRedefine/>
    <w:qFormat/>
    <w:uiPriority w:val="0"/>
    <w:pPr>
      <w:adjustRightInd/>
    </w:pPr>
    <w:rPr>
      <w:rFonts w:ascii="仿宋_GB2312" w:eastAsia="仿宋_GB2312"/>
      <w:b/>
      <w:sz w:val="32"/>
      <w:szCs w:val="32"/>
    </w:rPr>
  </w:style>
  <w:style w:type="paragraph" w:customStyle="1" w:styleId="612">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autoRedefine/>
    <w:qFormat/>
    <w:uiPriority w:val="0"/>
    <w:pPr>
      <w:widowControl/>
      <w:adjustRightInd/>
      <w:spacing w:after="160" w:line="240" w:lineRule="exact"/>
      <w:jc w:val="left"/>
    </w:pPr>
    <w:rPr>
      <w:szCs w:val="20"/>
    </w:rPr>
  </w:style>
  <w:style w:type="paragraph" w:customStyle="1" w:styleId="620">
    <w:name w:val="表格标题2"/>
    <w:basedOn w:val="621"/>
    <w:autoRedefine/>
    <w:qFormat/>
    <w:uiPriority w:val="0"/>
    <w:rPr>
      <w:b/>
    </w:rPr>
  </w:style>
  <w:style w:type="paragraph" w:customStyle="1" w:styleId="621">
    <w:name w:val="表格内文"/>
    <w:basedOn w:val="1"/>
    <w:autoRedefine/>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autoRedefine/>
    <w:qFormat/>
    <w:uiPriority w:val="0"/>
    <w:rPr>
      <w:rFonts w:ascii="仿宋_GB2312" w:eastAsia="仿宋_GB2312"/>
      <w:b/>
      <w:sz w:val="32"/>
      <w:szCs w:val="32"/>
    </w:rPr>
  </w:style>
  <w:style w:type="paragraph" w:customStyle="1" w:styleId="623">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autoRedefine/>
    <w:qFormat/>
    <w:uiPriority w:val="0"/>
    <w:pPr>
      <w:spacing w:line="360" w:lineRule="auto"/>
    </w:pPr>
    <w:rPr>
      <w:szCs w:val="20"/>
    </w:rPr>
  </w:style>
  <w:style w:type="paragraph" w:customStyle="1" w:styleId="626">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8">
    <w:name w:val="MM Topic 1"/>
    <w:basedOn w:val="3"/>
    <w:autoRedefine/>
    <w:qFormat/>
    <w:uiPriority w:val="0"/>
    <w:pPr>
      <w:tabs>
        <w:tab w:val="left" w:pos="840"/>
      </w:tabs>
      <w:adjustRightInd/>
      <w:ind w:left="840" w:hanging="420"/>
    </w:pPr>
  </w:style>
  <w:style w:type="paragraph" w:customStyle="1" w:styleId="629">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autoRedefine/>
    <w:qFormat/>
    <w:uiPriority w:val="0"/>
    <w:pPr>
      <w:spacing w:line="360" w:lineRule="auto"/>
      <w:ind w:firstLine="200" w:firstLineChars="200"/>
    </w:pPr>
    <w:rPr>
      <w:kern w:val="0"/>
      <w:sz w:val="24"/>
      <w:szCs w:val="20"/>
    </w:rPr>
  </w:style>
  <w:style w:type="paragraph" w:customStyle="1" w:styleId="631">
    <w:name w:val="表格"/>
    <w:basedOn w:val="1"/>
    <w:autoRedefine/>
    <w:qFormat/>
    <w:uiPriority w:val="0"/>
    <w:pPr>
      <w:snapToGrid w:val="0"/>
      <w:ind w:firstLine="42" w:firstLineChars="21"/>
    </w:pPr>
    <w:rPr>
      <w:rFonts w:ascii="宋体" w:hAnsi="宋体"/>
      <w:kern w:val="0"/>
      <w:sz w:val="20"/>
      <w:szCs w:val="20"/>
    </w:rPr>
  </w:style>
  <w:style w:type="paragraph" w:customStyle="1" w:styleId="632">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autoRedefine/>
    <w:qFormat/>
    <w:uiPriority w:val="0"/>
    <w:pPr>
      <w:adjustRightInd/>
      <w:spacing w:line="300" w:lineRule="auto"/>
      <w:jc w:val="center"/>
    </w:pPr>
  </w:style>
  <w:style w:type="paragraph" w:customStyle="1" w:styleId="637">
    <w:name w:val="_Style 6"/>
    <w:basedOn w:val="1"/>
    <w:autoRedefine/>
    <w:qFormat/>
    <w:uiPriority w:val="34"/>
    <w:pPr>
      <w:adjustRightInd/>
      <w:ind w:firstLine="420" w:firstLineChars="200"/>
    </w:pPr>
    <w:rPr>
      <w:rFonts w:eastAsia="仿宋_GB2312"/>
      <w:sz w:val="28"/>
    </w:rPr>
  </w:style>
  <w:style w:type="paragraph" w:customStyle="1" w:styleId="638">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autoRedefine/>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autoRedefine/>
    <w:qFormat/>
    <w:uiPriority w:val="0"/>
    <w:rPr>
      <w:rFonts w:ascii="仿宋_GB2312" w:eastAsia="仿宋_GB2312"/>
      <w:b/>
      <w:sz w:val="32"/>
      <w:szCs w:val="20"/>
    </w:rPr>
  </w:style>
  <w:style w:type="paragraph" w:customStyle="1" w:styleId="648">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autoRedefine/>
    <w:qFormat/>
    <w:uiPriority w:val="0"/>
    <w:pPr>
      <w:adjustRightInd/>
      <w:ind w:firstLine="200" w:firstLineChars="200"/>
    </w:pPr>
    <w:rPr>
      <w:rFonts w:ascii="Tahoma" w:hAnsi="Tahoma"/>
      <w:sz w:val="24"/>
      <w:szCs w:val="20"/>
    </w:rPr>
  </w:style>
  <w:style w:type="paragraph" w:customStyle="1" w:styleId="650">
    <w:name w:val="a1"/>
    <w:basedOn w:val="1"/>
    <w:autoRedefine/>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autoRedefine/>
    <w:qFormat/>
    <w:uiPriority w:val="0"/>
    <w:pPr>
      <w:spacing w:after="156" w:afterLines="50"/>
      <w:jc w:val="left"/>
      <w:outlineLvl w:val="3"/>
    </w:pPr>
    <w:rPr>
      <w:sz w:val="24"/>
      <w:szCs w:val="24"/>
    </w:rPr>
  </w:style>
  <w:style w:type="paragraph" w:customStyle="1" w:styleId="652">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autoRedefine/>
    <w:qFormat/>
    <w:uiPriority w:val="0"/>
    <w:pPr>
      <w:adjustRightInd/>
    </w:pPr>
    <w:rPr>
      <w:rFonts w:ascii="Tahoma" w:hAnsi="Tahoma"/>
      <w:sz w:val="24"/>
      <w:szCs w:val="20"/>
    </w:rPr>
  </w:style>
  <w:style w:type="paragraph" w:customStyle="1" w:styleId="657">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autoRedefine/>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autoRedefine/>
    <w:qFormat/>
    <w:uiPriority w:val="0"/>
    <w:pPr>
      <w:tabs>
        <w:tab w:val="left" w:pos="1260"/>
        <w:tab w:val="left" w:pos="1680"/>
        <w:tab w:val="left" w:pos="2100"/>
      </w:tabs>
      <w:ind w:left="0"/>
      <w:outlineLvl w:val="3"/>
    </w:pPr>
  </w:style>
  <w:style w:type="paragraph" w:customStyle="1" w:styleId="660">
    <w:name w:val="一级条标题"/>
    <w:basedOn w:val="661"/>
    <w:next w:val="643"/>
    <w:autoRedefine/>
    <w:qFormat/>
    <w:uiPriority w:val="0"/>
    <w:pPr>
      <w:tabs>
        <w:tab w:val="left" w:pos="1260"/>
        <w:tab w:val="left" w:pos="1680"/>
      </w:tabs>
      <w:spacing w:before="0" w:after="0"/>
      <w:ind w:left="1680"/>
      <w:outlineLvl w:val="2"/>
    </w:pPr>
  </w:style>
  <w:style w:type="paragraph" w:customStyle="1" w:styleId="661">
    <w:name w:val="章标题"/>
    <w:next w:val="643"/>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autoRedefine/>
    <w:qFormat/>
    <w:uiPriority w:val="0"/>
    <w:pPr>
      <w:tabs>
        <w:tab w:val="left" w:pos="840"/>
      </w:tabs>
      <w:spacing w:after="0"/>
      <w:ind w:left="900"/>
    </w:pPr>
  </w:style>
  <w:style w:type="paragraph" w:customStyle="1" w:styleId="669">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autoRedefine/>
    <w:qFormat/>
    <w:uiPriority w:val="6"/>
    <w:pPr>
      <w:widowControl/>
      <w:adjustRightInd/>
      <w:ind w:left="720" w:hanging="720"/>
    </w:pPr>
    <w:rPr>
      <w:color w:val="000000"/>
      <w:kern w:val="0"/>
      <w:sz w:val="24"/>
      <w:szCs w:val="20"/>
      <w:lang w:val="en-GB"/>
    </w:rPr>
  </w:style>
  <w:style w:type="paragraph" w:customStyle="1" w:styleId="671">
    <w:name w:val="表1"/>
    <w:basedOn w:val="1"/>
    <w:autoRedefine/>
    <w:qFormat/>
    <w:uiPriority w:val="0"/>
    <w:pPr>
      <w:tabs>
        <w:tab w:val="left" w:pos="703"/>
      </w:tabs>
      <w:adjustRightInd/>
      <w:spacing w:line="360" w:lineRule="auto"/>
      <w:ind w:left="703"/>
      <w:jc w:val="center"/>
    </w:pPr>
  </w:style>
  <w:style w:type="paragraph" w:customStyle="1" w:styleId="672">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autoRedefine/>
    <w:qFormat/>
    <w:uiPriority w:val="0"/>
    <w:pPr>
      <w:jc w:val="left"/>
      <w:outlineLvl w:val="1"/>
    </w:pPr>
    <w:rPr>
      <w:rFonts w:ascii="Times New Roman" w:hAnsi="Times New Roman" w:eastAsia="仿宋"/>
      <w:sz w:val="30"/>
    </w:rPr>
  </w:style>
  <w:style w:type="paragraph" w:customStyle="1" w:styleId="676">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autoRedefine/>
    <w:qFormat/>
    <w:uiPriority w:val="0"/>
    <w:pPr>
      <w:tabs>
        <w:tab w:val="left" w:pos="840"/>
      </w:tabs>
      <w:adjustRightInd/>
      <w:ind w:left="840" w:hanging="420"/>
    </w:pPr>
  </w:style>
  <w:style w:type="paragraph" w:customStyle="1" w:styleId="682">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8"/>
    <w:autoRedefine/>
    <w:qFormat/>
    <w:uiPriority w:val="0"/>
    <w:pPr>
      <w:tabs>
        <w:tab w:val="left" w:pos="2100"/>
      </w:tabs>
      <w:adjustRightInd/>
      <w:ind w:left="2100" w:hanging="420"/>
    </w:pPr>
    <w:rPr>
      <w:lang w:val="en-US"/>
    </w:rPr>
  </w:style>
  <w:style w:type="paragraph" w:customStyle="1" w:styleId="690">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autoRedefine/>
    <w:qFormat/>
    <w:uiPriority w:val="6"/>
    <w:pPr>
      <w:spacing w:line="360" w:lineRule="auto"/>
    </w:pPr>
    <w:rPr>
      <w:szCs w:val="20"/>
    </w:rPr>
  </w:style>
  <w:style w:type="paragraph" w:customStyle="1" w:styleId="693">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5"/>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9">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autoRedefine/>
    <w:qFormat/>
    <w:uiPriority w:val="0"/>
    <w:pPr>
      <w:adjustRightInd/>
      <w:spacing w:line="360" w:lineRule="auto"/>
      <w:jc w:val="center"/>
    </w:pPr>
    <w:rPr>
      <w:sz w:val="24"/>
    </w:rPr>
  </w:style>
  <w:style w:type="paragraph" w:customStyle="1" w:styleId="703">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autoRedefine/>
    <w:qFormat/>
    <w:uiPriority w:val="6"/>
    <w:rPr>
      <w:rFonts w:ascii="仿宋_GB2312" w:eastAsia="仿宋_GB2312"/>
      <w:b/>
      <w:sz w:val="32"/>
      <w:szCs w:val="32"/>
    </w:rPr>
  </w:style>
  <w:style w:type="paragraph" w:customStyle="1" w:styleId="705">
    <w:name w:val="正文缩进1"/>
    <w:basedOn w:val="1"/>
    <w:next w:val="7"/>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autoRedefine/>
    <w:qFormat/>
    <w:uiPriority w:val="0"/>
    <w:pPr>
      <w:widowControl/>
      <w:adjustRightInd/>
      <w:spacing w:after="160" w:line="240" w:lineRule="exact"/>
      <w:jc w:val="left"/>
    </w:pPr>
    <w:rPr>
      <w:szCs w:val="20"/>
    </w:rPr>
  </w:style>
  <w:style w:type="paragraph" w:customStyle="1" w:styleId="708">
    <w:name w:val="Char Char1121"/>
    <w:basedOn w:val="1"/>
    <w:autoRedefine/>
    <w:qFormat/>
    <w:uiPriority w:val="0"/>
    <w:pPr>
      <w:spacing w:line="360" w:lineRule="auto"/>
    </w:pPr>
    <w:rPr>
      <w:szCs w:val="20"/>
    </w:rPr>
  </w:style>
  <w:style w:type="paragraph" w:customStyle="1" w:styleId="709">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autoRedefine/>
    <w:qFormat/>
    <w:uiPriority w:val="0"/>
    <w:rPr>
      <w:rFonts w:ascii="Times New Roman" w:hAnsi="Times New Roman" w:eastAsia="宋体" w:cs="Times New Roman"/>
      <w:lang w:val="en-US" w:eastAsia="en-US" w:bidi="ar-SA"/>
    </w:rPr>
  </w:style>
  <w:style w:type="paragraph" w:customStyle="1" w:styleId="712">
    <w:name w:val="带编号样式"/>
    <w:basedOn w:val="630"/>
    <w:autoRedefine/>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6">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autoRedefine/>
    <w:qFormat/>
    <w:uiPriority w:val="0"/>
    <w:pPr>
      <w:spacing w:line="240" w:lineRule="atLeast"/>
      <w:ind w:left="420" w:firstLine="420"/>
    </w:pPr>
    <w:rPr>
      <w:sz w:val="24"/>
    </w:rPr>
  </w:style>
  <w:style w:type="paragraph" w:customStyle="1" w:styleId="719">
    <w:name w:val="WW-正文文字缩进 2"/>
    <w:basedOn w:val="1"/>
    <w:autoRedefine/>
    <w:qFormat/>
    <w:uiPriority w:val="0"/>
    <w:pPr>
      <w:suppressAutoHyphens/>
      <w:adjustRightInd/>
      <w:ind w:firstLine="420"/>
    </w:pPr>
    <w:rPr>
      <w:kern w:val="1"/>
      <w:szCs w:val="20"/>
    </w:rPr>
  </w:style>
  <w:style w:type="paragraph" w:customStyle="1" w:styleId="720">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autoRedefine/>
    <w:qFormat/>
    <w:uiPriority w:val="0"/>
    <w:pPr>
      <w:adjustRightInd/>
      <w:spacing w:line="400" w:lineRule="exact"/>
      <w:ind w:firstLine="200" w:firstLineChars="200"/>
    </w:pPr>
    <w:rPr>
      <w:rFonts w:ascii="Arial" w:hAnsi="Arial"/>
    </w:rPr>
  </w:style>
  <w:style w:type="paragraph" w:customStyle="1" w:styleId="723">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8"/>
    <w:autoRedefine/>
    <w:qFormat/>
    <w:uiPriority w:val="0"/>
    <w:pPr>
      <w:spacing w:after="120" w:line="480" w:lineRule="auto"/>
      <w:ind w:left="420" w:leftChars="200"/>
    </w:pPr>
    <w:rPr>
      <w:sz w:val="24"/>
      <w:szCs w:val="20"/>
    </w:rPr>
  </w:style>
  <w:style w:type="paragraph" w:customStyle="1" w:styleId="726">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30">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autoRedefine/>
    <w:qFormat/>
    <w:uiPriority w:val="0"/>
    <w:rPr>
      <w:rFonts w:ascii="仿宋_GB2312" w:eastAsia="仿宋_GB2312"/>
      <w:b/>
      <w:sz w:val="32"/>
      <w:szCs w:val="20"/>
    </w:rPr>
  </w:style>
  <w:style w:type="paragraph" w:customStyle="1" w:styleId="735">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autoRedefine/>
    <w:qFormat/>
    <w:uiPriority w:val="0"/>
    <w:rPr>
      <w:rFonts w:ascii="仿宋_GB2312" w:eastAsia="仿宋_GB2312"/>
      <w:b/>
      <w:sz w:val="32"/>
      <w:szCs w:val="32"/>
    </w:rPr>
  </w:style>
  <w:style w:type="paragraph" w:customStyle="1" w:styleId="739">
    <w:name w:val="Char3 Char Char Char1"/>
    <w:basedOn w:val="1"/>
    <w:autoRedefine/>
    <w:qFormat/>
    <w:uiPriority w:val="6"/>
    <w:pPr>
      <w:widowControl/>
      <w:adjustRightInd/>
      <w:spacing w:after="160" w:line="240" w:lineRule="exact"/>
      <w:jc w:val="left"/>
    </w:pPr>
    <w:rPr>
      <w:szCs w:val="20"/>
    </w:rPr>
  </w:style>
  <w:style w:type="paragraph" w:customStyle="1" w:styleId="740">
    <w:name w:val="Char1 Char Char Char21"/>
    <w:basedOn w:val="1"/>
    <w:autoRedefine/>
    <w:qFormat/>
    <w:uiPriority w:val="0"/>
    <w:rPr>
      <w:rFonts w:ascii="Tahoma" w:hAnsi="Tahoma"/>
      <w:sz w:val="24"/>
      <w:szCs w:val="20"/>
    </w:rPr>
  </w:style>
  <w:style w:type="paragraph" w:customStyle="1" w:styleId="741">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autoRedefine/>
    <w:qFormat/>
    <w:uiPriority w:val="0"/>
    <w:pPr>
      <w:spacing w:line="360" w:lineRule="auto"/>
      <w:ind w:firstLine="200" w:firstLineChars="200"/>
    </w:pPr>
    <w:rPr>
      <w:sz w:val="24"/>
    </w:rPr>
  </w:style>
  <w:style w:type="paragraph" w:customStyle="1" w:styleId="743">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autoRedefine/>
    <w:qFormat/>
    <w:uiPriority w:val="0"/>
    <w:pPr>
      <w:adjustRightInd/>
      <w:ind w:firstLine="200" w:firstLineChars="200"/>
    </w:pPr>
    <w:rPr>
      <w:rFonts w:ascii="Tahoma" w:hAnsi="Tahoma"/>
      <w:sz w:val="24"/>
      <w:szCs w:val="20"/>
    </w:rPr>
  </w:style>
  <w:style w:type="paragraph" w:customStyle="1" w:styleId="749">
    <w:name w:val="_标题2"/>
    <w:basedOn w:val="716"/>
    <w:next w:val="716"/>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autoRedefine/>
    <w:qFormat/>
    <w:uiPriority w:val="0"/>
    <w:pPr>
      <w:adjustRightInd/>
      <w:spacing w:line="360" w:lineRule="auto"/>
    </w:pPr>
    <w:rPr>
      <w:rFonts w:ascii="宋体" w:hAnsi="宋体"/>
      <w:szCs w:val="20"/>
    </w:rPr>
  </w:style>
  <w:style w:type="paragraph" w:customStyle="1" w:styleId="755">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autoRedefine/>
    <w:qFormat/>
    <w:uiPriority w:val="0"/>
    <w:pPr>
      <w:adjustRightInd/>
    </w:pPr>
    <w:rPr>
      <w:rFonts w:ascii="Tahoma" w:hAnsi="Tahoma"/>
      <w:sz w:val="24"/>
    </w:rPr>
  </w:style>
  <w:style w:type="paragraph" w:customStyle="1" w:styleId="757">
    <w:name w:val="Char Char Char Char11"/>
    <w:basedOn w:val="1"/>
    <w:autoRedefine/>
    <w:qFormat/>
    <w:uiPriority w:val="0"/>
    <w:rPr>
      <w:rFonts w:ascii="Tahoma" w:hAnsi="Tahoma"/>
      <w:sz w:val="24"/>
      <w:szCs w:val="20"/>
    </w:rPr>
  </w:style>
  <w:style w:type="paragraph" w:customStyle="1" w:styleId="758">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autoRedefine/>
    <w:qFormat/>
    <w:uiPriority w:val="0"/>
    <w:rPr>
      <w:rFonts w:ascii="Tahoma" w:hAnsi="Tahoma"/>
      <w:sz w:val="24"/>
      <w:szCs w:val="20"/>
    </w:rPr>
  </w:style>
  <w:style w:type="paragraph" w:customStyle="1" w:styleId="760">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autoRedefine/>
    <w:qFormat/>
    <w:uiPriority w:val="0"/>
    <w:pPr>
      <w:adjustRightInd/>
    </w:pPr>
    <w:rPr>
      <w:szCs w:val="20"/>
    </w:rPr>
  </w:style>
  <w:style w:type="paragraph" w:customStyle="1" w:styleId="762">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autoRedefine/>
    <w:qFormat/>
    <w:uiPriority w:val="34"/>
    <w:pPr>
      <w:adjustRightInd/>
      <w:ind w:firstLine="420" w:firstLineChars="200"/>
    </w:pPr>
    <w:rPr>
      <w:rFonts w:eastAsia="仿宋_GB2312"/>
      <w:sz w:val="28"/>
    </w:rPr>
  </w:style>
  <w:style w:type="paragraph" w:customStyle="1" w:styleId="765">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autoRedefine/>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autoRedefine/>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5"/>
    <w:autoRedefine/>
    <w:qFormat/>
    <w:uiPriority w:val="0"/>
    <w:pPr>
      <w:autoSpaceDE/>
      <w:autoSpaceDN/>
      <w:snapToGrid w:val="0"/>
      <w:ind w:firstLine="480" w:firstLineChars="200"/>
    </w:pPr>
    <w:rPr>
      <w:rFonts w:ascii="Times New Roman"/>
      <w:szCs w:val="24"/>
      <w:lang w:val="en-US"/>
    </w:rPr>
  </w:style>
  <w:style w:type="paragraph" w:customStyle="1" w:styleId="773">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autoRedefine/>
    <w:qFormat/>
    <w:uiPriority w:val="0"/>
    <w:rPr>
      <w:rFonts w:ascii="宋体" w:hAnsi="Times New Roman" w:eastAsia="宋体" w:cs="Times New Roman"/>
      <w:kern w:val="2"/>
      <w:lang w:val="en-US" w:eastAsia="zh-CN" w:bidi="ar-SA"/>
    </w:rPr>
  </w:style>
  <w:style w:type="paragraph" w:customStyle="1" w:styleId="775">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autoRedefine/>
    <w:qFormat/>
    <w:uiPriority w:val="0"/>
    <w:pPr>
      <w:tabs>
        <w:tab w:val="left" w:pos="360"/>
      </w:tabs>
    </w:pPr>
    <w:rPr>
      <w:sz w:val="24"/>
      <w:szCs w:val="20"/>
    </w:rPr>
  </w:style>
  <w:style w:type="paragraph" w:customStyle="1" w:styleId="779">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7"/>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2"/>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p0"/>
    <w:basedOn w:val="1"/>
    <w:autoRedefine/>
    <w:qFormat/>
    <w:uiPriority w:val="0"/>
    <w:pPr>
      <w:widowControl/>
      <w:adjustRightInd/>
    </w:pPr>
    <w:rPr>
      <w:kern w:val="0"/>
      <w:szCs w:val="21"/>
    </w:rPr>
  </w:style>
  <w:style w:type="paragraph" w:customStyle="1" w:styleId="788">
    <w:name w:val="Char6"/>
    <w:basedOn w:val="1"/>
    <w:autoRedefine/>
    <w:qFormat/>
    <w:uiPriority w:val="0"/>
    <w:rPr>
      <w:rFonts w:ascii="仿宋_GB2312" w:eastAsia="仿宋_GB2312"/>
      <w:b/>
      <w:sz w:val="32"/>
      <w:szCs w:val="32"/>
    </w:rPr>
  </w:style>
  <w:style w:type="paragraph" w:customStyle="1" w:styleId="789">
    <w:name w:val="Char111"/>
    <w:basedOn w:val="1"/>
    <w:autoRedefine/>
    <w:qFormat/>
    <w:uiPriority w:val="0"/>
    <w:rPr>
      <w:rFonts w:ascii="仿宋_GB2312" w:eastAsia="仿宋_GB2312"/>
      <w:b/>
      <w:sz w:val="32"/>
      <w:szCs w:val="32"/>
    </w:rPr>
  </w:style>
  <w:style w:type="paragraph" w:customStyle="1" w:styleId="790">
    <w:name w:val="标题3"/>
    <w:basedOn w:val="5"/>
    <w:next w:val="54"/>
    <w:autoRedefine/>
    <w:qFormat/>
    <w:uiPriority w:val="0"/>
    <w:pPr>
      <w:tabs>
        <w:tab w:val="clear" w:pos="900"/>
      </w:tabs>
      <w:spacing w:after="0" w:line="360" w:lineRule="auto"/>
    </w:pPr>
    <w:rPr>
      <w:rFonts w:ascii="仿宋" w:hAnsi="仿宋" w:eastAsia="仿宋" w:cs="仿宋"/>
    </w:rPr>
  </w:style>
  <w:style w:type="paragraph" w:customStyle="1" w:styleId="791">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autoRedefine/>
    <w:qFormat/>
    <w:uiPriority w:val="0"/>
    <w:pPr>
      <w:adjustRightInd/>
      <w:ind w:firstLine="200" w:firstLineChars="200"/>
    </w:pPr>
    <w:rPr>
      <w:rFonts w:ascii="Tahoma" w:hAnsi="Tahoma"/>
      <w:sz w:val="24"/>
      <w:szCs w:val="20"/>
    </w:rPr>
  </w:style>
  <w:style w:type="paragraph" w:customStyle="1" w:styleId="794">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autoRedefine/>
    <w:qFormat/>
    <w:uiPriority w:val="0"/>
    <w:rPr>
      <w:rFonts w:ascii="仿宋_GB2312" w:eastAsia="仿宋_GB2312"/>
      <w:b/>
      <w:sz w:val="32"/>
      <w:szCs w:val="32"/>
    </w:rPr>
  </w:style>
  <w:style w:type="paragraph" w:customStyle="1" w:styleId="797">
    <w:name w:val="五级条标题"/>
    <w:basedOn w:val="798"/>
    <w:next w:val="643"/>
    <w:autoRedefine/>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8"/>
    <w:next w:val="643"/>
    <w:autoRedefine/>
    <w:qFormat/>
    <w:uiPriority w:val="0"/>
    <w:pPr>
      <w:tabs>
        <w:tab w:val="clear" w:pos="2520"/>
      </w:tabs>
      <w:ind w:left="2940"/>
      <w:outlineLvl w:val="5"/>
    </w:pPr>
  </w:style>
  <w:style w:type="paragraph" w:customStyle="1" w:styleId="799">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autoRedefine/>
    <w:qFormat/>
    <w:uiPriority w:val="0"/>
    <w:rPr>
      <w:rFonts w:ascii="仿宋_GB2312" w:eastAsia="仿宋_GB2312"/>
      <w:b/>
      <w:sz w:val="32"/>
      <w:szCs w:val="32"/>
    </w:rPr>
  </w:style>
  <w:style w:type="paragraph" w:customStyle="1" w:styleId="801">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3">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4">
    <w:name w:val="单元格左对齐"/>
    <w:basedOn w:val="1"/>
    <w:autoRedefine/>
    <w:qFormat/>
    <w:uiPriority w:val="0"/>
    <w:pPr>
      <w:adjustRightInd/>
      <w:spacing w:line="360" w:lineRule="auto"/>
    </w:pPr>
    <w:rPr>
      <w:sz w:val="24"/>
    </w:rPr>
  </w:style>
  <w:style w:type="paragraph" w:customStyle="1" w:styleId="805">
    <w:name w:val="正文主体"/>
    <w:basedOn w:val="627"/>
    <w:autoRedefine/>
    <w:qFormat/>
    <w:uiPriority w:val="0"/>
  </w:style>
  <w:style w:type="paragraph" w:customStyle="1" w:styleId="806">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autoRedefine/>
    <w:qFormat/>
    <w:uiPriority w:val="0"/>
    <w:pPr>
      <w:adjustRightInd/>
      <w:spacing w:line="360" w:lineRule="auto"/>
      <w:ind w:firstLine="480" w:firstLineChars="200"/>
    </w:pPr>
    <w:rPr>
      <w:sz w:val="24"/>
      <w:szCs w:val="20"/>
    </w:rPr>
  </w:style>
  <w:style w:type="paragraph" w:customStyle="1" w:styleId="810">
    <w:name w:val="P1"/>
    <w:basedOn w:val="1"/>
    <w:autoRedefine/>
    <w:qFormat/>
    <w:uiPriority w:val="0"/>
    <w:pPr>
      <w:adjustRightInd/>
      <w:spacing w:line="288" w:lineRule="auto"/>
      <w:ind w:firstLine="425" w:firstLineChars="200"/>
    </w:pPr>
  </w:style>
  <w:style w:type="paragraph" w:customStyle="1" w:styleId="811">
    <w:name w:val="列表内容"/>
    <w:basedOn w:val="1"/>
    <w:next w:val="1"/>
    <w:autoRedefine/>
    <w:qFormat/>
    <w:uiPriority w:val="0"/>
    <w:pPr>
      <w:widowControl/>
      <w:tabs>
        <w:tab w:val="left" w:pos="840"/>
      </w:tabs>
      <w:ind w:left="840" w:hanging="420"/>
      <w:jc w:val="left"/>
    </w:pPr>
    <w:rPr>
      <w:kern w:val="0"/>
      <w:sz w:val="18"/>
    </w:rPr>
  </w:style>
  <w:style w:type="paragraph" w:customStyle="1" w:styleId="812">
    <w:name w:val="Char Char11 Char Char Char1"/>
    <w:basedOn w:val="1"/>
    <w:autoRedefine/>
    <w:qFormat/>
    <w:uiPriority w:val="6"/>
    <w:pPr>
      <w:spacing w:line="360" w:lineRule="auto"/>
    </w:pPr>
    <w:rPr>
      <w:szCs w:val="20"/>
    </w:rPr>
  </w:style>
  <w:style w:type="paragraph" w:customStyle="1" w:styleId="813">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4">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5"/>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autoRedefine/>
    <w:qFormat/>
    <w:uiPriority w:val="0"/>
    <w:pPr>
      <w:spacing w:line="360" w:lineRule="auto"/>
    </w:pPr>
    <w:rPr>
      <w:szCs w:val="20"/>
    </w:rPr>
  </w:style>
  <w:style w:type="paragraph" w:customStyle="1" w:styleId="819">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autoRedefine/>
    <w:qFormat/>
    <w:uiPriority w:val="0"/>
    <w:rPr>
      <w:rFonts w:ascii="仿宋_GB2312" w:eastAsia="仿宋_GB2312"/>
      <w:b/>
      <w:sz w:val="32"/>
      <w:szCs w:val="32"/>
    </w:rPr>
  </w:style>
  <w:style w:type="paragraph" w:customStyle="1" w:styleId="822">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5">
    <w:name w:val="Char Char4 Char Char"/>
    <w:basedOn w:val="1"/>
    <w:autoRedefine/>
    <w:qFormat/>
    <w:uiPriority w:val="0"/>
    <w:pPr>
      <w:widowControl/>
      <w:adjustRightInd/>
      <w:spacing w:after="160" w:line="240" w:lineRule="exact"/>
      <w:jc w:val="left"/>
    </w:pPr>
  </w:style>
  <w:style w:type="paragraph" w:customStyle="1" w:styleId="826">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autoRedefine/>
    <w:qFormat/>
    <w:uiPriority w:val="0"/>
    <w:pPr>
      <w:spacing w:line="360" w:lineRule="auto"/>
    </w:pPr>
    <w:rPr>
      <w:szCs w:val="20"/>
    </w:rPr>
  </w:style>
  <w:style w:type="paragraph" w:customStyle="1" w:styleId="828">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8"/>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autoRedefine/>
    <w:qFormat/>
    <w:uiPriority w:val="0"/>
    <w:pPr>
      <w:adjustRightInd/>
      <w:ind w:firstLine="200" w:firstLineChars="200"/>
    </w:pPr>
    <w:rPr>
      <w:rFonts w:ascii="Tahoma" w:hAnsi="Tahoma"/>
      <w:sz w:val="24"/>
      <w:szCs w:val="20"/>
    </w:rPr>
  </w:style>
  <w:style w:type="paragraph" w:customStyle="1" w:styleId="835">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3"/>
    <w:autoRedefine/>
    <w:qFormat/>
    <w:uiPriority w:val="0"/>
    <w:pPr>
      <w:tabs>
        <w:tab w:val="left" w:pos="0"/>
      </w:tabs>
      <w:ind w:left="900" w:firstLine="0" w:firstLineChars="0"/>
    </w:pPr>
  </w:style>
  <w:style w:type="paragraph" w:customStyle="1" w:styleId="838">
    <w:name w:val="Bulleted List"/>
    <w:basedOn w:val="1"/>
    <w:autoRedefine/>
    <w:qFormat/>
    <w:uiPriority w:val="0"/>
    <w:pPr>
      <w:tabs>
        <w:tab w:val="left" w:pos="1260"/>
      </w:tabs>
      <w:adjustRightInd/>
      <w:ind w:left="1260" w:hanging="420"/>
    </w:pPr>
  </w:style>
  <w:style w:type="paragraph" w:customStyle="1" w:styleId="839">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autoRedefine/>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autoRedefine/>
    <w:qFormat/>
    <w:uiPriority w:val="0"/>
    <w:rPr>
      <w:rFonts w:ascii="Tahoma" w:hAnsi="Tahoma" w:cs="仿宋_GB2312"/>
      <w:sz w:val="24"/>
      <w:szCs w:val="20"/>
    </w:rPr>
  </w:style>
  <w:style w:type="paragraph" w:customStyle="1" w:styleId="842">
    <w:name w:val="正文1"/>
    <w:basedOn w:val="33"/>
    <w:next w:val="843"/>
    <w:autoRedefine/>
    <w:qFormat/>
    <w:uiPriority w:val="0"/>
    <w:pPr>
      <w:ind w:left="0" w:leftChars="0" w:firstLine="480" w:firstLineChars="200"/>
    </w:pPr>
    <w:rPr>
      <w:rFonts w:ascii="仿宋_GB2312" w:hAnsi="Courier New" w:eastAsia="仿宋_GB2312"/>
      <w:kern w:val="28"/>
      <w:sz w:val="24"/>
    </w:rPr>
  </w:style>
  <w:style w:type="paragraph" w:customStyle="1" w:styleId="843">
    <w:name w:val="自动更正"/>
    <w:next w:val="52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44">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5">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6">
    <w:name w:val="模板普通正文"/>
    <w:basedOn w:val="7"/>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7">
    <w:name w:val="Char Char1 Char Char Char Char Char Char"/>
    <w:basedOn w:val="1"/>
    <w:autoRedefine/>
    <w:qFormat/>
    <w:uiPriority w:val="0"/>
    <w:rPr>
      <w:rFonts w:ascii="仿宋_GB2312" w:eastAsia="仿宋_GB2312"/>
      <w:b/>
      <w:sz w:val="32"/>
      <w:szCs w:val="20"/>
    </w:rPr>
  </w:style>
  <w:style w:type="paragraph" w:customStyle="1" w:styleId="848">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9">
    <w:name w:val="Char Char1 Char Char Char Char Char Char2"/>
    <w:basedOn w:val="1"/>
    <w:autoRedefine/>
    <w:qFormat/>
    <w:uiPriority w:val="0"/>
    <w:rPr>
      <w:rFonts w:ascii="仿宋_GB2312" w:eastAsia="仿宋_GB2312"/>
      <w:b/>
      <w:sz w:val="32"/>
      <w:szCs w:val="20"/>
    </w:rPr>
  </w:style>
  <w:style w:type="paragraph" w:customStyle="1" w:styleId="850">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1">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2">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3">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4">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5">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6">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7">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8">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9">
    <w:name w:val="Char31"/>
    <w:basedOn w:val="1"/>
    <w:autoRedefine/>
    <w:qFormat/>
    <w:uiPriority w:val="0"/>
    <w:pPr>
      <w:adjustRightInd/>
    </w:pPr>
    <w:rPr>
      <w:rFonts w:ascii="仿宋_GB2312" w:eastAsia="仿宋_GB2312"/>
      <w:b/>
      <w:sz w:val="32"/>
      <w:szCs w:val="32"/>
    </w:rPr>
  </w:style>
  <w:style w:type="paragraph" w:customStyle="1" w:styleId="860">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61">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2">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3">
    <w:name w:val="Char Char1"/>
    <w:basedOn w:val="1"/>
    <w:autoRedefine/>
    <w:qFormat/>
    <w:uiPriority w:val="0"/>
    <w:pPr>
      <w:widowControl/>
      <w:spacing w:after="160" w:line="240" w:lineRule="exact"/>
      <w:jc w:val="left"/>
    </w:pPr>
    <w:rPr>
      <w:rFonts w:eastAsia="仿宋_GB2312"/>
      <w:sz w:val="28"/>
    </w:rPr>
  </w:style>
  <w:style w:type="paragraph" w:customStyle="1" w:styleId="864">
    <w:name w:val="Char21"/>
    <w:basedOn w:val="1"/>
    <w:autoRedefine/>
    <w:qFormat/>
    <w:uiPriority w:val="0"/>
    <w:pPr>
      <w:adjustRightInd/>
      <w:ind w:firstLine="200" w:firstLineChars="200"/>
    </w:pPr>
    <w:rPr>
      <w:rFonts w:ascii="仿宋_GB2312" w:eastAsia="仿宋_GB2312"/>
      <w:b/>
      <w:sz w:val="32"/>
      <w:szCs w:val="32"/>
    </w:rPr>
  </w:style>
  <w:style w:type="paragraph" w:customStyle="1" w:styleId="865">
    <w:name w:val="列表段落1"/>
    <w:basedOn w:val="1"/>
    <w:autoRedefine/>
    <w:qFormat/>
    <w:uiPriority w:val="34"/>
    <w:pPr>
      <w:adjustRightInd/>
      <w:ind w:right="238" w:firstLine="420"/>
    </w:pPr>
    <w:rPr>
      <w:rFonts w:ascii="Calibri" w:hAnsi="Calibri"/>
      <w:sz w:val="24"/>
    </w:rPr>
  </w:style>
  <w:style w:type="paragraph" w:customStyle="1" w:styleId="866">
    <w:name w:val="Char Char110"/>
    <w:basedOn w:val="1"/>
    <w:autoRedefine/>
    <w:qFormat/>
    <w:uiPriority w:val="6"/>
    <w:pPr>
      <w:spacing w:line="360" w:lineRule="auto"/>
    </w:pPr>
    <w:rPr>
      <w:rFonts w:ascii="Tahoma" w:hAnsi="Tahoma"/>
      <w:sz w:val="24"/>
      <w:szCs w:val="20"/>
    </w:rPr>
  </w:style>
  <w:style w:type="paragraph" w:customStyle="1" w:styleId="867">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8">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9">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0">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71">
    <w:name w:val="Char Char Char Char Char Char Char Char Char Char Char Char1 Char2"/>
    <w:basedOn w:val="1"/>
    <w:autoRedefine/>
    <w:qFormat/>
    <w:uiPriority w:val="0"/>
    <w:rPr>
      <w:rFonts w:ascii="Tahoma" w:hAnsi="Tahoma" w:cs="仿宋_GB2312"/>
      <w:sz w:val="24"/>
      <w:szCs w:val="20"/>
    </w:rPr>
  </w:style>
  <w:style w:type="paragraph" w:customStyle="1" w:styleId="872">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3">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4">
    <w:name w:val="样式 列表编号 + 段后: 0.5 行"/>
    <w:basedOn w:val="17"/>
    <w:autoRedefine/>
    <w:qFormat/>
    <w:uiPriority w:val="2"/>
    <w:pPr>
      <w:tabs>
        <w:tab w:val="clear" w:pos="390"/>
        <w:tab w:val="clear" w:pos="454"/>
      </w:tabs>
      <w:spacing w:after="0"/>
      <w:ind w:left="840" w:hanging="420"/>
      <w:contextualSpacing/>
    </w:pPr>
    <w:rPr>
      <w:rFonts w:cs="宋体"/>
    </w:rPr>
  </w:style>
  <w:style w:type="paragraph" w:customStyle="1" w:styleId="875">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6">
    <w:name w:val="_Style 12"/>
    <w:basedOn w:val="20"/>
    <w:autoRedefine/>
    <w:qFormat/>
    <w:uiPriority w:val="0"/>
    <w:pPr>
      <w:snapToGrid w:val="0"/>
      <w:spacing w:line="360" w:lineRule="auto"/>
    </w:pPr>
  </w:style>
  <w:style w:type="paragraph" w:customStyle="1" w:styleId="877">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8">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9">
    <w:name w:val="_Style 94"/>
    <w:basedOn w:val="1"/>
    <w:next w:val="262"/>
    <w:autoRedefine/>
    <w:qFormat/>
    <w:uiPriority w:val="34"/>
    <w:pPr>
      <w:adjustRightInd/>
      <w:spacing w:line="360" w:lineRule="auto"/>
      <w:ind w:firstLine="200" w:firstLineChars="200"/>
    </w:pPr>
    <w:rPr>
      <w:rFonts w:ascii="Calibri" w:hAnsi="Calibri"/>
      <w:sz w:val="28"/>
      <w:szCs w:val="20"/>
    </w:rPr>
  </w:style>
  <w:style w:type="paragraph" w:customStyle="1" w:styleId="880">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1">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2">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3">
    <w:name w:val="3级标题"/>
    <w:basedOn w:val="675"/>
    <w:autoRedefine/>
    <w:qFormat/>
    <w:uiPriority w:val="0"/>
    <w:pPr>
      <w:outlineLvl w:val="2"/>
    </w:pPr>
  </w:style>
  <w:style w:type="paragraph" w:customStyle="1" w:styleId="884">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5">
    <w:name w:val="Char1 Char Char Char3"/>
    <w:basedOn w:val="1"/>
    <w:autoRedefine/>
    <w:qFormat/>
    <w:uiPriority w:val="0"/>
    <w:pPr>
      <w:adjustRightInd/>
      <w:ind w:firstLine="200" w:firstLineChars="200"/>
    </w:pPr>
    <w:rPr>
      <w:rFonts w:ascii="Tahoma" w:hAnsi="Tahoma"/>
      <w:sz w:val="24"/>
      <w:szCs w:val="20"/>
    </w:rPr>
  </w:style>
  <w:style w:type="paragraph" w:customStyle="1" w:styleId="886">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7">
    <w:name w:val="MM Empty"/>
    <w:basedOn w:val="1"/>
    <w:autoRedefine/>
    <w:qFormat/>
    <w:uiPriority w:val="0"/>
    <w:pPr>
      <w:adjustRightInd/>
    </w:pPr>
  </w:style>
  <w:style w:type="paragraph" w:customStyle="1" w:styleId="888">
    <w:name w:val="Char24"/>
    <w:basedOn w:val="1"/>
    <w:autoRedefine/>
    <w:qFormat/>
    <w:uiPriority w:val="0"/>
    <w:rPr>
      <w:rFonts w:ascii="仿宋_GB2312" w:eastAsia="仿宋_GB2312"/>
      <w:b/>
      <w:sz w:val="32"/>
      <w:szCs w:val="32"/>
    </w:rPr>
  </w:style>
  <w:style w:type="paragraph" w:customStyle="1" w:styleId="889">
    <w:name w:val="正文箭头"/>
    <w:basedOn w:val="541"/>
    <w:autoRedefine/>
    <w:qFormat/>
    <w:uiPriority w:val="0"/>
  </w:style>
  <w:style w:type="paragraph" w:customStyle="1" w:styleId="890">
    <w:name w:val="U_编号2"/>
    <w:basedOn w:val="1"/>
    <w:autoRedefine/>
    <w:qFormat/>
    <w:uiPriority w:val="0"/>
    <w:pPr>
      <w:tabs>
        <w:tab w:val="left" w:pos="785"/>
      </w:tabs>
      <w:adjustRightInd/>
      <w:spacing w:beforeLines="10" w:afterLines="10" w:line="300" w:lineRule="auto"/>
    </w:pPr>
    <w:rPr>
      <w:sz w:val="24"/>
    </w:rPr>
  </w:style>
  <w:style w:type="paragraph" w:customStyle="1" w:styleId="891">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2">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3">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4">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5">
    <w:name w:val="_Style 1"/>
    <w:basedOn w:val="1"/>
    <w:autoRedefine/>
    <w:qFormat/>
    <w:uiPriority w:val="34"/>
    <w:pPr>
      <w:adjustRightInd/>
      <w:ind w:firstLine="420" w:firstLineChars="200"/>
    </w:pPr>
    <w:rPr>
      <w:rFonts w:eastAsia="仿宋_GB2312"/>
      <w:sz w:val="28"/>
    </w:rPr>
  </w:style>
  <w:style w:type="paragraph" w:customStyle="1" w:styleId="896">
    <w:name w:val="表格 内容"/>
    <w:basedOn w:val="732"/>
    <w:autoRedefine/>
    <w:qFormat/>
    <w:uiPriority w:val="0"/>
    <w:rPr>
      <w:b w:val="0"/>
      <w:sz w:val="20"/>
    </w:rPr>
  </w:style>
  <w:style w:type="paragraph" w:customStyle="1" w:styleId="897">
    <w:name w:val="正文首行缩进1"/>
    <w:basedOn w:val="25"/>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8">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9">
    <w:name w:val="数字标题5"/>
    <w:basedOn w:val="9"/>
    <w:next w:val="1"/>
    <w:autoRedefine/>
    <w:qFormat/>
    <w:uiPriority w:val="0"/>
    <w:pPr>
      <w:tabs>
        <w:tab w:val="left" w:pos="1080"/>
      </w:tabs>
      <w:ind w:left="1080" w:hanging="1080"/>
    </w:pPr>
  </w:style>
  <w:style w:type="paragraph" w:customStyle="1" w:styleId="900">
    <w:name w:val="数字标题1"/>
    <w:basedOn w:val="3"/>
    <w:next w:val="1"/>
    <w:autoRedefine/>
    <w:qFormat/>
    <w:uiPriority w:val="0"/>
    <w:pPr>
      <w:tabs>
        <w:tab w:val="left" w:pos="480"/>
      </w:tabs>
      <w:ind w:left="480" w:hanging="480"/>
    </w:pPr>
  </w:style>
  <w:style w:type="paragraph" w:customStyle="1" w:styleId="901">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2">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3">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4">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5">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6">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7">
    <w:name w:val="0"/>
    <w:basedOn w:val="1"/>
    <w:autoRedefine/>
    <w:qFormat/>
    <w:uiPriority w:val="0"/>
    <w:pPr>
      <w:widowControl/>
    </w:pPr>
    <w:rPr>
      <w:kern w:val="0"/>
      <w:sz w:val="24"/>
      <w:szCs w:val="20"/>
    </w:rPr>
  </w:style>
  <w:style w:type="paragraph" w:customStyle="1" w:styleId="908">
    <w:name w:val="Char Char113"/>
    <w:basedOn w:val="1"/>
    <w:autoRedefine/>
    <w:qFormat/>
    <w:uiPriority w:val="0"/>
    <w:pPr>
      <w:widowControl/>
      <w:spacing w:after="160" w:line="240" w:lineRule="exact"/>
      <w:jc w:val="left"/>
    </w:pPr>
    <w:rPr>
      <w:rFonts w:eastAsia="仿宋_GB2312"/>
      <w:sz w:val="28"/>
    </w:rPr>
  </w:style>
  <w:style w:type="paragraph" w:customStyle="1" w:styleId="909">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10">
    <w:name w:val="_Style 8"/>
    <w:basedOn w:val="1"/>
    <w:autoRedefine/>
    <w:qFormat/>
    <w:uiPriority w:val="34"/>
    <w:pPr>
      <w:adjustRightInd/>
      <w:ind w:firstLine="420" w:firstLineChars="200"/>
    </w:pPr>
    <w:rPr>
      <w:rFonts w:eastAsia="仿宋_GB2312"/>
      <w:sz w:val="28"/>
    </w:rPr>
  </w:style>
  <w:style w:type="paragraph" w:customStyle="1" w:styleId="911">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2">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3">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4">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5">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6">
    <w:name w:val="Char Char112"/>
    <w:basedOn w:val="1"/>
    <w:autoRedefine/>
    <w:qFormat/>
    <w:uiPriority w:val="6"/>
    <w:pPr>
      <w:widowControl/>
      <w:spacing w:after="160" w:line="240" w:lineRule="exact"/>
      <w:jc w:val="left"/>
    </w:pPr>
    <w:rPr>
      <w:rFonts w:eastAsia="仿宋_GB2312"/>
      <w:sz w:val="28"/>
    </w:rPr>
  </w:style>
  <w:style w:type="paragraph" w:customStyle="1" w:styleId="917">
    <w:name w:val="正文 图"/>
    <w:basedOn w:val="446"/>
    <w:autoRedefine/>
    <w:qFormat/>
    <w:uiPriority w:val="0"/>
    <w:pPr>
      <w:adjustRightInd/>
      <w:spacing w:before="0"/>
      <w:ind w:firstLine="0"/>
      <w:jc w:val="center"/>
    </w:pPr>
    <w:rPr>
      <w:rFonts w:ascii="微软雅黑" w:hAnsi="微软雅黑"/>
    </w:rPr>
  </w:style>
  <w:style w:type="paragraph" w:customStyle="1" w:styleId="918">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9">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0">
    <w:name w:val="Thf"/>
    <w:basedOn w:val="565"/>
    <w:autoRedefine/>
    <w:qFormat/>
    <w:uiPriority w:val="0"/>
    <w:pPr>
      <w:ind w:left="0"/>
    </w:pPr>
  </w:style>
  <w:style w:type="paragraph" w:customStyle="1" w:styleId="921">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3">
    <w:name w:val="注释"/>
    <w:basedOn w:val="1"/>
    <w:autoRedefine/>
    <w:qFormat/>
    <w:uiPriority w:val="0"/>
    <w:pPr>
      <w:adjustRightInd/>
      <w:spacing w:line="360" w:lineRule="auto"/>
      <w:ind w:firstLine="480"/>
    </w:pPr>
    <w:rPr>
      <w:sz w:val="24"/>
    </w:rPr>
  </w:style>
  <w:style w:type="table" w:customStyle="1" w:styleId="924">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0">
    <w:name w:val="列出段落111"/>
    <w:basedOn w:val="1"/>
    <w:autoRedefine/>
    <w:qFormat/>
    <w:uiPriority w:val="34"/>
    <w:pPr>
      <w:ind w:firstLine="420" w:firstLineChars="200"/>
    </w:pPr>
  </w:style>
  <w:style w:type="character" w:customStyle="1" w:styleId="931">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2">
    <w:name w:val="正文缩进 字符1"/>
    <w:autoRedefine/>
    <w:qFormat/>
    <w:uiPriority w:val="0"/>
    <w:rPr>
      <w:rFonts w:ascii="宋体" w:eastAsia="宋体"/>
      <w:snapToGrid w:val="0"/>
      <w:color w:val="000000"/>
      <w:kern w:val="28"/>
      <w:sz w:val="28"/>
      <w:lang w:val="en-US" w:eastAsia="zh-CN" w:bidi="ar-SA"/>
    </w:rPr>
  </w:style>
  <w:style w:type="character" w:customStyle="1" w:styleId="933">
    <w:name w:val="页脚 字符1"/>
    <w:autoRedefine/>
    <w:qFormat/>
    <w:uiPriority w:val="99"/>
    <w:rPr>
      <w:kern w:val="2"/>
      <w:sz w:val="18"/>
      <w:szCs w:val="18"/>
    </w:rPr>
  </w:style>
  <w:style w:type="character" w:customStyle="1" w:styleId="934">
    <w:name w:val="页眉 字符1"/>
    <w:autoRedefine/>
    <w:qFormat/>
    <w:uiPriority w:val="99"/>
    <w:rPr>
      <w:kern w:val="2"/>
      <w:sz w:val="18"/>
      <w:szCs w:val="18"/>
    </w:rPr>
  </w:style>
  <w:style w:type="character" w:customStyle="1" w:styleId="935">
    <w:name w:val="尾注文本 Char"/>
    <w:link w:val="39"/>
    <w:autoRedefine/>
    <w:qFormat/>
    <w:uiPriority w:val="0"/>
    <w:rPr>
      <w:kern w:val="2"/>
      <w:sz w:val="21"/>
      <w:szCs w:val="24"/>
      <w:lang w:val="zh-CN"/>
    </w:rPr>
  </w:style>
  <w:style w:type="character" w:customStyle="1" w:styleId="936">
    <w:name w:val="无间隔 Char"/>
    <w:link w:val="486"/>
    <w:autoRedefine/>
    <w:qFormat/>
    <w:uiPriority w:val="99"/>
    <w:rPr>
      <w:kern w:val="2"/>
      <w:sz w:val="21"/>
      <w:szCs w:val="22"/>
    </w:rPr>
  </w:style>
  <w:style w:type="character" w:customStyle="1" w:styleId="937">
    <w:name w:val="标准文本 Char Char"/>
    <w:link w:val="938"/>
    <w:autoRedefine/>
    <w:qFormat/>
    <w:uiPriority w:val="0"/>
    <w:rPr>
      <w:rFonts w:cs="宋体"/>
      <w:kern w:val="2"/>
      <w:sz w:val="24"/>
    </w:rPr>
  </w:style>
  <w:style w:type="paragraph" w:customStyle="1" w:styleId="938">
    <w:name w:val="标准文本"/>
    <w:basedOn w:val="1"/>
    <w:link w:val="937"/>
    <w:autoRedefine/>
    <w:qFormat/>
    <w:uiPriority w:val="0"/>
    <w:pPr>
      <w:adjustRightInd/>
      <w:spacing w:line="360" w:lineRule="auto"/>
      <w:ind w:firstLine="480" w:firstLineChars="200"/>
    </w:pPr>
    <w:rPr>
      <w:rFonts w:cs="宋体"/>
      <w:sz w:val="24"/>
      <w:szCs w:val="20"/>
    </w:rPr>
  </w:style>
  <w:style w:type="character" w:customStyle="1" w:styleId="939">
    <w:name w:val="Char Char213"/>
    <w:autoRedefine/>
    <w:qFormat/>
    <w:uiPriority w:val="0"/>
    <w:rPr>
      <w:rFonts w:eastAsia="Century Gothic"/>
      <w:b/>
      <w:bCs/>
      <w:kern w:val="44"/>
      <w:sz w:val="32"/>
      <w:szCs w:val="44"/>
      <w:lang w:val="en-US" w:eastAsia="zh-CN" w:bidi="ar-SA"/>
    </w:rPr>
  </w:style>
  <w:style w:type="character" w:customStyle="1" w:styleId="940">
    <w:name w:val="apple-style-span"/>
    <w:autoRedefine/>
    <w:qFormat/>
    <w:uiPriority w:val="0"/>
    <w:rPr>
      <w:rFonts w:ascii="Arial" w:hAnsi="Arial" w:eastAsia="黑体" w:cs="Arial"/>
      <w:snapToGrid w:val="0"/>
      <w:kern w:val="0"/>
      <w:szCs w:val="21"/>
    </w:rPr>
  </w:style>
  <w:style w:type="character" w:customStyle="1" w:styleId="941">
    <w:name w:val="15"/>
    <w:autoRedefine/>
    <w:qFormat/>
    <w:uiPriority w:val="0"/>
    <w:rPr>
      <w:rFonts w:hint="default" w:ascii="Calibri" w:hAnsi="Calibri"/>
      <w:color w:val="0000FF"/>
      <w:u w:val="single"/>
    </w:rPr>
  </w:style>
  <w:style w:type="character" w:customStyle="1" w:styleId="942">
    <w:name w:val="16"/>
    <w:autoRedefine/>
    <w:qFormat/>
    <w:uiPriority w:val="0"/>
    <w:rPr>
      <w:rFonts w:hint="eastAsia" w:ascii="宋体" w:hAnsi="宋体" w:eastAsia="宋体"/>
      <w:color w:val="000000"/>
      <w:sz w:val="20"/>
      <w:szCs w:val="20"/>
    </w:rPr>
  </w:style>
  <w:style w:type="character" w:customStyle="1" w:styleId="943">
    <w:name w:val="edui-unclickable"/>
    <w:autoRedefine/>
    <w:qFormat/>
    <w:uiPriority w:val="0"/>
    <w:rPr>
      <w:color w:val="808080"/>
    </w:rPr>
  </w:style>
  <w:style w:type="character" w:customStyle="1" w:styleId="944">
    <w:name w:val="tpc_content1"/>
    <w:autoRedefine/>
    <w:qFormat/>
    <w:uiPriority w:val="0"/>
    <w:rPr>
      <w:sz w:val="20"/>
      <w:szCs w:val="20"/>
    </w:rPr>
  </w:style>
  <w:style w:type="character" w:customStyle="1" w:styleId="945">
    <w:name w:val="正文文本缩进 字符"/>
    <w:autoRedefine/>
    <w:qFormat/>
    <w:uiPriority w:val="0"/>
    <w:rPr>
      <w:rFonts w:ascii="Century Gothic" w:hAnsi="Century Gothic" w:eastAsia="Century Gothic"/>
      <w:kern w:val="2"/>
      <w:sz w:val="24"/>
      <w:lang w:val="en-US" w:eastAsia="zh-CN" w:bidi="ar-SA"/>
    </w:rPr>
  </w:style>
  <w:style w:type="character" w:customStyle="1" w:styleId="946">
    <w:name w:val="正文文本 2 字符"/>
    <w:autoRedefine/>
    <w:qFormat/>
    <w:uiPriority w:val="0"/>
    <w:rPr>
      <w:rFonts w:ascii="Arial" w:hAnsi="Arial" w:eastAsia="宋体"/>
      <w:kern w:val="2"/>
      <w:sz w:val="24"/>
      <w:szCs w:val="24"/>
      <w:lang w:val="en-US" w:eastAsia="zh-CN" w:bidi="ar-SA"/>
    </w:rPr>
  </w:style>
  <w:style w:type="character" w:customStyle="1" w:styleId="947">
    <w:name w:val="edui-clickable2"/>
    <w:autoRedefine/>
    <w:qFormat/>
    <w:uiPriority w:val="0"/>
    <w:rPr>
      <w:color w:val="0000FF"/>
      <w:u w:val="single"/>
    </w:rPr>
  </w:style>
  <w:style w:type="character" w:customStyle="1" w:styleId="948">
    <w:name w:val="style1"/>
    <w:autoRedefine/>
    <w:qFormat/>
    <w:uiPriority w:val="0"/>
    <w:rPr>
      <w:rFonts w:ascii="Arial" w:hAnsi="Arial" w:eastAsia="黑体" w:cs="Arial"/>
      <w:snapToGrid w:val="0"/>
      <w:kern w:val="0"/>
      <w:szCs w:val="21"/>
    </w:rPr>
  </w:style>
  <w:style w:type="character" w:customStyle="1" w:styleId="949">
    <w:name w:val="zbggtop11 style5"/>
    <w:autoRedefine/>
    <w:qFormat/>
    <w:uiPriority w:val="0"/>
    <w:rPr>
      <w:rFonts w:ascii="Arial" w:hAnsi="Arial" w:eastAsia="黑体" w:cs="Arial"/>
      <w:snapToGrid w:val="0"/>
      <w:kern w:val="0"/>
      <w:szCs w:val="21"/>
    </w:rPr>
  </w:style>
  <w:style w:type="character" w:customStyle="1" w:styleId="950">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51">
    <w:name w:val="bulletintext1"/>
    <w:autoRedefine/>
    <w:qFormat/>
    <w:uiPriority w:val="0"/>
    <w:rPr>
      <w:color w:val="000000"/>
      <w:sz w:val="18"/>
    </w:rPr>
  </w:style>
  <w:style w:type="paragraph" w:customStyle="1" w:styleId="952">
    <w:name w:val="_Style 947"/>
    <w:basedOn w:val="1"/>
    <w:next w:val="262"/>
    <w:autoRedefine/>
    <w:qFormat/>
    <w:uiPriority w:val="34"/>
    <w:pPr>
      <w:adjustRightInd/>
      <w:ind w:firstLine="420" w:firstLineChars="200"/>
    </w:pPr>
  </w:style>
  <w:style w:type="paragraph" w:customStyle="1" w:styleId="953">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4">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5">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6">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7">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8">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9">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60">
    <w:name w:val="Table Paragraph"/>
    <w:basedOn w:val="1"/>
    <w:autoRedefine/>
    <w:qFormat/>
    <w:uiPriority w:val="0"/>
    <w:pPr>
      <w:adjustRightInd/>
      <w:jc w:val="left"/>
    </w:pPr>
    <w:rPr>
      <w:rFonts w:ascii="Calibri" w:hAnsi="Calibri"/>
      <w:kern w:val="0"/>
      <w:sz w:val="22"/>
      <w:szCs w:val="22"/>
      <w:lang w:eastAsia="en-US"/>
    </w:rPr>
  </w:style>
  <w:style w:type="paragraph" w:customStyle="1" w:styleId="961">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2">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3">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4">
    <w:name w:val="ksfind_class_select1"/>
    <w:basedOn w:val="69"/>
    <w:autoRedefine/>
    <w:qFormat/>
    <w:uiPriority w:val="0"/>
    <w:rPr>
      <w:color w:val="000000"/>
      <w:shd w:val="clear" w:color="auto" w:fill="EFD200"/>
    </w:rPr>
  </w:style>
  <w:style w:type="character" w:customStyle="1" w:styleId="965">
    <w:name w:val="font71"/>
    <w:autoRedefine/>
    <w:qFormat/>
    <w:uiPriority w:val="0"/>
    <w:rPr>
      <w:rFonts w:hint="eastAsia" w:ascii="宋体" w:hAnsi="宋体" w:eastAsia="宋体" w:cs="宋体"/>
      <w:color w:val="000000"/>
      <w:sz w:val="22"/>
      <w:szCs w:val="22"/>
      <w:u w:val="none"/>
    </w:rPr>
  </w:style>
  <w:style w:type="character" w:customStyle="1" w:styleId="966">
    <w:name w:val="font91"/>
    <w:autoRedefine/>
    <w:qFormat/>
    <w:uiPriority w:val="0"/>
    <w:rPr>
      <w:rFonts w:hint="eastAsia" w:ascii="仿宋" w:hAnsi="仿宋" w:eastAsia="仿宋" w:cs="仿宋"/>
      <w:color w:val="000000"/>
      <w:sz w:val="22"/>
      <w:szCs w:val="22"/>
      <w:u w:val="none"/>
    </w:rPr>
  </w:style>
  <w:style w:type="paragraph" w:customStyle="1" w:styleId="967">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8">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9">
    <w:name w:val="无"/>
    <w:autoRedefine/>
    <w:qFormat/>
    <w:uiPriority w:val="99"/>
  </w:style>
  <w:style w:type="character" w:customStyle="1" w:styleId="970">
    <w:name w:val="bookmark-item"/>
    <w:basedOn w:val="69"/>
    <w:autoRedefine/>
    <w:qFormat/>
    <w:uiPriority w:val="0"/>
  </w:style>
  <w:style w:type="character" w:customStyle="1" w:styleId="971">
    <w:name w:val="font101"/>
    <w:basedOn w:val="69"/>
    <w:autoRedefine/>
    <w:qFormat/>
    <w:uiPriority w:val="0"/>
    <w:rPr>
      <w:rFonts w:hint="default" w:ascii="Calibri" w:hAnsi="Calibri" w:cs="Calibri"/>
      <w:color w:val="000000"/>
      <w:sz w:val="21"/>
      <w:szCs w:val="21"/>
      <w:u w:val="none"/>
    </w:rPr>
  </w:style>
  <w:style w:type="paragraph" w:customStyle="1" w:styleId="972">
    <w:name w:val="Body Text First Indent 21"/>
    <w:basedOn w:val="973"/>
    <w:qFormat/>
    <w:uiPriority w:val="0"/>
    <w:pPr>
      <w:spacing w:after="120" w:line="240" w:lineRule="auto"/>
      <w:ind w:left="420" w:leftChars="200" w:firstLine="420" w:firstLineChars="200"/>
    </w:pPr>
    <w:rPr>
      <w:rFonts w:ascii="等线" w:hAnsi="等线" w:eastAsia="等线"/>
      <w:sz w:val="21"/>
    </w:rPr>
  </w:style>
  <w:style w:type="paragraph" w:customStyle="1" w:styleId="973">
    <w:name w:val="Body Text Indent1"/>
    <w:basedOn w:val="1"/>
    <w:qFormat/>
    <w:uiPriority w:val="0"/>
    <w:pPr>
      <w:spacing w:line="360" w:lineRule="auto"/>
      <w:ind w:firstLine="435"/>
    </w:pPr>
    <w:rPr>
      <w:sz w:val="28"/>
    </w:rPr>
  </w:style>
  <w:style w:type="paragraph" w:customStyle="1" w:styleId="974">
    <w:name w:val="标准中文版式_正文"/>
    <w:basedOn w:val="1"/>
    <w:qFormat/>
    <w:uiPriority w:val="0"/>
    <w:pPr>
      <w:spacing w:before="30"/>
      <w:ind w:firstLineChars="200"/>
    </w:pPr>
    <w:rPr>
      <w:rFonts w:ascii="Arial" w:hAnsi="Arial"/>
      <w:sz w:val="24"/>
    </w:rPr>
  </w:style>
  <w:style w:type="paragraph" w:customStyle="1" w:styleId="975">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976">
    <w:name w:val="!表格正文"/>
    <w:basedOn w:val="1"/>
    <w:qFormat/>
    <w:uiPriority w:val="0"/>
    <w:pPr>
      <w:ind w:firstLine="0" w:firstLineChars="0"/>
    </w:pPr>
    <w:rPr>
      <w:rFonts w:ascii="Calibri" w:hAnsi="Calibri" w:cs="Calibri"/>
      <w:kern w:val="0"/>
      <w:szCs w:val="21"/>
    </w:rPr>
  </w:style>
  <w:style w:type="paragraph" w:customStyle="1" w:styleId="977">
    <w:name w:val="Heading #2|1"/>
    <w:basedOn w:val="1"/>
    <w:qFormat/>
    <w:uiPriority w:val="0"/>
    <w:pPr>
      <w:spacing w:after="720" w:line="648" w:lineRule="exact"/>
      <w:ind w:firstLine="310"/>
      <w:jc w:val="center"/>
      <w:outlineLvl w:val="1"/>
    </w:pPr>
    <w:rPr>
      <w:rFonts w:ascii="宋体" w:hAnsi="宋体" w:cs="宋体"/>
      <w:sz w:val="42"/>
      <w:szCs w:val="42"/>
      <w:lang w:val="zh-TW" w:eastAsia="zh-TW" w:bidi="zh-TW"/>
    </w:rPr>
  </w:style>
  <w:style w:type="paragraph" w:customStyle="1" w:styleId="978">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979">
    <w:name w:val="NormalCharacter"/>
    <w:qFormat/>
    <w:uiPriority w:val="0"/>
    <w:rPr>
      <w:rFonts w:ascii="Times New Roman" w:hAnsi="Times New Roman" w:eastAsia="宋体"/>
      <w:lang w:val="en-US" w:eastAsia="zh-CN" w:bidi="ar-SA"/>
    </w:rPr>
  </w:style>
  <w:style w:type="paragraph" w:customStyle="1" w:styleId="980">
    <w:name w:val="普通(网站)_0"/>
    <w:basedOn w:val="981"/>
    <w:qFormat/>
    <w:uiPriority w:val="99"/>
    <w:pPr>
      <w:widowControl/>
      <w:spacing w:before="100" w:beforeAutospacing="1" w:after="100" w:afterAutospacing="1"/>
      <w:jc w:val="left"/>
    </w:pPr>
    <w:rPr>
      <w:rFonts w:ascii="宋体" w:hAnsi="宋体"/>
      <w:kern w:val="0"/>
      <w:sz w:val="24"/>
      <w:szCs w:val="22"/>
    </w:rPr>
  </w:style>
  <w:style w:type="paragraph" w:customStyle="1" w:styleId="981">
    <w:name w:val="正文_1"/>
    <w:qFormat/>
    <w:uiPriority w:val="99"/>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46.png"/><Relationship Id="rId6" Type="http://schemas.openxmlformats.org/officeDocument/2006/relationships/footer" Target="foot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footer" Target="foot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70</Pages>
  <Words>16789</Words>
  <Characters>18018</Characters>
  <Paragraphs>1943</Paragraphs>
  <TotalTime>63</TotalTime>
  <ScaleCrop>false</ScaleCrop>
  <LinksUpToDate>false</LinksUpToDate>
  <CharactersWithSpaces>19579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2021-08-01T08:22:00Z</dcterms:created>
  <dc:creator>玥</dc:creator>
  <cp:lastModifiedBy>Administrator</cp:lastModifiedBy>
  <cp:lastPrinted>2024-12-02T04:37:00Z</cp:lastPrinted>
  <dcterms:modified xsi:type="dcterms:W3CDTF">2025-03-10T04:54:45Z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C029F1A10D4B4536B27CD989F0A05F65_13</vt:lpwstr>
  </property>
  <property fmtid="{D5CDD505-2E9C-101B-9397-08002B2CF9AE}" pid="5" name="KSOTemplateDocerSaveRecord">
    <vt:lpwstr>eyJoZGlkIjoiZjgzYjUyMjdkYjMzMTU5MzJkZWY3MzNjNWQwYjI5YzciLCJ1c2VySWQiOiIxMjgzOTgwMTgwIn0=</vt:lpwstr>
  </property>
</Properties>
</file>