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19218">
      <w:pPr>
        <w:pStyle w:val="17"/>
        <w:keepNext w:val="0"/>
        <w:keepLines w:val="0"/>
        <w:pageBreakBefore w:val="0"/>
        <w:widowControl/>
        <w:suppressLineNumbers w:val="0"/>
        <w:shd w:val="clear" w:color="auto" w:fill="auto"/>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val="0"/>
          <w:bCs/>
          <w:color w:val="auto"/>
          <w:sz w:val="44"/>
          <w:szCs w:val="44"/>
          <w:highlight w:val="none"/>
          <w:shd w:val="clear" w:color="auto" w:fill="auto"/>
          <w:lang w:eastAsia="zh-CN"/>
        </w:rPr>
      </w:pPr>
    </w:p>
    <w:p w14:paraId="2A67998C">
      <w:pPr>
        <w:pStyle w:val="17"/>
        <w:keepNext w:val="0"/>
        <w:keepLines w:val="0"/>
        <w:pageBreakBefore w:val="0"/>
        <w:widowControl/>
        <w:suppressLineNumbers w:val="0"/>
        <w:shd w:val="clear" w:color="auto" w:fill="auto"/>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b w:val="0"/>
          <w:bCs/>
          <w:color w:val="auto"/>
          <w:sz w:val="44"/>
          <w:szCs w:val="44"/>
          <w:highlight w:val="none"/>
          <w:shd w:val="clear" w:color="auto" w:fill="auto"/>
          <w:lang w:eastAsia="zh-CN"/>
        </w:rPr>
      </w:pPr>
    </w:p>
    <w:p w14:paraId="2D33343E">
      <w:pPr>
        <w:pStyle w:val="7"/>
        <w:ind w:left="0" w:lef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衢州鹿鸣半岛酒店综合体</w:t>
      </w:r>
      <w:r>
        <w:rPr>
          <w:rFonts w:hint="eastAsia" w:ascii="宋体" w:hAnsi="宋体" w:eastAsia="宋体" w:cs="宋体"/>
          <w:b/>
          <w:bCs/>
          <w:color w:val="auto"/>
          <w:sz w:val="44"/>
          <w:szCs w:val="44"/>
          <w:highlight w:val="none"/>
          <w:lang w:eastAsia="zh-CN"/>
        </w:rPr>
        <w:t>项目仲裁事项专项</w:t>
      </w:r>
    </w:p>
    <w:p w14:paraId="19A31768">
      <w:pPr>
        <w:pStyle w:val="7"/>
        <w:ind w:left="0" w:leftChars="0"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法律</w:t>
      </w:r>
      <w:r>
        <w:rPr>
          <w:rFonts w:hint="eastAsia" w:ascii="宋体" w:hAnsi="宋体" w:eastAsia="宋体" w:cs="宋体"/>
          <w:b/>
          <w:bCs/>
          <w:color w:val="auto"/>
          <w:sz w:val="44"/>
          <w:szCs w:val="44"/>
          <w:highlight w:val="none"/>
          <w:lang w:eastAsia="zh-CN"/>
        </w:rPr>
        <w:t>服务</w:t>
      </w:r>
      <w:r>
        <w:rPr>
          <w:rFonts w:hint="eastAsia" w:ascii="宋体" w:hAnsi="宋体" w:eastAsia="宋体" w:cs="宋体"/>
          <w:b/>
          <w:bCs/>
          <w:color w:val="auto"/>
          <w:sz w:val="44"/>
          <w:szCs w:val="44"/>
          <w:highlight w:val="none"/>
          <w:lang w:val="en-US" w:eastAsia="zh-CN"/>
        </w:rPr>
        <w:t>采购</w:t>
      </w:r>
    </w:p>
    <w:p w14:paraId="26289819">
      <w:pPr>
        <w:rPr>
          <w:rFonts w:hint="eastAsia" w:ascii="宋体" w:hAnsi="宋体" w:eastAsia="宋体" w:cs="宋体"/>
          <w:color w:val="auto"/>
          <w:highlight w:val="none"/>
        </w:rPr>
      </w:pPr>
    </w:p>
    <w:p w14:paraId="13C6C4C6">
      <w:pPr>
        <w:pStyle w:val="7"/>
        <w:rPr>
          <w:rFonts w:hint="eastAsia" w:ascii="宋体" w:hAnsi="宋体" w:eastAsia="宋体" w:cs="宋体"/>
          <w:color w:val="auto"/>
          <w:highlight w:val="none"/>
        </w:rPr>
      </w:pPr>
    </w:p>
    <w:p w14:paraId="74AB7287">
      <w:pPr>
        <w:rPr>
          <w:rFonts w:hint="eastAsia" w:ascii="宋体" w:hAnsi="宋体" w:eastAsia="宋体" w:cs="宋体"/>
          <w:color w:val="auto"/>
          <w:highlight w:val="none"/>
        </w:rPr>
      </w:pPr>
    </w:p>
    <w:p w14:paraId="36C5767C">
      <w:pPr>
        <w:rPr>
          <w:rFonts w:hint="eastAsia" w:ascii="宋体" w:hAnsi="宋体" w:eastAsia="宋体" w:cs="宋体"/>
          <w:color w:val="auto"/>
          <w:highlight w:val="none"/>
        </w:rPr>
      </w:pPr>
    </w:p>
    <w:p w14:paraId="1DC83688">
      <w:pPr>
        <w:pStyle w:val="19"/>
        <w:rPr>
          <w:rFonts w:hint="eastAsia"/>
        </w:rPr>
      </w:pPr>
    </w:p>
    <w:p w14:paraId="43695A70">
      <w:pPr>
        <w:pStyle w:val="7"/>
        <w:rPr>
          <w:rFonts w:hint="eastAsia" w:ascii="宋体" w:hAnsi="宋体" w:eastAsia="宋体" w:cs="宋体"/>
          <w:color w:val="auto"/>
          <w:highlight w:val="none"/>
        </w:rPr>
      </w:pPr>
    </w:p>
    <w:p w14:paraId="1F74D2E3">
      <w:pPr>
        <w:rPr>
          <w:rFonts w:hint="eastAsia"/>
        </w:rPr>
      </w:pPr>
    </w:p>
    <w:p w14:paraId="471416B4">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cs="宋体"/>
          <w:b/>
          <w:bCs/>
          <w:color w:val="auto"/>
          <w:sz w:val="52"/>
          <w:szCs w:val="52"/>
          <w:highlight w:val="none"/>
          <w:lang w:val="en-US" w:eastAsia="zh-CN"/>
        </w:rPr>
        <w:t>竞争性磋商</w:t>
      </w:r>
      <w:r>
        <w:rPr>
          <w:rFonts w:hint="eastAsia" w:ascii="宋体" w:hAnsi="宋体" w:eastAsia="宋体" w:cs="宋体"/>
          <w:b/>
          <w:bCs/>
          <w:color w:val="auto"/>
          <w:sz w:val="52"/>
          <w:szCs w:val="52"/>
          <w:highlight w:val="none"/>
        </w:rPr>
        <w:t>文件</w:t>
      </w:r>
    </w:p>
    <w:p w14:paraId="028AF389">
      <w:pPr>
        <w:pStyle w:val="19"/>
        <w:ind w:firstLine="3534" w:firstLineChars="1100"/>
        <w:rPr>
          <w:rFonts w:hint="eastAsia"/>
        </w:rPr>
      </w:pPr>
      <w:r>
        <w:rPr>
          <w:rFonts w:hint="eastAsia" w:ascii="宋体" w:hAnsi="宋体" w:cs="宋体"/>
          <w:b/>
          <w:color w:val="auto"/>
          <w:sz w:val="32"/>
          <w:szCs w:val="32"/>
          <w:highlight w:val="none"/>
        </w:rPr>
        <w:t>（线上电子招投标）</w:t>
      </w:r>
    </w:p>
    <w:p w14:paraId="31D8C98E">
      <w:pPr>
        <w:pStyle w:val="7"/>
        <w:ind w:firstLine="210"/>
        <w:rPr>
          <w:rFonts w:hint="eastAsia" w:ascii="宋体" w:hAnsi="宋体" w:eastAsia="宋体" w:cs="宋体"/>
          <w:color w:val="auto"/>
          <w:highlight w:val="none"/>
        </w:rPr>
      </w:pPr>
    </w:p>
    <w:p w14:paraId="2AB73635">
      <w:pPr>
        <w:rPr>
          <w:rFonts w:hint="eastAsia" w:ascii="宋体" w:hAnsi="宋体" w:eastAsia="宋体" w:cs="宋体"/>
          <w:color w:val="auto"/>
          <w:highlight w:val="none"/>
        </w:rPr>
      </w:pPr>
    </w:p>
    <w:p w14:paraId="799B938C">
      <w:pPr>
        <w:pStyle w:val="7"/>
        <w:ind w:firstLine="210"/>
        <w:rPr>
          <w:rFonts w:hint="eastAsia" w:ascii="宋体" w:hAnsi="宋体" w:eastAsia="宋体" w:cs="宋体"/>
          <w:color w:val="auto"/>
          <w:highlight w:val="none"/>
        </w:rPr>
      </w:pPr>
    </w:p>
    <w:p w14:paraId="4431440E">
      <w:pPr>
        <w:rPr>
          <w:rFonts w:hint="eastAsia" w:ascii="宋体" w:hAnsi="宋体" w:eastAsia="宋体" w:cs="宋体"/>
          <w:color w:val="auto"/>
          <w:highlight w:val="none"/>
        </w:rPr>
      </w:pPr>
    </w:p>
    <w:p w14:paraId="6212AED6">
      <w:pPr>
        <w:pStyle w:val="7"/>
        <w:ind w:firstLine="210"/>
        <w:rPr>
          <w:rFonts w:hint="eastAsia" w:ascii="宋体" w:hAnsi="宋体" w:eastAsia="宋体" w:cs="宋体"/>
          <w:color w:val="auto"/>
          <w:highlight w:val="none"/>
        </w:rPr>
      </w:pPr>
    </w:p>
    <w:p w14:paraId="1218C63F">
      <w:pPr>
        <w:pStyle w:val="7"/>
        <w:ind w:firstLine="210"/>
        <w:rPr>
          <w:rFonts w:hint="eastAsia" w:ascii="宋体" w:hAnsi="宋体" w:eastAsia="宋体" w:cs="宋体"/>
          <w:color w:val="auto"/>
          <w:highlight w:val="none"/>
        </w:rPr>
      </w:pPr>
    </w:p>
    <w:p w14:paraId="4DC063D6">
      <w:pPr>
        <w:rPr>
          <w:rFonts w:hint="eastAsia" w:ascii="宋体" w:hAnsi="宋体" w:eastAsia="宋体" w:cs="宋体"/>
          <w:color w:val="auto"/>
          <w:highlight w:val="none"/>
        </w:rPr>
      </w:pPr>
    </w:p>
    <w:p w14:paraId="2F494AE0">
      <w:pPr>
        <w:pStyle w:val="4"/>
        <w:rPr>
          <w:rFonts w:hint="eastAsia" w:ascii="宋体" w:hAnsi="宋体" w:eastAsia="宋体" w:cs="宋体"/>
          <w:color w:val="auto"/>
          <w:highlight w:val="none"/>
        </w:rPr>
      </w:pPr>
    </w:p>
    <w:p w14:paraId="4D59EACB">
      <w:pPr>
        <w:pStyle w:val="4"/>
        <w:rPr>
          <w:rFonts w:hint="eastAsia" w:ascii="宋体" w:hAnsi="宋体" w:eastAsia="宋体" w:cs="宋体"/>
          <w:color w:val="auto"/>
          <w:highlight w:val="none"/>
        </w:rPr>
      </w:pPr>
    </w:p>
    <w:p w14:paraId="6FAC30E3">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lang w:val="en-US" w:eastAsia="zh-CN"/>
        </w:rPr>
        <w:t xml:space="preserve">衢州智慧新城管理委员会      </w:t>
      </w:r>
      <w:r>
        <w:rPr>
          <w:rFonts w:hint="eastAsia" w:ascii="宋体" w:hAnsi="宋体" w:eastAsia="宋体" w:cs="宋体"/>
          <w:color w:val="auto"/>
          <w:sz w:val="30"/>
          <w:szCs w:val="30"/>
          <w:highlight w:val="none"/>
          <w:u w:val="single"/>
        </w:rPr>
        <w:t>（盖章）</w:t>
      </w:r>
    </w:p>
    <w:p w14:paraId="2D4CC54A">
      <w:pPr>
        <w:spacing w:line="360" w:lineRule="auto"/>
        <w:jc w:val="both"/>
        <w:rPr>
          <w:rFonts w:hint="eastAsia" w:ascii="宋体" w:hAnsi="宋体" w:eastAsia="宋体" w:cs="宋体"/>
          <w:color w:val="auto"/>
          <w:sz w:val="30"/>
          <w:szCs w:val="30"/>
          <w:highlight w:val="none"/>
        </w:rPr>
      </w:pPr>
    </w:p>
    <w:p w14:paraId="7D8A9AC0">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lang w:val="en-US" w:eastAsia="zh-CN"/>
        </w:rPr>
        <w:t>科信联合工程咨询有限公司</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（盖章）</w:t>
      </w:r>
    </w:p>
    <w:p w14:paraId="407BB44D">
      <w:pPr>
        <w:spacing w:line="360" w:lineRule="auto"/>
        <w:jc w:val="left"/>
        <w:rPr>
          <w:rFonts w:hint="eastAsia" w:ascii="宋体" w:hAnsi="宋体" w:eastAsia="宋体" w:cs="宋体"/>
          <w:color w:val="auto"/>
          <w:sz w:val="32"/>
          <w:szCs w:val="32"/>
          <w:highlight w:val="none"/>
        </w:rPr>
      </w:pPr>
    </w:p>
    <w:p w14:paraId="6A4BA827">
      <w:pPr>
        <w:pStyle w:val="19"/>
        <w:rPr>
          <w:rFonts w:hint="eastAsia"/>
        </w:rPr>
      </w:pPr>
    </w:p>
    <w:p w14:paraId="4189E5AE">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2024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07</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p w14:paraId="1D8F1645">
      <w:pPr>
        <w:pStyle w:val="7"/>
        <w:rPr>
          <w:rFonts w:hint="eastAsia" w:ascii="宋体" w:hAnsi="宋体" w:eastAsia="宋体" w:cs="宋体"/>
          <w:color w:val="auto"/>
          <w:sz w:val="32"/>
          <w:szCs w:val="32"/>
          <w:highlight w:val="none"/>
        </w:rPr>
      </w:pPr>
    </w:p>
    <w:sdt>
      <w:sdtPr>
        <w:rPr>
          <w:rFonts w:ascii="宋体" w:hAnsi="宋体" w:eastAsia="宋体" w:cs="Times New Roman"/>
          <w:kern w:val="2"/>
          <w:sz w:val="28"/>
          <w:szCs w:val="32"/>
          <w:highlight w:val="none"/>
          <w:lang w:val="en-US" w:eastAsia="zh-CN" w:bidi="ar-SA"/>
        </w:rPr>
        <w:id w:val="147461656"/>
        <w15:color w:val="DBDBDB"/>
        <w:docPartObj>
          <w:docPartGallery w:val="Table of Contents"/>
          <w:docPartUnique/>
        </w:docPartObj>
      </w:sdtPr>
      <w:sdtEndPr>
        <w:rPr>
          <w:rFonts w:hint="eastAsia" w:ascii="Calibri" w:hAnsi="Calibri" w:eastAsia="宋体" w:cs="Times New Roman"/>
          <w:kern w:val="2"/>
          <w:sz w:val="21"/>
          <w:szCs w:val="22"/>
          <w:highlight w:val="none"/>
          <w:lang w:val="en-US" w:eastAsia="zh-CN" w:bidi="ar-SA"/>
        </w:rPr>
      </w:sdtEndPr>
      <w:sdtContent>
        <w:p w14:paraId="586EA8CF">
          <w:pPr>
            <w:spacing w:before="0" w:beforeLines="0" w:after="0" w:afterLines="0" w:line="240" w:lineRule="auto"/>
            <w:ind w:left="0" w:leftChars="0" w:right="0" w:rightChars="0" w:firstLine="0" w:firstLineChars="0"/>
            <w:jc w:val="center"/>
            <w:rPr>
              <w:rFonts w:ascii="宋体" w:hAnsi="宋体" w:eastAsia="宋体"/>
              <w:sz w:val="28"/>
              <w:szCs w:val="32"/>
              <w:highlight w:val="none"/>
            </w:rPr>
          </w:pPr>
          <w:r>
            <w:rPr>
              <w:rFonts w:ascii="宋体" w:hAnsi="宋体" w:eastAsia="宋体"/>
              <w:sz w:val="28"/>
              <w:szCs w:val="32"/>
              <w:highlight w:val="none"/>
            </w:rPr>
            <w:t>目录</w:t>
          </w:r>
        </w:p>
        <w:p w14:paraId="3ACAFC8D">
          <w:pPr>
            <w:pStyle w:val="19"/>
          </w:pPr>
        </w:p>
        <w:p w14:paraId="38C920E4">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highlight w:val="none"/>
            </w:rPr>
          </w:pPr>
          <w:r>
            <w:rPr>
              <w:rFonts w:hint="eastAsia"/>
              <w:highlight w:val="none"/>
              <w:lang w:eastAsia="zh-CN"/>
            </w:rPr>
            <w:fldChar w:fldCharType="begin"/>
          </w:r>
          <w:r>
            <w:rPr>
              <w:rFonts w:hint="eastAsia"/>
              <w:highlight w:val="none"/>
              <w:lang w:eastAsia="zh-CN"/>
            </w:rPr>
            <w:instrText xml:space="preserve">TOC \o "1-1" \h \u </w:instrText>
          </w:r>
          <w:r>
            <w:rPr>
              <w:rFonts w:hint="eastAsia"/>
              <w:highlight w:val="none"/>
              <w:lang w:eastAsia="zh-CN"/>
            </w:rPr>
            <w:fldChar w:fldCharType="separate"/>
          </w:r>
          <w:r>
            <w:rPr>
              <w:rFonts w:hint="eastAsia"/>
              <w:highlight w:val="none"/>
              <w:lang w:eastAsia="zh-CN"/>
            </w:rPr>
            <w:fldChar w:fldCharType="begin"/>
          </w:r>
          <w:r>
            <w:rPr>
              <w:rFonts w:hint="eastAsia"/>
              <w:highlight w:val="none"/>
              <w:lang w:eastAsia="zh-CN"/>
            </w:rPr>
            <w:instrText xml:space="preserve"> HYPERLINK \l _Toc8961 </w:instrText>
          </w:r>
          <w:r>
            <w:rPr>
              <w:rFonts w:hint="eastAsia"/>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w:t>
          </w:r>
          <w:r>
            <w:rPr>
              <w:rFonts w:hint="eastAsia" w:ascii="宋体" w:hAnsi="宋体" w:eastAsia="宋体" w:cs="宋体"/>
              <w:szCs w:val="32"/>
              <w:highlight w:val="none"/>
              <w:lang w:val="en-US" w:eastAsia="zh-CN"/>
            </w:rPr>
            <w:t>磋商</w:t>
          </w:r>
          <w:r>
            <w:rPr>
              <w:rFonts w:hint="eastAsia" w:ascii="宋体" w:hAnsi="宋体" w:eastAsia="宋体" w:cs="宋体"/>
              <w:szCs w:val="32"/>
              <w:highlight w:val="none"/>
            </w:rPr>
            <w:t>公告</w:t>
          </w:r>
          <w:r>
            <w:rPr>
              <w:highlight w:val="none"/>
            </w:rPr>
            <w:tab/>
          </w:r>
          <w:r>
            <w:rPr>
              <w:highlight w:val="none"/>
            </w:rPr>
            <w:fldChar w:fldCharType="begin"/>
          </w:r>
          <w:r>
            <w:rPr>
              <w:highlight w:val="none"/>
            </w:rPr>
            <w:instrText xml:space="preserve"> PAGEREF _Toc8961 \h </w:instrText>
          </w:r>
          <w:r>
            <w:rPr>
              <w:highlight w:val="none"/>
            </w:rPr>
            <w:fldChar w:fldCharType="separate"/>
          </w:r>
          <w:r>
            <w:rPr>
              <w:highlight w:val="none"/>
            </w:rPr>
            <w:t>3</w:t>
          </w:r>
          <w:r>
            <w:rPr>
              <w:highlight w:val="none"/>
            </w:rPr>
            <w:fldChar w:fldCharType="end"/>
          </w:r>
          <w:r>
            <w:rPr>
              <w:rFonts w:hint="eastAsia"/>
              <w:highlight w:val="none"/>
              <w:lang w:eastAsia="zh-CN"/>
            </w:rPr>
            <w:fldChar w:fldCharType="end"/>
          </w:r>
        </w:p>
        <w:p w14:paraId="311B8A7F">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highlight w:val="none"/>
            </w:rPr>
          </w:pPr>
          <w:r>
            <w:rPr>
              <w:rFonts w:hint="eastAsia"/>
              <w:highlight w:val="none"/>
              <w:lang w:eastAsia="zh-CN"/>
            </w:rPr>
            <w:fldChar w:fldCharType="begin"/>
          </w:r>
          <w:r>
            <w:rPr>
              <w:rFonts w:hint="eastAsia"/>
              <w:highlight w:val="none"/>
              <w:lang w:eastAsia="zh-CN"/>
            </w:rPr>
            <w:instrText xml:space="preserve"> HYPERLINK \l _Toc32019 </w:instrText>
          </w:r>
          <w:r>
            <w:rPr>
              <w:rFonts w:hint="eastAsia"/>
              <w:highlight w:val="none"/>
              <w:lang w:eastAsia="zh-CN"/>
            </w:rPr>
            <w:fldChar w:fldCharType="separate"/>
          </w:r>
          <w:r>
            <w:rPr>
              <w:rFonts w:hint="eastAsia" w:ascii="宋体" w:hAnsi="宋体" w:eastAsia="宋体" w:cs="宋体"/>
              <w:szCs w:val="28"/>
              <w:highlight w:val="none"/>
            </w:rPr>
            <w:t xml:space="preserve">第二章  </w:t>
          </w:r>
          <w:r>
            <w:rPr>
              <w:rFonts w:hint="eastAsia" w:ascii="宋体" w:hAnsi="宋体" w:eastAsia="宋体" w:cs="宋体"/>
              <w:szCs w:val="28"/>
              <w:highlight w:val="none"/>
              <w:lang w:eastAsia="zh-CN"/>
            </w:rPr>
            <w:t>供应商</w:t>
          </w:r>
          <w:r>
            <w:rPr>
              <w:rFonts w:hint="eastAsia" w:ascii="宋体" w:hAnsi="宋体" w:eastAsia="宋体" w:cs="宋体"/>
              <w:szCs w:val="28"/>
              <w:highlight w:val="none"/>
            </w:rPr>
            <w:t>须知前附表及投标须知</w:t>
          </w:r>
          <w:r>
            <w:rPr>
              <w:highlight w:val="none"/>
            </w:rPr>
            <w:tab/>
          </w:r>
          <w:r>
            <w:rPr>
              <w:rFonts w:hint="eastAsia"/>
              <w:highlight w:val="none"/>
              <w:lang w:val="en-US" w:eastAsia="zh-CN"/>
            </w:rPr>
            <w:t>8</w:t>
          </w:r>
          <w:r>
            <w:rPr>
              <w:rFonts w:hint="eastAsia"/>
              <w:highlight w:val="none"/>
              <w:lang w:eastAsia="zh-CN"/>
            </w:rPr>
            <w:fldChar w:fldCharType="end"/>
          </w:r>
        </w:p>
        <w:p w14:paraId="2784CA51">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highlight w:val="none"/>
            </w:rPr>
          </w:pPr>
          <w:r>
            <w:rPr>
              <w:rFonts w:hint="eastAsia"/>
              <w:highlight w:val="none"/>
              <w:lang w:eastAsia="zh-CN"/>
            </w:rPr>
            <w:fldChar w:fldCharType="begin"/>
          </w:r>
          <w:r>
            <w:rPr>
              <w:rFonts w:hint="eastAsia"/>
              <w:highlight w:val="none"/>
              <w:lang w:eastAsia="zh-CN"/>
            </w:rPr>
            <w:instrText xml:space="preserve"> HYPERLINK \l _Toc24091 </w:instrText>
          </w:r>
          <w:r>
            <w:rPr>
              <w:rFonts w:hint="eastAsia"/>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highlight w:val="none"/>
            </w:rPr>
            <w:tab/>
          </w:r>
          <w:r>
            <w:rPr>
              <w:highlight w:val="none"/>
            </w:rPr>
            <w:fldChar w:fldCharType="begin"/>
          </w:r>
          <w:r>
            <w:rPr>
              <w:highlight w:val="none"/>
            </w:rPr>
            <w:instrText xml:space="preserve"> PAGEREF _Toc24091 \h </w:instrText>
          </w:r>
          <w:r>
            <w:rPr>
              <w:highlight w:val="none"/>
            </w:rPr>
            <w:fldChar w:fldCharType="separate"/>
          </w:r>
          <w:r>
            <w:rPr>
              <w:highlight w:val="none"/>
            </w:rPr>
            <w:t>36</w:t>
          </w:r>
          <w:r>
            <w:rPr>
              <w:highlight w:val="none"/>
            </w:rPr>
            <w:fldChar w:fldCharType="end"/>
          </w:r>
          <w:r>
            <w:rPr>
              <w:rFonts w:hint="eastAsia"/>
              <w:highlight w:val="none"/>
              <w:lang w:eastAsia="zh-CN"/>
            </w:rPr>
            <w:fldChar w:fldCharType="end"/>
          </w:r>
        </w:p>
        <w:p w14:paraId="52D1D76A">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default"/>
              <w:highlight w:val="none"/>
              <w:lang w:val="en-US"/>
            </w:rPr>
          </w:pPr>
          <w:r>
            <w:rPr>
              <w:rFonts w:hint="eastAsia"/>
              <w:highlight w:val="none"/>
              <w:lang w:eastAsia="zh-CN"/>
            </w:rPr>
            <w:fldChar w:fldCharType="begin"/>
          </w:r>
          <w:r>
            <w:rPr>
              <w:rFonts w:hint="eastAsia"/>
              <w:highlight w:val="none"/>
              <w:lang w:eastAsia="zh-CN"/>
            </w:rPr>
            <w:instrText xml:space="preserve"> HYPERLINK \l _Toc9656 </w:instrText>
          </w:r>
          <w:r>
            <w:rPr>
              <w:rFonts w:hint="eastAsia"/>
              <w:highlight w:val="none"/>
              <w:lang w:eastAsia="zh-CN"/>
            </w:rPr>
            <w:fldChar w:fldCharType="separate"/>
          </w:r>
          <w:r>
            <w:rPr>
              <w:rFonts w:hint="eastAsia" w:ascii="宋体" w:hAnsi="宋体" w:eastAsia="宋体" w:cs="宋体"/>
              <w:szCs w:val="28"/>
              <w:highlight w:val="none"/>
              <w:lang w:val="en-US" w:eastAsia="zh-CN"/>
            </w:rPr>
            <w:t>第四章 合同主要条款</w:t>
          </w:r>
          <w:r>
            <w:rPr>
              <w:highlight w:val="none"/>
            </w:rPr>
            <w:tab/>
          </w:r>
          <w:r>
            <w:rPr>
              <w:highlight w:val="none"/>
            </w:rPr>
            <w:fldChar w:fldCharType="begin"/>
          </w:r>
          <w:r>
            <w:rPr>
              <w:highlight w:val="none"/>
            </w:rPr>
            <w:instrText xml:space="preserve"> PAGEREF _Toc9656 \h </w:instrText>
          </w:r>
          <w:r>
            <w:rPr>
              <w:highlight w:val="none"/>
            </w:rPr>
            <w:fldChar w:fldCharType="separate"/>
          </w:r>
          <w:r>
            <w:rPr>
              <w:highlight w:val="none"/>
            </w:rPr>
            <w:t>3</w:t>
          </w:r>
          <w:r>
            <w:rPr>
              <w:highlight w:val="none"/>
            </w:rPr>
            <w:fldChar w:fldCharType="end"/>
          </w:r>
          <w:r>
            <w:rPr>
              <w:rFonts w:hint="eastAsia"/>
              <w:highlight w:val="none"/>
              <w:lang w:eastAsia="zh-CN"/>
            </w:rPr>
            <w:fldChar w:fldCharType="end"/>
          </w:r>
          <w:r>
            <w:rPr>
              <w:rFonts w:hint="eastAsia"/>
              <w:highlight w:val="none"/>
              <w:lang w:val="en-US" w:eastAsia="zh-CN"/>
            </w:rPr>
            <w:t>8</w:t>
          </w:r>
        </w:p>
        <w:p w14:paraId="3243EFCF">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default"/>
              <w:highlight w:val="none"/>
              <w:lang w:val="en-US"/>
            </w:rPr>
          </w:pPr>
          <w:r>
            <w:rPr>
              <w:rFonts w:hint="eastAsia"/>
              <w:highlight w:val="none"/>
              <w:lang w:eastAsia="zh-CN"/>
            </w:rPr>
            <w:fldChar w:fldCharType="begin"/>
          </w:r>
          <w:r>
            <w:rPr>
              <w:rFonts w:hint="eastAsia"/>
              <w:highlight w:val="none"/>
              <w:lang w:eastAsia="zh-CN"/>
            </w:rPr>
            <w:instrText xml:space="preserve"> HYPERLINK \l _Toc5592 </w:instrText>
          </w:r>
          <w:r>
            <w:rPr>
              <w:rFonts w:hint="eastAsia"/>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highlight w:val="none"/>
            </w:rPr>
            <w:tab/>
          </w:r>
          <w:r>
            <w:rPr>
              <w:rFonts w:hint="eastAsia"/>
              <w:highlight w:val="none"/>
              <w:lang w:eastAsia="zh-CN"/>
            </w:rPr>
            <w:fldChar w:fldCharType="end"/>
          </w:r>
          <w:r>
            <w:rPr>
              <w:rFonts w:hint="eastAsia"/>
              <w:highlight w:val="none"/>
              <w:lang w:val="en-US" w:eastAsia="zh-CN"/>
            </w:rPr>
            <w:t>43</w:t>
          </w:r>
        </w:p>
        <w:p w14:paraId="2B2C1FAB">
          <w:pPr>
            <w:pStyle w:val="28"/>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default"/>
              <w:highlight w:val="none"/>
              <w:lang w:val="en-US"/>
            </w:rPr>
          </w:pPr>
          <w:r>
            <w:rPr>
              <w:rFonts w:hint="eastAsia"/>
              <w:highlight w:val="none"/>
              <w:lang w:eastAsia="zh-CN"/>
            </w:rPr>
            <w:fldChar w:fldCharType="begin"/>
          </w:r>
          <w:r>
            <w:rPr>
              <w:rFonts w:hint="eastAsia"/>
              <w:highlight w:val="none"/>
              <w:lang w:eastAsia="zh-CN"/>
            </w:rPr>
            <w:instrText xml:space="preserve"> HYPERLINK \l _Toc2416 </w:instrText>
          </w:r>
          <w:r>
            <w:rPr>
              <w:rFonts w:hint="eastAsia"/>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评分办法及开标程序</w:t>
          </w:r>
          <w:r>
            <w:rPr>
              <w:highlight w:val="none"/>
            </w:rPr>
            <w:tab/>
          </w:r>
          <w:r>
            <w:rPr>
              <w:highlight w:val="none"/>
            </w:rPr>
            <w:fldChar w:fldCharType="begin"/>
          </w:r>
          <w:r>
            <w:rPr>
              <w:highlight w:val="none"/>
            </w:rPr>
            <w:instrText xml:space="preserve"> PAGEREF _Toc2416 \h </w:instrText>
          </w:r>
          <w:r>
            <w:rPr>
              <w:highlight w:val="none"/>
            </w:rPr>
            <w:fldChar w:fldCharType="separate"/>
          </w:r>
          <w:r>
            <w:rPr>
              <w:highlight w:val="none"/>
            </w:rPr>
            <w:t>5</w:t>
          </w:r>
          <w:r>
            <w:rPr>
              <w:highlight w:val="none"/>
            </w:rPr>
            <w:fldChar w:fldCharType="end"/>
          </w:r>
          <w:r>
            <w:rPr>
              <w:rFonts w:hint="eastAsia"/>
              <w:highlight w:val="none"/>
              <w:lang w:eastAsia="zh-CN"/>
            </w:rPr>
            <w:fldChar w:fldCharType="end"/>
          </w:r>
          <w:r>
            <w:rPr>
              <w:rFonts w:hint="eastAsia"/>
              <w:highlight w:val="none"/>
              <w:lang w:val="en-US" w:eastAsia="zh-CN"/>
            </w:rPr>
            <w:t>7</w:t>
          </w:r>
        </w:p>
        <w:p w14:paraId="0E127660">
          <w:pPr>
            <w:rPr>
              <w:rFonts w:hint="eastAsia" w:ascii="Calibri" w:hAnsi="Calibri" w:eastAsia="宋体" w:cs="Times New Roman"/>
              <w:kern w:val="2"/>
              <w:sz w:val="21"/>
              <w:szCs w:val="22"/>
              <w:highlight w:val="none"/>
              <w:lang w:val="en-US" w:eastAsia="zh-CN" w:bidi="ar-SA"/>
            </w:rPr>
          </w:pPr>
          <w:r>
            <w:rPr>
              <w:rFonts w:hint="eastAsia"/>
              <w:highlight w:val="none"/>
              <w:lang w:eastAsia="zh-CN"/>
            </w:rPr>
            <w:fldChar w:fldCharType="end"/>
          </w:r>
        </w:p>
      </w:sdtContent>
    </w:sdt>
    <w:p w14:paraId="366D0674">
      <w:pPr>
        <w:pStyle w:val="19"/>
        <w:rPr>
          <w:rFonts w:hint="eastAsia"/>
          <w:highlight w:val="none"/>
          <w:lang w:val="en-US" w:eastAsia="zh-CN"/>
        </w:rPr>
      </w:pPr>
    </w:p>
    <w:p w14:paraId="2353C433">
      <w:pPr>
        <w:pStyle w:val="7"/>
        <w:rPr>
          <w:rFonts w:hint="eastAsia" w:ascii="宋体" w:hAnsi="宋体" w:eastAsia="宋体" w:cs="宋体"/>
          <w:color w:val="auto"/>
          <w:highlight w:val="none"/>
          <w:lang w:eastAsia="zh-CN"/>
        </w:rPr>
      </w:pPr>
    </w:p>
    <w:p w14:paraId="10D81A2C">
      <w:pPr>
        <w:rPr>
          <w:rFonts w:hint="eastAsia" w:ascii="宋体" w:hAnsi="宋体" w:eastAsia="宋体" w:cs="宋体"/>
          <w:color w:val="auto"/>
          <w:highlight w:val="none"/>
          <w:lang w:eastAsia="zh-CN"/>
        </w:rPr>
      </w:pPr>
    </w:p>
    <w:p w14:paraId="1EACB636">
      <w:pPr>
        <w:pStyle w:val="7"/>
        <w:rPr>
          <w:rFonts w:hint="eastAsia" w:ascii="宋体" w:hAnsi="宋体" w:eastAsia="宋体" w:cs="宋体"/>
          <w:color w:val="auto"/>
          <w:highlight w:val="none"/>
          <w:lang w:eastAsia="zh-CN"/>
        </w:rPr>
      </w:pPr>
    </w:p>
    <w:p w14:paraId="57D5ED11">
      <w:pPr>
        <w:rPr>
          <w:rFonts w:hint="eastAsia" w:ascii="宋体" w:hAnsi="宋体" w:eastAsia="宋体" w:cs="宋体"/>
          <w:color w:val="auto"/>
          <w:highlight w:val="none"/>
          <w:lang w:eastAsia="zh-CN"/>
        </w:rPr>
      </w:pPr>
    </w:p>
    <w:p w14:paraId="405409E6">
      <w:pPr>
        <w:pStyle w:val="7"/>
        <w:rPr>
          <w:rFonts w:hint="eastAsia" w:ascii="宋体" w:hAnsi="宋体" w:eastAsia="宋体" w:cs="宋体"/>
          <w:color w:val="auto"/>
          <w:highlight w:val="none"/>
          <w:lang w:eastAsia="zh-CN"/>
        </w:rPr>
      </w:pPr>
    </w:p>
    <w:p w14:paraId="5A7F3674">
      <w:pPr>
        <w:rPr>
          <w:rFonts w:hint="eastAsia" w:ascii="宋体" w:hAnsi="宋体" w:eastAsia="宋体" w:cs="宋体"/>
          <w:color w:val="auto"/>
          <w:highlight w:val="none"/>
          <w:lang w:eastAsia="zh-CN"/>
        </w:rPr>
      </w:pPr>
    </w:p>
    <w:p w14:paraId="7E7847CF">
      <w:pPr>
        <w:pStyle w:val="7"/>
        <w:rPr>
          <w:rFonts w:hint="eastAsia" w:ascii="宋体" w:hAnsi="宋体" w:eastAsia="宋体" w:cs="宋体"/>
          <w:color w:val="auto"/>
          <w:highlight w:val="none"/>
          <w:lang w:eastAsia="zh-CN"/>
        </w:rPr>
      </w:pPr>
    </w:p>
    <w:p w14:paraId="56D772BF">
      <w:pPr>
        <w:rPr>
          <w:rFonts w:hint="eastAsia" w:ascii="宋体" w:hAnsi="宋体" w:eastAsia="宋体" w:cs="宋体"/>
          <w:color w:val="auto"/>
          <w:highlight w:val="none"/>
          <w:lang w:eastAsia="zh-CN"/>
        </w:rPr>
      </w:pPr>
    </w:p>
    <w:p w14:paraId="566E596A">
      <w:pPr>
        <w:pStyle w:val="7"/>
        <w:rPr>
          <w:rFonts w:hint="eastAsia" w:ascii="宋体" w:hAnsi="宋体" w:eastAsia="宋体" w:cs="宋体"/>
          <w:color w:val="auto"/>
          <w:highlight w:val="none"/>
          <w:lang w:eastAsia="zh-CN"/>
        </w:rPr>
      </w:pPr>
    </w:p>
    <w:p w14:paraId="69E7F6AB">
      <w:pPr>
        <w:rPr>
          <w:rFonts w:hint="eastAsia" w:ascii="宋体" w:hAnsi="宋体" w:eastAsia="宋体" w:cs="宋体"/>
          <w:color w:val="auto"/>
          <w:highlight w:val="none"/>
          <w:lang w:eastAsia="zh-CN"/>
        </w:rPr>
      </w:pPr>
    </w:p>
    <w:p w14:paraId="26F61791">
      <w:pPr>
        <w:pStyle w:val="7"/>
        <w:rPr>
          <w:rFonts w:hint="eastAsia" w:ascii="宋体" w:hAnsi="宋体" w:eastAsia="宋体" w:cs="宋体"/>
          <w:color w:val="auto"/>
          <w:highlight w:val="none"/>
          <w:lang w:eastAsia="zh-CN"/>
        </w:rPr>
      </w:pPr>
    </w:p>
    <w:p w14:paraId="44048589">
      <w:pPr>
        <w:rPr>
          <w:rFonts w:hint="eastAsia" w:ascii="宋体" w:hAnsi="宋体" w:eastAsia="宋体" w:cs="宋体"/>
          <w:color w:val="auto"/>
          <w:highlight w:val="none"/>
          <w:lang w:eastAsia="zh-CN"/>
        </w:rPr>
      </w:pPr>
    </w:p>
    <w:p w14:paraId="1C5538DA">
      <w:pPr>
        <w:pStyle w:val="7"/>
        <w:rPr>
          <w:rFonts w:hint="eastAsia" w:ascii="宋体" w:hAnsi="宋体" w:eastAsia="宋体" w:cs="宋体"/>
          <w:color w:val="auto"/>
          <w:highlight w:val="none"/>
          <w:lang w:eastAsia="zh-CN"/>
        </w:rPr>
      </w:pPr>
    </w:p>
    <w:p w14:paraId="307C0B4E">
      <w:pPr>
        <w:rPr>
          <w:rFonts w:hint="eastAsia" w:ascii="宋体" w:hAnsi="宋体" w:eastAsia="宋体" w:cs="宋体"/>
          <w:color w:val="auto"/>
          <w:highlight w:val="none"/>
          <w:lang w:eastAsia="zh-CN"/>
        </w:rPr>
      </w:pPr>
    </w:p>
    <w:p w14:paraId="3D1FEB08">
      <w:pPr>
        <w:pStyle w:val="7"/>
        <w:rPr>
          <w:rFonts w:hint="eastAsia" w:ascii="宋体" w:hAnsi="宋体" w:eastAsia="宋体" w:cs="宋体"/>
          <w:color w:val="auto"/>
          <w:highlight w:val="none"/>
          <w:lang w:eastAsia="zh-CN"/>
        </w:rPr>
      </w:pPr>
    </w:p>
    <w:p w14:paraId="19732721">
      <w:pPr>
        <w:rPr>
          <w:rFonts w:hint="eastAsia" w:ascii="宋体" w:hAnsi="宋体" w:eastAsia="宋体" w:cs="宋体"/>
          <w:color w:val="auto"/>
          <w:highlight w:val="none"/>
          <w:lang w:eastAsia="zh-CN"/>
        </w:rPr>
      </w:pPr>
    </w:p>
    <w:p w14:paraId="6837C68E">
      <w:pPr>
        <w:pStyle w:val="7"/>
        <w:rPr>
          <w:rFonts w:hint="eastAsia" w:ascii="宋体" w:hAnsi="宋体" w:eastAsia="宋体" w:cs="宋体"/>
          <w:color w:val="auto"/>
          <w:highlight w:val="none"/>
          <w:lang w:eastAsia="zh-CN"/>
        </w:rPr>
      </w:pPr>
    </w:p>
    <w:p w14:paraId="1B055C45">
      <w:pPr>
        <w:rPr>
          <w:rFonts w:hint="eastAsia" w:ascii="宋体" w:hAnsi="宋体" w:eastAsia="宋体" w:cs="宋体"/>
          <w:color w:val="auto"/>
          <w:highlight w:val="none"/>
          <w:lang w:eastAsia="zh-CN"/>
        </w:rPr>
      </w:pPr>
    </w:p>
    <w:p w14:paraId="19CDDF81">
      <w:pPr>
        <w:pStyle w:val="7"/>
        <w:rPr>
          <w:rFonts w:hint="eastAsia" w:ascii="宋体" w:hAnsi="宋体" w:eastAsia="宋体" w:cs="宋体"/>
          <w:color w:val="auto"/>
          <w:highlight w:val="none"/>
          <w:lang w:eastAsia="zh-CN"/>
        </w:rPr>
      </w:pPr>
    </w:p>
    <w:p w14:paraId="16D094EB">
      <w:pPr>
        <w:rPr>
          <w:rFonts w:hint="eastAsia" w:ascii="宋体" w:hAnsi="宋体" w:eastAsia="宋体" w:cs="宋体"/>
          <w:color w:val="auto"/>
          <w:highlight w:val="none"/>
          <w:lang w:eastAsia="zh-CN"/>
        </w:rPr>
      </w:pPr>
    </w:p>
    <w:p w14:paraId="6871D1BE">
      <w:pPr>
        <w:pStyle w:val="19"/>
        <w:rPr>
          <w:rFonts w:hint="eastAsia" w:ascii="宋体" w:hAnsi="宋体" w:eastAsia="宋体" w:cs="宋体"/>
          <w:color w:val="auto"/>
          <w:highlight w:val="none"/>
          <w:lang w:eastAsia="zh-CN"/>
        </w:rPr>
      </w:pPr>
    </w:p>
    <w:p w14:paraId="0CAC8883">
      <w:pPr>
        <w:pStyle w:val="19"/>
        <w:rPr>
          <w:rFonts w:hint="eastAsia" w:ascii="宋体" w:hAnsi="宋体" w:eastAsia="宋体" w:cs="宋体"/>
          <w:color w:val="auto"/>
          <w:highlight w:val="none"/>
          <w:lang w:eastAsia="zh-CN"/>
        </w:rPr>
      </w:pPr>
    </w:p>
    <w:p w14:paraId="784A6D2C">
      <w:pPr>
        <w:pStyle w:val="7"/>
        <w:rPr>
          <w:rFonts w:hint="eastAsia" w:ascii="宋体" w:hAnsi="宋体" w:eastAsia="宋体" w:cs="宋体"/>
          <w:color w:val="auto"/>
          <w:highlight w:val="none"/>
          <w:lang w:eastAsia="zh-CN"/>
        </w:rPr>
      </w:pPr>
    </w:p>
    <w:p w14:paraId="525EB5B1">
      <w:pPr>
        <w:rPr>
          <w:rFonts w:hint="eastAsia" w:ascii="宋体" w:hAnsi="宋体" w:eastAsia="宋体" w:cs="宋体"/>
          <w:color w:val="auto"/>
          <w:highlight w:val="none"/>
          <w:lang w:eastAsia="zh-CN"/>
        </w:rPr>
      </w:pPr>
    </w:p>
    <w:p w14:paraId="07F5DC93">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0"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w:t>
      </w:r>
      <w:r>
        <w:rPr>
          <w:rFonts w:hint="eastAsia" w:ascii="宋体" w:hAnsi="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公告</w:t>
      </w:r>
      <w:bookmarkEnd w:id="0"/>
    </w:p>
    <w:p w14:paraId="7AEF1767">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013B804">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衢州鹿鸣半岛酒店综合体</w:t>
      </w:r>
      <w:r>
        <w:rPr>
          <w:rFonts w:hint="eastAsia" w:ascii="宋体" w:hAnsi="宋体" w:eastAsia="宋体" w:cs="宋体"/>
          <w:color w:val="auto"/>
          <w:sz w:val="24"/>
          <w:szCs w:val="24"/>
          <w:highlight w:val="none"/>
          <w:u w:val="single"/>
          <w:lang w:eastAsia="zh-CN"/>
        </w:rPr>
        <w:t>项目仲裁事项专项</w:t>
      </w:r>
      <w:r>
        <w:rPr>
          <w:rFonts w:hint="eastAsia" w:ascii="宋体" w:hAnsi="宋体" w:eastAsia="宋体" w:cs="宋体"/>
          <w:color w:val="auto"/>
          <w:sz w:val="24"/>
          <w:szCs w:val="24"/>
          <w:highlight w:val="none"/>
          <w:u w:val="single"/>
          <w:lang w:val="en-US" w:eastAsia="zh-CN"/>
        </w:rPr>
        <w:t>法律</w:t>
      </w:r>
      <w:r>
        <w:rPr>
          <w:rFonts w:hint="eastAsia" w:ascii="宋体" w:hAnsi="宋体" w:eastAsia="宋体" w:cs="宋体"/>
          <w:color w:val="auto"/>
          <w:sz w:val="24"/>
          <w:szCs w:val="24"/>
          <w:highlight w:val="none"/>
          <w:u w:val="single"/>
          <w:lang w:eastAsia="zh-CN"/>
        </w:rPr>
        <w:t>服务</w:t>
      </w:r>
      <w:r>
        <w:rPr>
          <w:rFonts w:hint="eastAsia" w:ascii="宋体" w:hAnsi="宋体" w:eastAsia="宋体" w:cs="宋体"/>
          <w:color w:val="auto"/>
          <w:sz w:val="24"/>
          <w:szCs w:val="24"/>
          <w:highlight w:val="none"/>
          <w:u w:val="single"/>
          <w:lang w:val="en-US" w:eastAsia="zh-CN"/>
        </w:rPr>
        <w:t>采购</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应在政采云平台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u w:val="none"/>
        </w:rPr>
        <w:fldChar w:fldCharType="separate"/>
      </w:r>
      <w:r>
        <w:rPr>
          <w:rStyle w:val="23"/>
          <w:rFonts w:hint="eastAsia" w:ascii="宋体" w:hAnsi="宋体" w:eastAsia="宋体" w:cs="宋体"/>
          <w:snapToGrid/>
          <w:color w:val="auto"/>
          <w:kern w:val="2"/>
          <w:sz w:val="24"/>
          <w:szCs w:val="24"/>
          <w:highlight w:val="none"/>
          <w:u w:val="none"/>
        </w:rPr>
        <w:t>https://www.zcygov.cn/）获取（下载）</w:t>
      </w:r>
      <w:r>
        <w:rPr>
          <w:rStyle w:val="23"/>
          <w:rFonts w:hint="eastAsia" w:ascii="宋体" w:hAnsi="宋体" w:cs="宋体"/>
          <w:snapToGrid/>
          <w:color w:val="auto"/>
          <w:kern w:val="2"/>
          <w:sz w:val="24"/>
          <w:szCs w:val="24"/>
          <w:highlight w:val="none"/>
          <w:u w:val="none"/>
          <w:lang w:eastAsia="zh-CN"/>
        </w:rPr>
        <w:t>竞争性磋商文件</w:t>
      </w:r>
      <w:r>
        <w:rPr>
          <w:rStyle w:val="23"/>
          <w:rFonts w:hint="eastAsia" w:ascii="宋体" w:hAnsi="宋体" w:eastAsia="宋体" w:cs="宋体"/>
          <w:snapToGrid/>
          <w:color w:val="auto"/>
          <w:kern w:val="2"/>
          <w:sz w:val="24"/>
          <w:szCs w:val="24"/>
          <w:highlight w:val="none"/>
          <w:u w:val="none"/>
        </w:rPr>
        <w:t>，并于</w:t>
      </w:r>
      <w:r>
        <w:rPr>
          <w:rStyle w:val="23"/>
          <w:rFonts w:hint="eastAsia" w:ascii="宋体" w:hAnsi="宋体" w:eastAsia="宋体" w:cs="宋体"/>
          <w:snapToGrid/>
          <w:color w:val="auto"/>
          <w:kern w:val="2"/>
          <w:sz w:val="24"/>
          <w:szCs w:val="24"/>
          <w:highlight w:val="none"/>
          <w:u w:val="single"/>
        </w:rPr>
        <w:t>202</w:t>
      </w:r>
      <w:r>
        <w:rPr>
          <w:rStyle w:val="23"/>
          <w:rFonts w:hint="eastAsia" w:ascii="宋体" w:hAnsi="宋体" w:cs="宋体"/>
          <w:snapToGrid/>
          <w:color w:val="auto"/>
          <w:kern w:val="2"/>
          <w:sz w:val="24"/>
          <w:szCs w:val="24"/>
          <w:highlight w:val="none"/>
          <w:u w:val="single"/>
          <w:lang w:val="en-US" w:eastAsia="zh-CN"/>
        </w:rPr>
        <w:t>4</w:t>
      </w:r>
      <w:r>
        <w:rPr>
          <w:rStyle w:val="23"/>
          <w:rFonts w:hint="eastAsia" w:ascii="宋体" w:hAnsi="宋体" w:eastAsia="宋体" w:cs="宋体"/>
          <w:snapToGrid/>
          <w:color w:val="auto"/>
          <w:kern w:val="2"/>
          <w:sz w:val="24"/>
          <w:szCs w:val="24"/>
          <w:highlight w:val="none"/>
          <w:u w:val="single"/>
        </w:rPr>
        <w:t xml:space="preserve"> </w:t>
      </w:r>
      <w:r>
        <w:rPr>
          <w:rStyle w:val="23"/>
          <w:rFonts w:hint="eastAsia" w:ascii="宋体" w:hAnsi="宋体" w:eastAsia="宋体" w:cs="宋体"/>
          <w:snapToGrid/>
          <w:color w:val="auto"/>
          <w:kern w:val="2"/>
          <w:sz w:val="24"/>
          <w:szCs w:val="24"/>
          <w:highlight w:val="none"/>
          <w:u w:val="none"/>
        </w:rPr>
        <w:t>年</w:t>
      </w:r>
      <w:r>
        <w:rPr>
          <w:rStyle w:val="23"/>
          <w:rFonts w:hint="eastAsia" w:ascii="宋体" w:hAnsi="宋体" w:cs="宋体"/>
          <w:snapToGrid/>
          <w:color w:val="auto"/>
          <w:kern w:val="2"/>
          <w:sz w:val="24"/>
          <w:szCs w:val="24"/>
          <w:highlight w:val="none"/>
          <w:u w:val="single"/>
          <w:lang w:val="en-US" w:eastAsia="zh-CN"/>
        </w:rPr>
        <w:t xml:space="preserve"> 08</w:t>
      </w:r>
      <w:r>
        <w:rPr>
          <w:rStyle w:val="23"/>
          <w:rFonts w:hint="eastAsia" w:ascii="宋体" w:hAnsi="宋体" w:eastAsia="宋体" w:cs="宋体"/>
          <w:snapToGrid/>
          <w:color w:val="auto"/>
          <w:kern w:val="2"/>
          <w:sz w:val="24"/>
          <w:szCs w:val="24"/>
          <w:highlight w:val="none"/>
          <w:u w:val="single"/>
        </w:rPr>
        <w:t xml:space="preserve"> </w:t>
      </w:r>
      <w:r>
        <w:rPr>
          <w:rStyle w:val="23"/>
          <w:rFonts w:hint="eastAsia" w:ascii="宋体" w:hAnsi="宋体" w:eastAsia="宋体" w:cs="宋体"/>
          <w:snapToGrid/>
          <w:color w:val="auto"/>
          <w:kern w:val="2"/>
          <w:sz w:val="24"/>
          <w:szCs w:val="24"/>
          <w:highlight w:val="none"/>
          <w:u w:val="none"/>
        </w:rPr>
        <w:t>月</w:t>
      </w:r>
      <w:r>
        <w:rPr>
          <w:rStyle w:val="23"/>
          <w:rFonts w:hint="eastAsia" w:ascii="宋体" w:hAnsi="宋体" w:cs="宋体"/>
          <w:snapToGrid/>
          <w:color w:val="auto"/>
          <w:kern w:val="2"/>
          <w:sz w:val="24"/>
          <w:szCs w:val="24"/>
          <w:highlight w:val="none"/>
          <w:u w:val="single"/>
          <w:lang w:val="en-US" w:eastAsia="zh-CN"/>
        </w:rPr>
        <w:t xml:space="preserve"> 02</w:t>
      </w:r>
      <w:r>
        <w:rPr>
          <w:rStyle w:val="23"/>
          <w:rFonts w:hint="eastAsia" w:ascii="宋体" w:hAnsi="宋体" w:eastAsia="宋体" w:cs="宋体"/>
          <w:snapToGrid/>
          <w:color w:val="auto"/>
          <w:kern w:val="2"/>
          <w:sz w:val="24"/>
          <w:szCs w:val="24"/>
          <w:highlight w:val="none"/>
          <w:u w:val="single"/>
        </w:rPr>
        <w:t xml:space="preserve"> </w:t>
      </w:r>
      <w:r>
        <w:rPr>
          <w:rStyle w:val="23"/>
          <w:rFonts w:hint="eastAsia" w:ascii="宋体" w:hAnsi="宋体" w:eastAsia="宋体" w:cs="宋体"/>
          <w:snapToGrid/>
          <w:color w:val="auto"/>
          <w:kern w:val="2"/>
          <w:sz w:val="24"/>
          <w:szCs w:val="24"/>
          <w:highlight w:val="none"/>
          <w:u w:val="none"/>
        </w:rPr>
        <w:t>日</w:t>
      </w:r>
      <w:r>
        <w:rPr>
          <w:rStyle w:val="23"/>
          <w:rFonts w:hint="eastAsia" w:ascii="宋体" w:hAnsi="宋体" w:eastAsia="宋体" w:cs="宋体"/>
          <w:snapToGrid/>
          <w:color w:val="auto"/>
          <w:kern w:val="2"/>
          <w:sz w:val="24"/>
          <w:szCs w:val="24"/>
          <w:highlight w:val="none"/>
          <w:u w:val="single"/>
        </w:rPr>
        <w:t xml:space="preserve"> </w:t>
      </w:r>
      <w:r>
        <w:rPr>
          <w:rStyle w:val="23"/>
          <w:rFonts w:hint="eastAsia" w:ascii="宋体" w:hAnsi="宋体" w:cs="宋体"/>
          <w:snapToGrid/>
          <w:color w:val="auto"/>
          <w:kern w:val="2"/>
          <w:sz w:val="24"/>
          <w:szCs w:val="24"/>
          <w:highlight w:val="none"/>
          <w:u w:val="single"/>
          <w:lang w:val="en-US" w:eastAsia="zh-CN"/>
        </w:rPr>
        <w:t>09</w:t>
      </w:r>
      <w:r>
        <w:rPr>
          <w:rStyle w:val="23"/>
          <w:rFonts w:hint="eastAsia" w:ascii="宋体" w:hAnsi="宋体" w:eastAsia="宋体" w:cs="宋体"/>
          <w:snapToGrid/>
          <w:color w:val="auto"/>
          <w:kern w:val="2"/>
          <w:sz w:val="24"/>
          <w:szCs w:val="24"/>
          <w:highlight w:val="none"/>
          <w:u w:val="none"/>
        </w:rPr>
        <w:t>点</w:t>
      </w:r>
      <w:r>
        <w:rPr>
          <w:rStyle w:val="23"/>
          <w:rFonts w:hint="eastAsia" w:ascii="宋体" w:hAnsi="宋体" w:cs="宋体"/>
          <w:snapToGrid/>
          <w:color w:val="auto"/>
          <w:kern w:val="2"/>
          <w:sz w:val="24"/>
          <w:szCs w:val="24"/>
          <w:highlight w:val="none"/>
          <w:u w:val="single"/>
          <w:lang w:val="en-US" w:eastAsia="zh-CN"/>
        </w:rPr>
        <w:t>30</w:t>
      </w:r>
      <w:r>
        <w:rPr>
          <w:rStyle w:val="23"/>
          <w:rFonts w:hint="eastAsia" w:ascii="宋体" w:hAnsi="宋体" w:eastAsia="宋体" w:cs="宋体"/>
          <w:snapToGrid/>
          <w:color w:val="auto"/>
          <w:kern w:val="2"/>
          <w:sz w:val="24"/>
          <w:szCs w:val="24"/>
          <w:highlight w:val="none"/>
          <w:u w:val="none"/>
        </w:rPr>
        <w:t>分</w:t>
      </w:r>
      <w:r>
        <w:rPr>
          <w:rStyle w:val="23"/>
          <w:rFonts w:hint="eastAsia" w:ascii="宋体" w:hAnsi="宋体" w:eastAsia="宋体" w:cs="宋体"/>
          <w:bCs/>
          <w:snapToGrid/>
          <w:color w:val="auto"/>
          <w:kern w:val="2"/>
          <w:sz w:val="24"/>
          <w:szCs w:val="24"/>
          <w:highlight w:val="none"/>
          <w:u w:val="single"/>
        </w:rPr>
        <w:t>00</w:t>
      </w:r>
      <w:r>
        <w:rPr>
          <w:rStyle w:val="23"/>
          <w:rFonts w:hint="eastAsia" w:ascii="宋体" w:hAnsi="宋体" w:eastAsia="宋体" w:cs="宋体"/>
          <w:bCs/>
          <w:snapToGrid/>
          <w:color w:val="auto"/>
          <w:kern w:val="2"/>
          <w:sz w:val="24"/>
          <w:szCs w:val="24"/>
          <w:highlight w:val="none"/>
          <w:u w:val="none"/>
        </w:rPr>
        <w:t>秒</w:t>
      </w:r>
      <w:r>
        <w:rPr>
          <w:rStyle w:val="23"/>
          <w:rFonts w:hint="eastAsia" w:ascii="宋体" w:hAnsi="宋体" w:eastAsia="宋体" w:cs="宋体"/>
          <w:bCs/>
          <w:snapToGrid/>
          <w:color w:val="auto"/>
          <w:kern w:val="2"/>
          <w:sz w:val="24"/>
          <w:szCs w:val="24"/>
          <w:highlight w:val="none"/>
          <w:u w:val="none"/>
        </w:rPr>
        <w:fldChar w:fldCharType="end"/>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747B320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32C1EE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lang w:eastAsia="zh-CN"/>
        </w:rPr>
        <w:t>kxqz2024081</w:t>
      </w:r>
      <w:r>
        <w:rPr>
          <w:rFonts w:hint="eastAsia" w:ascii="宋体" w:hAnsi="宋体" w:eastAsia="宋体" w:cs="宋体"/>
          <w:b w:val="0"/>
          <w:bCs/>
          <w:color w:val="auto"/>
          <w:sz w:val="24"/>
          <w:szCs w:val="24"/>
          <w:highlight w:val="none"/>
        </w:rPr>
        <w:t xml:space="preserve"> </w:t>
      </w:r>
    </w:p>
    <w:p w14:paraId="43E641B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val="0"/>
          <w:bCs/>
          <w:color w:val="auto"/>
          <w:sz w:val="24"/>
          <w:szCs w:val="24"/>
          <w:highlight w:val="none"/>
          <w:lang w:val="en-US" w:eastAsia="zh-CN"/>
        </w:rPr>
        <w:t>衢州鹿鸣半岛酒店综合体</w:t>
      </w:r>
      <w:r>
        <w:rPr>
          <w:rFonts w:hint="eastAsia" w:ascii="宋体" w:hAnsi="宋体" w:eastAsia="宋体" w:cs="宋体"/>
          <w:b w:val="0"/>
          <w:bCs/>
          <w:color w:val="auto"/>
          <w:sz w:val="24"/>
          <w:szCs w:val="24"/>
          <w:highlight w:val="none"/>
          <w:lang w:eastAsia="zh-CN"/>
        </w:rPr>
        <w:t>项目仲裁事项专项</w:t>
      </w:r>
      <w:r>
        <w:rPr>
          <w:rFonts w:hint="eastAsia" w:ascii="宋体" w:hAnsi="宋体" w:eastAsia="宋体" w:cs="宋体"/>
          <w:b w:val="0"/>
          <w:bCs/>
          <w:color w:val="auto"/>
          <w:sz w:val="24"/>
          <w:szCs w:val="24"/>
          <w:highlight w:val="none"/>
          <w:lang w:val="en-US" w:eastAsia="zh-CN"/>
        </w:rPr>
        <w:t>法律</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lang w:val="en-US" w:eastAsia="zh-CN"/>
        </w:rPr>
        <w:t>采购</w:t>
      </w:r>
    </w:p>
    <w:p w14:paraId="55548785">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2000000</w:t>
      </w:r>
    </w:p>
    <w:p w14:paraId="17D8D32A">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1900000</w:t>
      </w:r>
      <w:r>
        <w:rPr>
          <w:rFonts w:hint="eastAsia" w:ascii="宋体" w:hAnsi="宋体" w:eastAsia="宋体" w:cs="宋体"/>
          <w:b w:val="0"/>
          <w:bCs/>
          <w:color w:val="auto"/>
          <w:sz w:val="24"/>
          <w:szCs w:val="24"/>
          <w:highlight w:val="none"/>
        </w:rPr>
        <w:t xml:space="preserve"> </w:t>
      </w:r>
    </w:p>
    <w:p w14:paraId="0DC8704D">
      <w:pPr>
        <w:pStyle w:val="4"/>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p>
    <w:tbl>
      <w:tblPr>
        <w:tblStyle w:val="20"/>
        <w:tblW w:w="5081"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7"/>
        <w:gridCol w:w="2219"/>
        <w:gridCol w:w="749"/>
        <w:gridCol w:w="778"/>
        <w:gridCol w:w="4466"/>
        <w:gridCol w:w="1076"/>
      </w:tblGrid>
      <w:tr w14:paraId="0416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273" w:type="pct"/>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64EB0223">
            <w:pPr>
              <w:snapToGrid w:val="0"/>
              <w:spacing w:line="440" w:lineRule="exact"/>
              <w:jc w:val="center"/>
              <w:outlineLvl w:val="0"/>
              <w:rPr>
                <w:rFonts w:ascii="宋体" w:hAnsi="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标项</w:t>
            </w:r>
          </w:p>
        </w:tc>
        <w:tc>
          <w:tcPr>
            <w:tcW w:w="1129" w:type="pct"/>
            <w:tcBorders>
              <w:top w:val="double" w:color="000000" w:sz="4" w:space="0"/>
              <w:left w:val="single" w:color="000000" w:sz="4" w:space="0"/>
              <w:bottom w:val="single" w:color="000000" w:sz="4" w:space="0"/>
              <w:right w:val="single" w:color="000000" w:sz="4" w:space="0"/>
            </w:tcBorders>
            <w:shd w:val="clear" w:color="auto" w:fill="FFFFFF"/>
            <w:vAlign w:val="center"/>
          </w:tcPr>
          <w:p w14:paraId="55FF6B35">
            <w:pPr>
              <w:snapToGrid w:val="0"/>
              <w:spacing w:line="440" w:lineRule="exact"/>
              <w:jc w:val="center"/>
              <w:outlineLvl w:val="0"/>
              <w:rPr>
                <w:rFonts w:ascii="宋体" w:hAnsi="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标项内容</w:t>
            </w:r>
          </w:p>
        </w:tc>
        <w:tc>
          <w:tcPr>
            <w:tcW w:w="381" w:type="pct"/>
            <w:tcBorders>
              <w:top w:val="double" w:color="000000" w:sz="4" w:space="0"/>
              <w:left w:val="single" w:color="000000" w:sz="4" w:space="0"/>
              <w:bottom w:val="single" w:color="000000" w:sz="4" w:space="0"/>
              <w:right w:val="single" w:color="000000" w:sz="4" w:space="0"/>
            </w:tcBorders>
            <w:shd w:val="clear" w:color="auto" w:fill="FFFFFF"/>
            <w:vAlign w:val="center"/>
          </w:tcPr>
          <w:p w14:paraId="71561514">
            <w:pPr>
              <w:snapToGrid w:val="0"/>
              <w:spacing w:line="440" w:lineRule="exact"/>
              <w:jc w:val="center"/>
              <w:outlineLvl w:val="0"/>
              <w:rPr>
                <w:rFonts w:ascii="宋体" w:hAnsi="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数量</w:t>
            </w:r>
          </w:p>
        </w:tc>
        <w:tc>
          <w:tcPr>
            <w:tcW w:w="396" w:type="pct"/>
            <w:tcBorders>
              <w:top w:val="double" w:color="000000" w:sz="4" w:space="0"/>
              <w:left w:val="single" w:color="000000" w:sz="4" w:space="0"/>
              <w:bottom w:val="single" w:color="000000" w:sz="4" w:space="0"/>
              <w:right w:val="single" w:color="000000" w:sz="4" w:space="0"/>
            </w:tcBorders>
            <w:shd w:val="clear" w:color="auto" w:fill="FFFFFF"/>
            <w:vAlign w:val="center"/>
          </w:tcPr>
          <w:p w14:paraId="07B12419">
            <w:pPr>
              <w:snapToGrid w:val="0"/>
              <w:spacing w:line="440" w:lineRule="exact"/>
              <w:jc w:val="center"/>
              <w:outlineLvl w:val="0"/>
              <w:rPr>
                <w:rFonts w:hint="default"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单位</w:t>
            </w:r>
          </w:p>
        </w:tc>
        <w:tc>
          <w:tcPr>
            <w:tcW w:w="2272" w:type="pct"/>
            <w:tcBorders>
              <w:top w:val="double" w:color="000000" w:sz="4" w:space="0"/>
              <w:left w:val="single" w:color="000000" w:sz="4" w:space="0"/>
              <w:bottom w:val="single" w:color="000000" w:sz="4" w:space="0"/>
              <w:right w:val="single" w:color="000000" w:sz="4" w:space="0"/>
            </w:tcBorders>
            <w:shd w:val="clear" w:color="auto" w:fill="FFFFFF"/>
            <w:vAlign w:val="center"/>
          </w:tcPr>
          <w:p w14:paraId="2E26F4E8">
            <w:pPr>
              <w:snapToGrid w:val="0"/>
              <w:spacing w:line="440" w:lineRule="exact"/>
              <w:jc w:val="center"/>
              <w:outlineLvl w:val="0"/>
              <w:rPr>
                <w:rFonts w:ascii="宋体" w:hAnsi="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简要技术、服务要求</w:t>
            </w:r>
          </w:p>
        </w:tc>
        <w:tc>
          <w:tcPr>
            <w:tcW w:w="547" w:type="pct"/>
            <w:tcBorders>
              <w:top w:val="double" w:color="000000" w:sz="4" w:space="0"/>
              <w:left w:val="single" w:color="000000" w:sz="4" w:space="0"/>
              <w:bottom w:val="single" w:color="000000" w:sz="4" w:space="0"/>
              <w:right w:val="double" w:color="000000" w:sz="4" w:space="0"/>
            </w:tcBorders>
            <w:shd w:val="clear" w:color="auto" w:fill="FFFFFF"/>
            <w:vAlign w:val="center"/>
          </w:tcPr>
          <w:p w14:paraId="422DBDDB">
            <w:pPr>
              <w:snapToGrid w:val="0"/>
              <w:spacing w:line="440" w:lineRule="exact"/>
              <w:jc w:val="center"/>
              <w:outlineLvl w:val="0"/>
              <w:rPr>
                <w:rFonts w:ascii="宋体" w:hAnsi="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14:textFill>
                  <w14:solidFill>
                    <w14:schemeClr w14:val="tx1"/>
                  </w14:solidFill>
                </w14:textFill>
              </w:rPr>
              <w:t>备注</w:t>
            </w:r>
          </w:p>
        </w:tc>
      </w:tr>
      <w:tr w14:paraId="5C6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trPr>
        <w:tc>
          <w:tcPr>
            <w:tcW w:w="273" w:type="pct"/>
            <w:tcBorders>
              <w:top w:val="single" w:color="000000" w:sz="4" w:space="0"/>
              <w:left w:val="double" w:color="000000" w:sz="4" w:space="0"/>
              <w:bottom w:val="double" w:color="000000" w:sz="4" w:space="0"/>
              <w:right w:val="single" w:color="000000" w:sz="4" w:space="0"/>
            </w:tcBorders>
            <w:shd w:val="clear" w:color="auto" w:fill="FFFFFF"/>
            <w:vAlign w:val="center"/>
          </w:tcPr>
          <w:p w14:paraId="3B08F1ED">
            <w:pPr>
              <w:snapToGrid w:val="0"/>
              <w:spacing w:line="440" w:lineRule="exact"/>
              <w:jc w:val="center"/>
              <w:outlineLvl w:val="0"/>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sz w:val="24"/>
                <w:szCs w:val="24"/>
                <w:highlight w:val="none"/>
                <w14:textFill>
                  <w14:solidFill>
                    <w14:schemeClr w14:val="tx1"/>
                  </w14:solidFill>
                </w14:textFill>
              </w:rPr>
              <w:t>1</w:t>
            </w:r>
          </w:p>
        </w:tc>
        <w:tc>
          <w:tcPr>
            <w:tcW w:w="1129" w:type="pct"/>
            <w:tcBorders>
              <w:top w:val="single" w:color="000000" w:sz="4" w:space="0"/>
              <w:left w:val="single" w:color="000000" w:sz="4" w:space="0"/>
              <w:bottom w:val="double" w:color="000000" w:sz="4" w:space="0"/>
              <w:right w:val="single" w:color="000000" w:sz="4" w:space="0"/>
            </w:tcBorders>
            <w:shd w:val="clear" w:color="auto" w:fill="FFFFFF"/>
            <w:vAlign w:val="center"/>
          </w:tcPr>
          <w:p w14:paraId="642CFD02">
            <w:pPr>
              <w:snapToGrid w:val="0"/>
              <w:spacing w:line="440" w:lineRule="exact"/>
              <w:jc w:val="center"/>
              <w:outlineLvl w:val="0"/>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sz w:val="24"/>
                <w:szCs w:val="24"/>
                <w:highlight w:val="none"/>
                <w:lang w:eastAsia="zh-CN"/>
                <w14:textFill>
                  <w14:solidFill>
                    <w14:schemeClr w14:val="tx1"/>
                  </w14:solidFill>
                </w14:textFill>
              </w:rPr>
              <w:t>衢州鹿鸣半岛酒店综合体项目仲裁事项专项法律服务采购</w:t>
            </w:r>
          </w:p>
        </w:tc>
        <w:tc>
          <w:tcPr>
            <w:tcW w:w="381" w:type="pct"/>
            <w:tcBorders>
              <w:top w:val="single" w:color="000000" w:sz="4" w:space="0"/>
              <w:left w:val="single" w:color="000000" w:sz="4" w:space="0"/>
              <w:bottom w:val="double" w:color="000000" w:sz="4" w:space="0"/>
              <w:right w:val="single" w:color="000000" w:sz="4" w:space="0"/>
            </w:tcBorders>
            <w:shd w:val="clear" w:color="auto" w:fill="FFFFFF"/>
            <w:vAlign w:val="center"/>
          </w:tcPr>
          <w:p w14:paraId="4A865F98">
            <w:pPr>
              <w:snapToGrid w:val="0"/>
              <w:spacing w:line="440" w:lineRule="exact"/>
              <w:jc w:val="center"/>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1</w:t>
            </w:r>
          </w:p>
        </w:tc>
        <w:tc>
          <w:tcPr>
            <w:tcW w:w="396" w:type="pct"/>
            <w:tcBorders>
              <w:top w:val="single" w:color="000000" w:sz="4" w:space="0"/>
              <w:left w:val="single" w:color="000000" w:sz="4" w:space="0"/>
              <w:bottom w:val="double" w:color="000000" w:sz="4" w:space="0"/>
              <w:right w:val="single" w:color="000000" w:sz="4" w:space="0"/>
            </w:tcBorders>
            <w:shd w:val="clear" w:color="auto" w:fill="FFFFFF"/>
            <w:vAlign w:val="center"/>
          </w:tcPr>
          <w:p w14:paraId="71A44528">
            <w:pPr>
              <w:spacing w:line="400" w:lineRule="exact"/>
              <w:jc w:val="center"/>
              <w:rPr>
                <w:rFonts w:hint="default" w:ascii="宋体" w:hAnsi="宋体" w:cs="宋体"/>
                <w:b w:val="0"/>
                <w:color w:val="000000" w:themeColor="text1"/>
                <w:sz w:val="24"/>
                <w:szCs w:val="24"/>
                <w:highlight w:val="none"/>
                <w:lang w:val="en-US" w:eastAsia="zh-CN"/>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项</w:t>
            </w:r>
          </w:p>
        </w:tc>
        <w:tc>
          <w:tcPr>
            <w:tcW w:w="2272" w:type="pct"/>
            <w:tcBorders>
              <w:top w:val="single" w:color="000000" w:sz="4" w:space="0"/>
              <w:left w:val="single" w:color="000000" w:sz="4" w:space="0"/>
              <w:bottom w:val="double" w:color="000000" w:sz="4" w:space="0"/>
              <w:right w:val="single" w:color="000000" w:sz="4" w:space="0"/>
            </w:tcBorders>
            <w:shd w:val="clear" w:color="auto" w:fill="FFFFFF"/>
            <w:vAlign w:val="center"/>
          </w:tcPr>
          <w:p w14:paraId="32697E4A">
            <w:pPr>
              <w:spacing w:line="400" w:lineRule="exact"/>
              <w:jc w:val="center"/>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 xml:space="preserve">为合同纠纷仲裁案件准备仲裁资料，提供法律意见，起草和审查相关法律文书，代为申请仲裁，代为调解、和解，代收法律文书，全程参与仲裁案件审理，提供仲裁事项专项法律服务，全权处理相关纠纷等        </w:t>
            </w:r>
            <w:r>
              <w:rPr>
                <w:rFonts w:hint="eastAsia" w:ascii="宋体" w:hAnsi="宋体" w:cs="宋体"/>
                <w:b w:val="0"/>
                <w:color w:val="000000" w:themeColor="text1"/>
                <w:sz w:val="24"/>
                <w:szCs w:val="24"/>
                <w:highlight w:val="none"/>
                <w14:textFill>
                  <w14:solidFill>
                    <w14:schemeClr w14:val="tx1"/>
                  </w14:solidFill>
                </w14:textFill>
              </w:rPr>
              <w:t>（详见采购文件第三章）</w:t>
            </w:r>
          </w:p>
        </w:tc>
        <w:tc>
          <w:tcPr>
            <w:tcW w:w="547" w:type="pct"/>
            <w:tcBorders>
              <w:top w:val="single" w:color="000000" w:sz="4" w:space="0"/>
              <w:left w:val="single" w:color="000000" w:sz="4" w:space="0"/>
              <w:bottom w:val="double" w:color="000000" w:sz="4" w:space="0"/>
              <w:right w:val="double" w:color="000000" w:sz="4" w:space="0"/>
            </w:tcBorders>
            <w:shd w:val="clear" w:color="auto" w:fill="FFFFFF"/>
            <w:vAlign w:val="center"/>
          </w:tcPr>
          <w:p w14:paraId="47B2518E">
            <w:pPr>
              <w:snapToGrid w:val="0"/>
              <w:spacing w:line="440" w:lineRule="exact"/>
              <w:jc w:val="center"/>
              <w:outlineLvl w:val="0"/>
              <w:rPr>
                <w:rFonts w:ascii="宋体" w:hAnsi="宋体" w:cs="宋体"/>
                <w:b w:val="0"/>
                <w:color w:val="000000" w:themeColor="text1"/>
                <w:sz w:val="24"/>
                <w:szCs w:val="24"/>
                <w:highlight w:val="none"/>
                <w14:textFill>
                  <w14:solidFill>
                    <w14:schemeClr w14:val="tx1"/>
                  </w14:solidFill>
                </w14:textFill>
              </w:rPr>
            </w:pPr>
          </w:p>
        </w:tc>
      </w:tr>
    </w:tbl>
    <w:p w14:paraId="6792EC9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合同履约期限：自合同签</w:t>
      </w:r>
      <w:r>
        <w:rPr>
          <w:rFonts w:hint="eastAsia" w:ascii="宋体" w:hAnsi="宋体" w:eastAsia="宋体" w:cs="宋体"/>
          <w:b/>
          <w:color w:val="auto"/>
          <w:sz w:val="24"/>
          <w:szCs w:val="24"/>
          <w:highlight w:val="none"/>
          <w:lang w:val="en-US" w:eastAsia="zh-CN"/>
        </w:rPr>
        <w:t>订</w:t>
      </w:r>
      <w:r>
        <w:rPr>
          <w:rFonts w:hint="eastAsia" w:ascii="宋体" w:hAnsi="宋体" w:eastAsia="宋体" w:cs="宋体"/>
          <w:b/>
          <w:color w:val="auto"/>
          <w:sz w:val="24"/>
          <w:szCs w:val="24"/>
          <w:highlight w:val="none"/>
        </w:rPr>
        <w:t>之日起至</w:t>
      </w:r>
      <w:r>
        <w:rPr>
          <w:rFonts w:hint="eastAsia" w:ascii="宋体" w:hAnsi="宋体" w:eastAsia="宋体" w:cs="宋体"/>
          <w:b/>
          <w:color w:val="auto"/>
          <w:sz w:val="24"/>
          <w:szCs w:val="24"/>
          <w:highlight w:val="none"/>
          <w:lang w:val="en-US" w:eastAsia="zh-CN"/>
        </w:rPr>
        <w:t>仲裁执行结束为止。</w:t>
      </w:r>
    </w:p>
    <w:p w14:paraId="1B1BD41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1" w:name="_Hlk101132948"/>
      <w:r>
        <w:rPr>
          <w:rFonts w:hint="eastAsia" w:ascii="宋体" w:hAnsi="宋体" w:eastAsia="宋体" w:cs="宋体"/>
          <w:b/>
          <w:color w:val="auto"/>
          <w:sz w:val="24"/>
          <w:szCs w:val="24"/>
          <w:highlight w:val="none"/>
        </w:rPr>
        <w:t>申请人的资格要求</w:t>
      </w:r>
      <w:bookmarkEnd w:id="1"/>
      <w:r>
        <w:rPr>
          <w:rFonts w:hint="eastAsia" w:ascii="宋体" w:hAnsi="宋体" w:eastAsia="宋体" w:cs="宋体"/>
          <w:b/>
          <w:color w:val="auto"/>
          <w:sz w:val="24"/>
          <w:szCs w:val="24"/>
          <w:highlight w:val="none"/>
        </w:rPr>
        <w:t>：</w:t>
      </w:r>
    </w:p>
    <w:p w14:paraId="14D00139">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E677402">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p>
    <w:p w14:paraId="1E56D7D7">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r>
        <w:rPr>
          <w:rFonts w:hint="eastAsia" w:ascii="宋体" w:hAnsi="宋体" w:eastAsia="宋体" w:cs="宋体"/>
          <w:color w:val="auto"/>
          <w:sz w:val="24"/>
          <w:szCs w:val="24"/>
          <w:highlight w:val="none"/>
        </w:rPr>
        <w:t>；</w:t>
      </w:r>
    </w:p>
    <w:p w14:paraId="2E8A6F2F">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04253436">
      <w:pPr>
        <w:keepNext w:val="0"/>
        <w:keepLines w:val="0"/>
        <w:pageBreakBefore w:val="0"/>
        <w:widowControl w:val="0"/>
        <w:kinsoku/>
        <w:wordWrap/>
        <w:overflowPunct/>
        <w:topLinePunct w:val="0"/>
        <w:autoSpaceDE/>
        <w:autoSpaceDN/>
        <w:bidi w:val="0"/>
        <w:adjustRightInd/>
        <w:spacing w:line="500" w:lineRule="exact"/>
        <w:ind w:firstLine="901" w:firstLineChars="374"/>
        <w:textAlignment w:val="auto"/>
        <w:rPr>
          <w:rFonts w:hint="eastAsia" w:ascii="宋体" w:hAnsi="宋体" w:eastAsia="宋体" w:cs="宋体"/>
          <w:color w:val="auto"/>
          <w:sz w:val="24"/>
          <w:szCs w:val="24"/>
          <w:highlight w:val="none"/>
          <w:u w:val="single"/>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全部由符合政策要求的中小企业</w:t>
      </w:r>
      <w:r>
        <w:rPr>
          <w:rFonts w:hint="eastAsia" w:ascii="宋体" w:hAnsi="宋体" w:cs="宋体"/>
          <w:color w:val="auto"/>
          <w:sz w:val="24"/>
          <w:szCs w:val="24"/>
          <w:highlight w:val="none"/>
          <w:lang w:eastAsia="zh-CN"/>
        </w:rPr>
        <w:t>承接</w:t>
      </w:r>
      <w:r>
        <w:rPr>
          <w:rFonts w:hint="eastAsia" w:ascii="宋体" w:hAnsi="宋体" w:eastAsia="宋体" w:cs="宋体"/>
          <w:color w:val="auto"/>
          <w:sz w:val="24"/>
          <w:szCs w:val="24"/>
          <w:highlight w:val="none"/>
        </w:rPr>
        <w:t>，提供中小企业声明函；</w:t>
      </w:r>
    </w:p>
    <w:p w14:paraId="29362610">
      <w:pPr>
        <w:keepNext w:val="0"/>
        <w:keepLines w:val="0"/>
        <w:pageBreakBefore w:val="0"/>
        <w:widowControl w:val="0"/>
        <w:kinsoku/>
        <w:wordWrap/>
        <w:overflowPunct/>
        <w:topLinePunct w:val="0"/>
        <w:autoSpaceDE/>
        <w:autoSpaceDN/>
        <w:bidi w:val="0"/>
        <w:adjustRightInd/>
        <w:spacing w:line="500" w:lineRule="exact"/>
        <w:ind w:firstLine="901" w:firstLineChars="374"/>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全部由符合政策要求的小微企业</w:t>
      </w:r>
      <w:r>
        <w:rPr>
          <w:rFonts w:hint="eastAsia" w:ascii="宋体" w:hAnsi="宋体" w:cs="宋体"/>
          <w:color w:val="auto"/>
          <w:sz w:val="24"/>
          <w:szCs w:val="24"/>
          <w:highlight w:val="none"/>
          <w:lang w:eastAsia="zh-CN"/>
        </w:rPr>
        <w:t>承接</w:t>
      </w:r>
      <w:r>
        <w:rPr>
          <w:rFonts w:hint="eastAsia" w:ascii="宋体" w:hAnsi="宋体" w:eastAsia="宋体" w:cs="宋体"/>
          <w:color w:val="auto"/>
          <w:sz w:val="24"/>
          <w:szCs w:val="24"/>
          <w:highlight w:val="none"/>
        </w:rPr>
        <w:t>，提供中小企业声明函；</w:t>
      </w:r>
    </w:p>
    <w:p w14:paraId="4B5A858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bookmarkStart w:id="2" w:name="_Hlk101132524"/>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bookmarkEnd w:id="2"/>
    <w:p w14:paraId="7E9208C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25DD99DE">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本项目的特定资格要求：</w:t>
      </w:r>
    </w:p>
    <w:p w14:paraId="63B44E32">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律师事务所及专职律师参加此项采购活动前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年内，未因违法执业或不规范执业受到行业主管部门行政处罚及处分。</w:t>
      </w:r>
    </w:p>
    <w:p w14:paraId="4AF41B1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具有政府司法部门颁发律师事务所执业许可证的法律服务机构。</w:t>
      </w:r>
    </w:p>
    <w:p w14:paraId="1D3745D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项目负责人须</w:t>
      </w:r>
      <w:r>
        <w:rPr>
          <w:rFonts w:hint="eastAsia" w:ascii="宋体" w:hAnsi="宋体" w:eastAsia="宋体" w:cs="宋体"/>
          <w:color w:val="auto"/>
          <w:sz w:val="24"/>
          <w:szCs w:val="24"/>
          <w:highlight w:val="none"/>
          <w:lang w:val="en-US" w:eastAsia="zh-CN"/>
        </w:rPr>
        <w:t>具有律师执业证书。</w:t>
      </w:r>
    </w:p>
    <w:p w14:paraId="2328AE1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0170CF91">
      <w:pPr>
        <w:pStyle w:val="25"/>
        <w:keepNext w:val="0"/>
        <w:keepLines w:val="0"/>
        <w:pageBreakBefore w:val="0"/>
        <w:widowControl w:val="0"/>
        <w:kinsoku/>
        <w:wordWrap/>
        <w:overflowPunct/>
        <w:topLinePunct w:val="0"/>
        <w:autoSpaceDE/>
        <w:autoSpaceDN/>
        <w:bidi w:val="0"/>
        <w:adjustRightInd/>
        <w:spacing w:line="500" w:lineRule="exact"/>
        <w:textAlignment w:val="auto"/>
        <w:rPr>
          <w:rFonts w:hint="eastAsia"/>
          <w:highlight w:val="none"/>
        </w:rPr>
      </w:pPr>
      <w:r>
        <w:rPr>
          <w:rFonts w:hint="eastAsia" w:ascii="宋体" w:hAnsi="宋体" w:cs="宋体"/>
          <w:color w:val="auto"/>
          <w:sz w:val="24"/>
          <w:szCs w:val="24"/>
          <w:highlight w:val="none"/>
          <w:lang w:val="en-US" w:eastAsia="zh-CN"/>
        </w:rPr>
        <w:t>5.本项目接受联合体投标：□是；☑否。</w:t>
      </w:r>
    </w:p>
    <w:p w14:paraId="35DE3A4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w:t>
      </w:r>
      <w:r>
        <w:rPr>
          <w:rFonts w:hint="eastAsia" w:ascii="宋体" w:hAnsi="宋体" w:cs="宋体"/>
          <w:b/>
          <w:color w:val="auto"/>
          <w:sz w:val="24"/>
          <w:szCs w:val="24"/>
          <w:highlight w:val="none"/>
          <w:lang w:eastAsia="zh-CN"/>
        </w:rPr>
        <w:t>竞争性磋商文件</w:t>
      </w:r>
      <w:r>
        <w:rPr>
          <w:rFonts w:hint="eastAsia" w:ascii="宋体" w:hAnsi="宋体" w:eastAsia="宋体" w:cs="宋体"/>
          <w:b/>
          <w:color w:val="auto"/>
          <w:sz w:val="24"/>
          <w:szCs w:val="24"/>
          <w:highlight w:val="none"/>
        </w:rPr>
        <w:t xml:space="preserve"> </w:t>
      </w:r>
    </w:p>
    <w:p w14:paraId="45082DF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cs="宋体"/>
          <w:color w:val="auto"/>
          <w:sz w:val="24"/>
          <w:szCs w:val="24"/>
          <w:highlight w:val="none"/>
          <w:lang w:val="en-US" w:eastAsia="zh-CN"/>
        </w:rPr>
        <w:t>磋商公告发布之日起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年 </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月 </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D1CFAF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1E9712C8">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供应商登录政采云平台https://www.zcygov.cn/在线申请获取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（进入“项目采购”应用，在获取</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文件菜单中选择项目，申请获取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 xml:space="preserve">）。 </w:t>
      </w:r>
    </w:p>
    <w:p w14:paraId="6D089729">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6979415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w:t>
      </w:r>
      <w:r>
        <w:rPr>
          <w:rFonts w:hint="eastAsia" w:ascii="宋体"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文件截止时间、开标时间和地点</w:t>
      </w:r>
    </w:p>
    <w:p w14:paraId="0ECBC9F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w:t>
      </w:r>
      <w:r>
        <w:rPr>
          <w:rFonts w:hint="eastAsia" w:ascii="宋体"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 xml:space="preserve"> 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分00秒</w:t>
      </w:r>
      <w:r>
        <w:rPr>
          <w:rFonts w:hint="eastAsia" w:ascii="宋体" w:hAnsi="宋体" w:eastAsia="宋体" w:cs="宋体"/>
          <w:color w:val="auto"/>
          <w:sz w:val="24"/>
          <w:szCs w:val="24"/>
          <w:highlight w:val="none"/>
        </w:rPr>
        <w:t>（北京时间）</w:t>
      </w:r>
    </w:p>
    <w:p w14:paraId="1D0DF899">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5D2198D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年</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月 </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点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分00秒</w:t>
      </w:r>
    </w:p>
    <w:p w14:paraId="720ED67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政采云平台（https://www.zcygov.cn/）</w:t>
      </w:r>
    </w:p>
    <w:p w14:paraId="5D05730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0F4EA54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5546650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4E18C90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0F887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D08A0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使自己的权益受到损害的，可以自获取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公告期限届满之日（公告期限届满后获取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2A9B0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的获取：使用账号登录或者使用CA登录政采云平台；进入“项目采购”应用，在获取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菜单中选择项目，获取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；④</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文件的制作：在“政采云电子交易客户端”中完成“填写基本信息”、“导入</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的供应商进行投标活动； ⑥对未按上述方式获取</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的供应商对该文件提出的质疑，采购人或采购代理机构将不予处理；⑦不提供</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纸质版；⑧</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文件的传输递交：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在投标截止时间前将加密的</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文件上传至政府采购云平台，</w:t>
      </w: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u w:val="single"/>
        </w:rPr>
        <w:t>还可以在投标截止时间前直接提交或者以快递方式递交备份</w:t>
      </w:r>
      <w:r>
        <w:rPr>
          <w:rFonts w:hint="eastAsia" w:ascii="宋体" w:hAnsi="宋体" w:cs="宋体"/>
          <w:color w:val="auto"/>
          <w:sz w:val="24"/>
          <w:szCs w:val="24"/>
          <w:highlight w:val="none"/>
          <w:u w:val="single"/>
          <w:lang w:eastAsia="zh-CN"/>
        </w:rPr>
        <w:t>响应</w:t>
      </w:r>
      <w:r>
        <w:rPr>
          <w:rFonts w:hint="eastAsia" w:ascii="宋体" w:hAnsi="宋体" w:eastAsia="宋体" w:cs="宋体"/>
          <w:color w:val="auto"/>
          <w:sz w:val="24"/>
          <w:szCs w:val="24"/>
          <w:highlight w:val="none"/>
          <w:u w:val="single"/>
        </w:rPr>
        <w:t>文件1份。备份</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u w:val="single"/>
        </w:rPr>
        <w:t>文件的制作、存储、密封详见</w:t>
      </w:r>
      <w:r>
        <w:rPr>
          <w:rFonts w:hint="eastAsia" w:ascii="宋体" w:hAnsi="宋体" w:cs="宋体"/>
          <w:color w:val="auto"/>
          <w:sz w:val="24"/>
          <w:szCs w:val="24"/>
          <w:highlight w:val="none"/>
          <w:u w:val="single"/>
          <w:lang w:eastAsia="zh-CN"/>
        </w:rPr>
        <w:t>竞争性磋商文件</w:t>
      </w:r>
      <w:r>
        <w:rPr>
          <w:rFonts w:hint="eastAsia" w:ascii="宋体" w:hAnsi="宋体" w:eastAsia="宋体" w:cs="宋体"/>
          <w:color w:val="auto"/>
          <w:sz w:val="24"/>
          <w:szCs w:val="24"/>
          <w:highlight w:val="none"/>
          <w:u w:val="single"/>
        </w:rPr>
        <w:t>第二部分第</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点—“备份</w:t>
      </w:r>
      <w:r>
        <w:rPr>
          <w:rFonts w:hint="eastAsia" w:ascii="宋体" w:hAnsi="宋体" w:cs="宋体"/>
          <w:color w:val="auto"/>
          <w:sz w:val="24"/>
          <w:szCs w:val="24"/>
          <w:highlight w:val="none"/>
          <w:u w:val="single"/>
          <w:lang w:eastAsia="zh-CN"/>
        </w:rPr>
        <w:t>响应</w:t>
      </w:r>
      <w:r>
        <w:rPr>
          <w:rFonts w:hint="eastAsia" w:ascii="宋体" w:hAnsi="宋体" w:eastAsia="宋体" w:cs="宋体"/>
          <w:color w:val="auto"/>
          <w:sz w:val="24"/>
          <w:szCs w:val="24"/>
          <w:highlight w:val="none"/>
          <w:u w:val="single"/>
        </w:rPr>
        <w:t>文件要求”</w:t>
      </w:r>
      <w:r>
        <w:rPr>
          <w:rFonts w:hint="eastAsia" w:ascii="宋体" w:hAnsi="宋体" w:eastAsia="宋体" w:cs="宋体"/>
          <w:color w:val="auto"/>
          <w:sz w:val="24"/>
          <w:szCs w:val="24"/>
          <w:highlight w:val="none"/>
        </w:rPr>
        <w:t>；⑨</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文件的解密：</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按照平台提示和</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的规定在半小时内完成在线解密。通过“政府采购云平台”上传递交的</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文件无法按时解密，投标供应商递交了备份</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文件的，以备份</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文件为依据，否则视为</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文件撤回。通过“政府采购云平台”上传递交的</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文件已按时解密的，备份</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文件自动失效。</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仅提交备份</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文件，未在电子交易平台传输递交</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文件的，投标无效；⑩具体操作指南：详见政采云平台“服务中心-帮助文档-项目采购-操作流程-电子招投标-政府采购项目电子交易管理操作指南-供应商”。（3）</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公告期限与招标公告的公告期限一致。</w:t>
      </w:r>
    </w:p>
    <w:p w14:paraId="2C316F7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ED3C93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7EDFFBC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衢州智慧新城管理委员会</w:t>
      </w:r>
      <w:r>
        <w:rPr>
          <w:rFonts w:hint="eastAsia" w:ascii="宋体" w:hAnsi="宋体" w:eastAsia="宋体" w:cs="宋体"/>
          <w:color w:val="auto"/>
          <w:sz w:val="24"/>
          <w:szCs w:val="24"/>
          <w:highlight w:val="none"/>
        </w:rPr>
        <w:t xml:space="preserve"> </w:t>
      </w:r>
    </w:p>
    <w:p w14:paraId="2E1E33C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址：浙江省衢州市柯城区钱江大道2号数字经济产业园C座        </w:t>
      </w:r>
    </w:p>
    <w:p w14:paraId="71C92614">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754F61D">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何先生</w:t>
      </w:r>
      <w:r>
        <w:rPr>
          <w:rFonts w:hint="eastAsia" w:ascii="宋体" w:hAnsi="宋体" w:eastAsia="宋体" w:cs="宋体"/>
          <w:color w:val="auto"/>
          <w:sz w:val="24"/>
          <w:szCs w:val="24"/>
          <w:highlight w:val="none"/>
        </w:rPr>
        <w:t xml:space="preserve">  </w:t>
      </w:r>
    </w:p>
    <w:p w14:paraId="27DB09F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0570-31165</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 xml:space="preserve"> </w:t>
      </w:r>
    </w:p>
    <w:p w14:paraId="7C2228B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eastAsia="zh-CN"/>
        </w:rPr>
        <w:t>饶女士</w:t>
      </w:r>
      <w:r>
        <w:rPr>
          <w:rFonts w:hint="eastAsia" w:ascii="宋体" w:hAnsi="宋体" w:eastAsia="宋体" w:cs="宋体"/>
          <w:color w:val="auto"/>
          <w:sz w:val="24"/>
          <w:szCs w:val="24"/>
          <w:highlight w:val="none"/>
        </w:rPr>
        <w:t xml:space="preserve"> </w:t>
      </w:r>
    </w:p>
    <w:p w14:paraId="311789C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0570-31165</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 xml:space="preserve"> </w:t>
      </w:r>
    </w:p>
    <w:p w14:paraId="3E3B865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4F82BD98">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科信联合工程咨询有限公司</w:t>
      </w:r>
    </w:p>
    <w:p w14:paraId="0EBC3A99">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衢州市柯城区花园中大道91号鑫港大厦14楼1403室</w:t>
      </w:r>
    </w:p>
    <w:p w14:paraId="69ACA27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 </w:t>
      </w:r>
      <w:r>
        <w:rPr>
          <w:rFonts w:hint="eastAsia" w:ascii="宋体" w:hAnsi="宋体" w:cs="宋体"/>
          <w:color w:val="auto"/>
          <w:sz w:val="24"/>
          <w:szCs w:val="24"/>
          <w:highlight w:val="none"/>
          <w:lang w:val="en-US" w:eastAsia="zh-CN"/>
        </w:rPr>
        <w:t>/</w:t>
      </w:r>
    </w:p>
    <w:p w14:paraId="1663E8E4">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何</w:t>
      </w:r>
      <w:r>
        <w:rPr>
          <w:rFonts w:hint="eastAsia" w:ascii="宋体" w:hAnsi="宋体" w:cs="宋体"/>
          <w:color w:val="auto"/>
          <w:sz w:val="24"/>
          <w:szCs w:val="24"/>
          <w:highlight w:val="none"/>
          <w:lang w:val="en-US" w:eastAsia="zh-CN"/>
        </w:rPr>
        <w:t>静</w:t>
      </w:r>
    </w:p>
    <w:p w14:paraId="0FAD200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项目联系方式（询问）：0570-339289</w:t>
      </w:r>
      <w:r>
        <w:rPr>
          <w:rFonts w:hint="eastAsia" w:ascii="宋体" w:hAnsi="宋体" w:cs="宋体"/>
          <w:color w:val="auto"/>
          <w:sz w:val="24"/>
          <w:szCs w:val="24"/>
          <w:highlight w:val="none"/>
          <w:lang w:val="en-US" w:eastAsia="zh-CN"/>
        </w:rPr>
        <w:t>7</w:t>
      </w:r>
    </w:p>
    <w:p w14:paraId="0C2A73A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质疑联系人：毛</w:t>
      </w:r>
      <w:r>
        <w:rPr>
          <w:rFonts w:hint="eastAsia" w:ascii="宋体" w:hAnsi="宋体" w:cs="宋体"/>
          <w:color w:val="auto"/>
          <w:sz w:val="24"/>
          <w:szCs w:val="24"/>
          <w:highlight w:val="none"/>
          <w:lang w:val="en-US" w:eastAsia="zh-CN"/>
        </w:rPr>
        <w:t>红娟</w:t>
      </w:r>
      <w:r>
        <w:rPr>
          <w:rFonts w:hint="eastAsia" w:ascii="宋体" w:hAnsi="宋体" w:eastAsia="宋体" w:cs="宋体"/>
          <w:color w:val="auto"/>
          <w:sz w:val="24"/>
          <w:szCs w:val="24"/>
          <w:highlight w:val="none"/>
        </w:rPr>
        <w:t xml:space="preserve"> </w:t>
      </w:r>
    </w:p>
    <w:p w14:paraId="2EE658B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质疑联系方式：0570</w:t>
      </w:r>
      <w:bookmarkStart w:id="98" w:name="_GoBack"/>
      <w:bookmarkEnd w:id="98"/>
      <w:r>
        <w:rPr>
          <w:rFonts w:hint="eastAsia" w:ascii="宋体" w:hAnsi="宋体" w:eastAsia="宋体" w:cs="宋体"/>
          <w:color w:val="auto"/>
          <w:sz w:val="24"/>
          <w:szCs w:val="24"/>
          <w:highlight w:val="none"/>
        </w:rPr>
        <w:t>-339289</w:t>
      </w:r>
      <w:r>
        <w:rPr>
          <w:rFonts w:hint="eastAsia" w:ascii="宋体" w:hAnsi="宋体" w:cs="宋体"/>
          <w:color w:val="auto"/>
          <w:sz w:val="24"/>
          <w:szCs w:val="24"/>
          <w:highlight w:val="none"/>
          <w:lang w:val="en-US" w:eastAsia="zh-CN"/>
        </w:rPr>
        <w:t>8</w:t>
      </w:r>
    </w:p>
    <w:p w14:paraId="59D6F73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同级政府采购监督管理部门            </w:t>
      </w:r>
    </w:p>
    <w:p w14:paraId="3C44CFF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称：衢州市财政局</w:t>
      </w:r>
    </w:p>
    <w:p w14:paraId="31113C62">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址：衢州市三江东路28号</w:t>
      </w:r>
    </w:p>
    <w:p w14:paraId="6784D916">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黄女士</w:t>
      </w:r>
    </w:p>
    <w:p w14:paraId="6DD43527">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hAnsi="宋体" w:cs="宋体"/>
          <w:color w:val="auto"/>
          <w:sz w:val="24"/>
          <w:szCs w:val="24"/>
          <w:highlight w:val="none"/>
          <w:lang w:val="en-US" w:eastAsia="zh-CN"/>
        </w:rPr>
        <w:t>19957000570</w:t>
      </w:r>
    </w:p>
    <w:p w14:paraId="154FD101">
      <w:pPr>
        <w:pStyle w:val="7"/>
        <w:ind w:left="0" w:leftChars="0" w:firstLine="0" w:firstLineChars="0"/>
        <w:rPr>
          <w:rFonts w:hint="eastAsia" w:ascii="宋体" w:hAnsi="宋体" w:eastAsia="宋体" w:cs="宋体"/>
          <w:color w:val="auto"/>
          <w:kern w:val="2"/>
          <w:sz w:val="24"/>
          <w:szCs w:val="24"/>
          <w:highlight w:val="none"/>
          <w:lang w:val="en-US" w:eastAsia="zh-CN" w:bidi="ar-SA"/>
        </w:rPr>
      </w:pPr>
    </w:p>
    <w:p w14:paraId="5CCE9127">
      <w:pPr>
        <w:pStyle w:val="7"/>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19D1AA1">
      <w:pPr>
        <w:rPr>
          <w:rFonts w:hint="eastAsia" w:ascii="宋体" w:hAnsi="宋体" w:eastAsia="宋体" w:cs="宋体"/>
          <w:color w:val="auto"/>
          <w:kern w:val="2"/>
          <w:sz w:val="24"/>
          <w:szCs w:val="24"/>
          <w:highlight w:val="none"/>
          <w:lang w:val="en-US" w:eastAsia="zh-CN" w:bidi="ar-SA"/>
        </w:rPr>
      </w:pPr>
    </w:p>
    <w:p w14:paraId="01183AAA">
      <w:pPr>
        <w:pStyle w:val="19"/>
        <w:rPr>
          <w:rFonts w:hint="eastAsia" w:ascii="宋体" w:hAnsi="宋体" w:eastAsia="宋体" w:cs="宋体"/>
          <w:color w:val="auto"/>
          <w:kern w:val="2"/>
          <w:sz w:val="24"/>
          <w:szCs w:val="24"/>
          <w:highlight w:val="none"/>
          <w:lang w:val="en-US" w:eastAsia="zh-CN" w:bidi="ar-SA"/>
        </w:rPr>
      </w:pPr>
    </w:p>
    <w:p w14:paraId="3D9E4A02">
      <w:pPr>
        <w:pStyle w:val="19"/>
        <w:rPr>
          <w:rFonts w:hint="eastAsia" w:ascii="宋体" w:hAnsi="宋体" w:eastAsia="宋体" w:cs="宋体"/>
          <w:color w:val="auto"/>
          <w:kern w:val="2"/>
          <w:sz w:val="24"/>
          <w:szCs w:val="24"/>
          <w:highlight w:val="none"/>
          <w:lang w:val="en-US" w:eastAsia="zh-CN" w:bidi="ar-SA"/>
        </w:rPr>
      </w:pPr>
    </w:p>
    <w:p w14:paraId="1FE55756">
      <w:pPr>
        <w:pStyle w:val="19"/>
        <w:rPr>
          <w:rFonts w:hint="eastAsia" w:ascii="宋体" w:hAnsi="宋体" w:eastAsia="宋体" w:cs="宋体"/>
          <w:color w:val="auto"/>
          <w:kern w:val="2"/>
          <w:sz w:val="24"/>
          <w:szCs w:val="24"/>
          <w:highlight w:val="none"/>
          <w:lang w:val="en-US" w:eastAsia="zh-CN" w:bidi="ar-SA"/>
        </w:rPr>
      </w:pPr>
    </w:p>
    <w:p w14:paraId="06E54DB2">
      <w:pPr>
        <w:pStyle w:val="19"/>
        <w:rPr>
          <w:rFonts w:hint="eastAsia" w:ascii="宋体" w:hAnsi="宋体" w:eastAsia="宋体" w:cs="宋体"/>
          <w:color w:val="auto"/>
          <w:kern w:val="2"/>
          <w:sz w:val="24"/>
          <w:szCs w:val="24"/>
          <w:highlight w:val="none"/>
          <w:lang w:val="en-US" w:eastAsia="zh-CN" w:bidi="ar-SA"/>
        </w:rPr>
      </w:pPr>
    </w:p>
    <w:p w14:paraId="04ADD8EE">
      <w:pPr>
        <w:pStyle w:val="19"/>
        <w:rPr>
          <w:rFonts w:hint="eastAsia" w:ascii="宋体" w:hAnsi="宋体" w:eastAsia="宋体" w:cs="宋体"/>
          <w:color w:val="auto"/>
          <w:kern w:val="2"/>
          <w:sz w:val="24"/>
          <w:szCs w:val="24"/>
          <w:highlight w:val="none"/>
          <w:lang w:val="en-US" w:eastAsia="zh-CN" w:bidi="ar-SA"/>
        </w:rPr>
      </w:pPr>
    </w:p>
    <w:p w14:paraId="16ED8D92">
      <w:pPr>
        <w:pStyle w:val="19"/>
        <w:rPr>
          <w:rFonts w:hint="eastAsia" w:ascii="宋体" w:hAnsi="宋体" w:eastAsia="宋体" w:cs="宋体"/>
          <w:color w:val="auto"/>
          <w:kern w:val="2"/>
          <w:sz w:val="24"/>
          <w:szCs w:val="24"/>
          <w:highlight w:val="none"/>
          <w:lang w:val="en-US" w:eastAsia="zh-CN" w:bidi="ar-SA"/>
        </w:rPr>
      </w:pPr>
    </w:p>
    <w:p w14:paraId="345A5CDE">
      <w:pPr>
        <w:pStyle w:val="19"/>
        <w:rPr>
          <w:rFonts w:hint="eastAsia" w:ascii="宋体" w:hAnsi="宋体" w:eastAsia="宋体" w:cs="宋体"/>
          <w:color w:val="auto"/>
          <w:kern w:val="2"/>
          <w:sz w:val="24"/>
          <w:szCs w:val="24"/>
          <w:highlight w:val="none"/>
          <w:lang w:val="en-US" w:eastAsia="zh-CN" w:bidi="ar-SA"/>
        </w:rPr>
      </w:pPr>
    </w:p>
    <w:p w14:paraId="19C510BB">
      <w:pPr>
        <w:pStyle w:val="19"/>
        <w:rPr>
          <w:rFonts w:hint="eastAsia" w:ascii="宋体" w:hAnsi="宋体" w:eastAsia="宋体" w:cs="宋体"/>
          <w:color w:val="auto"/>
          <w:kern w:val="2"/>
          <w:sz w:val="24"/>
          <w:szCs w:val="24"/>
          <w:highlight w:val="none"/>
          <w:lang w:val="en-US" w:eastAsia="zh-CN" w:bidi="ar-SA"/>
        </w:rPr>
      </w:pPr>
    </w:p>
    <w:p w14:paraId="13F292CE">
      <w:pPr>
        <w:pStyle w:val="19"/>
        <w:rPr>
          <w:rFonts w:hint="eastAsia" w:ascii="宋体" w:hAnsi="宋体" w:eastAsia="宋体" w:cs="宋体"/>
          <w:color w:val="auto"/>
          <w:kern w:val="2"/>
          <w:sz w:val="24"/>
          <w:szCs w:val="24"/>
          <w:highlight w:val="none"/>
          <w:lang w:val="en-US" w:eastAsia="zh-CN" w:bidi="ar-SA"/>
        </w:rPr>
      </w:pPr>
    </w:p>
    <w:p w14:paraId="057ED0FA">
      <w:pPr>
        <w:pStyle w:val="19"/>
        <w:rPr>
          <w:rFonts w:hint="eastAsia" w:ascii="宋体" w:hAnsi="宋体" w:eastAsia="宋体" w:cs="宋体"/>
          <w:color w:val="auto"/>
          <w:kern w:val="2"/>
          <w:sz w:val="24"/>
          <w:szCs w:val="24"/>
          <w:highlight w:val="none"/>
          <w:lang w:val="en-US" w:eastAsia="zh-CN" w:bidi="ar-SA"/>
        </w:rPr>
      </w:pPr>
    </w:p>
    <w:p w14:paraId="2942BAD5">
      <w:pPr>
        <w:pStyle w:val="19"/>
        <w:rPr>
          <w:rFonts w:hint="eastAsia" w:ascii="宋体" w:hAnsi="宋体" w:eastAsia="宋体" w:cs="宋体"/>
          <w:color w:val="auto"/>
          <w:kern w:val="2"/>
          <w:sz w:val="24"/>
          <w:szCs w:val="24"/>
          <w:highlight w:val="none"/>
          <w:lang w:val="en-US" w:eastAsia="zh-CN" w:bidi="ar-SA"/>
        </w:rPr>
      </w:pPr>
    </w:p>
    <w:p w14:paraId="5DE2AECB">
      <w:pPr>
        <w:pStyle w:val="19"/>
        <w:rPr>
          <w:rFonts w:hint="eastAsia" w:ascii="宋体" w:hAnsi="宋体" w:eastAsia="宋体" w:cs="宋体"/>
          <w:color w:val="auto"/>
          <w:kern w:val="2"/>
          <w:sz w:val="24"/>
          <w:szCs w:val="24"/>
          <w:highlight w:val="none"/>
          <w:lang w:val="en-US" w:eastAsia="zh-CN" w:bidi="ar-SA"/>
        </w:rPr>
      </w:pPr>
    </w:p>
    <w:p w14:paraId="606382BE">
      <w:pPr>
        <w:pStyle w:val="19"/>
        <w:rPr>
          <w:rFonts w:hint="eastAsia" w:ascii="宋体" w:hAnsi="宋体" w:eastAsia="宋体" w:cs="宋体"/>
          <w:color w:val="auto"/>
          <w:kern w:val="2"/>
          <w:sz w:val="24"/>
          <w:szCs w:val="24"/>
          <w:highlight w:val="none"/>
          <w:lang w:val="en-US" w:eastAsia="zh-CN" w:bidi="ar-SA"/>
        </w:rPr>
      </w:pPr>
    </w:p>
    <w:p w14:paraId="38E2B200">
      <w:pPr>
        <w:pStyle w:val="19"/>
        <w:rPr>
          <w:rFonts w:hint="eastAsia" w:ascii="宋体" w:hAnsi="宋体" w:eastAsia="宋体" w:cs="宋体"/>
          <w:color w:val="auto"/>
          <w:kern w:val="2"/>
          <w:sz w:val="24"/>
          <w:szCs w:val="24"/>
          <w:highlight w:val="none"/>
          <w:lang w:val="en-US" w:eastAsia="zh-CN" w:bidi="ar-SA"/>
        </w:rPr>
      </w:pPr>
    </w:p>
    <w:p w14:paraId="17FABAF4">
      <w:pPr>
        <w:pStyle w:val="19"/>
        <w:rPr>
          <w:rFonts w:hint="eastAsia" w:ascii="宋体" w:hAnsi="宋体" w:eastAsia="宋体" w:cs="宋体"/>
          <w:color w:val="auto"/>
          <w:kern w:val="2"/>
          <w:sz w:val="24"/>
          <w:szCs w:val="24"/>
          <w:highlight w:val="none"/>
          <w:lang w:val="en-US" w:eastAsia="zh-CN" w:bidi="ar-SA"/>
        </w:rPr>
      </w:pPr>
    </w:p>
    <w:p w14:paraId="2675D999">
      <w:pPr>
        <w:pStyle w:val="19"/>
        <w:rPr>
          <w:rFonts w:hint="eastAsia" w:ascii="宋体" w:hAnsi="宋体" w:eastAsia="宋体" w:cs="宋体"/>
          <w:color w:val="auto"/>
          <w:kern w:val="2"/>
          <w:sz w:val="24"/>
          <w:szCs w:val="24"/>
          <w:highlight w:val="none"/>
          <w:lang w:val="en-US" w:eastAsia="zh-CN" w:bidi="ar-SA"/>
        </w:rPr>
      </w:pPr>
    </w:p>
    <w:p w14:paraId="4E699A13">
      <w:pPr>
        <w:pStyle w:val="19"/>
        <w:rPr>
          <w:rFonts w:hint="eastAsia" w:ascii="宋体" w:hAnsi="宋体" w:eastAsia="宋体" w:cs="宋体"/>
          <w:color w:val="auto"/>
          <w:kern w:val="2"/>
          <w:sz w:val="24"/>
          <w:szCs w:val="24"/>
          <w:highlight w:val="none"/>
          <w:lang w:val="en-US" w:eastAsia="zh-CN" w:bidi="ar-SA"/>
        </w:rPr>
      </w:pPr>
    </w:p>
    <w:p w14:paraId="4C71F7AD">
      <w:pPr>
        <w:pStyle w:val="19"/>
        <w:rPr>
          <w:rFonts w:hint="eastAsia" w:ascii="宋体" w:hAnsi="宋体" w:eastAsia="宋体" w:cs="宋体"/>
          <w:color w:val="auto"/>
          <w:kern w:val="2"/>
          <w:sz w:val="24"/>
          <w:szCs w:val="24"/>
          <w:highlight w:val="none"/>
          <w:lang w:val="en-US" w:eastAsia="zh-CN" w:bidi="ar-SA"/>
        </w:rPr>
      </w:pPr>
    </w:p>
    <w:p w14:paraId="16AF02F6">
      <w:pPr>
        <w:pStyle w:val="19"/>
        <w:rPr>
          <w:rFonts w:hint="eastAsia" w:ascii="宋体" w:hAnsi="宋体" w:eastAsia="宋体" w:cs="宋体"/>
          <w:color w:val="auto"/>
          <w:kern w:val="2"/>
          <w:sz w:val="24"/>
          <w:szCs w:val="24"/>
          <w:highlight w:val="none"/>
          <w:lang w:val="en-US" w:eastAsia="zh-CN" w:bidi="ar-SA"/>
        </w:rPr>
      </w:pPr>
    </w:p>
    <w:p w14:paraId="7B9BFFFC">
      <w:pPr>
        <w:pStyle w:val="19"/>
        <w:rPr>
          <w:rFonts w:hint="eastAsia" w:ascii="宋体" w:hAnsi="宋体" w:eastAsia="宋体" w:cs="宋体"/>
          <w:color w:val="auto"/>
          <w:kern w:val="2"/>
          <w:sz w:val="24"/>
          <w:szCs w:val="24"/>
          <w:highlight w:val="none"/>
          <w:lang w:val="en-US" w:eastAsia="zh-CN" w:bidi="ar-SA"/>
        </w:rPr>
      </w:pPr>
    </w:p>
    <w:p w14:paraId="0978E45D">
      <w:pPr>
        <w:pStyle w:val="19"/>
        <w:rPr>
          <w:rFonts w:hint="eastAsia" w:ascii="宋体" w:hAnsi="宋体" w:eastAsia="宋体" w:cs="宋体"/>
          <w:color w:val="auto"/>
          <w:kern w:val="2"/>
          <w:sz w:val="24"/>
          <w:szCs w:val="24"/>
          <w:highlight w:val="none"/>
          <w:lang w:val="en-US" w:eastAsia="zh-CN" w:bidi="ar-SA"/>
        </w:rPr>
      </w:pPr>
    </w:p>
    <w:p w14:paraId="2F3D66E6">
      <w:pPr>
        <w:pStyle w:val="19"/>
        <w:rPr>
          <w:rFonts w:hint="eastAsia" w:ascii="宋体" w:hAnsi="宋体" w:eastAsia="宋体" w:cs="宋体"/>
          <w:color w:val="auto"/>
          <w:kern w:val="2"/>
          <w:sz w:val="24"/>
          <w:szCs w:val="24"/>
          <w:highlight w:val="none"/>
          <w:lang w:val="en-US" w:eastAsia="zh-CN" w:bidi="ar-SA"/>
        </w:rPr>
      </w:pPr>
    </w:p>
    <w:p w14:paraId="3119D1A5">
      <w:pPr>
        <w:pStyle w:val="3"/>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32019"/>
      <w:bookmarkStart w:id="4" w:name="_Toc8838"/>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须知前附表及投标须知</w:t>
      </w:r>
      <w:bookmarkEnd w:id="3"/>
      <w:bookmarkEnd w:id="4"/>
    </w:p>
    <w:p w14:paraId="3B60AB24">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highlight w:val="none"/>
        </w:rPr>
      </w:pPr>
      <w:r>
        <w:rPr>
          <w:rFonts w:hint="eastAsia" w:ascii="宋体" w:hAnsi="宋体" w:eastAsia="宋体" w:cs="宋体"/>
          <w:b/>
          <w:color w:val="auto"/>
          <w:sz w:val="28"/>
          <w:szCs w:val="28"/>
          <w:highlight w:val="none"/>
        </w:rPr>
        <w:t>第一部分、</w:t>
      </w:r>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p>
    <w:tbl>
      <w:tblPr>
        <w:tblStyle w:val="20"/>
        <w:tblW w:w="0" w:type="auto"/>
        <w:tblInd w:w="10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87"/>
        <w:gridCol w:w="2200"/>
        <w:gridCol w:w="6538"/>
      </w:tblGrid>
      <w:tr w14:paraId="2C88F3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tblHeader/>
        </w:trPr>
        <w:tc>
          <w:tcPr>
            <w:tcW w:w="887" w:type="dxa"/>
            <w:tcBorders>
              <w:bottom w:val="single" w:color="auto" w:sz="8" w:space="0"/>
              <w:right w:val="single" w:color="auto" w:sz="8" w:space="0"/>
            </w:tcBorders>
            <w:vAlign w:val="center"/>
          </w:tcPr>
          <w:p w14:paraId="5A241C65">
            <w:pPr>
              <w:spacing w:line="400" w:lineRule="exact"/>
              <w:jc w:val="center"/>
              <w:rPr>
                <w:rFonts w:ascii="仿宋" w:hAnsi="仿宋" w:eastAsia="仿宋" w:cs="仿宋"/>
                <w:sz w:val="24"/>
                <w:szCs w:val="24"/>
                <w:highlight w:val="none"/>
              </w:rPr>
            </w:pPr>
            <w:bookmarkStart w:id="5" w:name="_Toc18294"/>
            <w:bookmarkStart w:id="6" w:name="_Toc30763"/>
            <w:bookmarkStart w:id="7" w:name="_Toc356371431"/>
            <w:bookmarkStart w:id="8" w:name="_Toc5312"/>
            <w:bookmarkStart w:id="9" w:name="_Toc29801"/>
            <w:bookmarkStart w:id="10" w:name="_Toc9451"/>
            <w:bookmarkStart w:id="11" w:name="_Toc32117"/>
            <w:r>
              <w:rPr>
                <w:rStyle w:val="30"/>
                <w:rFonts w:hint="default" w:ascii="仿宋" w:hAnsi="仿宋" w:eastAsia="仿宋" w:cs="仿宋"/>
                <w:b/>
                <w:sz w:val="24"/>
                <w:szCs w:val="24"/>
                <w:highlight w:val="none"/>
              </w:rPr>
              <w:t>序号</w:t>
            </w:r>
          </w:p>
        </w:tc>
        <w:tc>
          <w:tcPr>
            <w:tcW w:w="2200" w:type="dxa"/>
            <w:tcBorders>
              <w:left w:val="single" w:color="auto" w:sz="8" w:space="0"/>
              <w:bottom w:val="single" w:color="auto" w:sz="8" w:space="0"/>
              <w:right w:val="single" w:color="auto" w:sz="8" w:space="0"/>
            </w:tcBorders>
            <w:vAlign w:val="center"/>
          </w:tcPr>
          <w:p w14:paraId="7DB722EF">
            <w:pPr>
              <w:spacing w:line="400" w:lineRule="exact"/>
              <w:jc w:val="center"/>
              <w:rPr>
                <w:rFonts w:ascii="仿宋" w:hAnsi="仿宋" w:eastAsia="仿宋" w:cs="仿宋"/>
                <w:sz w:val="24"/>
                <w:szCs w:val="24"/>
                <w:highlight w:val="none"/>
              </w:rPr>
            </w:pPr>
            <w:r>
              <w:rPr>
                <w:rStyle w:val="30"/>
                <w:rFonts w:hint="default" w:ascii="仿宋" w:hAnsi="仿宋" w:eastAsia="仿宋" w:cs="仿宋"/>
                <w:b/>
                <w:sz w:val="24"/>
                <w:szCs w:val="24"/>
                <w:highlight w:val="none"/>
              </w:rPr>
              <w:t>内  容</w:t>
            </w:r>
          </w:p>
        </w:tc>
        <w:tc>
          <w:tcPr>
            <w:tcW w:w="6538" w:type="dxa"/>
            <w:tcBorders>
              <w:left w:val="single" w:color="auto" w:sz="8" w:space="0"/>
              <w:bottom w:val="single" w:color="auto" w:sz="8" w:space="0"/>
            </w:tcBorders>
            <w:vAlign w:val="center"/>
          </w:tcPr>
          <w:p w14:paraId="5C087516">
            <w:pPr>
              <w:spacing w:line="400" w:lineRule="exact"/>
              <w:jc w:val="left"/>
              <w:rPr>
                <w:rFonts w:ascii="仿宋" w:hAnsi="仿宋" w:eastAsia="仿宋" w:cs="仿宋"/>
                <w:sz w:val="24"/>
                <w:szCs w:val="24"/>
                <w:highlight w:val="none"/>
              </w:rPr>
            </w:pPr>
            <w:r>
              <w:rPr>
                <w:rStyle w:val="30"/>
                <w:rFonts w:hint="default" w:ascii="仿宋" w:hAnsi="仿宋" w:eastAsia="仿宋" w:cs="仿宋"/>
                <w:b/>
                <w:sz w:val="24"/>
                <w:szCs w:val="24"/>
                <w:highlight w:val="none"/>
              </w:rPr>
              <w:t>说明与要求</w:t>
            </w:r>
          </w:p>
        </w:tc>
      </w:tr>
      <w:tr w14:paraId="7D333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887" w:type="dxa"/>
            <w:tcBorders>
              <w:top w:val="single" w:color="auto" w:sz="8" w:space="0"/>
              <w:bottom w:val="single" w:color="auto" w:sz="8" w:space="0"/>
              <w:right w:val="single" w:color="auto" w:sz="8" w:space="0"/>
            </w:tcBorders>
            <w:vAlign w:val="center"/>
          </w:tcPr>
          <w:p w14:paraId="64189C61">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1</w:t>
            </w:r>
          </w:p>
        </w:tc>
        <w:tc>
          <w:tcPr>
            <w:tcW w:w="2200" w:type="dxa"/>
            <w:tcBorders>
              <w:top w:val="single" w:color="auto" w:sz="8" w:space="0"/>
              <w:left w:val="single" w:color="auto" w:sz="8" w:space="0"/>
              <w:bottom w:val="single" w:color="auto" w:sz="8" w:space="0"/>
              <w:right w:val="single" w:color="auto" w:sz="8" w:space="0"/>
            </w:tcBorders>
            <w:vAlign w:val="center"/>
          </w:tcPr>
          <w:p w14:paraId="59580824">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项目名称</w:t>
            </w:r>
          </w:p>
        </w:tc>
        <w:tc>
          <w:tcPr>
            <w:tcW w:w="6538" w:type="dxa"/>
            <w:tcBorders>
              <w:top w:val="single" w:color="auto" w:sz="8" w:space="0"/>
              <w:left w:val="single" w:color="auto" w:sz="8" w:space="0"/>
              <w:bottom w:val="single" w:color="auto" w:sz="8" w:space="0"/>
            </w:tcBorders>
            <w:vAlign w:val="center"/>
          </w:tcPr>
          <w:p w14:paraId="6B78F663">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衢州鹿鸣半岛酒店综合体项目仲裁事项专项法律服务采购</w:t>
            </w:r>
          </w:p>
        </w:tc>
      </w:tr>
      <w:tr w14:paraId="544C2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23CBDA75">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2</w:t>
            </w:r>
          </w:p>
        </w:tc>
        <w:tc>
          <w:tcPr>
            <w:tcW w:w="2200" w:type="dxa"/>
            <w:tcBorders>
              <w:top w:val="single" w:color="auto" w:sz="8" w:space="0"/>
              <w:left w:val="single" w:color="auto" w:sz="8" w:space="0"/>
              <w:bottom w:val="single" w:color="auto" w:sz="8" w:space="0"/>
              <w:right w:val="single" w:color="auto" w:sz="8" w:space="0"/>
            </w:tcBorders>
            <w:vAlign w:val="center"/>
          </w:tcPr>
          <w:p w14:paraId="64AF906A">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采购人</w:t>
            </w:r>
          </w:p>
        </w:tc>
        <w:tc>
          <w:tcPr>
            <w:tcW w:w="6538" w:type="dxa"/>
            <w:tcBorders>
              <w:top w:val="single" w:color="auto" w:sz="8" w:space="0"/>
              <w:left w:val="single" w:color="auto" w:sz="8" w:space="0"/>
              <w:bottom w:val="single" w:color="auto" w:sz="8" w:space="0"/>
            </w:tcBorders>
            <w:vAlign w:val="center"/>
          </w:tcPr>
          <w:p w14:paraId="388260A3">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 xml:space="preserve">衢州智慧新城管理委员会 </w:t>
            </w:r>
          </w:p>
        </w:tc>
      </w:tr>
      <w:tr w14:paraId="4BFAE1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trPr>
        <w:tc>
          <w:tcPr>
            <w:tcW w:w="887" w:type="dxa"/>
            <w:tcBorders>
              <w:top w:val="single" w:color="auto" w:sz="8" w:space="0"/>
              <w:bottom w:val="single" w:color="auto" w:sz="8" w:space="0"/>
              <w:right w:val="single" w:color="auto" w:sz="8" w:space="0"/>
            </w:tcBorders>
            <w:vAlign w:val="center"/>
          </w:tcPr>
          <w:p w14:paraId="7479A643">
            <w:pPr>
              <w:pStyle w:val="9"/>
              <w:keepNext w:val="0"/>
              <w:keepLines w:val="0"/>
              <w:pageBreakBefore w:val="0"/>
              <w:widowControl w:val="0"/>
              <w:tabs>
                <w:tab w:val="center" w:pos="384"/>
                <w:tab w:val="left" w:pos="520"/>
              </w:tabs>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tcBorders>
              <w:top w:val="single" w:color="auto" w:sz="8" w:space="0"/>
              <w:left w:val="single" w:color="auto" w:sz="8" w:space="0"/>
              <w:bottom w:val="single" w:color="auto" w:sz="8" w:space="0"/>
              <w:right w:val="single" w:color="auto" w:sz="8" w:space="0"/>
            </w:tcBorders>
            <w:vAlign w:val="center"/>
          </w:tcPr>
          <w:p w14:paraId="393BB6DB">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tcBorders>
              <w:top w:val="single" w:color="auto" w:sz="8" w:space="0"/>
              <w:left w:val="single" w:color="auto" w:sz="8" w:space="0"/>
              <w:bottom w:val="single" w:color="auto" w:sz="8" w:space="0"/>
            </w:tcBorders>
            <w:vAlign w:val="center"/>
          </w:tcPr>
          <w:p w14:paraId="6F30731D">
            <w:pPr>
              <w:pStyle w:val="9"/>
              <w:keepNext w:val="0"/>
              <w:keepLines w:val="0"/>
              <w:pageBreakBefore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仲裁事项专项法律服务</w:t>
            </w:r>
            <w:r>
              <w:rPr>
                <w:rFonts w:hint="eastAsia" w:ascii="宋体" w:hAnsi="宋体" w:eastAsia="宋体" w:cs="宋体"/>
                <w:color w:val="auto"/>
                <w:sz w:val="24"/>
                <w:szCs w:val="24"/>
                <w:highlight w:val="none"/>
                <w:u w:val="single"/>
                <w:lang w:eastAsia="zh-CN"/>
              </w:rPr>
              <w:t>；</w:t>
            </w:r>
          </w:p>
          <w:p w14:paraId="56F60A9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w:t>
            </w:r>
            <w:r>
              <w:rPr>
                <w:rFonts w:hint="eastAsia"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lang w:eastAsia="zh-CN"/>
              </w:rPr>
              <w:t>行业；</w:t>
            </w:r>
          </w:p>
        </w:tc>
      </w:tr>
      <w:tr w14:paraId="588D1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C67D57C">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tcBorders>
              <w:top w:val="single" w:color="auto" w:sz="8" w:space="0"/>
              <w:left w:val="single" w:color="auto" w:sz="8" w:space="0"/>
              <w:bottom w:val="single" w:color="auto" w:sz="8" w:space="0"/>
              <w:right w:val="single" w:color="auto" w:sz="8" w:space="0"/>
            </w:tcBorders>
            <w:vAlign w:val="center"/>
          </w:tcPr>
          <w:p w14:paraId="04EC1070">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合同履约期限</w:t>
            </w:r>
          </w:p>
        </w:tc>
        <w:tc>
          <w:tcPr>
            <w:tcW w:w="6538" w:type="dxa"/>
            <w:tcBorders>
              <w:top w:val="single" w:color="auto" w:sz="8" w:space="0"/>
              <w:left w:val="single" w:color="auto" w:sz="8" w:space="0"/>
              <w:bottom w:val="single" w:color="auto" w:sz="8" w:space="0"/>
            </w:tcBorders>
            <w:vAlign w:val="center"/>
          </w:tcPr>
          <w:p w14:paraId="604108D1">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自合同签订之日起至仲裁执行结束为止。</w:t>
            </w:r>
          </w:p>
        </w:tc>
      </w:tr>
      <w:tr w14:paraId="0AEB90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616E1F6">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tcBorders>
              <w:top w:val="single" w:color="auto" w:sz="8" w:space="0"/>
              <w:left w:val="single" w:color="auto" w:sz="8" w:space="0"/>
              <w:bottom w:val="single" w:color="auto" w:sz="8" w:space="0"/>
              <w:right w:val="single" w:color="auto" w:sz="8" w:space="0"/>
            </w:tcBorders>
            <w:vAlign w:val="center"/>
          </w:tcPr>
          <w:p w14:paraId="56FFF753">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tcBorders>
              <w:top w:val="single" w:color="auto" w:sz="8" w:space="0"/>
              <w:left w:val="single" w:color="auto" w:sz="8" w:space="0"/>
              <w:bottom w:val="single" w:color="auto" w:sz="8" w:space="0"/>
            </w:tcBorders>
            <w:vAlign w:val="center"/>
          </w:tcPr>
          <w:p w14:paraId="6A3DBB4C">
            <w:pPr>
              <w:pStyle w:val="9"/>
              <w:keepNext w:val="0"/>
              <w:keepLines w:val="0"/>
              <w:pageBreakBefore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竞争性磋商</w:t>
            </w:r>
          </w:p>
        </w:tc>
      </w:tr>
      <w:tr w14:paraId="2B20D2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7ACB7B90">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tcBorders>
              <w:top w:val="single" w:color="auto" w:sz="8" w:space="0"/>
              <w:left w:val="single" w:color="auto" w:sz="8" w:space="0"/>
              <w:bottom w:val="single" w:color="auto" w:sz="8" w:space="0"/>
              <w:right w:val="single" w:color="auto" w:sz="8" w:space="0"/>
            </w:tcBorders>
            <w:vAlign w:val="center"/>
          </w:tcPr>
          <w:p w14:paraId="71FF8191">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eastAsia="zh-CN"/>
              </w:rPr>
              <w:t>评分</w:t>
            </w:r>
            <w:r>
              <w:rPr>
                <w:rFonts w:hint="eastAsia" w:ascii="宋体" w:hAnsi="宋体" w:eastAsia="宋体" w:cs="宋体"/>
                <w:color w:val="auto"/>
                <w:sz w:val="24"/>
                <w:szCs w:val="24"/>
                <w:highlight w:val="none"/>
              </w:rPr>
              <w:t>办法</w:t>
            </w:r>
          </w:p>
        </w:tc>
        <w:tc>
          <w:tcPr>
            <w:tcW w:w="6538" w:type="dxa"/>
            <w:tcBorders>
              <w:top w:val="single" w:color="auto" w:sz="8" w:space="0"/>
              <w:left w:val="single" w:color="auto" w:sz="8" w:space="0"/>
              <w:bottom w:val="single" w:color="auto" w:sz="8" w:space="0"/>
            </w:tcBorders>
            <w:vAlign w:val="center"/>
          </w:tcPr>
          <w:p w14:paraId="074FF74A">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w:t>
            </w:r>
            <w:r>
              <w:rPr>
                <w:rFonts w:hint="eastAsia" w:hAnsi="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lang w:val="en-US" w:eastAsia="zh-CN"/>
              </w:rPr>
              <w:t>的评</w:t>
            </w:r>
            <w:r>
              <w:rPr>
                <w:rFonts w:hint="eastAsia" w:hAnsi="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rPr>
              <w:t>办法采</w:t>
            </w:r>
            <w:r>
              <w:rPr>
                <w:rFonts w:hint="eastAsia" w:hAnsi="宋体" w:cs="宋体"/>
                <w:color w:val="auto"/>
                <w:kern w:val="2"/>
                <w:sz w:val="24"/>
                <w:szCs w:val="24"/>
                <w:highlight w:val="none"/>
                <w:lang w:val="en-US" w:eastAsia="zh-CN"/>
              </w:rPr>
              <w:t>用：</w:t>
            </w:r>
          </w:p>
          <w:p w14:paraId="6C9D655C">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eastAsia" w:ascii="宋体" w:hAnsi="宋体" w:eastAsia="宋体" w:cs="宋体"/>
                <w:color w:val="auto"/>
                <w:kern w:val="2"/>
                <w:sz w:val="24"/>
                <w:szCs w:val="24"/>
                <w:highlight w:val="none"/>
                <w:lang w:val="en-US" w:eastAsia="zh-CN"/>
              </w:rPr>
              <w:t>百分制综合评分法</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根据本项目</w:t>
            </w:r>
            <w:r>
              <w:rPr>
                <w:rFonts w:hint="eastAsia" w:hAnsi="宋体" w:cs="宋体"/>
                <w:color w:val="auto"/>
                <w:kern w:val="2"/>
                <w:sz w:val="24"/>
                <w:szCs w:val="24"/>
                <w:highlight w:val="none"/>
                <w:lang w:val="en-US" w:eastAsia="zh-CN"/>
              </w:rPr>
              <w:t>竞争性磋商文件</w:t>
            </w:r>
            <w:r>
              <w:rPr>
                <w:rFonts w:hint="eastAsia" w:ascii="宋体" w:hAnsi="宋体" w:eastAsia="宋体" w:cs="宋体"/>
                <w:color w:val="auto"/>
                <w:kern w:val="2"/>
                <w:sz w:val="24"/>
                <w:szCs w:val="24"/>
                <w:highlight w:val="none"/>
                <w:lang w:val="en-US" w:eastAsia="zh-CN"/>
              </w:rPr>
              <w:t>的要求，按照本办法规定的内容和分值设置，资格审查采用合格制，商务技术得分为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90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分，报价文件得分为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10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分，对供应商的</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文件中的商务技术、报价等内容进行评分，最终得出综合得分。</w:t>
            </w:r>
          </w:p>
          <w:p w14:paraId="3A81E95E">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eastAsia="宋体"/>
                <w:highlight w:val="none"/>
                <w:lang w:val="en-US" w:eastAsia="zh-CN"/>
              </w:rPr>
            </w:pP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最低</w:t>
            </w:r>
            <w:r>
              <w:rPr>
                <w:rFonts w:hint="eastAsia" w:hAnsi="宋体" w:cs="宋体"/>
                <w:color w:val="auto"/>
                <w:kern w:val="2"/>
                <w:sz w:val="24"/>
                <w:szCs w:val="24"/>
                <w:highlight w:val="none"/>
                <w:lang w:val="en-US" w:eastAsia="zh-CN"/>
              </w:rPr>
              <w:t>评</w:t>
            </w:r>
            <w:r>
              <w:rPr>
                <w:rFonts w:hint="eastAsia" w:ascii="宋体" w:hAnsi="宋体" w:eastAsia="宋体" w:cs="宋体"/>
                <w:color w:val="auto"/>
                <w:kern w:val="2"/>
                <w:sz w:val="24"/>
                <w:szCs w:val="24"/>
                <w:highlight w:val="none"/>
                <w:lang w:val="en-US" w:eastAsia="zh-CN"/>
              </w:rPr>
              <w:t>标价法</w:t>
            </w:r>
            <w:r>
              <w:rPr>
                <w:rFonts w:hint="eastAsia" w:hAnsi="宋体" w:cs="宋体"/>
                <w:color w:val="auto"/>
                <w:kern w:val="2"/>
                <w:sz w:val="24"/>
                <w:szCs w:val="24"/>
                <w:highlight w:val="none"/>
                <w:lang w:val="en-US" w:eastAsia="zh-CN"/>
              </w:rPr>
              <w:t>。</w:t>
            </w:r>
          </w:p>
        </w:tc>
      </w:tr>
      <w:tr w14:paraId="7723F9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28C60972">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tcBorders>
              <w:top w:val="single" w:color="auto" w:sz="8" w:space="0"/>
              <w:left w:val="single" w:color="auto" w:sz="8" w:space="0"/>
              <w:bottom w:val="single" w:color="auto" w:sz="8" w:space="0"/>
              <w:right w:val="single" w:color="auto" w:sz="8" w:space="0"/>
            </w:tcBorders>
            <w:vAlign w:val="center"/>
          </w:tcPr>
          <w:p w14:paraId="1C06E300">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tcBorders>
              <w:top w:val="single" w:color="auto" w:sz="8" w:space="0"/>
              <w:left w:val="single" w:color="auto" w:sz="8" w:space="0"/>
              <w:bottom w:val="single" w:color="auto" w:sz="8" w:space="0"/>
            </w:tcBorders>
            <w:vAlign w:val="center"/>
          </w:tcPr>
          <w:p w14:paraId="699FFD58">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eastAsia" w:ascii="宋体" w:hAnsi="宋体" w:eastAsia="宋体" w:cs="宋体"/>
                <w:color w:val="auto"/>
                <w:kern w:val="2"/>
                <w:sz w:val="24"/>
                <w:szCs w:val="24"/>
                <w:highlight w:val="none"/>
                <w:lang w:val="en-US" w:eastAsia="zh-CN"/>
              </w:rPr>
              <w:t>不允许</w:t>
            </w:r>
          </w:p>
          <w:p w14:paraId="40443A9D">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u w:val="single"/>
                <w:lang w:val="en-US" w:eastAsia="zh-CN"/>
              </w:rPr>
            </w:pPr>
            <w:r>
              <w:rPr>
                <w:rFonts w:hint="default" w:ascii="宋体" w:hAnsi="宋体" w:eastAsia="宋体" w:cs="宋体"/>
                <w:color w:val="auto"/>
                <w:kern w:val="2"/>
                <w:sz w:val="24"/>
                <w:szCs w:val="24"/>
                <w:highlight w:val="none"/>
                <w:lang w:val="en-US" w:eastAsia="zh-CN"/>
              </w:rPr>
              <w:sym w:font="Wingdings" w:char="00A8"/>
            </w:r>
            <w:r>
              <w:rPr>
                <w:rFonts w:hint="eastAsia" w:ascii="宋体" w:hAnsi="宋体" w:eastAsia="宋体" w:cs="宋体"/>
                <w:color w:val="auto"/>
                <w:kern w:val="2"/>
                <w:sz w:val="24"/>
                <w:szCs w:val="24"/>
                <w:highlight w:val="none"/>
                <w:lang w:val="en-US" w:eastAsia="zh-CN"/>
              </w:rPr>
              <w:t>允许  分包内容要求：</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；分包金额要求：</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w:t>
            </w:r>
          </w:p>
          <w:p w14:paraId="33A1C818">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接受分包的第三人资质要求：</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w:t>
            </w:r>
          </w:p>
        </w:tc>
      </w:tr>
      <w:tr w14:paraId="33C889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67F68B90">
            <w:pPr>
              <w:spacing w:line="276" w:lineRule="auto"/>
              <w:jc w:val="center"/>
              <w:rPr>
                <w:rFonts w:hint="eastAsia" w:ascii="宋体" w:hAnsi="宋体"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eastAsia="仿宋_GB2312"/>
                <w:color w:val="000000" w:themeColor="text1"/>
                <w:sz w:val="24"/>
                <w:highlight w:val="none"/>
                <w:lang w:val="en-US" w:eastAsia="zh-CN"/>
                <w14:textFill>
                  <w14:solidFill>
                    <w14:schemeClr w14:val="tx1"/>
                  </w14:solidFill>
                </w14:textFill>
              </w:rPr>
              <w:t>8</w:t>
            </w:r>
          </w:p>
        </w:tc>
        <w:tc>
          <w:tcPr>
            <w:tcW w:w="2200" w:type="dxa"/>
            <w:tcBorders>
              <w:top w:val="single" w:color="auto" w:sz="8" w:space="0"/>
              <w:left w:val="single" w:color="auto" w:sz="8" w:space="0"/>
              <w:bottom w:val="single" w:color="auto" w:sz="8" w:space="0"/>
              <w:right w:val="single" w:color="auto" w:sz="8" w:space="0"/>
            </w:tcBorders>
            <w:vAlign w:val="center"/>
          </w:tcPr>
          <w:p w14:paraId="1A055CD1">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踏勘现场</w:t>
            </w:r>
          </w:p>
        </w:tc>
        <w:tc>
          <w:tcPr>
            <w:tcW w:w="6538" w:type="dxa"/>
            <w:tcBorders>
              <w:top w:val="single" w:color="auto" w:sz="8" w:space="0"/>
              <w:left w:val="single" w:color="auto" w:sz="8" w:space="0"/>
              <w:bottom w:val="single" w:color="auto" w:sz="8" w:space="0"/>
            </w:tcBorders>
            <w:vAlign w:val="center"/>
          </w:tcPr>
          <w:p w14:paraId="1692A8F1">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sym w:font="Wingdings" w:char="00FE"/>
            </w:r>
            <w:r>
              <w:rPr>
                <w:rFonts w:hint="default" w:ascii="宋体" w:hAnsi="宋体" w:eastAsia="宋体" w:cs="宋体"/>
                <w:color w:val="auto"/>
                <w:kern w:val="2"/>
                <w:sz w:val="24"/>
                <w:szCs w:val="24"/>
                <w:highlight w:val="none"/>
                <w:lang w:val="en-US" w:eastAsia="zh-CN"/>
              </w:rPr>
              <w:t>不组织</w:t>
            </w:r>
            <w:r>
              <w:rPr>
                <w:rFonts w:hint="eastAsia" w:ascii="宋体" w:hAnsi="宋体" w:eastAsia="宋体" w:cs="宋体"/>
                <w:color w:val="auto"/>
                <w:kern w:val="2"/>
                <w:sz w:val="24"/>
                <w:szCs w:val="24"/>
                <w:highlight w:val="none"/>
                <w:lang w:val="en-US" w:eastAsia="zh-CN"/>
              </w:rPr>
              <w:t xml:space="preserve">  </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如有需要可</w:t>
            </w:r>
            <w:r>
              <w:rPr>
                <w:rFonts w:hint="default" w:ascii="宋体" w:hAnsi="宋体" w:eastAsia="宋体" w:cs="宋体"/>
                <w:color w:val="auto"/>
                <w:kern w:val="2"/>
                <w:sz w:val="24"/>
                <w:szCs w:val="24"/>
                <w:highlight w:val="none"/>
                <w:lang w:val="en-US" w:eastAsia="zh-CN"/>
              </w:rPr>
              <w:t>自行</w:t>
            </w:r>
            <w:r>
              <w:rPr>
                <w:rFonts w:hint="eastAsia" w:ascii="宋体" w:hAnsi="宋体" w:eastAsia="宋体" w:cs="宋体"/>
                <w:color w:val="auto"/>
                <w:kern w:val="2"/>
                <w:sz w:val="24"/>
                <w:szCs w:val="24"/>
                <w:highlight w:val="none"/>
                <w:lang w:val="en-US" w:eastAsia="zh-CN"/>
              </w:rPr>
              <w:t>前往</w:t>
            </w:r>
            <w:r>
              <w:rPr>
                <w:rFonts w:hint="default" w:ascii="宋体" w:hAnsi="宋体" w:eastAsia="宋体" w:cs="宋体"/>
                <w:color w:val="auto"/>
                <w:kern w:val="2"/>
                <w:sz w:val="24"/>
                <w:szCs w:val="24"/>
                <w:highlight w:val="none"/>
                <w:lang w:val="en-US" w:eastAsia="zh-CN"/>
              </w:rPr>
              <w:t>踏勘</w:t>
            </w:r>
            <w:r>
              <w:rPr>
                <w:rFonts w:hint="eastAsia" w:ascii="宋体" w:hAnsi="宋体" w:eastAsia="宋体" w:cs="宋体"/>
                <w:color w:val="auto"/>
                <w:kern w:val="2"/>
                <w:sz w:val="24"/>
                <w:szCs w:val="24"/>
                <w:highlight w:val="none"/>
                <w:lang w:val="en-US" w:eastAsia="zh-CN"/>
              </w:rPr>
              <w:t>，联系方式见</w:t>
            </w:r>
            <w:r>
              <w:rPr>
                <w:rFonts w:hint="eastAsia" w:hAnsi="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en-US" w:eastAsia="zh-CN"/>
              </w:rPr>
              <w:t>公告。</w:t>
            </w:r>
          </w:p>
          <w:p w14:paraId="678DD75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w:t>
            </w:r>
            <w:r>
              <w:rPr>
                <w:rFonts w:hint="default" w:ascii="宋体" w:hAnsi="宋体" w:eastAsia="宋体" w:cs="宋体"/>
                <w:color w:val="auto"/>
                <w:kern w:val="2"/>
                <w:sz w:val="24"/>
                <w:szCs w:val="24"/>
                <w:highlight w:val="none"/>
                <w:lang w:val="en-US" w:eastAsia="zh-CN"/>
              </w:rPr>
              <w:t>统一组织踏勘时间：踏勘集中地点：</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w:t>
            </w:r>
          </w:p>
        </w:tc>
      </w:tr>
      <w:tr w14:paraId="2AD84B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3FBE260E">
            <w:pPr>
              <w:spacing w:line="276" w:lineRule="auto"/>
              <w:jc w:val="center"/>
              <w:rPr>
                <w:rFonts w:hint="eastAsia" w:ascii="宋体" w:hAnsi="宋体"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eastAsia="仿宋_GB2312"/>
                <w:color w:val="000000" w:themeColor="text1"/>
                <w:sz w:val="24"/>
                <w:highlight w:val="none"/>
                <w:lang w:val="en-US" w:eastAsia="zh-CN"/>
                <w14:textFill>
                  <w14:solidFill>
                    <w14:schemeClr w14:val="tx1"/>
                  </w14:solidFill>
                </w14:textFill>
              </w:rPr>
              <w:t>9</w:t>
            </w:r>
          </w:p>
        </w:tc>
        <w:tc>
          <w:tcPr>
            <w:tcW w:w="2200" w:type="dxa"/>
            <w:tcBorders>
              <w:top w:val="single" w:color="auto" w:sz="8" w:space="0"/>
              <w:left w:val="single" w:color="auto" w:sz="8" w:space="0"/>
              <w:bottom w:val="single" w:color="auto" w:sz="8" w:space="0"/>
              <w:right w:val="single" w:color="auto" w:sz="8" w:space="0"/>
            </w:tcBorders>
            <w:vAlign w:val="center"/>
          </w:tcPr>
          <w:p w14:paraId="3D32A8F7">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投标预备</w:t>
            </w:r>
            <w:r>
              <w:rPr>
                <w:rFonts w:hint="eastAsia" w:ascii="宋体" w:hAnsi="宋体" w:eastAsia="宋体" w:cs="宋体"/>
                <w:color w:val="auto"/>
                <w:kern w:val="2"/>
                <w:sz w:val="24"/>
                <w:szCs w:val="24"/>
                <w:highlight w:val="none"/>
                <w:lang w:val="en-US" w:eastAsia="zh-CN"/>
              </w:rPr>
              <w:t>答疑会</w:t>
            </w:r>
          </w:p>
        </w:tc>
        <w:tc>
          <w:tcPr>
            <w:tcW w:w="6538" w:type="dxa"/>
            <w:tcBorders>
              <w:top w:val="single" w:color="auto" w:sz="8" w:space="0"/>
              <w:left w:val="single" w:color="auto" w:sz="8" w:space="0"/>
              <w:bottom w:val="single" w:color="auto" w:sz="8" w:space="0"/>
            </w:tcBorders>
            <w:vAlign w:val="center"/>
          </w:tcPr>
          <w:p w14:paraId="6EEA0961">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不召开</w:t>
            </w:r>
          </w:p>
          <w:p w14:paraId="03FE033D">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召开时间：召开地点：</w:t>
            </w:r>
          </w:p>
        </w:tc>
      </w:tr>
      <w:tr w14:paraId="19FB7D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055DF983">
            <w:pPr>
              <w:spacing w:line="276" w:lineRule="auto"/>
              <w:jc w:val="center"/>
              <w:rPr>
                <w:rFonts w:hint="default" w:ascii="宋体" w:hAnsi="宋体"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eastAsia="仿宋_GB2312"/>
                <w:color w:val="000000" w:themeColor="text1"/>
                <w:sz w:val="24"/>
                <w:highlight w:val="none"/>
                <w:lang w:val="en-US" w:eastAsia="zh-CN"/>
                <w14:textFill>
                  <w14:solidFill>
                    <w14:schemeClr w14:val="tx1"/>
                  </w14:solidFill>
                </w14:textFill>
              </w:rPr>
              <w:t>10</w:t>
            </w:r>
          </w:p>
        </w:tc>
        <w:tc>
          <w:tcPr>
            <w:tcW w:w="2200" w:type="dxa"/>
            <w:tcBorders>
              <w:top w:val="single" w:color="auto" w:sz="8" w:space="0"/>
              <w:left w:val="single" w:color="auto" w:sz="8" w:space="0"/>
              <w:bottom w:val="single" w:color="auto" w:sz="8" w:space="0"/>
              <w:right w:val="single" w:color="auto" w:sz="8" w:space="0"/>
            </w:tcBorders>
            <w:vAlign w:val="center"/>
          </w:tcPr>
          <w:p w14:paraId="75781E5B">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w:t>
            </w:r>
          </w:p>
          <w:p w14:paraId="114E80EC">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w:t>
            </w:r>
          </w:p>
        </w:tc>
        <w:tc>
          <w:tcPr>
            <w:tcW w:w="6538" w:type="dxa"/>
            <w:tcBorders>
              <w:top w:val="single" w:color="auto" w:sz="8" w:space="0"/>
              <w:left w:val="single" w:color="auto" w:sz="8" w:space="0"/>
              <w:bottom w:val="single" w:color="auto" w:sz="8" w:space="0"/>
            </w:tcBorders>
            <w:vAlign w:val="center"/>
          </w:tcPr>
          <w:p w14:paraId="3B8FF986">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zh-CN" w:eastAsia="zh-CN"/>
              </w:rPr>
            </w:pPr>
            <w:r>
              <w:rPr>
                <w:rFonts w:hint="default" w:ascii="宋体" w:hAnsi="宋体" w:eastAsia="宋体" w:cs="宋体"/>
                <w:color w:val="auto"/>
                <w:kern w:val="2"/>
                <w:sz w:val="24"/>
                <w:szCs w:val="24"/>
                <w:highlight w:val="none"/>
                <w:lang w:val="en-US" w:eastAsia="zh-CN"/>
              </w:rPr>
              <w:sym w:font="Wingdings" w:char="00FE"/>
            </w:r>
            <w:r>
              <w:rPr>
                <w:rFonts w:hint="eastAsia" w:ascii="宋体" w:hAnsi="宋体" w:eastAsia="宋体" w:cs="宋体"/>
                <w:color w:val="auto"/>
                <w:kern w:val="2"/>
                <w:sz w:val="24"/>
                <w:szCs w:val="24"/>
                <w:highlight w:val="none"/>
                <w:lang w:val="zh-CN" w:eastAsia="zh-CN"/>
              </w:rPr>
              <w:t>否。</w:t>
            </w:r>
          </w:p>
          <w:p w14:paraId="66E441A0">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是</w:t>
            </w:r>
            <w:r>
              <w:rPr>
                <w:rFonts w:hint="eastAsia" w:ascii="宋体" w:hAnsi="宋体" w:eastAsia="宋体" w:cs="宋体"/>
                <w:color w:val="auto"/>
                <w:kern w:val="2"/>
                <w:sz w:val="24"/>
                <w:szCs w:val="24"/>
                <w:highlight w:val="none"/>
                <w:lang w:val="en-US" w:eastAsia="zh-CN"/>
              </w:rPr>
              <w:t>。</w:t>
            </w:r>
          </w:p>
        </w:tc>
      </w:tr>
      <w:tr w14:paraId="39353C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9B15E30">
            <w:pPr>
              <w:spacing w:line="276" w:lineRule="auto"/>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2200" w:type="dxa"/>
            <w:tcBorders>
              <w:top w:val="single" w:color="auto" w:sz="8" w:space="0"/>
              <w:left w:val="single" w:color="auto" w:sz="8" w:space="0"/>
              <w:bottom w:val="single" w:color="auto" w:sz="8" w:space="0"/>
              <w:right w:val="single" w:color="auto" w:sz="8" w:space="0"/>
            </w:tcBorders>
            <w:vAlign w:val="center"/>
          </w:tcPr>
          <w:p w14:paraId="14A77407">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tcBorders>
              <w:top w:val="single" w:color="auto" w:sz="8" w:space="0"/>
              <w:left w:val="single" w:color="auto" w:sz="8" w:space="0"/>
              <w:bottom w:val="single" w:color="auto" w:sz="8" w:space="0"/>
            </w:tcBorders>
            <w:vAlign w:val="center"/>
          </w:tcPr>
          <w:p w14:paraId="0404EB35">
            <w:pPr>
              <w:pStyle w:val="9"/>
              <w:keepNext w:val="0"/>
              <w:keepLines w:val="0"/>
              <w:pageBreakBefore w:val="0"/>
              <w:kinsoku/>
              <w:wordWrap/>
              <w:overflowPunct/>
              <w:topLinePunct w:val="0"/>
              <w:autoSpaceDE/>
              <w:autoSpaceDN/>
              <w:bidi w:val="0"/>
              <w:adjustRightInd/>
              <w:snapToGrid w:val="0"/>
              <w:spacing w:line="600" w:lineRule="exact"/>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递交截止之日起90天</w:t>
            </w:r>
          </w:p>
        </w:tc>
      </w:tr>
      <w:tr w14:paraId="27FDB6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DD6805A">
            <w:pPr>
              <w:spacing w:line="276" w:lineRule="auto"/>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2200" w:type="dxa"/>
            <w:tcBorders>
              <w:top w:val="single" w:color="auto" w:sz="8" w:space="0"/>
              <w:left w:val="single" w:color="auto" w:sz="8" w:space="0"/>
              <w:bottom w:val="single" w:color="auto" w:sz="8" w:space="0"/>
              <w:right w:val="single" w:color="auto" w:sz="8" w:space="0"/>
            </w:tcBorders>
            <w:vAlign w:val="center"/>
          </w:tcPr>
          <w:p w14:paraId="12C3C6E9">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tcBorders>
              <w:top w:val="single" w:color="auto" w:sz="8" w:space="0"/>
              <w:left w:val="single" w:color="auto" w:sz="8" w:space="0"/>
              <w:bottom w:val="single" w:color="auto" w:sz="8" w:space="0"/>
            </w:tcBorders>
            <w:vAlign w:val="center"/>
          </w:tcPr>
          <w:p w14:paraId="1EC1B406">
            <w:pPr>
              <w:pStyle w:val="9"/>
              <w:keepNext w:val="0"/>
              <w:keepLines w:val="0"/>
              <w:pageBreakBefore w:val="0"/>
              <w:kinsoku/>
              <w:wordWrap/>
              <w:overflowPunct/>
              <w:topLinePunct w:val="0"/>
              <w:autoSpaceDE/>
              <w:autoSpaceDN/>
              <w:bidi w:val="0"/>
              <w:adjustRightInd/>
              <w:snapToGrid w:val="0"/>
              <w:spacing w:line="6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597F72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63EC0D1D">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13</w:t>
            </w:r>
          </w:p>
        </w:tc>
        <w:tc>
          <w:tcPr>
            <w:tcW w:w="2200" w:type="dxa"/>
            <w:tcBorders>
              <w:top w:val="single" w:color="auto" w:sz="8" w:space="0"/>
              <w:left w:val="single" w:color="auto" w:sz="8" w:space="0"/>
              <w:bottom w:val="single" w:color="auto" w:sz="8" w:space="0"/>
              <w:right w:val="single" w:color="auto" w:sz="8" w:space="0"/>
            </w:tcBorders>
            <w:vAlign w:val="center"/>
          </w:tcPr>
          <w:p w14:paraId="76CD0059">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组成和</w:t>
            </w:r>
            <w:r>
              <w:rPr>
                <w:rFonts w:hint="default" w:ascii="宋体" w:hAnsi="宋体" w:eastAsia="宋体" w:cs="宋体"/>
                <w:color w:val="auto"/>
                <w:kern w:val="2"/>
                <w:sz w:val="24"/>
                <w:szCs w:val="24"/>
                <w:highlight w:val="none"/>
                <w:lang w:val="en-US" w:eastAsia="zh-CN"/>
              </w:rPr>
              <w:t>编制</w:t>
            </w:r>
          </w:p>
        </w:tc>
        <w:tc>
          <w:tcPr>
            <w:tcW w:w="6538" w:type="dxa"/>
            <w:tcBorders>
              <w:top w:val="single" w:color="auto" w:sz="8" w:space="0"/>
              <w:left w:val="single" w:color="auto" w:sz="8" w:space="0"/>
              <w:bottom w:val="single" w:color="auto" w:sz="8" w:space="0"/>
            </w:tcBorders>
            <w:vAlign w:val="center"/>
          </w:tcPr>
          <w:p w14:paraId="493137F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本项目完整的《</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》由“资格</w:t>
            </w:r>
            <w:r>
              <w:rPr>
                <w:rFonts w:hint="eastAsia" w:hAnsi="宋体" w:cs="宋体"/>
                <w:color w:val="auto"/>
                <w:kern w:val="2"/>
                <w:sz w:val="24"/>
                <w:szCs w:val="24"/>
                <w:highlight w:val="none"/>
                <w:lang w:val="en-US" w:eastAsia="zh-CN"/>
              </w:rPr>
              <w:t>审查</w:t>
            </w:r>
            <w:r>
              <w:rPr>
                <w:rFonts w:hint="default" w:ascii="宋体" w:hAnsi="宋体" w:eastAsia="宋体" w:cs="宋体"/>
                <w:color w:val="auto"/>
                <w:kern w:val="2"/>
                <w:sz w:val="24"/>
                <w:szCs w:val="24"/>
                <w:highlight w:val="none"/>
                <w:lang w:val="en-US" w:eastAsia="zh-CN"/>
              </w:rPr>
              <w:t>文件”、“商务技术文件”和“报价文件”三个部分组成。</w:t>
            </w:r>
          </w:p>
          <w:p w14:paraId="0AE8904B">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供应商</w:t>
            </w:r>
            <w:r>
              <w:rPr>
                <w:rFonts w:hint="default" w:ascii="宋体" w:hAnsi="宋体" w:eastAsia="宋体" w:cs="宋体"/>
                <w:color w:val="auto"/>
                <w:kern w:val="2"/>
                <w:sz w:val="24"/>
                <w:szCs w:val="24"/>
                <w:highlight w:val="none"/>
                <w:lang w:val="en-US" w:eastAsia="zh-CN"/>
              </w:rPr>
              <w:t>应先安装“政采云电子交易客户端”，并按照本</w:t>
            </w:r>
            <w:r>
              <w:rPr>
                <w:rFonts w:hint="eastAsia" w:hAnsi="宋体" w:cs="宋体"/>
                <w:color w:val="auto"/>
                <w:kern w:val="2"/>
                <w:sz w:val="24"/>
                <w:szCs w:val="24"/>
                <w:highlight w:val="none"/>
                <w:lang w:val="en-US" w:eastAsia="zh-CN"/>
              </w:rPr>
              <w:t>竞争性磋商文件</w:t>
            </w:r>
            <w:r>
              <w:rPr>
                <w:rFonts w:hint="default" w:ascii="宋体" w:hAnsi="宋体" w:eastAsia="宋体" w:cs="宋体"/>
                <w:color w:val="auto"/>
                <w:kern w:val="2"/>
                <w:sz w:val="24"/>
                <w:szCs w:val="24"/>
                <w:highlight w:val="none"/>
                <w:lang w:val="en-US" w:eastAsia="zh-CN"/>
              </w:rPr>
              <w:t>和“政府采购云平台”的要求，通过“政采云电子交易客户端”编制并加密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w:t>
            </w:r>
          </w:p>
        </w:tc>
      </w:tr>
      <w:tr w14:paraId="06A214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3737AD3D">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14</w:t>
            </w:r>
          </w:p>
        </w:tc>
        <w:tc>
          <w:tcPr>
            <w:tcW w:w="2200" w:type="dxa"/>
            <w:tcBorders>
              <w:top w:val="single" w:color="auto" w:sz="8" w:space="0"/>
              <w:left w:val="single" w:color="auto" w:sz="8" w:space="0"/>
              <w:bottom w:val="single" w:color="auto" w:sz="8" w:space="0"/>
              <w:right w:val="single" w:color="auto" w:sz="8" w:space="0"/>
            </w:tcBorders>
            <w:vAlign w:val="center"/>
          </w:tcPr>
          <w:p w14:paraId="5DC2F01D">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 xml:space="preserve">的签章 </w:t>
            </w:r>
          </w:p>
        </w:tc>
        <w:tc>
          <w:tcPr>
            <w:tcW w:w="6538" w:type="dxa"/>
            <w:tcBorders>
              <w:top w:val="single" w:color="auto" w:sz="8" w:space="0"/>
              <w:left w:val="single" w:color="auto" w:sz="8" w:space="0"/>
              <w:bottom w:val="single" w:color="auto" w:sz="8" w:space="0"/>
            </w:tcBorders>
            <w:vAlign w:val="center"/>
          </w:tcPr>
          <w:p w14:paraId="6920E6D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电子签章（公章），其中法定代表人和授权代表签字（或盖章）可书面签订（或盖章）后，扫描至电子</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中上传；凡投标格式文件明确有签字盖章处均应符合。</w:t>
            </w:r>
          </w:p>
        </w:tc>
      </w:tr>
      <w:tr w14:paraId="78032F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3C453C2">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15</w:t>
            </w:r>
          </w:p>
        </w:tc>
        <w:tc>
          <w:tcPr>
            <w:tcW w:w="2200" w:type="dxa"/>
            <w:tcBorders>
              <w:top w:val="single" w:color="auto" w:sz="8" w:space="0"/>
              <w:left w:val="single" w:color="auto" w:sz="8" w:space="0"/>
              <w:bottom w:val="single" w:color="auto" w:sz="8" w:space="0"/>
              <w:right w:val="single" w:color="auto" w:sz="8" w:space="0"/>
            </w:tcBorders>
            <w:vAlign w:val="center"/>
          </w:tcPr>
          <w:p w14:paraId="02A2F5CE">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份数</w:t>
            </w:r>
          </w:p>
        </w:tc>
        <w:tc>
          <w:tcPr>
            <w:tcW w:w="6538" w:type="dxa"/>
            <w:tcBorders>
              <w:top w:val="single" w:color="auto" w:sz="8" w:space="0"/>
              <w:left w:val="single" w:color="auto" w:sz="8" w:space="0"/>
              <w:bottom w:val="single" w:color="auto" w:sz="8" w:space="0"/>
            </w:tcBorders>
            <w:vAlign w:val="center"/>
          </w:tcPr>
          <w:p w14:paraId="7439F19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（1）</w:t>
            </w: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”：在线上传递交、一份。</w:t>
            </w:r>
          </w:p>
          <w:p w14:paraId="0767021B">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（2）</w:t>
            </w: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w:t>
            </w:r>
            <w:r>
              <w:rPr>
                <w:rFonts w:hint="eastAsia" w:hAnsi="宋体" w:cs="宋体"/>
                <w:b/>
                <w:bCs/>
                <w:color w:val="auto"/>
                <w:kern w:val="2"/>
                <w:sz w:val="24"/>
                <w:szCs w:val="24"/>
                <w:highlight w:val="none"/>
                <w:u w:val="single"/>
                <w:lang w:val="en-US" w:eastAsia="zh-CN"/>
              </w:rPr>
              <w:t>（非强制要求）</w:t>
            </w:r>
            <w:r>
              <w:rPr>
                <w:rFonts w:hint="default" w:ascii="宋体" w:hAnsi="宋体" w:eastAsia="宋体" w:cs="宋体"/>
                <w:color w:val="auto"/>
                <w:kern w:val="2"/>
                <w:sz w:val="24"/>
                <w:szCs w:val="24"/>
                <w:highlight w:val="none"/>
                <w:lang w:val="en-US" w:eastAsia="zh-CN"/>
              </w:rPr>
              <w:t>：密封包装后投标截止时间前递交一份</w:t>
            </w:r>
            <w:r>
              <w:rPr>
                <w:rFonts w:hint="eastAsia" w:ascii="宋体" w:hAnsi="宋体" w:eastAsia="宋体" w:cs="宋体"/>
                <w:color w:val="auto"/>
                <w:kern w:val="2"/>
                <w:sz w:val="24"/>
                <w:szCs w:val="24"/>
                <w:highlight w:val="none"/>
                <w:lang w:val="en-US" w:eastAsia="zh-CN"/>
              </w:rPr>
              <w:t>。</w:t>
            </w:r>
          </w:p>
        </w:tc>
      </w:tr>
      <w:tr w14:paraId="37FBFC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10E43960">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16</w:t>
            </w:r>
          </w:p>
        </w:tc>
        <w:tc>
          <w:tcPr>
            <w:tcW w:w="2200" w:type="dxa"/>
            <w:tcBorders>
              <w:top w:val="single" w:color="auto" w:sz="8" w:space="0"/>
              <w:left w:val="single" w:color="auto" w:sz="8" w:space="0"/>
              <w:bottom w:val="single" w:color="auto" w:sz="8" w:space="0"/>
              <w:right w:val="single" w:color="auto" w:sz="8" w:space="0"/>
            </w:tcBorders>
            <w:vAlign w:val="center"/>
          </w:tcPr>
          <w:p w14:paraId="65A1D073">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hAnsi="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eastAsia" w:ascii="宋体" w:hAnsi="宋体" w:eastAsia="宋体" w:cs="宋体"/>
                <w:color w:val="auto"/>
                <w:kern w:val="2"/>
                <w:sz w:val="24"/>
                <w:szCs w:val="24"/>
                <w:highlight w:val="none"/>
                <w:lang w:val="en-US" w:eastAsia="zh-CN"/>
              </w:rPr>
              <w:t>备份</w:t>
            </w:r>
            <w:r>
              <w:rPr>
                <w:rFonts w:hint="eastAsia" w:hAnsi="宋体" w:cs="宋体"/>
                <w:color w:val="auto"/>
                <w:kern w:val="2"/>
                <w:sz w:val="24"/>
                <w:szCs w:val="24"/>
                <w:highlight w:val="none"/>
                <w:lang w:val="en-US" w:eastAsia="zh-CN"/>
              </w:rPr>
              <w:t>响应文件</w:t>
            </w:r>
          </w:p>
          <w:p w14:paraId="28E0A8DA">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要求</w:t>
            </w:r>
          </w:p>
        </w:tc>
        <w:tc>
          <w:tcPr>
            <w:tcW w:w="6538" w:type="dxa"/>
            <w:tcBorders>
              <w:top w:val="single" w:color="auto" w:sz="8" w:space="0"/>
              <w:left w:val="single" w:color="auto" w:sz="8" w:space="0"/>
              <w:bottom w:val="single" w:color="auto" w:sz="8" w:space="0"/>
            </w:tcBorders>
            <w:vAlign w:val="center"/>
          </w:tcPr>
          <w:p w14:paraId="2E2A229D">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文件”（与“电子加密</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文件”同时生成的数据电文形式的电子文件），“备份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文件”应当密封包装并在包装上标注投标项目名称、</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名称并加盖公章。</w:t>
            </w:r>
          </w:p>
          <w:p w14:paraId="2C53FFC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文件”接收地址为</w:t>
            </w:r>
            <w:r>
              <w:rPr>
                <w:rFonts w:hint="eastAsia" w:ascii="宋体" w:hAnsi="宋体" w:eastAsia="宋体" w:cs="宋体"/>
                <w:color w:val="auto"/>
                <w:kern w:val="2"/>
                <w:sz w:val="24"/>
                <w:szCs w:val="24"/>
                <w:highlight w:val="none"/>
                <w:u w:val="single"/>
                <w:lang w:val="en-US" w:eastAsia="zh-CN"/>
              </w:rPr>
              <w:t xml:space="preserve"> 衢州市柯城区花园中大道91号鑫港大厦14楼140</w:t>
            </w:r>
            <w:r>
              <w:rPr>
                <w:rFonts w:hint="eastAsia" w:hAnsi="宋体" w:cs="宋体"/>
                <w:color w:val="auto"/>
                <w:kern w:val="2"/>
                <w:sz w:val="24"/>
                <w:szCs w:val="24"/>
                <w:highlight w:val="none"/>
                <w:u w:val="single"/>
                <w:lang w:val="en-US" w:eastAsia="zh-CN"/>
              </w:rPr>
              <w:t>3</w:t>
            </w:r>
            <w:r>
              <w:rPr>
                <w:rFonts w:hint="eastAsia" w:ascii="宋体" w:hAnsi="宋体" w:eastAsia="宋体" w:cs="宋体"/>
                <w:color w:val="auto"/>
                <w:kern w:val="2"/>
                <w:sz w:val="24"/>
                <w:szCs w:val="24"/>
                <w:highlight w:val="none"/>
                <w:u w:val="single"/>
                <w:lang w:val="en-US" w:eastAsia="zh-CN"/>
              </w:rPr>
              <w:t xml:space="preserve">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何女士</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0570-3392898</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文件”递交截止时间为提交</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691921091@qq.com </w:t>
            </w:r>
            <w:r>
              <w:rPr>
                <w:rFonts w:hint="eastAsia" w:ascii="宋体" w:hAnsi="宋体" w:eastAsia="宋体" w:cs="宋体"/>
                <w:color w:val="auto"/>
                <w:kern w:val="2"/>
                <w:sz w:val="24"/>
                <w:szCs w:val="24"/>
                <w:highlight w:val="none"/>
                <w:lang w:val="en-US" w:eastAsia="zh-CN"/>
              </w:rPr>
              <w:t>），以便采购代理机构查询物流记录。各供应商应当确保“备份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文件”的密封包装在邮寄过程保持完好，因邮寄造成“备份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文件”密封破损而不符合</w:t>
            </w:r>
            <w:r>
              <w:rPr>
                <w:rFonts w:hint="eastAsia" w:hAnsi="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en-US" w:eastAsia="zh-CN"/>
              </w:rPr>
              <w:t>文件对“备份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文件”的密封要求、或邮寄过程中导致“备份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文件”未按</w:t>
            </w:r>
            <w:r>
              <w:rPr>
                <w:rFonts w:hint="eastAsia" w:hAnsi="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en-US" w:eastAsia="zh-CN"/>
              </w:rPr>
              <w:t>公告规定时限前送达的，代理机构将拒绝其“备份</w:t>
            </w:r>
            <w:r>
              <w:rPr>
                <w:rFonts w:hint="eastAsia" w:ascii="宋体" w:hAnsi="宋体" w:cs="宋体"/>
                <w:color w:val="auto"/>
                <w:sz w:val="24"/>
                <w:szCs w:val="24"/>
                <w:highlight w:val="none"/>
                <w:lang w:eastAsia="zh-CN"/>
              </w:rPr>
              <w:t>响应</w:t>
            </w:r>
            <w:r>
              <w:rPr>
                <w:rFonts w:hint="eastAsia" w:ascii="宋体" w:hAnsi="宋体" w:eastAsia="宋体" w:cs="宋体"/>
                <w:color w:val="auto"/>
                <w:kern w:val="2"/>
                <w:sz w:val="24"/>
                <w:szCs w:val="24"/>
                <w:highlight w:val="none"/>
                <w:lang w:val="en-US" w:eastAsia="zh-CN"/>
              </w:rPr>
              <w:t>文件”。各供应商自行考虑邮寄在途时间，“备份</w:t>
            </w:r>
            <w:r>
              <w:rPr>
                <w:rFonts w:hint="eastAsia" w:hAnsi="宋体" w:cs="宋体"/>
                <w:color w:val="auto"/>
                <w:kern w:val="2"/>
                <w:sz w:val="24"/>
                <w:szCs w:val="24"/>
                <w:highlight w:val="none"/>
                <w:lang w:val="en-US" w:eastAsia="zh-CN"/>
              </w:rPr>
              <w:t>响应文件</w:t>
            </w:r>
            <w:r>
              <w:rPr>
                <w:rFonts w:hint="eastAsia" w:ascii="宋体" w:hAnsi="宋体" w:eastAsia="宋体" w:cs="宋体"/>
                <w:color w:val="auto"/>
                <w:kern w:val="2"/>
                <w:sz w:val="24"/>
                <w:szCs w:val="24"/>
                <w:highlight w:val="none"/>
                <w:lang w:val="en-US" w:eastAsia="zh-CN"/>
              </w:rPr>
              <w:t>”送达时间以代理机构工作人员实际签收时间为准。</w:t>
            </w:r>
          </w:p>
        </w:tc>
      </w:tr>
      <w:tr w14:paraId="62A183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887" w:type="dxa"/>
            <w:tcBorders>
              <w:top w:val="single" w:color="auto" w:sz="8" w:space="0"/>
              <w:bottom w:val="single" w:color="auto" w:sz="8" w:space="0"/>
              <w:right w:val="single" w:color="auto" w:sz="8" w:space="0"/>
            </w:tcBorders>
            <w:vAlign w:val="center"/>
          </w:tcPr>
          <w:p w14:paraId="48EB7CF5">
            <w:pPr>
              <w:spacing w:line="400" w:lineRule="exact"/>
              <w:jc w:val="center"/>
              <w:rPr>
                <w:rFonts w:hint="default" w:ascii="仿宋" w:hAnsi="仿宋" w:eastAsia="仿宋" w:cs="仿宋"/>
                <w:kern w:val="2"/>
                <w:sz w:val="21"/>
                <w:szCs w:val="21"/>
                <w:highlight w:val="none"/>
                <w:lang w:val="en-US" w:eastAsia="zh-CN" w:bidi="ar-SA"/>
              </w:rPr>
            </w:pPr>
            <w:r>
              <w:rPr>
                <w:rStyle w:val="30"/>
                <w:rFonts w:hint="eastAsia" w:ascii="仿宋" w:hAnsi="仿宋" w:eastAsia="仿宋" w:cs="仿宋"/>
                <w:highlight w:val="none"/>
                <w:lang w:val="en-US" w:eastAsia="zh-CN"/>
              </w:rPr>
              <w:t>17</w:t>
            </w:r>
          </w:p>
        </w:tc>
        <w:tc>
          <w:tcPr>
            <w:tcW w:w="2200" w:type="dxa"/>
            <w:tcBorders>
              <w:top w:val="single" w:color="auto" w:sz="8" w:space="0"/>
              <w:left w:val="single" w:color="auto" w:sz="8" w:space="0"/>
              <w:bottom w:val="single" w:color="auto" w:sz="8" w:space="0"/>
              <w:right w:val="single" w:color="auto" w:sz="8" w:space="0"/>
            </w:tcBorders>
            <w:vAlign w:val="center"/>
          </w:tcPr>
          <w:p w14:paraId="1AEBC224">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eastAsia" w:ascii="宋体" w:hAnsi="宋体" w:eastAsia="宋体" w:cs="宋体"/>
                <w:color w:val="auto"/>
                <w:kern w:val="2"/>
                <w:sz w:val="24"/>
                <w:szCs w:val="24"/>
                <w:highlight w:val="none"/>
                <w:lang w:val="en-US" w:eastAsia="zh-CN"/>
              </w:rPr>
              <w:t>有效期</w:t>
            </w:r>
          </w:p>
        </w:tc>
        <w:tc>
          <w:tcPr>
            <w:tcW w:w="6538" w:type="dxa"/>
            <w:tcBorders>
              <w:top w:val="single" w:color="auto" w:sz="8" w:space="0"/>
              <w:left w:val="single" w:color="auto" w:sz="8" w:space="0"/>
              <w:bottom w:val="single" w:color="auto" w:sz="8" w:space="0"/>
            </w:tcBorders>
            <w:vAlign w:val="center"/>
          </w:tcPr>
          <w:p w14:paraId="68AFFAB8">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6D7B7C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887" w:type="dxa"/>
            <w:tcBorders>
              <w:top w:val="single" w:color="auto" w:sz="8" w:space="0"/>
              <w:bottom w:val="single" w:color="auto" w:sz="8" w:space="0"/>
              <w:right w:val="single" w:color="auto" w:sz="8" w:space="0"/>
            </w:tcBorders>
            <w:vAlign w:val="center"/>
          </w:tcPr>
          <w:p w14:paraId="25687EC2">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18</w:t>
            </w:r>
          </w:p>
        </w:tc>
        <w:tc>
          <w:tcPr>
            <w:tcW w:w="2200" w:type="dxa"/>
            <w:tcBorders>
              <w:top w:val="single" w:color="auto" w:sz="8" w:space="0"/>
              <w:left w:val="single" w:color="auto" w:sz="8" w:space="0"/>
              <w:bottom w:val="single" w:color="auto" w:sz="8" w:space="0"/>
              <w:right w:val="single" w:color="auto" w:sz="8" w:space="0"/>
            </w:tcBorders>
            <w:vAlign w:val="center"/>
          </w:tcPr>
          <w:p w14:paraId="3404EB32">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的形式</w:t>
            </w:r>
          </w:p>
        </w:tc>
        <w:tc>
          <w:tcPr>
            <w:tcW w:w="6538" w:type="dxa"/>
            <w:tcBorders>
              <w:top w:val="single" w:color="auto" w:sz="8" w:space="0"/>
              <w:left w:val="single" w:color="auto" w:sz="8" w:space="0"/>
              <w:bottom w:val="single" w:color="auto" w:sz="8" w:space="0"/>
            </w:tcBorders>
            <w:vAlign w:val="center"/>
          </w:tcPr>
          <w:p w14:paraId="16FD90B2">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w:t>
            </w:r>
            <w:r>
              <w:rPr>
                <w:rFonts w:hint="default" w:ascii="宋体" w:hAnsi="宋体" w:eastAsia="宋体" w:cs="宋体"/>
                <w:color w:val="auto"/>
                <w:kern w:val="2"/>
                <w:sz w:val="24"/>
                <w:szCs w:val="24"/>
                <w:highlight w:val="none"/>
                <w:lang w:val="en-US" w:eastAsia="zh-CN"/>
              </w:rPr>
              <w:t>电子</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文件（包括“电子加密</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文件”和“备份</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文件”，在</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文件编制完成后同时生成）；</w:t>
            </w:r>
          </w:p>
          <w:p w14:paraId="247B68C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（1）“电子加密</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文件”是指通过“政采云电子交易客户端”完成</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文件编制后生成并加密的数据电文形式的</w:t>
            </w:r>
            <w:r>
              <w:rPr>
                <w:rFonts w:hint="eastAsia" w:ascii="宋体" w:hAnsi="宋体" w:cs="宋体"/>
                <w:color w:val="auto"/>
                <w:sz w:val="24"/>
                <w:szCs w:val="24"/>
                <w:highlight w:val="none"/>
                <w:lang w:eastAsia="zh-CN"/>
              </w:rPr>
              <w:t>响应</w:t>
            </w:r>
            <w:r>
              <w:rPr>
                <w:rFonts w:hint="default" w:ascii="宋体" w:hAnsi="宋体" w:eastAsia="宋体" w:cs="宋体"/>
                <w:color w:val="auto"/>
                <w:kern w:val="2"/>
                <w:sz w:val="24"/>
                <w:szCs w:val="24"/>
                <w:highlight w:val="none"/>
                <w:lang w:val="en-US" w:eastAsia="zh-CN"/>
              </w:rPr>
              <w:t>文件。</w:t>
            </w:r>
          </w:p>
          <w:p w14:paraId="6E26E852">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（2）“备份</w:t>
            </w:r>
            <w:r>
              <w:rPr>
                <w:rFonts w:hint="eastAsia" w:ascii="宋体" w:hAnsi="宋体" w:eastAsia="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”是指与“电子加密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”同时生成的数据电文形式的电子文件（备份标书），其他方式编制的备份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视为无效备份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w:t>
            </w:r>
          </w:p>
        </w:tc>
      </w:tr>
      <w:tr w14:paraId="65A7F7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887" w:type="dxa"/>
            <w:tcBorders>
              <w:top w:val="single" w:color="auto" w:sz="8" w:space="0"/>
              <w:bottom w:val="single" w:color="auto" w:sz="8" w:space="0"/>
              <w:right w:val="single" w:color="auto" w:sz="8" w:space="0"/>
            </w:tcBorders>
            <w:vAlign w:val="center"/>
          </w:tcPr>
          <w:p w14:paraId="022EE72D">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19</w:t>
            </w:r>
          </w:p>
        </w:tc>
        <w:tc>
          <w:tcPr>
            <w:tcW w:w="2200" w:type="dxa"/>
            <w:tcBorders>
              <w:top w:val="single" w:color="auto" w:sz="8" w:space="0"/>
              <w:left w:val="single" w:color="auto" w:sz="8" w:space="0"/>
              <w:bottom w:val="single" w:color="auto" w:sz="8" w:space="0"/>
              <w:right w:val="single" w:color="auto" w:sz="8" w:space="0"/>
            </w:tcBorders>
            <w:vAlign w:val="center"/>
          </w:tcPr>
          <w:p w14:paraId="6744015B">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的上传和递交</w:t>
            </w:r>
          </w:p>
        </w:tc>
        <w:tc>
          <w:tcPr>
            <w:tcW w:w="6538" w:type="dxa"/>
            <w:tcBorders>
              <w:top w:val="single" w:color="auto" w:sz="8" w:space="0"/>
              <w:left w:val="single" w:color="auto" w:sz="8" w:space="0"/>
              <w:bottom w:val="single" w:color="auto" w:sz="8" w:space="0"/>
            </w:tcBorders>
            <w:vAlign w:val="center"/>
          </w:tcPr>
          <w:p w14:paraId="443590F0">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（1）“电子加密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”的上传、递交：</w:t>
            </w:r>
          </w:p>
          <w:p w14:paraId="68F4280E">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a.投标供应商应在投标截止时间前将“电子加密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”成功上传递交至“政采云平台”，否则投标无效。</w:t>
            </w:r>
          </w:p>
          <w:p w14:paraId="30077621">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b.“电子加密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”成功上传递交后，供应商可自行打印</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接收回执。</w:t>
            </w:r>
          </w:p>
          <w:p w14:paraId="121637FB">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b/>
                <w:color w:val="auto"/>
                <w:sz w:val="24"/>
                <w:szCs w:val="24"/>
                <w:highlight w:val="none"/>
                <w:lang w:eastAsia="zh-CN"/>
              </w:rPr>
              <w:t>☑</w:t>
            </w:r>
            <w:r>
              <w:rPr>
                <w:rFonts w:hint="default" w:ascii="宋体" w:hAnsi="宋体" w:eastAsia="宋体" w:cs="宋体"/>
                <w:color w:val="auto"/>
                <w:kern w:val="2"/>
                <w:sz w:val="24"/>
                <w:szCs w:val="24"/>
                <w:highlight w:val="none"/>
                <w:lang w:val="en-US" w:eastAsia="zh-CN"/>
              </w:rPr>
              <w:t>（2）“备份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”递交：</w:t>
            </w:r>
          </w:p>
          <w:p w14:paraId="562B6C5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a.“备份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default" w:ascii="宋体" w:hAnsi="宋体" w:eastAsia="宋体" w:cs="宋体"/>
                <w:color w:val="auto"/>
                <w:kern w:val="2"/>
                <w:sz w:val="24"/>
                <w:szCs w:val="24"/>
                <w:highlight w:val="none"/>
                <w:lang w:val="en-US" w:eastAsia="zh-CN"/>
              </w:rPr>
              <w:t>供应商在系统里上传好加密标书后，可以在投标截止时间前将系统生成的备份标书（后缀格式为.bfbs）</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备份</w:t>
            </w:r>
            <w:r>
              <w:rPr>
                <w:rFonts w:hint="eastAsia" w:hAnsi="宋体" w:cs="宋体"/>
                <w:color w:val="auto"/>
                <w:kern w:val="2"/>
                <w:sz w:val="24"/>
                <w:szCs w:val="24"/>
                <w:highlight w:val="none"/>
                <w:lang w:val="en-US" w:eastAsia="zh-CN"/>
              </w:rPr>
              <w:t>响应文件</w:t>
            </w:r>
            <w:r>
              <w:rPr>
                <w:rFonts w:hint="eastAsia" w:ascii="宋体" w:hAnsi="宋体" w:eastAsia="宋体" w:cs="宋体"/>
                <w:color w:val="auto"/>
                <w:kern w:val="2"/>
                <w:sz w:val="24"/>
                <w:szCs w:val="24"/>
                <w:highlight w:val="none"/>
                <w:lang w:val="en-US" w:eastAsia="zh-CN"/>
              </w:rPr>
              <w:t>要求详见投标须知前附表第1</w:t>
            </w:r>
            <w:r>
              <w:rPr>
                <w:rFonts w:hint="eastAsia"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条。</w:t>
            </w:r>
            <w:r>
              <w:rPr>
                <w:rFonts w:hint="default" w:ascii="宋体" w:hAnsi="宋体" w:eastAsia="宋体" w:cs="宋体"/>
                <w:color w:val="auto"/>
                <w:kern w:val="2"/>
                <w:sz w:val="24"/>
                <w:szCs w:val="24"/>
                <w:highlight w:val="none"/>
                <w:lang w:val="en-US" w:eastAsia="zh-CN"/>
              </w:rPr>
              <w:fldChar w:fldCharType="end"/>
            </w:r>
          </w:p>
          <w:p w14:paraId="24394C2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b.通过“政府采购云平台”上传递交的“电子加密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”无法按时解密，投标供应商递交了备份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的，以备份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为依据，否则视为</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撤回。 通过“政府采购云平台”上传递交的“电子加密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”已按时解密的，“备份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”自动失效。投标供应商仅递交备份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的，投标无效；</w:t>
            </w:r>
          </w:p>
          <w:p w14:paraId="43AFA1A0">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供应商需保证上传的电子加密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与提交的备份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必须同时生成且内容完全一致</w:t>
            </w:r>
            <w:r>
              <w:rPr>
                <w:rFonts w:hint="eastAsia" w:hAnsi="宋体" w:cs="宋体"/>
                <w:color w:val="auto"/>
                <w:kern w:val="2"/>
                <w:sz w:val="24"/>
                <w:szCs w:val="24"/>
                <w:highlight w:val="none"/>
                <w:lang w:val="en-US" w:eastAsia="zh-CN"/>
              </w:rPr>
              <w:t>。</w:t>
            </w:r>
          </w:p>
        </w:tc>
      </w:tr>
      <w:tr w14:paraId="3DBF64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887" w:type="dxa"/>
            <w:tcBorders>
              <w:top w:val="single" w:color="auto" w:sz="8" w:space="0"/>
              <w:left w:val="single" w:color="auto" w:sz="12" w:space="0"/>
              <w:bottom w:val="single" w:color="auto" w:sz="8" w:space="0"/>
              <w:right w:val="single" w:color="auto" w:sz="8" w:space="0"/>
            </w:tcBorders>
            <w:vAlign w:val="center"/>
          </w:tcPr>
          <w:p w14:paraId="4E9D7712">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20</w:t>
            </w:r>
          </w:p>
        </w:tc>
        <w:tc>
          <w:tcPr>
            <w:tcW w:w="2200" w:type="dxa"/>
            <w:tcBorders>
              <w:top w:val="single" w:color="auto" w:sz="8" w:space="0"/>
              <w:left w:val="single" w:color="auto" w:sz="8" w:space="0"/>
              <w:bottom w:val="single" w:color="auto" w:sz="8" w:space="0"/>
              <w:right w:val="single" w:color="auto" w:sz="8" w:space="0"/>
            </w:tcBorders>
            <w:vAlign w:val="center"/>
          </w:tcPr>
          <w:p w14:paraId="45F2BBAB">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的解密和异常情况处理</w:t>
            </w:r>
          </w:p>
        </w:tc>
        <w:tc>
          <w:tcPr>
            <w:tcW w:w="6538" w:type="dxa"/>
            <w:tcBorders>
              <w:top w:val="single" w:color="auto" w:sz="8" w:space="0"/>
              <w:left w:val="single" w:color="auto" w:sz="8" w:space="0"/>
              <w:bottom w:val="single" w:color="auto" w:sz="8" w:space="0"/>
              <w:right w:val="single" w:color="auto" w:sz="12" w:space="0"/>
            </w:tcBorders>
            <w:vAlign w:val="center"/>
          </w:tcPr>
          <w:p w14:paraId="42BAAD9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（1）开标后，采购组织机构将向各投标供应商发出“电子加密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”的解密通知，各投标供应商代表应当在接到解密通知后30分钟内自行完成“电子加密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”的在线解密。</w:t>
            </w:r>
          </w:p>
          <w:p w14:paraId="3DA31FB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（2）通过“政采云平台”成功上传递交的“电子加密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”无法按时解密，投标供应商如按规定递交了“备份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”的，以“备份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”为依据（由采购组织机构按“政采云平台”操作规范将“备份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”上传至“政采云平台”，上传成功后，“电子加密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”自动失效），否则视为</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撤回。</w:t>
            </w:r>
          </w:p>
          <w:p w14:paraId="0C72935D">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（3）投标截止时间前，投标供应商仅递交了“备份</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”而未将电子加密</w:t>
            </w:r>
            <w:r>
              <w:rPr>
                <w:rFonts w:hint="eastAsia" w:hAnsi="宋体" w:cs="宋体"/>
                <w:color w:val="auto"/>
                <w:kern w:val="2"/>
                <w:sz w:val="24"/>
                <w:szCs w:val="24"/>
                <w:highlight w:val="none"/>
                <w:lang w:val="en-US" w:eastAsia="zh-CN"/>
              </w:rPr>
              <w:t>响应文件</w:t>
            </w:r>
            <w:r>
              <w:rPr>
                <w:rFonts w:hint="default" w:ascii="宋体" w:hAnsi="宋体" w:eastAsia="宋体" w:cs="宋体"/>
                <w:color w:val="auto"/>
                <w:kern w:val="2"/>
                <w:sz w:val="24"/>
                <w:szCs w:val="24"/>
                <w:highlight w:val="none"/>
                <w:lang w:val="en-US" w:eastAsia="zh-CN"/>
              </w:rPr>
              <w:t>上传至“政采云平台”的，投标无效。</w:t>
            </w:r>
          </w:p>
        </w:tc>
      </w:tr>
      <w:tr w14:paraId="3806D7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887" w:type="dxa"/>
            <w:tcBorders>
              <w:top w:val="single" w:color="auto" w:sz="8" w:space="0"/>
              <w:left w:val="single" w:color="auto" w:sz="12" w:space="0"/>
              <w:bottom w:val="single" w:color="auto" w:sz="8" w:space="0"/>
              <w:right w:val="single" w:color="auto" w:sz="8" w:space="0"/>
            </w:tcBorders>
            <w:vAlign w:val="center"/>
          </w:tcPr>
          <w:p w14:paraId="4631ED7C">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21</w:t>
            </w:r>
          </w:p>
        </w:tc>
        <w:tc>
          <w:tcPr>
            <w:tcW w:w="2200" w:type="dxa"/>
            <w:tcBorders>
              <w:top w:val="single" w:color="auto" w:sz="8" w:space="0"/>
              <w:left w:val="single" w:color="auto" w:sz="8" w:space="0"/>
              <w:bottom w:val="single" w:color="auto" w:sz="8" w:space="0"/>
              <w:right w:val="single" w:color="auto" w:sz="8" w:space="0"/>
            </w:tcBorders>
            <w:vAlign w:val="center"/>
          </w:tcPr>
          <w:p w14:paraId="3CFBCD51">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hAnsi="宋体" w:cs="宋体"/>
                <w:color w:val="auto"/>
                <w:spacing w:val="-20"/>
                <w:sz w:val="24"/>
                <w:szCs w:val="24"/>
                <w:highlight w:val="none"/>
                <w:lang w:eastAsia="zh-CN"/>
              </w:rPr>
              <w:t>磋商</w:t>
            </w:r>
            <w:r>
              <w:rPr>
                <w:rFonts w:hint="eastAsia" w:ascii="宋体" w:hAnsi="宋体" w:eastAsia="宋体" w:cs="宋体"/>
                <w:color w:val="auto"/>
                <w:spacing w:val="-20"/>
                <w:sz w:val="24"/>
                <w:szCs w:val="24"/>
                <w:highlight w:val="none"/>
              </w:rPr>
              <w:t>地点</w:t>
            </w:r>
          </w:p>
        </w:tc>
        <w:tc>
          <w:tcPr>
            <w:tcW w:w="6538" w:type="dxa"/>
            <w:tcBorders>
              <w:top w:val="single" w:color="auto" w:sz="8" w:space="0"/>
              <w:left w:val="single" w:color="auto" w:sz="8" w:space="0"/>
              <w:bottom w:val="single" w:color="auto" w:sz="8" w:space="0"/>
              <w:right w:val="single" w:color="auto" w:sz="12" w:space="0"/>
            </w:tcBorders>
            <w:vAlign w:val="center"/>
          </w:tcPr>
          <w:p w14:paraId="6B842276">
            <w:pPr>
              <w:pStyle w:val="9"/>
              <w:keepNext w:val="0"/>
              <w:keepLines w:val="0"/>
              <w:pageBreakBefore w:val="0"/>
              <w:kinsoku/>
              <w:wordWrap/>
              <w:overflowPunct/>
              <w:topLinePunct w:val="0"/>
              <w:autoSpaceDE/>
              <w:autoSpaceDN/>
              <w:bidi w:val="0"/>
              <w:adjustRightInd/>
              <w:snapToGrid w:val="0"/>
              <w:spacing w:line="600" w:lineRule="exact"/>
              <w:ind w:left="14" w:leftChars="0" w:hanging="14" w:hangingChars="6"/>
              <w:textAlignment w:val="auto"/>
              <w:rPr>
                <w:rFonts w:hint="default"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u w:val="single"/>
                <w:lang w:val="en-US" w:eastAsia="zh-CN"/>
              </w:rPr>
              <w:t>科信联合工程咨询有限公司（衢州市柯城区花园中大道91号鑫港大厦14楼1403室）</w:t>
            </w:r>
            <w:r>
              <w:rPr>
                <w:rFonts w:hint="eastAsia" w:ascii="宋体" w:hAnsi="宋体" w:eastAsia="宋体" w:cs="宋体"/>
                <w:color w:val="auto"/>
                <w:sz w:val="24"/>
                <w:szCs w:val="24"/>
                <w:highlight w:val="none"/>
                <w:u w:val="none"/>
                <w:lang w:val="en-US" w:eastAsia="zh-CN"/>
              </w:rPr>
              <w:t>评标室</w:t>
            </w:r>
            <w:r>
              <w:rPr>
                <w:rFonts w:hint="eastAsia" w:ascii="宋体" w:hAnsi="宋体" w:eastAsia="宋体" w:cs="宋体"/>
                <w:color w:val="auto"/>
                <w:sz w:val="24"/>
                <w:szCs w:val="24"/>
                <w:highlight w:val="none"/>
              </w:rPr>
              <w:t>；同步在“政采云远程开标大厅”在线开标。</w:t>
            </w:r>
          </w:p>
        </w:tc>
      </w:tr>
      <w:tr w14:paraId="2EBFA4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887" w:type="dxa"/>
            <w:tcBorders>
              <w:top w:val="single" w:color="auto" w:sz="8" w:space="0"/>
              <w:left w:val="single" w:color="auto" w:sz="12" w:space="0"/>
              <w:bottom w:val="single" w:color="auto" w:sz="8" w:space="0"/>
              <w:right w:val="single" w:color="auto" w:sz="8" w:space="0"/>
            </w:tcBorders>
            <w:vAlign w:val="center"/>
          </w:tcPr>
          <w:p w14:paraId="3D8CC1F4">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val="en-US" w:eastAsia="zh-CN"/>
              </w:rPr>
              <w:t>22</w:t>
            </w:r>
          </w:p>
        </w:tc>
        <w:tc>
          <w:tcPr>
            <w:tcW w:w="2200" w:type="dxa"/>
            <w:tcBorders>
              <w:top w:val="single" w:color="auto" w:sz="8" w:space="0"/>
              <w:left w:val="single" w:color="auto" w:sz="8" w:space="0"/>
              <w:bottom w:val="single" w:color="auto" w:sz="8" w:space="0"/>
              <w:right w:val="single" w:color="auto" w:sz="8" w:space="0"/>
            </w:tcBorders>
            <w:vAlign w:val="center"/>
          </w:tcPr>
          <w:p w14:paraId="5B2EFF9D">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时间</w:t>
            </w:r>
          </w:p>
        </w:tc>
        <w:tc>
          <w:tcPr>
            <w:tcW w:w="6538" w:type="dxa"/>
            <w:tcBorders>
              <w:top w:val="single" w:color="auto" w:sz="8" w:space="0"/>
              <w:left w:val="single" w:color="auto" w:sz="8" w:space="0"/>
              <w:bottom w:val="single" w:color="auto" w:sz="8" w:space="0"/>
              <w:right w:val="single" w:color="auto" w:sz="12" w:space="0"/>
            </w:tcBorders>
            <w:vAlign w:val="center"/>
          </w:tcPr>
          <w:p w14:paraId="688FE3E1">
            <w:pPr>
              <w:pStyle w:val="9"/>
              <w:keepNext w:val="0"/>
              <w:keepLines w:val="0"/>
              <w:pageBreakBefore w:val="0"/>
              <w:kinsoku/>
              <w:wordWrap/>
              <w:overflowPunct/>
              <w:topLinePunct w:val="0"/>
              <w:autoSpaceDE/>
              <w:autoSpaceDN/>
              <w:bidi w:val="0"/>
              <w:adjustRightInd/>
              <w:snapToGrid w:val="0"/>
              <w:spacing w:line="600" w:lineRule="exac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single"/>
              </w:rPr>
              <w:t>202</w:t>
            </w:r>
            <w:r>
              <w:rPr>
                <w:rFonts w:hint="eastAsia"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（北京时间）   </w:t>
            </w:r>
          </w:p>
        </w:tc>
      </w:tr>
      <w:tr w14:paraId="64B87D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887" w:type="dxa"/>
            <w:tcBorders>
              <w:top w:val="single" w:color="auto" w:sz="8" w:space="0"/>
              <w:left w:val="single" w:color="auto" w:sz="12" w:space="0"/>
              <w:bottom w:val="single" w:color="auto" w:sz="8" w:space="0"/>
              <w:right w:val="single" w:color="auto" w:sz="8" w:space="0"/>
            </w:tcBorders>
            <w:vAlign w:val="center"/>
          </w:tcPr>
          <w:p w14:paraId="4B8EAF70">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23</w:t>
            </w:r>
          </w:p>
        </w:tc>
        <w:tc>
          <w:tcPr>
            <w:tcW w:w="2200" w:type="dxa"/>
            <w:tcBorders>
              <w:top w:val="single" w:color="auto" w:sz="8" w:space="0"/>
              <w:left w:val="single" w:color="auto" w:sz="8" w:space="0"/>
              <w:bottom w:val="single" w:color="auto" w:sz="8" w:space="0"/>
              <w:right w:val="single" w:color="auto" w:sz="8" w:space="0"/>
            </w:tcBorders>
            <w:vAlign w:val="center"/>
          </w:tcPr>
          <w:p w14:paraId="6DEF9DE4">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磋商小组</w:t>
            </w:r>
            <w:r>
              <w:rPr>
                <w:rFonts w:hint="eastAsia" w:ascii="宋体" w:hAnsi="宋体" w:eastAsia="宋体" w:cs="宋体"/>
                <w:color w:val="auto"/>
                <w:sz w:val="24"/>
                <w:szCs w:val="24"/>
                <w:highlight w:val="none"/>
              </w:rPr>
              <w:t>推荐中标候选人的</w:t>
            </w:r>
            <w:r>
              <w:rPr>
                <w:rFonts w:hint="eastAsia" w:ascii="宋体" w:hAnsi="宋体" w:eastAsia="宋体" w:cs="宋体"/>
                <w:color w:val="auto"/>
                <w:sz w:val="24"/>
                <w:szCs w:val="24"/>
                <w:highlight w:val="none"/>
                <w:lang w:val="en-US" w:eastAsia="zh-CN"/>
              </w:rPr>
              <w:t>数量</w:t>
            </w:r>
          </w:p>
        </w:tc>
        <w:tc>
          <w:tcPr>
            <w:tcW w:w="6538" w:type="dxa"/>
            <w:tcBorders>
              <w:top w:val="single" w:color="auto" w:sz="8" w:space="0"/>
              <w:left w:val="single" w:color="auto" w:sz="8" w:space="0"/>
              <w:bottom w:val="single" w:color="auto" w:sz="8" w:space="0"/>
              <w:right w:val="single" w:color="auto" w:sz="12" w:space="0"/>
            </w:tcBorders>
            <w:vAlign w:val="center"/>
          </w:tcPr>
          <w:p w14:paraId="6617439B">
            <w:pPr>
              <w:pStyle w:val="9"/>
              <w:keepNext w:val="0"/>
              <w:keepLines w:val="0"/>
              <w:pageBreakBefore w:val="0"/>
              <w:kinsoku/>
              <w:wordWrap/>
              <w:overflowPunct/>
              <w:topLinePunct w:val="0"/>
              <w:autoSpaceDE/>
              <w:autoSpaceDN/>
              <w:bidi w:val="0"/>
              <w:adjustRightInd/>
              <w:snapToGrid w:val="0"/>
              <w:spacing w:line="600" w:lineRule="exact"/>
              <w:textAlignment w:val="auto"/>
              <w:rPr>
                <w:rFonts w:hint="default" w:ascii="宋体" w:hAnsi="宋体" w:eastAsia="宋体" w:cs="宋体"/>
                <w:color w:val="auto"/>
                <w:sz w:val="24"/>
                <w:szCs w:val="24"/>
                <w:highlight w:val="none"/>
                <w:u w:val="none"/>
                <w:lang w:val="en-US" w:eastAsia="zh-CN"/>
              </w:rPr>
            </w:pPr>
            <w:r>
              <w:rPr>
                <w:rFonts w:hint="eastAsia" w:hAnsi="宋体" w:cs="宋体"/>
                <w:color w:val="auto"/>
                <w:sz w:val="24"/>
                <w:szCs w:val="24"/>
                <w:highlight w:val="none"/>
                <w:u w:val="single"/>
                <w:lang w:val="en-US" w:eastAsia="zh-CN"/>
              </w:rPr>
              <w:t xml:space="preserve"> 3家  </w:t>
            </w:r>
          </w:p>
        </w:tc>
      </w:tr>
      <w:tr w14:paraId="6B77B9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887" w:type="dxa"/>
            <w:tcBorders>
              <w:top w:val="single" w:color="auto" w:sz="8" w:space="0"/>
              <w:left w:val="single" w:color="auto" w:sz="12" w:space="0"/>
              <w:bottom w:val="single" w:color="auto" w:sz="8" w:space="0"/>
              <w:right w:val="single" w:color="auto" w:sz="8" w:space="0"/>
            </w:tcBorders>
            <w:vAlign w:val="center"/>
          </w:tcPr>
          <w:p w14:paraId="64F9B649">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200" w:type="dxa"/>
            <w:tcBorders>
              <w:top w:val="single" w:color="auto" w:sz="8" w:space="0"/>
              <w:left w:val="single" w:color="auto" w:sz="8" w:space="0"/>
              <w:bottom w:val="single" w:color="auto" w:sz="8" w:space="0"/>
              <w:right w:val="single" w:color="auto" w:sz="8" w:space="0"/>
            </w:tcBorders>
            <w:vAlign w:val="center"/>
          </w:tcPr>
          <w:p w14:paraId="41DCBD9C">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中标结果公示期限</w:t>
            </w:r>
          </w:p>
        </w:tc>
        <w:tc>
          <w:tcPr>
            <w:tcW w:w="6538" w:type="dxa"/>
            <w:tcBorders>
              <w:top w:val="single" w:color="auto" w:sz="8" w:space="0"/>
              <w:left w:val="single" w:color="auto" w:sz="8" w:space="0"/>
              <w:bottom w:val="single" w:color="auto" w:sz="8" w:space="0"/>
              <w:right w:val="single" w:color="auto" w:sz="12" w:space="0"/>
            </w:tcBorders>
            <w:vAlign w:val="center"/>
          </w:tcPr>
          <w:p w14:paraId="2EF11DA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公示1个工作日</w:t>
            </w:r>
          </w:p>
        </w:tc>
      </w:tr>
      <w:tr w14:paraId="054350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887" w:type="dxa"/>
            <w:tcBorders>
              <w:top w:val="single" w:color="auto" w:sz="8" w:space="0"/>
              <w:left w:val="single" w:color="auto" w:sz="12" w:space="0"/>
              <w:bottom w:val="single" w:color="auto" w:sz="8" w:space="0"/>
              <w:right w:val="single" w:color="auto" w:sz="8" w:space="0"/>
            </w:tcBorders>
            <w:vAlign w:val="center"/>
          </w:tcPr>
          <w:p w14:paraId="72EF3B89">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tcBorders>
              <w:top w:val="single" w:color="auto" w:sz="8" w:space="0"/>
              <w:left w:val="single" w:color="auto" w:sz="8" w:space="0"/>
              <w:bottom w:val="single" w:color="auto" w:sz="8" w:space="0"/>
              <w:right w:val="single" w:color="auto" w:sz="8" w:space="0"/>
            </w:tcBorders>
            <w:vAlign w:val="center"/>
          </w:tcPr>
          <w:p w14:paraId="1EF8144F">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签订合同</w:t>
            </w:r>
          </w:p>
        </w:tc>
        <w:tc>
          <w:tcPr>
            <w:tcW w:w="6538" w:type="dxa"/>
            <w:tcBorders>
              <w:top w:val="single" w:color="auto" w:sz="8" w:space="0"/>
              <w:left w:val="single" w:color="auto" w:sz="8" w:space="0"/>
              <w:bottom w:val="single" w:color="auto" w:sz="8" w:space="0"/>
              <w:right w:val="single" w:color="auto" w:sz="12" w:space="0"/>
            </w:tcBorders>
            <w:vAlign w:val="center"/>
          </w:tcPr>
          <w:p w14:paraId="5E367AE9">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中标通知书发出后30日内，与</w:t>
            </w:r>
            <w:r>
              <w:rPr>
                <w:rFonts w:hint="eastAsia" w:ascii="宋体" w:hAnsi="宋体" w:eastAsia="宋体" w:cs="宋体"/>
                <w:color w:val="auto"/>
                <w:kern w:val="2"/>
                <w:sz w:val="24"/>
                <w:szCs w:val="24"/>
                <w:highlight w:val="none"/>
                <w:lang w:val="en-US" w:eastAsia="zh-CN"/>
              </w:rPr>
              <w:t>采购人</w:t>
            </w:r>
            <w:r>
              <w:rPr>
                <w:rFonts w:hint="default" w:ascii="宋体" w:hAnsi="宋体" w:eastAsia="宋体" w:cs="宋体"/>
                <w:color w:val="auto"/>
                <w:kern w:val="2"/>
                <w:sz w:val="24"/>
                <w:szCs w:val="24"/>
                <w:highlight w:val="none"/>
                <w:lang w:val="en-US" w:eastAsia="zh-CN"/>
              </w:rPr>
              <w:t>签订合同。</w:t>
            </w:r>
          </w:p>
        </w:tc>
      </w:tr>
      <w:tr w14:paraId="23F864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left w:val="single" w:color="auto" w:sz="12" w:space="0"/>
              <w:bottom w:val="single" w:color="auto" w:sz="8" w:space="0"/>
              <w:right w:val="single" w:color="auto" w:sz="8" w:space="0"/>
            </w:tcBorders>
            <w:vAlign w:val="center"/>
          </w:tcPr>
          <w:p w14:paraId="35222558">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200" w:type="dxa"/>
            <w:tcBorders>
              <w:top w:val="single" w:color="auto" w:sz="8" w:space="0"/>
              <w:left w:val="single" w:color="auto" w:sz="8" w:space="0"/>
              <w:bottom w:val="single" w:color="auto" w:sz="8" w:space="0"/>
              <w:right w:val="single" w:color="auto" w:sz="8" w:space="0"/>
            </w:tcBorders>
            <w:vAlign w:val="center"/>
          </w:tcPr>
          <w:p w14:paraId="7584E98E">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履约担保</w:t>
            </w:r>
          </w:p>
        </w:tc>
        <w:tc>
          <w:tcPr>
            <w:tcW w:w="6538" w:type="dxa"/>
            <w:tcBorders>
              <w:top w:val="single" w:color="auto" w:sz="8" w:space="0"/>
              <w:left w:val="single" w:color="auto" w:sz="8" w:space="0"/>
              <w:bottom w:val="single" w:color="auto" w:sz="8" w:space="0"/>
              <w:right w:val="single" w:color="auto" w:sz="12" w:space="0"/>
            </w:tcBorders>
            <w:vAlign w:val="center"/>
          </w:tcPr>
          <w:p w14:paraId="427DBD24">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无</w:t>
            </w:r>
          </w:p>
        </w:tc>
      </w:tr>
      <w:tr w14:paraId="51C301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87" w:type="dxa"/>
            <w:tcBorders>
              <w:top w:val="single" w:color="auto" w:sz="8" w:space="0"/>
              <w:left w:val="single" w:color="auto" w:sz="12" w:space="0"/>
              <w:bottom w:val="single" w:color="auto" w:sz="8" w:space="0"/>
              <w:right w:val="single" w:color="auto" w:sz="8" w:space="0"/>
            </w:tcBorders>
            <w:vAlign w:val="center"/>
          </w:tcPr>
          <w:p w14:paraId="7ACD1371">
            <w:pPr>
              <w:pStyle w:val="9"/>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00" w:type="dxa"/>
            <w:tcBorders>
              <w:top w:val="single" w:color="auto" w:sz="8" w:space="0"/>
              <w:left w:val="single" w:color="auto" w:sz="8" w:space="0"/>
              <w:bottom w:val="single" w:color="auto" w:sz="8" w:space="0"/>
              <w:right w:val="single" w:color="auto" w:sz="8" w:space="0"/>
            </w:tcBorders>
            <w:vAlign w:val="center"/>
          </w:tcPr>
          <w:p w14:paraId="54E88270">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w:t>
            </w:r>
            <w:r>
              <w:rPr>
                <w:rFonts w:hint="default" w:ascii="宋体" w:hAnsi="宋体" w:eastAsia="宋体" w:cs="宋体"/>
                <w:color w:val="auto"/>
                <w:kern w:val="2"/>
                <w:sz w:val="24"/>
                <w:szCs w:val="24"/>
                <w:highlight w:val="none"/>
                <w:lang w:val="en-US" w:eastAsia="zh-CN"/>
              </w:rPr>
              <w:t>网址</w:t>
            </w:r>
          </w:p>
        </w:tc>
        <w:tc>
          <w:tcPr>
            <w:tcW w:w="6538" w:type="dxa"/>
            <w:tcBorders>
              <w:top w:val="single" w:color="auto" w:sz="8" w:space="0"/>
              <w:left w:val="single" w:color="auto" w:sz="8" w:space="0"/>
              <w:bottom w:val="single" w:color="auto" w:sz="8" w:space="0"/>
              <w:right w:val="single" w:color="auto" w:sz="12" w:space="0"/>
            </w:tcBorders>
            <w:vAlign w:val="center"/>
          </w:tcPr>
          <w:p w14:paraId="3EDFD526">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12DDB9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left w:val="single" w:color="auto" w:sz="12" w:space="0"/>
              <w:bottom w:val="single" w:color="auto" w:sz="8" w:space="0"/>
              <w:right w:val="single" w:color="auto" w:sz="8" w:space="0"/>
            </w:tcBorders>
            <w:vAlign w:val="center"/>
          </w:tcPr>
          <w:p w14:paraId="3A68D710">
            <w:pPr>
              <w:spacing w:line="276" w:lineRule="auto"/>
              <w:jc w:val="center"/>
              <w:rPr>
                <w:rFonts w:hint="default" w:ascii="宋体" w:hAnsi="宋体"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eastAsia="仿宋_GB2312"/>
                <w:color w:val="000000" w:themeColor="text1"/>
                <w:sz w:val="24"/>
                <w:highlight w:val="none"/>
                <w:lang w:val="en-US" w:eastAsia="zh-CN"/>
                <w14:textFill>
                  <w14:solidFill>
                    <w14:schemeClr w14:val="tx1"/>
                  </w14:solidFill>
                </w14:textFill>
              </w:rPr>
              <w:t>28</w:t>
            </w:r>
          </w:p>
        </w:tc>
        <w:tc>
          <w:tcPr>
            <w:tcW w:w="2200" w:type="dxa"/>
            <w:tcBorders>
              <w:top w:val="single" w:color="auto" w:sz="8" w:space="0"/>
              <w:left w:val="single" w:color="auto" w:sz="8" w:space="0"/>
              <w:bottom w:val="single" w:color="auto" w:sz="8" w:space="0"/>
              <w:right w:val="single" w:color="auto" w:sz="8" w:space="0"/>
            </w:tcBorders>
            <w:vAlign w:val="center"/>
          </w:tcPr>
          <w:p w14:paraId="36FCDDCC">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lang w:val="en-US" w:eastAsia="zh-CN"/>
              </w:rPr>
              <w:t>代理服务费</w:t>
            </w:r>
          </w:p>
        </w:tc>
        <w:tc>
          <w:tcPr>
            <w:tcW w:w="6538" w:type="dxa"/>
            <w:tcBorders>
              <w:top w:val="single" w:color="auto" w:sz="8" w:space="0"/>
              <w:left w:val="single" w:color="auto" w:sz="8" w:space="0"/>
              <w:bottom w:val="single" w:color="auto" w:sz="8" w:space="0"/>
              <w:right w:val="single" w:color="auto" w:sz="12" w:space="0"/>
            </w:tcBorders>
            <w:vAlign w:val="center"/>
          </w:tcPr>
          <w:p w14:paraId="596ED38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1、本项目的招标代理服务费等其他相关费用由中标人支付。参照原国家计委关于印发《招标代理服务收费管理暂行办法》的通知（计价格[2002]1980号）的收费标准的</w:t>
            </w:r>
            <w:r>
              <w:rPr>
                <w:rFonts w:hint="eastAsia" w:hAnsi="宋体" w:cs="宋体"/>
                <w:color w:val="auto"/>
                <w:kern w:val="2"/>
                <w:sz w:val="24"/>
                <w:szCs w:val="24"/>
                <w:highlight w:val="none"/>
                <w:u w:val="single"/>
                <w:lang w:val="en-US" w:eastAsia="zh-CN"/>
              </w:rPr>
              <w:t xml:space="preserve"> 49  </w:t>
            </w:r>
            <w:r>
              <w:rPr>
                <w:rFonts w:hint="eastAsia" w:hAnsi="宋体" w:cs="宋体"/>
                <w:color w:val="auto"/>
                <w:kern w:val="2"/>
                <w:sz w:val="24"/>
                <w:szCs w:val="24"/>
                <w:highlight w:val="none"/>
                <w:u w:val="none"/>
                <w:lang w:val="en-US" w:eastAsia="zh-CN"/>
              </w:rPr>
              <w:t>%</w:t>
            </w:r>
            <w:r>
              <w:rPr>
                <w:rFonts w:hint="eastAsia" w:ascii="宋体" w:hAnsi="宋体" w:eastAsia="宋体" w:cs="宋体"/>
                <w:color w:val="auto"/>
                <w:kern w:val="2"/>
                <w:sz w:val="24"/>
                <w:szCs w:val="24"/>
                <w:highlight w:val="none"/>
                <w:lang w:val="en-US" w:eastAsia="zh-CN"/>
              </w:rPr>
              <w:t>向</w:t>
            </w:r>
            <w:r>
              <w:rPr>
                <w:rFonts w:hint="eastAsia" w:hAnsi="宋体" w:cs="宋体"/>
                <w:color w:val="auto"/>
                <w:kern w:val="2"/>
                <w:sz w:val="24"/>
                <w:szCs w:val="24"/>
                <w:highlight w:val="none"/>
                <w:lang w:val="en-US" w:eastAsia="zh-CN"/>
              </w:rPr>
              <w:t>中标供应商</w:t>
            </w:r>
            <w:r>
              <w:rPr>
                <w:rFonts w:hint="eastAsia" w:ascii="宋体" w:hAnsi="宋体" w:eastAsia="宋体" w:cs="宋体"/>
                <w:color w:val="auto"/>
                <w:kern w:val="2"/>
                <w:sz w:val="24"/>
                <w:szCs w:val="24"/>
                <w:highlight w:val="none"/>
                <w:lang w:val="en-US" w:eastAsia="zh-CN"/>
              </w:rPr>
              <w:t>收取招标代理服务费（招标代理费不足1000元的，按1000元计，单个项目招标代理费超过6万元的按6万元计），其他相关费用可咨询招标代理机构。</w:t>
            </w:r>
          </w:p>
          <w:p w14:paraId="073AF684">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1）收款单位（户名）：科信联合工程咨询有限公司衢州分公司</w:t>
            </w:r>
          </w:p>
          <w:p w14:paraId="6E283C3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户：上海浦东发展银行股份有限公司衢州支行</w:t>
            </w:r>
          </w:p>
          <w:p w14:paraId="44F259A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号：13810078801500002396</w:t>
            </w:r>
          </w:p>
          <w:p w14:paraId="1911FA0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在报价中予以考虑。</w:t>
            </w:r>
          </w:p>
          <w:p w14:paraId="059E1BEE">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w:t>
            </w:r>
            <w:r>
              <w:rPr>
                <w:rFonts w:hint="eastAsia" w:hAnsi="宋体" w:cs="宋体"/>
                <w:color w:val="auto"/>
                <w:kern w:val="2"/>
                <w:sz w:val="24"/>
                <w:szCs w:val="24"/>
                <w:highlight w:val="none"/>
                <w:lang w:val="en-US" w:eastAsia="zh-CN"/>
              </w:rPr>
              <w:t>中标供应商</w:t>
            </w:r>
            <w:r>
              <w:rPr>
                <w:rFonts w:hint="eastAsia" w:ascii="宋体" w:hAnsi="宋体" w:eastAsia="宋体" w:cs="宋体"/>
                <w:color w:val="auto"/>
                <w:kern w:val="2"/>
                <w:sz w:val="24"/>
                <w:szCs w:val="24"/>
                <w:highlight w:val="none"/>
                <w:lang w:val="en-US" w:eastAsia="zh-CN"/>
              </w:rPr>
              <w:t>一次性向招标代理机构付清。</w:t>
            </w:r>
          </w:p>
          <w:p w14:paraId="07BF0AF5">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20"/>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60F7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58B3D287">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3AFA5052">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服务招标</w:t>
                  </w:r>
                  <w:r>
                    <w:rPr>
                      <w:rFonts w:hint="eastAsia" w:ascii="宋体" w:hAnsi="宋体" w:eastAsia="宋体" w:cs="宋体"/>
                      <w:color w:val="auto"/>
                      <w:kern w:val="2"/>
                      <w:sz w:val="24"/>
                      <w:szCs w:val="24"/>
                      <w:highlight w:val="none"/>
                      <w:lang w:val="en-US" w:eastAsia="zh-CN"/>
                    </w:rPr>
                    <w:t>费率</w:t>
                  </w:r>
                </w:p>
              </w:tc>
            </w:tr>
            <w:tr w14:paraId="01D1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6418D5E0">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66AC801C">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r w14:paraId="185A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27CA062D">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100-500</w:t>
                  </w:r>
                </w:p>
              </w:tc>
              <w:tc>
                <w:tcPr>
                  <w:tcW w:w="2600" w:type="dxa"/>
                </w:tcPr>
                <w:p w14:paraId="4608349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0.8</w:t>
                  </w:r>
                  <w:r>
                    <w:rPr>
                      <w:rFonts w:hint="eastAsia" w:ascii="宋体" w:hAnsi="宋体" w:eastAsia="宋体" w:cs="宋体"/>
                      <w:color w:val="auto"/>
                      <w:kern w:val="2"/>
                      <w:sz w:val="24"/>
                      <w:szCs w:val="24"/>
                      <w:highlight w:val="none"/>
                      <w:lang w:val="en-US" w:eastAsia="zh-CN"/>
                    </w:rPr>
                    <w:t>%</w:t>
                  </w:r>
                </w:p>
              </w:tc>
            </w:tr>
            <w:tr w14:paraId="72B8F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18B8BA3">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500-1000</w:t>
                  </w:r>
                </w:p>
              </w:tc>
              <w:tc>
                <w:tcPr>
                  <w:tcW w:w="2600" w:type="dxa"/>
                </w:tcPr>
                <w:p w14:paraId="0D5989DC">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w:t>
                  </w:r>
                  <w:r>
                    <w:rPr>
                      <w:rFonts w:hint="eastAsia" w:hAnsi="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lang w:val="en-US" w:eastAsia="zh-CN"/>
                    </w:rPr>
                    <w:t>%</w:t>
                  </w:r>
                </w:p>
              </w:tc>
            </w:tr>
          </w:tbl>
          <w:p w14:paraId="181521DB">
            <w:pP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4、特别说明：根据《关于印发浙江省政府采购评审专家管理办法的通知》，评审专家费用及公证费（如有）由采购人支付，进场交易费根据交易中心文件执行。</w:t>
            </w:r>
          </w:p>
        </w:tc>
      </w:tr>
      <w:tr w14:paraId="2B65F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7BB2A331">
            <w:pPr>
              <w:spacing w:line="400" w:lineRule="exact"/>
              <w:jc w:val="center"/>
              <w:rPr>
                <w:rStyle w:val="30"/>
                <w:rFonts w:hint="default" w:ascii="仿宋" w:hAnsi="仿宋" w:eastAsia="仿宋" w:cs="仿宋"/>
                <w:highlight w:val="none"/>
                <w:lang w:val="en-US" w:eastAsia="zh-CN"/>
              </w:rPr>
            </w:pPr>
            <w:r>
              <w:rPr>
                <w:rFonts w:hint="eastAsia" w:ascii="宋体" w:hAnsi="宋体" w:eastAsia="仿宋_GB2312" w:cs="Times New Roman"/>
                <w:color w:val="000000" w:themeColor="text1"/>
                <w:sz w:val="24"/>
                <w:highlight w:val="none"/>
                <w:lang w:val="en-US" w:eastAsia="zh-CN"/>
                <w14:textFill>
                  <w14:solidFill>
                    <w14:schemeClr w14:val="tx1"/>
                  </w14:solidFill>
                </w14:textFill>
              </w:rPr>
              <w:t>29</w:t>
            </w:r>
          </w:p>
        </w:tc>
        <w:tc>
          <w:tcPr>
            <w:tcW w:w="2200" w:type="dxa"/>
            <w:tcBorders>
              <w:top w:val="single" w:color="auto" w:sz="8" w:space="0"/>
              <w:left w:val="single" w:color="auto" w:sz="8" w:space="0"/>
              <w:bottom w:val="single" w:color="auto" w:sz="8" w:space="0"/>
              <w:right w:val="single" w:color="auto" w:sz="8" w:space="0"/>
            </w:tcBorders>
            <w:vAlign w:val="center"/>
          </w:tcPr>
          <w:p w14:paraId="04FB0AB3">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tcBorders>
              <w:top w:val="single" w:color="auto" w:sz="8" w:space="0"/>
              <w:left w:val="single" w:color="auto" w:sz="8" w:space="0"/>
              <w:bottom w:val="single" w:color="auto" w:sz="8" w:space="0"/>
            </w:tcBorders>
            <w:vAlign w:val="center"/>
          </w:tcPr>
          <w:p w14:paraId="76630E41">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50AD36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763D3860">
            <w:pPr>
              <w:spacing w:line="276" w:lineRule="auto"/>
              <w:jc w:val="center"/>
              <w:rPr>
                <w:rFonts w:hint="default" w:ascii="宋体" w:hAnsi="宋体" w:eastAsia="宋体"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30</w:t>
            </w:r>
          </w:p>
        </w:tc>
        <w:tc>
          <w:tcPr>
            <w:tcW w:w="2200" w:type="dxa"/>
            <w:tcBorders>
              <w:top w:val="single" w:color="auto" w:sz="8" w:space="0"/>
              <w:left w:val="single" w:color="auto" w:sz="8" w:space="0"/>
              <w:bottom w:val="single" w:color="auto" w:sz="8" w:space="0"/>
              <w:right w:val="single" w:color="auto" w:sz="8" w:space="0"/>
            </w:tcBorders>
            <w:vAlign w:val="center"/>
          </w:tcPr>
          <w:p w14:paraId="26948AED">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tcBorders>
              <w:top w:val="single" w:color="auto" w:sz="8" w:space="0"/>
              <w:left w:val="single" w:color="auto" w:sz="8" w:space="0"/>
              <w:bottom w:val="single" w:color="auto" w:sz="8" w:space="0"/>
            </w:tcBorders>
            <w:vAlign w:val="center"/>
          </w:tcPr>
          <w:p w14:paraId="5B687E6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竞争性磋商文件</w:t>
            </w:r>
            <w:r>
              <w:rPr>
                <w:rFonts w:hint="eastAsia" w:ascii="宋体" w:hAnsi="宋体" w:eastAsia="宋体" w:cs="宋体"/>
                <w:color w:val="auto"/>
                <w:kern w:val="2"/>
                <w:sz w:val="24"/>
                <w:szCs w:val="24"/>
                <w:highlight w:val="none"/>
                <w:lang w:val="en-US" w:eastAsia="zh-CN"/>
              </w:rPr>
              <w:t>中部分加“▲”的条款，属于</w:t>
            </w:r>
            <w:r>
              <w:rPr>
                <w:rFonts w:hint="eastAsia" w:hAnsi="宋体" w:cs="宋体"/>
                <w:color w:val="auto"/>
                <w:kern w:val="2"/>
                <w:sz w:val="24"/>
                <w:szCs w:val="24"/>
                <w:highlight w:val="none"/>
                <w:lang w:val="en-US" w:eastAsia="zh-CN"/>
              </w:rPr>
              <w:t>竞争性磋商文件</w:t>
            </w:r>
            <w:r>
              <w:rPr>
                <w:rFonts w:hint="eastAsia" w:ascii="宋体" w:hAnsi="宋体" w:eastAsia="宋体" w:cs="宋体"/>
                <w:color w:val="auto"/>
                <w:kern w:val="2"/>
                <w:sz w:val="24"/>
                <w:szCs w:val="24"/>
                <w:highlight w:val="none"/>
                <w:lang w:val="en-US" w:eastAsia="zh-CN"/>
              </w:rPr>
              <w:t>的实质性要求和条件，着重提醒各</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注意，并认真查看</w:t>
            </w:r>
            <w:r>
              <w:rPr>
                <w:rFonts w:hint="eastAsia" w:hAnsi="宋体" w:cs="宋体"/>
                <w:color w:val="auto"/>
                <w:kern w:val="2"/>
                <w:sz w:val="24"/>
                <w:szCs w:val="24"/>
                <w:highlight w:val="none"/>
                <w:lang w:val="en-US" w:eastAsia="zh-CN"/>
              </w:rPr>
              <w:t>竞争性磋商文件</w:t>
            </w:r>
            <w:r>
              <w:rPr>
                <w:rFonts w:hint="eastAsia" w:ascii="宋体" w:hAnsi="宋体" w:eastAsia="宋体" w:cs="宋体"/>
                <w:color w:val="auto"/>
                <w:kern w:val="2"/>
                <w:sz w:val="24"/>
                <w:szCs w:val="24"/>
                <w:highlight w:val="none"/>
                <w:lang w:val="en-US" w:eastAsia="zh-CN"/>
              </w:rPr>
              <w:t>中的每一个条款及要求，因误读</w:t>
            </w:r>
            <w:r>
              <w:rPr>
                <w:rFonts w:hint="eastAsia" w:hAnsi="宋体" w:cs="宋体"/>
                <w:color w:val="auto"/>
                <w:kern w:val="2"/>
                <w:sz w:val="24"/>
                <w:szCs w:val="24"/>
                <w:highlight w:val="none"/>
                <w:lang w:val="en-US" w:eastAsia="zh-CN"/>
              </w:rPr>
              <w:t>竞争性磋商文件</w:t>
            </w:r>
            <w:r>
              <w:rPr>
                <w:rFonts w:hint="eastAsia" w:ascii="宋体" w:hAnsi="宋体" w:eastAsia="宋体" w:cs="宋体"/>
                <w:color w:val="auto"/>
                <w:kern w:val="2"/>
                <w:sz w:val="24"/>
                <w:szCs w:val="24"/>
                <w:highlight w:val="none"/>
                <w:lang w:val="en-US" w:eastAsia="zh-CN"/>
              </w:rPr>
              <w:t>而造成的后果，</w:t>
            </w:r>
            <w:r>
              <w:rPr>
                <w:rFonts w:hint="eastAsia"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val="en-US" w:eastAsia="zh-CN"/>
              </w:rPr>
              <w:t>概不负责。</w:t>
            </w:r>
          </w:p>
        </w:tc>
      </w:tr>
      <w:tr w14:paraId="436C47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2933CB15">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31</w:t>
            </w:r>
          </w:p>
        </w:tc>
        <w:tc>
          <w:tcPr>
            <w:tcW w:w="2200" w:type="dxa"/>
            <w:tcBorders>
              <w:top w:val="single" w:color="auto" w:sz="8" w:space="0"/>
              <w:left w:val="single" w:color="auto" w:sz="8" w:space="0"/>
              <w:bottom w:val="single" w:color="auto" w:sz="8" w:space="0"/>
              <w:right w:val="single" w:color="auto" w:sz="8" w:space="0"/>
            </w:tcBorders>
            <w:vAlign w:val="center"/>
          </w:tcPr>
          <w:p w14:paraId="479E762A">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融资政策</w:t>
            </w:r>
          </w:p>
        </w:tc>
        <w:tc>
          <w:tcPr>
            <w:tcW w:w="6538" w:type="dxa"/>
            <w:tcBorders>
              <w:top w:val="single" w:color="auto" w:sz="8" w:space="0"/>
              <w:left w:val="single" w:color="auto" w:sz="8" w:space="0"/>
              <w:bottom w:val="single" w:color="auto" w:sz="8" w:space="0"/>
            </w:tcBorders>
            <w:vAlign w:val="center"/>
          </w:tcPr>
          <w:p w14:paraId="1797E368">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155A3188">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79517092">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64BD6B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bottom w:val="single" w:color="auto" w:sz="8" w:space="0"/>
              <w:right w:val="single" w:color="auto" w:sz="8" w:space="0"/>
            </w:tcBorders>
            <w:vAlign w:val="center"/>
          </w:tcPr>
          <w:p w14:paraId="6C80C2E4">
            <w:pPr>
              <w:spacing w:line="400" w:lineRule="exact"/>
              <w:jc w:val="center"/>
              <w:rPr>
                <w:rStyle w:val="30"/>
                <w:rFonts w:hint="default" w:ascii="仿宋" w:hAnsi="仿宋" w:eastAsia="仿宋" w:cs="仿宋"/>
                <w:highlight w:val="none"/>
                <w:lang w:val="en-US" w:eastAsia="zh-CN"/>
              </w:rPr>
            </w:pPr>
            <w:r>
              <w:rPr>
                <w:rStyle w:val="30"/>
                <w:rFonts w:hint="eastAsia" w:ascii="仿宋" w:hAnsi="仿宋" w:eastAsia="仿宋" w:cs="仿宋"/>
                <w:highlight w:val="none"/>
                <w:lang w:val="en-US" w:eastAsia="zh-CN"/>
              </w:rPr>
              <w:t>32</w:t>
            </w:r>
          </w:p>
        </w:tc>
        <w:tc>
          <w:tcPr>
            <w:tcW w:w="2200" w:type="dxa"/>
            <w:tcBorders>
              <w:top w:val="single" w:color="auto" w:sz="8" w:space="0"/>
              <w:left w:val="single" w:color="auto" w:sz="8" w:space="0"/>
              <w:bottom w:val="single" w:color="auto" w:sz="8" w:space="0"/>
              <w:right w:val="single" w:color="auto" w:sz="8" w:space="0"/>
            </w:tcBorders>
            <w:vAlign w:val="center"/>
          </w:tcPr>
          <w:p w14:paraId="2F0C08D5">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tcBorders>
              <w:top w:val="single" w:color="auto" w:sz="8" w:space="0"/>
              <w:left w:val="single" w:color="auto" w:sz="8" w:space="0"/>
              <w:bottom w:val="single" w:color="auto" w:sz="8" w:space="0"/>
            </w:tcBorders>
            <w:vAlign w:val="center"/>
          </w:tcPr>
          <w:p w14:paraId="4FC34FE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2C740737">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的信用记录进行查询。查询渠道为信用中国网站（www.creditchina.gov.cn）、中国政府采购网（www.ccgp.gov.cn）；</w:t>
            </w:r>
          </w:p>
          <w:p w14:paraId="25B55F2B">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2）截止时点：提交响应文件截止时间前3年内；</w:t>
            </w:r>
          </w:p>
          <w:p w14:paraId="31419B64">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063B807B">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549208C0">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w:t>
            </w:r>
          </w:p>
        </w:tc>
      </w:tr>
      <w:tr w14:paraId="3229FA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87" w:type="dxa"/>
            <w:tcBorders>
              <w:top w:val="single" w:color="auto" w:sz="8" w:space="0"/>
              <w:right w:val="single" w:color="auto" w:sz="8" w:space="0"/>
            </w:tcBorders>
            <w:vAlign w:val="center"/>
          </w:tcPr>
          <w:p w14:paraId="17DF6233">
            <w:pPr>
              <w:spacing w:line="276" w:lineRule="auto"/>
              <w:jc w:val="center"/>
              <w:rPr>
                <w:rFonts w:hint="default" w:ascii="宋体" w:hAnsi="宋体"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宋体" w:hAnsi="宋体" w:eastAsia="仿宋_GB2312" w:cs="Times New Roman"/>
                <w:color w:val="000000" w:themeColor="text1"/>
                <w:kern w:val="2"/>
                <w:sz w:val="24"/>
                <w:szCs w:val="28"/>
                <w:highlight w:val="none"/>
                <w:lang w:val="en-US" w:eastAsia="zh-CN" w:bidi="ar-SA"/>
                <w14:textFill>
                  <w14:solidFill>
                    <w14:schemeClr w14:val="tx1"/>
                  </w14:solidFill>
                </w14:textFill>
              </w:rPr>
              <w:t>33</w:t>
            </w:r>
          </w:p>
        </w:tc>
        <w:tc>
          <w:tcPr>
            <w:tcW w:w="2200" w:type="dxa"/>
            <w:tcBorders>
              <w:top w:val="single" w:color="auto" w:sz="8" w:space="0"/>
              <w:left w:val="single" w:color="auto" w:sz="8" w:space="0"/>
              <w:right w:val="single" w:color="auto" w:sz="8" w:space="0"/>
            </w:tcBorders>
            <w:vAlign w:val="center"/>
          </w:tcPr>
          <w:p w14:paraId="0B61D205">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特别提醒</w:t>
            </w:r>
          </w:p>
        </w:tc>
        <w:tc>
          <w:tcPr>
            <w:tcW w:w="6538" w:type="dxa"/>
            <w:tcBorders>
              <w:top w:val="single" w:color="auto" w:sz="8" w:space="0"/>
              <w:left w:val="single" w:color="auto" w:sz="8" w:space="0"/>
            </w:tcBorders>
            <w:vAlign w:val="center"/>
          </w:tcPr>
          <w:p w14:paraId="0741347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务必不要离开电脑太久，并留意手机短信。（请提前检查“政采云”内，关于“项目采购”的岗位权限是否已勾选上。如有问题，请致电400-8817190）</w:t>
            </w:r>
          </w:p>
          <w:p w14:paraId="49805A07">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无须到开标现场，只需自备电脑在规定时间前进行在线解密文件即可。</w:t>
            </w:r>
          </w:p>
        </w:tc>
      </w:tr>
      <w:bookmarkEnd w:id="5"/>
      <w:bookmarkEnd w:id="6"/>
      <w:bookmarkEnd w:id="7"/>
      <w:bookmarkEnd w:id="8"/>
      <w:bookmarkEnd w:id="9"/>
      <w:bookmarkEnd w:id="10"/>
      <w:bookmarkEnd w:id="11"/>
    </w:tbl>
    <w:p w14:paraId="7FCA7CA2">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9488"/>
      <w:bookmarkStart w:id="13" w:name="_Toc27765"/>
      <w:r>
        <w:rPr>
          <w:rFonts w:hint="eastAsia" w:ascii="宋体" w:hAnsi="宋体" w:eastAsia="宋体" w:cs="宋体"/>
          <w:b/>
          <w:color w:val="auto"/>
          <w:sz w:val="28"/>
          <w:szCs w:val="28"/>
          <w:highlight w:val="none"/>
        </w:rPr>
        <w:t>第二部分、投标须知</w:t>
      </w:r>
      <w:bookmarkEnd w:id="12"/>
      <w:bookmarkEnd w:id="13"/>
    </w:p>
    <w:p w14:paraId="3AA23742">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4" w:name="_Toc240450077"/>
      <w:bookmarkStart w:id="15" w:name="_Toc12000"/>
      <w:bookmarkStart w:id="16" w:name="_Toc12860"/>
      <w:bookmarkStart w:id="17" w:name="_Toc5241"/>
      <w:bookmarkStart w:id="18" w:name="_Toc251566650"/>
      <w:r>
        <w:rPr>
          <w:rFonts w:hint="eastAsia" w:ascii="宋体" w:hAnsi="宋体" w:eastAsia="宋体" w:cs="宋体"/>
          <w:b/>
          <w:bCs/>
          <w:color w:val="auto"/>
          <w:sz w:val="28"/>
          <w:szCs w:val="24"/>
          <w:highlight w:val="none"/>
        </w:rPr>
        <w:t>一、总则</w:t>
      </w:r>
      <w:bookmarkEnd w:id="14"/>
      <w:bookmarkEnd w:id="15"/>
      <w:bookmarkEnd w:id="16"/>
      <w:bookmarkEnd w:id="17"/>
      <w:bookmarkEnd w:id="18"/>
    </w:p>
    <w:p w14:paraId="0A149B8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w:t>
      </w:r>
      <w:r>
        <w:rPr>
          <w:rFonts w:hint="eastAsia" w:ascii="宋体" w:hAnsi="宋体" w:eastAsia="宋体" w:cs="宋体"/>
          <w:snapToGrid w:val="0"/>
          <w:color w:val="auto"/>
          <w:kern w:val="0"/>
          <w:sz w:val="24"/>
          <w:szCs w:val="24"/>
          <w:highlight w:val="none"/>
          <w:shd w:val="clear" w:color="auto" w:fill="auto"/>
          <w:lang w:eastAsia="zh-CN"/>
        </w:rPr>
        <w:t>《政府采购竞争性磋商采购方式管理暂行办法》</w:t>
      </w:r>
      <w:r>
        <w:rPr>
          <w:rFonts w:hint="eastAsia" w:ascii="宋体" w:hAnsi="宋体" w:eastAsia="宋体" w:cs="宋体"/>
          <w:snapToGrid w:val="0"/>
          <w:color w:val="auto"/>
          <w:kern w:val="0"/>
          <w:sz w:val="24"/>
          <w:szCs w:val="24"/>
          <w:highlight w:val="none"/>
        </w:rPr>
        <w:t>、《政府采购货物和服务招标投标管理办法》等相关法律法规组织和实施，并接受同级政府采购监督管理部门监督。</w:t>
      </w:r>
    </w:p>
    <w:p w14:paraId="6EFD369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适用范围</w:t>
      </w:r>
    </w:p>
    <w:p w14:paraId="14B763F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仅适用于本次招标项目。</w:t>
      </w:r>
    </w:p>
    <w:p w14:paraId="78C80F4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w:t>
      </w:r>
      <w:r>
        <w:rPr>
          <w:rFonts w:hint="eastAsia" w:ascii="宋体" w:hAnsi="宋体" w:cs="宋体"/>
          <w:snapToGrid w:val="0"/>
          <w:color w:val="auto"/>
          <w:kern w:val="0"/>
          <w:sz w:val="24"/>
          <w:szCs w:val="24"/>
          <w:highlight w:val="none"/>
          <w:lang w:eastAsia="zh-CN"/>
        </w:rPr>
        <w:t>竞争性磋商</w:t>
      </w:r>
      <w:r>
        <w:rPr>
          <w:rFonts w:hint="eastAsia" w:ascii="宋体" w:hAnsi="宋体" w:eastAsia="宋体" w:cs="宋体"/>
          <w:snapToGrid w:val="0"/>
          <w:color w:val="auto"/>
          <w:kern w:val="0"/>
          <w:sz w:val="24"/>
          <w:szCs w:val="24"/>
          <w:highlight w:val="none"/>
        </w:rPr>
        <w:t>。</w:t>
      </w:r>
    </w:p>
    <w:p w14:paraId="2123360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1.3投标须知为</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的通用条款，如通用条款与前附表、采购内容及要求、合同条款等特定条款不一致的，请按特定条款执行。</w:t>
      </w:r>
    </w:p>
    <w:p w14:paraId="381C3943">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w:t>
      </w:r>
      <w:r>
        <w:rPr>
          <w:rFonts w:hint="eastAsia" w:ascii="宋体" w:hAnsi="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定义</w:t>
      </w:r>
    </w:p>
    <w:p w14:paraId="39AC068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衢州智慧新城管理委员会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0F3906D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科信联合工程咨询有限公司  </w:t>
      </w:r>
      <w:r>
        <w:rPr>
          <w:rFonts w:hint="eastAsia" w:ascii="宋体" w:hAnsi="宋体" w:eastAsia="宋体" w:cs="宋体"/>
          <w:snapToGrid w:val="0"/>
          <w:color w:val="auto"/>
          <w:kern w:val="0"/>
          <w:sz w:val="24"/>
          <w:szCs w:val="24"/>
          <w:highlight w:val="none"/>
        </w:rPr>
        <w:t>。</w:t>
      </w:r>
    </w:p>
    <w:p w14:paraId="100A6D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cs="宋体"/>
          <w:snapToGrid w:val="0"/>
          <w:color w:val="auto"/>
          <w:kern w:val="0"/>
          <w:sz w:val="24"/>
          <w:szCs w:val="24"/>
          <w:highlight w:val="none"/>
          <w:u w:val="single"/>
          <w:lang w:val="en-US" w:eastAsia="zh-CN"/>
        </w:rPr>
        <w:t xml:space="preserve"> 衢州市财政局 </w:t>
      </w:r>
      <w:r>
        <w:rPr>
          <w:rFonts w:hint="eastAsia" w:ascii="宋体" w:hAnsi="宋体" w:eastAsia="宋体" w:cs="宋体"/>
          <w:snapToGrid w:val="0"/>
          <w:color w:val="auto"/>
          <w:kern w:val="0"/>
          <w:sz w:val="24"/>
          <w:szCs w:val="24"/>
          <w:highlight w:val="none"/>
        </w:rPr>
        <w:t>。</w:t>
      </w:r>
    </w:p>
    <w:p w14:paraId="169330B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w:t>
      </w:r>
      <w:r>
        <w:rPr>
          <w:rFonts w:hint="eastAsia" w:ascii="宋体" w:hAnsi="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，参加本次</w:t>
      </w:r>
      <w:r>
        <w:rPr>
          <w:rFonts w:hint="eastAsia" w:ascii="宋体" w:hAnsi="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的独立法人。</w:t>
      </w:r>
    </w:p>
    <w:p w14:paraId="17AA6F6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或合同规定</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须承担的服务以及其他类似的义务。</w:t>
      </w:r>
    </w:p>
    <w:p w14:paraId="7E4BD84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w:t>
      </w:r>
      <w:r>
        <w:rPr>
          <w:rFonts w:hint="eastAsia" w:ascii="宋体" w:hAnsi="宋体" w:cs="宋体"/>
          <w:snapToGrid w:val="0"/>
          <w:color w:val="auto"/>
          <w:kern w:val="0"/>
          <w:sz w:val="24"/>
          <w:szCs w:val="24"/>
          <w:highlight w:val="none"/>
          <w:lang w:eastAsia="zh-CN"/>
        </w:rPr>
        <w:t>供应商。</w:t>
      </w:r>
    </w:p>
    <w:p w14:paraId="00CF38C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cs="宋体"/>
          <w:snapToGrid w:val="0"/>
          <w:color w:val="auto"/>
          <w:kern w:val="0"/>
          <w:sz w:val="24"/>
          <w:szCs w:val="24"/>
          <w:highlight w:val="none"/>
          <w:lang w:val="zh-CN" w:eastAsia="zh-CN"/>
        </w:rPr>
        <w:t>供应商</w:t>
      </w:r>
      <w:r>
        <w:rPr>
          <w:rFonts w:hint="eastAsia" w:ascii="宋体" w:hAnsi="宋体" w:eastAsia="宋体" w:cs="宋体"/>
          <w:snapToGrid w:val="0"/>
          <w:color w:val="auto"/>
          <w:kern w:val="0"/>
          <w:sz w:val="24"/>
          <w:szCs w:val="24"/>
          <w:highlight w:val="none"/>
          <w:lang w:val="zh-CN" w:eastAsia="zh-CN"/>
        </w:rPr>
        <w:t>代表：指全权代表</w:t>
      </w:r>
      <w:r>
        <w:rPr>
          <w:rFonts w:hint="eastAsia" w:ascii="宋体" w:hAnsi="宋体" w:cs="宋体"/>
          <w:snapToGrid w:val="0"/>
          <w:color w:val="auto"/>
          <w:kern w:val="0"/>
          <w:sz w:val="24"/>
          <w:szCs w:val="24"/>
          <w:highlight w:val="none"/>
          <w:lang w:val="zh-CN" w:eastAsia="zh-CN"/>
        </w:rPr>
        <w:t>供应商</w:t>
      </w:r>
      <w:r>
        <w:rPr>
          <w:rFonts w:hint="eastAsia" w:ascii="宋体" w:hAnsi="宋体" w:eastAsia="宋体" w:cs="宋体"/>
          <w:snapToGrid w:val="0"/>
          <w:color w:val="auto"/>
          <w:kern w:val="0"/>
          <w:sz w:val="24"/>
          <w:szCs w:val="24"/>
          <w:highlight w:val="none"/>
          <w:lang w:val="zh-CN" w:eastAsia="zh-CN"/>
        </w:rPr>
        <w:t>参加招标活动并签署</w:t>
      </w:r>
      <w:r>
        <w:rPr>
          <w:rFonts w:hint="eastAsia" w:ascii="宋体" w:hAnsi="宋体" w:cs="宋体"/>
          <w:snapToGrid w:val="0"/>
          <w:color w:val="auto"/>
          <w:kern w:val="0"/>
          <w:sz w:val="24"/>
          <w:szCs w:val="24"/>
          <w:highlight w:val="none"/>
          <w:lang w:val="zh-CN" w:eastAsia="zh-CN"/>
        </w:rPr>
        <w:t>响应文件</w:t>
      </w:r>
      <w:r>
        <w:rPr>
          <w:rFonts w:hint="eastAsia" w:ascii="宋体" w:hAnsi="宋体" w:eastAsia="宋体" w:cs="宋体"/>
          <w:snapToGrid w:val="0"/>
          <w:color w:val="auto"/>
          <w:kern w:val="0"/>
          <w:sz w:val="24"/>
          <w:szCs w:val="24"/>
          <w:highlight w:val="none"/>
          <w:lang w:val="zh-CN" w:eastAsia="zh-CN"/>
        </w:rPr>
        <w:t>的人。本次投标的</w:t>
      </w:r>
      <w:r>
        <w:rPr>
          <w:rFonts w:hint="eastAsia" w:ascii="宋体" w:hAnsi="宋体" w:cs="宋体"/>
          <w:snapToGrid w:val="0"/>
          <w:color w:val="auto"/>
          <w:kern w:val="0"/>
          <w:sz w:val="24"/>
          <w:szCs w:val="24"/>
          <w:highlight w:val="none"/>
          <w:lang w:val="zh-CN" w:eastAsia="zh-CN"/>
        </w:rPr>
        <w:t>供应商</w:t>
      </w:r>
      <w:r>
        <w:rPr>
          <w:rFonts w:hint="eastAsia" w:ascii="宋体" w:hAnsi="宋体" w:eastAsia="宋体" w:cs="宋体"/>
          <w:snapToGrid w:val="0"/>
          <w:color w:val="auto"/>
          <w:kern w:val="0"/>
          <w:sz w:val="24"/>
          <w:szCs w:val="24"/>
          <w:highlight w:val="none"/>
          <w:lang w:val="zh-CN" w:eastAsia="zh-CN"/>
        </w:rPr>
        <w:t>代表必须是</w:t>
      </w:r>
      <w:r>
        <w:rPr>
          <w:rFonts w:hint="eastAsia" w:ascii="宋体" w:hAnsi="宋体" w:cs="宋体"/>
          <w:snapToGrid w:val="0"/>
          <w:color w:val="auto"/>
          <w:kern w:val="0"/>
          <w:sz w:val="24"/>
          <w:szCs w:val="24"/>
          <w:highlight w:val="none"/>
          <w:lang w:val="zh-CN" w:eastAsia="zh-CN"/>
        </w:rPr>
        <w:t>供应商</w:t>
      </w:r>
      <w:r>
        <w:rPr>
          <w:rFonts w:hint="eastAsia" w:ascii="宋体" w:hAnsi="宋体" w:eastAsia="宋体" w:cs="宋体"/>
          <w:snapToGrid w:val="0"/>
          <w:color w:val="auto"/>
          <w:kern w:val="0"/>
          <w:sz w:val="24"/>
          <w:szCs w:val="24"/>
          <w:highlight w:val="none"/>
          <w:lang w:val="zh-CN" w:eastAsia="zh-CN"/>
        </w:rPr>
        <w:t>的法定代表人或其授权委托人，如</w:t>
      </w:r>
      <w:r>
        <w:rPr>
          <w:rFonts w:hint="eastAsia" w:ascii="宋体" w:hAnsi="宋体" w:cs="宋体"/>
          <w:snapToGrid w:val="0"/>
          <w:color w:val="auto"/>
          <w:kern w:val="0"/>
          <w:sz w:val="24"/>
          <w:szCs w:val="24"/>
          <w:highlight w:val="none"/>
          <w:lang w:val="zh-CN" w:eastAsia="zh-CN"/>
        </w:rPr>
        <w:t>供应商</w:t>
      </w:r>
      <w:r>
        <w:rPr>
          <w:rFonts w:hint="eastAsia" w:ascii="宋体" w:hAnsi="宋体" w:eastAsia="宋体" w:cs="宋体"/>
          <w:snapToGrid w:val="0"/>
          <w:color w:val="auto"/>
          <w:kern w:val="0"/>
          <w:sz w:val="24"/>
          <w:szCs w:val="24"/>
          <w:highlight w:val="none"/>
          <w:lang w:val="zh-CN" w:eastAsia="zh-CN"/>
        </w:rPr>
        <w:t>代表不是法定代表人，须有法定代表人出具的授权委托书。</w:t>
      </w:r>
    </w:p>
    <w:p w14:paraId="2DBE730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69352C9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val="zh-CN"/>
        </w:rPr>
        <w:t>制造商：拥有投标产品自主知识产权的单位。</w:t>
      </w:r>
    </w:p>
    <w:p w14:paraId="67B4063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cs="宋体"/>
          <w:snapToGrid w:val="0"/>
          <w:color w:val="auto"/>
          <w:kern w:val="0"/>
          <w:sz w:val="24"/>
          <w:szCs w:val="24"/>
          <w:highlight w:val="none"/>
          <w:lang w:val="en-US" w:eastAsia="zh-CN"/>
        </w:rPr>
        <w:t>0</w:t>
      </w:r>
      <w:r>
        <w:rPr>
          <w:rFonts w:hint="default"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default" w:ascii="宋体" w:hAnsi="宋体" w:eastAsia="宋体" w:cs="宋体"/>
          <w:snapToGrid w:val="0"/>
          <w:color w:val="auto"/>
          <w:kern w:val="0"/>
          <w:sz w:val="24"/>
          <w:szCs w:val="24"/>
          <w:highlight w:val="none"/>
        </w:rPr>
        <w:t>指供方按</w:t>
      </w:r>
      <w:r>
        <w:rPr>
          <w:rFonts w:hint="eastAsia" w:ascii="宋体" w:hAnsi="宋体" w:cs="宋体"/>
          <w:snapToGrid w:val="0"/>
          <w:color w:val="auto"/>
          <w:kern w:val="0"/>
          <w:sz w:val="24"/>
          <w:szCs w:val="24"/>
          <w:highlight w:val="none"/>
          <w:lang w:eastAsia="zh-CN"/>
        </w:rPr>
        <w:t>竞争性磋商文件</w:t>
      </w:r>
      <w:r>
        <w:rPr>
          <w:rFonts w:hint="default"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65D6F4B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cs="宋体"/>
          <w:snapToGrid w:val="0"/>
          <w:color w:val="auto"/>
          <w:kern w:val="0"/>
          <w:sz w:val="24"/>
          <w:szCs w:val="24"/>
          <w:highlight w:val="none"/>
          <w:lang w:val="en-US" w:eastAsia="zh-CN"/>
        </w:rPr>
        <w:t>1</w:t>
      </w:r>
      <w:r>
        <w:rPr>
          <w:rFonts w:hint="default"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default" w:ascii="宋体" w:hAnsi="宋体" w:eastAsia="宋体" w:cs="宋体"/>
          <w:snapToGrid w:val="0"/>
          <w:color w:val="auto"/>
          <w:kern w:val="0"/>
          <w:sz w:val="24"/>
          <w:szCs w:val="24"/>
          <w:highlight w:val="none"/>
        </w:rPr>
        <w:t>指</w:t>
      </w:r>
      <w:r>
        <w:rPr>
          <w:rFonts w:hint="eastAsia" w:ascii="宋体" w:hAnsi="宋体" w:cs="宋体"/>
          <w:snapToGrid w:val="0"/>
          <w:color w:val="auto"/>
          <w:kern w:val="0"/>
          <w:sz w:val="24"/>
          <w:szCs w:val="24"/>
          <w:highlight w:val="none"/>
          <w:lang w:eastAsia="zh-CN"/>
        </w:rPr>
        <w:t>供应商</w:t>
      </w:r>
      <w:r>
        <w:rPr>
          <w:rFonts w:hint="default" w:ascii="宋体" w:hAnsi="宋体" w:eastAsia="宋体" w:cs="宋体"/>
          <w:snapToGrid w:val="0"/>
          <w:color w:val="auto"/>
          <w:kern w:val="0"/>
          <w:sz w:val="24"/>
          <w:szCs w:val="24"/>
          <w:highlight w:val="none"/>
        </w:rPr>
        <w:t>按</w:t>
      </w:r>
      <w:r>
        <w:rPr>
          <w:rFonts w:hint="eastAsia" w:ascii="宋体" w:hAnsi="宋体" w:cs="宋体"/>
          <w:snapToGrid w:val="0"/>
          <w:color w:val="auto"/>
          <w:kern w:val="0"/>
          <w:sz w:val="24"/>
          <w:szCs w:val="24"/>
          <w:highlight w:val="none"/>
          <w:lang w:eastAsia="zh-CN"/>
        </w:rPr>
        <w:t>竞争性磋商文件</w:t>
      </w:r>
      <w:r>
        <w:rPr>
          <w:rFonts w:hint="default" w:ascii="宋体" w:hAnsi="宋体" w:eastAsia="宋体" w:cs="宋体"/>
          <w:snapToGrid w:val="0"/>
          <w:color w:val="auto"/>
          <w:kern w:val="0"/>
          <w:sz w:val="24"/>
          <w:szCs w:val="24"/>
          <w:highlight w:val="none"/>
        </w:rPr>
        <w:t>规定向采购人提供的产品和服务。</w:t>
      </w:r>
    </w:p>
    <w:p w14:paraId="4C07AE9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cs="宋体"/>
          <w:snapToGrid w:val="0"/>
          <w:color w:val="auto"/>
          <w:kern w:val="0"/>
          <w:sz w:val="24"/>
          <w:szCs w:val="24"/>
          <w:highlight w:val="none"/>
          <w:lang w:val="en-US" w:eastAsia="zh-CN"/>
        </w:rPr>
        <w:t>2</w:t>
      </w:r>
      <w:r>
        <w:rPr>
          <w:rFonts w:hint="default"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default" w:ascii="宋体" w:hAnsi="宋体" w:eastAsia="宋体" w:cs="宋体"/>
          <w:snapToGrid w:val="0"/>
          <w:color w:val="auto"/>
          <w:kern w:val="0"/>
          <w:sz w:val="24"/>
          <w:szCs w:val="24"/>
          <w:highlight w:val="none"/>
        </w:rPr>
        <w:t>。</w:t>
      </w:r>
    </w:p>
    <w:p w14:paraId="4CD8AE5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官方指定网站公示的内容视为书面告知。</w:t>
      </w:r>
    </w:p>
    <w:p w14:paraId="12041A8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097630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“电子交易平台”系指本项目政府采购活动所依托的政府采购云平台（https://www.zcygov.cn/）。</w:t>
      </w:r>
    </w:p>
    <w:p w14:paraId="2D80613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16</w:t>
      </w:r>
      <w:r>
        <w:rPr>
          <w:rFonts w:hint="eastAsia" w:ascii="宋体" w:hAnsi="宋体" w:eastAsia="宋体" w:cs="宋体"/>
          <w:snapToGrid w:val="0"/>
          <w:color w:val="auto"/>
          <w:kern w:val="0"/>
          <w:sz w:val="24"/>
          <w:szCs w:val="24"/>
          <w:highlight w:val="none"/>
          <w:lang w:val="zh-CN"/>
        </w:rPr>
        <w:t>培训：系指按</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规定，向</w:t>
      </w:r>
      <w:r>
        <w:rPr>
          <w:rFonts w:hint="eastAsia" w:ascii="宋体" w:hAnsi="宋体" w:cs="宋体"/>
          <w:snapToGrid w:val="0"/>
          <w:color w:val="auto"/>
          <w:kern w:val="0"/>
          <w:sz w:val="24"/>
          <w:szCs w:val="24"/>
          <w:highlight w:val="none"/>
          <w:lang w:val="zh-CN"/>
        </w:rPr>
        <w:t>采购人</w:t>
      </w:r>
      <w:r>
        <w:rPr>
          <w:rFonts w:hint="eastAsia" w:ascii="宋体" w:hAnsi="宋体" w:eastAsia="宋体" w:cs="宋体"/>
          <w:snapToGrid w:val="0"/>
          <w:color w:val="auto"/>
          <w:kern w:val="0"/>
          <w:sz w:val="24"/>
          <w:szCs w:val="24"/>
          <w:highlight w:val="none"/>
          <w:lang w:val="zh-CN"/>
        </w:rPr>
        <w:t>提供操作使用培训、系统管理培训和其他相关培训等。</w:t>
      </w:r>
    </w:p>
    <w:p w14:paraId="75E0C1D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17</w:t>
      </w:r>
      <w:r>
        <w:rPr>
          <w:rFonts w:hint="eastAsia" w:ascii="宋体" w:hAnsi="宋体" w:eastAsia="宋体" w:cs="宋体"/>
          <w:snapToGrid w:val="0"/>
          <w:color w:val="auto"/>
          <w:kern w:val="0"/>
          <w:sz w:val="24"/>
          <w:szCs w:val="24"/>
          <w:highlight w:val="none"/>
          <w:lang w:val="zh-CN"/>
        </w:rPr>
        <w:t>实质性响应：系指</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符合</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规定的实质性内容、条件和规定。</w:t>
      </w:r>
    </w:p>
    <w:p w14:paraId="588B66D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lang w:val="zh-CN"/>
        </w:rPr>
        <w:t>重大偏离或保留：系指将会影响到</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规定的服务范围、质量标准，或会给合同中规定的</w:t>
      </w:r>
      <w:r>
        <w:rPr>
          <w:rFonts w:hint="eastAsia" w:ascii="宋体" w:hAnsi="宋体" w:cs="宋体"/>
          <w:snapToGrid w:val="0"/>
          <w:color w:val="auto"/>
          <w:kern w:val="0"/>
          <w:sz w:val="24"/>
          <w:szCs w:val="24"/>
          <w:highlight w:val="none"/>
          <w:lang w:val="zh-CN"/>
        </w:rPr>
        <w:t>采购人</w:t>
      </w:r>
      <w:r>
        <w:rPr>
          <w:rFonts w:hint="eastAsia" w:ascii="宋体" w:hAnsi="宋体" w:eastAsia="宋体" w:cs="宋体"/>
          <w:snapToGrid w:val="0"/>
          <w:color w:val="auto"/>
          <w:kern w:val="0"/>
          <w:sz w:val="24"/>
          <w:szCs w:val="24"/>
          <w:highlight w:val="none"/>
          <w:lang w:val="zh-CN"/>
        </w:rPr>
        <w:t>的权利和</w:t>
      </w:r>
      <w:r>
        <w:rPr>
          <w:rFonts w:hint="eastAsia" w:ascii="宋体" w:hAnsi="宋体" w:cs="宋体"/>
          <w:snapToGrid w:val="0"/>
          <w:color w:val="auto"/>
          <w:kern w:val="0"/>
          <w:sz w:val="24"/>
          <w:szCs w:val="24"/>
          <w:highlight w:val="none"/>
          <w:lang w:val="zh-CN"/>
        </w:rPr>
        <w:t>供应商</w:t>
      </w:r>
      <w:r>
        <w:rPr>
          <w:rFonts w:hint="eastAsia" w:ascii="宋体" w:hAnsi="宋体" w:eastAsia="宋体" w:cs="宋体"/>
          <w:snapToGrid w:val="0"/>
          <w:color w:val="auto"/>
          <w:kern w:val="0"/>
          <w:sz w:val="24"/>
          <w:szCs w:val="24"/>
          <w:highlight w:val="none"/>
          <w:lang w:val="zh-CN"/>
        </w:rPr>
        <w:t>的责任造成实质性限制，而纠正这些偏离或保留将对其他提交了实质性响应的</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的</w:t>
      </w:r>
      <w:r>
        <w:rPr>
          <w:rFonts w:hint="eastAsia" w:ascii="宋体" w:hAnsi="宋体" w:cs="宋体"/>
          <w:snapToGrid w:val="0"/>
          <w:color w:val="auto"/>
          <w:kern w:val="0"/>
          <w:sz w:val="24"/>
          <w:szCs w:val="24"/>
          <w:highlight w:val="none"/>
          <w:lang w:val="zh-CN"/>
        </w:rPr>
        <w:t>供应商</w:t>
      </w:r>
      <w:r>
        <w:rPr>
          <w:rFonts w:hint="eastAsia" w:ascii="宋体" w:hAnsi="宋体" w:eastAsia="宋体" w:cs="宋体"/>
          <w:snapToGrid w:val="0"/>
          <w:color w:val="auto"/>
          <w:kern w:val="0"/>
          <w:sz w:val="24"/>
          <w:szCs w:val="24"/>
          <w:highlight w:val="none"/>
          <w:lang w:val="zh-CN"/>
        </w:rPr>
        <w:t>产生不公平影响的。</w:t>
      </w:r>
    </w:p>
    <w:p w14:paraId="46FF109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对</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的非实质性内容存在不完全响应或不响应。</w:t>
      </w:r>
    </w:p>
    <w:p w14:paraId="146C740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19“</w:t>
      </w:r>
      <w:r>
        <w:rPr>
          <w:rFonts w:hint="eastAsia" w:ascii="宋体" w:hAnsi="宋体" w:eastAsia="宋体" w:cs="宋体"/>
          <w:snapToGrid w:val="0"/>
          <w:color w:val="auto"/>
          <w:kern w:val="0"/>
          <w:sz w:val="24"/>
          <w:szCs w:val="24"/>
          <w:highlight w:val="none"/>
          <w:lang w:val="zh-CN"/>
        </w:rPr>
        <w:t>▲</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0746F41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lang w:val="zh-CN"/>
        </w:rPr>
        <w:t>★</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w:t>
      </w:r>
      <w:r>
        <w:rPr>
          <w:rFonts w:hint="eastAsia" w:ascii="宋体" w:hAnsi="宋体" w:cs="宋体"/>
          <w:snapToGrid w:val="0"/>
          <w:color w:val="auto"/>
          <w:kern w:val="0"/>
          <w:sz w:val="24"/>
          <w:szCs w:val="24"/>
          <w:highlight w:val="none"/>
          <w:lang w:val="zh-CN"/>
        </w:rPr>
        <w:t>供应商</w:t>
      </w:r>
      <w:r>
        <w:rPr>
          <w:rFonts w:hint="eastAsia" w:ascii="宋体" w:hAnsi="宋体" w:eastAsia="宋体" w:cs="宋体"/>
          <w:snapToGrid w:val="0"/>
          <w:color w:val="auto"/>
          <w:kern w:val="0"/>
          <w:sz w:val="24"/>
          <w:szCs w:val="24"/>
          <w:highlight w:val="none"/>
          <w:lang w:val="zh-CN"/>
        </w:rPr>
        <w:t>应特别关注的条款。</w:t>
      </w:r>
    </w:p>
    <w:p w14:paraId="10A697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政府采购政府要求说明</w:t>
      </w:r>
    </w:p>
    <w:p w14:paraId="5715AE1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5DC280D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、支持中小企业发展</w:t>
      </w:r>
    </w:p>
    <w:p w14:paraId="7B374F7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（1）根据财政部、工业和信息化部关于印发《政府采购促进中小企业发展管理办法》的通知（财库〔2020〕46号）的规定，本项目</w:t>
      </w:r>
      <w:r>
        <w:rPr>
          <w:rFonts w:hint="eastAsia" w:ascii="宋体" w:hAnsi="宋体" w:eastAsia="宋体" w:cs="宋体"/>
          <w:snapToGrid w:val="0"/>
          <w:color w:val="auto"/>
          <w:kern w:val="0"/>
          <w:sz w:val="24"/>
          <w:szCs w:val="24"/>
          <w:highlight w:val="none"/>
          <w:lang w:val="zh-CN" w:eastAsia="zh-CN" w:bidi="ar-SA"/>
        </w:rPr>
        <w:sym w:font="Wingdings" w:char="00A8"/>
      </w:r>
      <w:r>
        <w:rPr>
          <w:rFonts w:hint="eastAsia" w:ascii="宋体" w:hAnsi="宋体" w:eastAsia="宋体" w:cs="宋体"/>
          <w:snapToGrid w:val="0"/>
          <w:color w:val="auto"/>
          <w:kern w:val="0"/>
          <w:sz w:val="24"/>
          <w:szCs w:val="24"/>
          <w:highlight w:val="none"/>
          <w:lang w:val="zh-CN" w:eastAsia="zh-CN" w:bidi="ar-SA"/>
        </w:rPr>
        <w:t>属于</w:t>
      </w:r>
      <w:r>
        <w:rPr>
          <w:rFonts w:hint="eastAsia" w:ascii="宋体" w:hAnsi="宋体" w:eastAsia="宋体" w:cs="宋体"/>
          <w:snapToGrid w:val="0"/>
          <w:color w:val="auto"/>
          <w:kern w:val="0"/>
          <w:sz w:val="24"/>
          <w:szCs w:val="24"/>
          <w:highlight w:val="none"/>
          <w:lang w:val="zh-CN" w:eastAsia="zh-CN" w:bidi="ar-SA"/>
        </w:rPr>
        <w:sym w:font="Wingdings" w:char="00FE"/>
      </w:r>
      <w:r>
        <w:rPr>
          <w:rFonts w:hint="eastAsia" w:ascii="宋体" w:hAnsi="宋体" w:eastAsia="宋体" w:cs="宋体"/>
          <w:snapToGrid w:val="0"/>
          <w:color w:val="auto"/>
          <w:kern w:val="0"/>
          <w:sz w:val="24"/>
          <w:szCs w:val="24"/>
          <w:highlight w:val="none"/>
          <w:lang w:val="en-US" w:eastAsia="zh-CN" w:bidi="ar-SA"/>
        </w:rPr>
        <w:t>不属于</w:t>
      </w:r>
      <w:r>
        <w:rPr>
          <w:rFonts w:hint="eastAsia" w:ascii="宋体" w:hAnsi="宋体" w:eastAsia="宋体" w:cs="宋体"/>
          <w:snapToGrid w:val="0"/>
          <w:color w:val="auto"/>
          <w:kern w:val="0"/>
          <w:sz w:val="24"/>
          <w:szCs w:val="24"/>
          <w:highlight w:val="none"/>
          <w:lang w:val="zh-CN" w:eastAsia="zh-CN" w:bidi="ar-SA"/>
        </w:rPr>
        <w:t>预留份额专门面向小微企业采购项目；采购标的对应的中小企业划分标准所属行业：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cs="宋体"/>
          <w:snapToGrid w:val="0"/>
          <w:color w:val="auto"/>
          <w:kern w:val="0"/>
          <w:sz w:val="24"/>
          <w:szCs w:val="24"/>
          <w:highlight w:val="none"/>
          <w:u w:val="singl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4F4E5F8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中小企业划分标准：《中小企业划分标准》（工信部联企业[2011]300号）。</w:t>
      </w:r>
    </w:p>
    <w:p w14:paraId="1982C05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cs="宋体"/>
          <w:snapToGrid w:val="0"/>
          <w:color w:val="auto"/>
          <w:kern w:val="0"/>
          <w:sz w:val="24"/>
          <w:szCs w:val="24"/>
          <w:highlight w:val="none"/>
          <w:u w:val="singl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4859634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4567883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595BDAA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3</w:t>
      </w:r>
      <w:r>
        <w:rPr>
          <w:rFonts w:hint="eastAsia" w:ascii="宋体" w:hAnsi="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合格的</w:t>
      </w:r>
      <w:r>
        <w:rPr>
          <w:rFonts w:hint="eastAsia" w:ascii="宋体" w:hAnsi="宋体" w:cs="宋体"/>
          <w:b/>
          <w:snapToGrid w:val="0"/>
          <w:color w:val="auto"/>
          <w:kern w:val="0"/>
          <w:sz w:val="28"/>
          <w:szCs w:val="28"/>
          <w:highlight w:val="none"/>
          <w:lang w:eastAsia="zh-CN"/>
        </w:rPr>
        <w:t>供应商</w:t>
      </w:r>
      <w:r>
        <w:rPr>
          <w:rFonts w:hint="eastAsia" w:ascii="宋体" w:hAnsi="宋体" w:eastAsia="宋体" w:cs="宋体"/>
          <w:b/>
          <w:snapToGrid w:val="0"/>
          <w:color w:val="auto"/>
          <w:kern w:val="0"/>
          <w:sz w:val="28"/>
          <w:szCs w:val="28"/>
          <w:highlight w:val="none"/>
        </w:rPr>
        <w:t>及合格的投标货物和服务</w:t>
      </w:r>
    </w:p>
    <w:p w14:paraId="2DA521E1">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rPr>
        <w:t>3.1合格的</w:t>
      </w:r>
      <w:r>
        <w:rPr>
          <w:rFonts w:hint="eastAsia" w:ascii="宋体" w:hAnsi="宋体" w:cs="宋体"/>
          <w:b/>
          <w:snapToGrid w:val="0"/>
          <w:color w:val="auto"/>
          <w:kern w:val="0"/>
          <w:sz w:val="28"/>
          <w:szCs w:val="28"/>
          <w:highlight w:val="none"/>
          <w:lang w:eastAsia="zh-CN"/>
        </w:rPr>
        <w:t>供应商</w:t>
      </w:r>
      <w:r>
        <w:rPr>
          <w:rFonts w:hint="eastAsia" w:ascii="宋体" w:hAnsi="宋体" w:eastAsia="宋体" w:cs="宋体"/>
          <w:b/>
          <w:snapToGrid w:val="0"/>
          <w:color w:val="auto"/>
          <w:kern w:val="0"/>
          <w:sz w:val="28"/>
          <w:szCs w:val="28"/>
          <w:highlight w:val="none"/>
          <w:lang w:val="en-US" w:eastAsia="zh-CN"/>
        </w:rPr>
        <w:t xml:space="preserve"> </w:t>
      </w:r>
    </w:p>
    <w:p w14:paraId="5C08C1B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必须具备的资格条件并经</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审查通过的。</w:t>
      </w:r>
    </w:p>
    <w:p w14:paraId="1424D669">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3.</w:t>
      </w:r>
      <w:r>
        <w:rPr>
          <w:rFonts w:hint="eastAsia" w:ascii="宋体" w:hAnsi="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rPr>
        <w:t>对</w:t>
      </w:r>
      <w:r>
        <w:rPr>
          <w:rFonts w:hint="eastAsia" w:ascii="宋体" w:hAnsi="宋体" w:cs="宋体"/>
          <w:b/>
          <w:bCs/>
          <w:snapToGrid w:val="0"/>
          <w:color w:val="auto"/>
          <w:kern w:val="0"/>
          <w:sz w:val="28"/>
          <w:szCs w:val="28"/>
          <w:highlight w:val="none"/>
          <w:lang w:eastAsia="zh-CN"/>
        </w:rPr>
        <w:t>供应商</w:t>
      </w:r>
      <w:r>
        <w:rPr>
          <w:rFonts w:hint="eastAsia" w:ascii="宋体" w:hAnsi="宋体" w:eastAsia="宋体" w:cs="宋体"/>
          <w:b/>
          <w:bCs/>
          <w:snapToGrid w:val="0"/>
          <w:color w:val="auto"/>
          <w:kern w:val="0"/>
          <w:sz w:val="28"/>
          <w:szCs w:val="28"/>
          <w:highlight w:val="none"/>
        </w:rPr>
        <w:t>的限制</w:t>
      </w:r>
    </w:p>
    <w:p w14:paraId="39BC811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1A5F20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.2以联合体形式参加政府采购活动的，联合体各方不得再单独参加或者与其他供应商另外组成联合体参加同一合同项下的政府采购活动；</w:t>
      </w:r>
    </w:p>
    <w:p w14:paraId="4FBA72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为证明</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拥有的业绩、荣誉、知识产权、项目案例等而在</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中提供的证明材料必须为供应商自身所有。不同法人、其他组织的资料与供应商无关。</w:t>
      </w:r>
    </w:p>
    <w:p w14:paraId="3FA71F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在政府采购活动中，采购人员及相关人员与供应商有下列利害关系之一的，应当回避：</w:t>
      </w:r>
    </w:p>
    <w:p w14:paraId="0BB1EC3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39522AE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7B1CADB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2DD3BB1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77BBBF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7060BF0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189D560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0F1EE20D">
      <w:pPr>
        <w:keepNext w:val="0"/>
        <w:keepLines w:val="0"/>
        <w:pageBreakBefore w:val="0"/>
        <w:widowControl w:val="0"/>
        <w:kinsoku/>
        <w:wordWrap/>
        <w:overflowPunct/>
        <w:topLinePunct w:val="0"/>
        <w:autoSpaceDE/>
        <w:autoSpaceDN/>
        <w:bidi w:val="0"/>
        <w:adjustRightInd w:val="0"/>
        <w:snapToGrid w:val="0"/>
        <w:spacing w:beforeLines="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22BCF8">
      <w:pPr>
        <w:keepNext w:val="0"/>
        <w:keepLines w:val="0"/>
        <w:pageBreakBefore w:val="0"/>
        <w:widowControl w:val="0"/>
        <w:kinsoku/>
        <w:wordWrap/>
        <w:overflowPunct/>
        <w:topLinePunct w:val="0"/>
        <w:autoSpaceDE/>
        <w:autoSpaceDN/>
        <w:bidi w:val="0"/>
        <w:adjustRightInd w:val="0"/>
        <w:snapToGrid w:val="0"/>
        <w:spacing w:before="0" w:beforeLines="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4.</w:t>
      </w:r>
      <w:r>
        <w:rPr>
          <w:rFonts w:hint="eastAsia" w:ascii="宋体" w:hAnsi="宋体" w:eastAsia="宋体" w:cs="宋体"/>
          <w:b/>
          <w:snapToGrid w:val="0"/>
          <w:color w:val="auto"/>
          <w:kern w:val="0"/>
          <w:sz w:val="28"/>
          <w:szCs w:val="28"/>
          <w:highlight w:val="none"/>
        </w:rPr>
        <w:t>相关说明</w:t>
      </w:r>
    </w:p>
    <w:p w14:paraId="6B8A04D3">
      <w:pPr>
        <w:keepNext w:val="0"/>
        <w:keepLines w:val="0"/>
        <w:pageBreakBefore w:val="0"/>
        <w:widowControl w:val="0"/>
        <w:kinsoku/>
        <w:wordWrap/>
        <w:overflowPunct/>
        <w:topLinePunct w:val="0"/>
        <w:autoSpaceDE/>
        <w:autoSpaceDN/>
        <w:bidi w:val="0"/>
        <w:adjustRightInd w:val="0"/>
        <w:snapToGrid w:val="0"/>
        <w:spacing w:beforeLines="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500143DE">
      <w:pPr>
        <w:keepNext w:val="0"/>
        <w:keepLines w:val="0"/>
        <w:pageBreakBefore w:val="0"/>
        <w:widowControl w:val="0"/>
        <w:kinsoku/>
        <w:wordWrap/>
        <w:overflowPunct/>
        <w:topLinePunct w:val="0"/>
        <w:autoSpaceDE/>
        <w:autoSpaceDN/>
        <w:bidi w:val="0"/>
        <w:adjustRightInd w:val="0"/>
        <w:snapToGrid w:val="0"/>
        <w:spacing w:beforeLines="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066D772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652C9C4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的所有内容，按照</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的要求提交</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应对</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的要求作出实质性响应，并对所提供的全部资料的真实性承担法律责任。</w:t>
      </w:r>
    </w:p>
    <w:p w14:paraId="2A4664C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412FA45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w:t>
      </w:r>
      <w:r>
        <w:rPr>
          <w:rFonts w:hint="eastAsia" w:ascii="宋体" w:hAnsi="宋体" w:cs="宋体"/>
          <w:snapToGrid w:val="0"/>
          <w:color w:val="auto"/>
          <w:kern w:val="0"/>
          <w:sz w:val="24"/>
          <w:szCs w:val="24"/>
          <w:highlight w:val="none"/>
          <w:lang w:val="en-US" w:eastAsia="zh-CN"/>
        </w:rPr>
        <w:t>竞争性磋商文件</w:t>
      </w:r>
      <w:r>
        <w:rPr>
          <w:rFonts w:hint="eastAsia" w:ascii="宋体" w:hAnsi="宋体" w:eastAsia="宋体" w:cs="宋体"/>
          <w:snapToGrid w:val="0"/>
          <w:color w:val="auto"/>
          <w:kern w:val="0"/>
          <w:sz w:val="24"/>
          <w:szCs w:val="24"/>
          <w:highlight w:val="none"/>
          <w:lang w:val="en-US" w:eastAsia="zh-CN"/>
        </w:rPr>
        <w:t>的所有内容，按照</w:t>
      </w:r>
      <w:r>
        <w:rPr>
          <w:rFonts w:hint="eastAsia" w:ascii="宋体" w:hAnsi="宋体" w:cs="宋体"/>
          <w:snapToGrid w:val="0"/>
          <w:color w:val="auto"/>
          <w:kern w:val="0"/>
          <w:sz w:val="24"/>
          <w:szCs w:val="24"/>
          <w:highlight w:val="none"/>
          <w:lang w:val="en-US" w:eastAsia="zh-CN"/>
        </w:rPr>
        <w:t>竞争性磋商文件</w:t>
      </w:r>
      <w:r>
        <w:rPr>
          <w:rFonts w:hint="eastAsia" w:ascii="宋体" w:hAnsi="宋体" w:eastAsia="宋体" w:cs="宋体"/>
          <w:snapToGrid w:val="0"/>
          <w:color w:val="auto"/>
          <w:kern w:val="0"/>
          <w:sz w:val="24"/>
          <w:szCs w:val="24"/>
          <w:highlight w:val="none"/>
          <w:lang w:val="en-US" w:eastAsia="zh-CN"/>
        </w:rPr>
        <w:t>的要求提交</w:t>
      </w:r>
      <w:r>
        <w:rPr>
          <w:rFonts w:hint="eastAsia" w:ascii="宋体" w:hAnsi="宋体" w:cs="宋体"/>
          <w:snapToGrid w:val="0"/>
          <w:color w:val="auto"/>
          <w:kern w:val="0"/>
          <w:sz w:val="24"/>
          <w:szCs w:val="24"/>
          <w:highlight w:val="none"/>
          <w:lang w:val="en-US" w:eastAsia="zh-CN"/>
        </w:rPr>
        <w:t>响应文件</w:t>
      </w:r>
      <w:r>
        <w:rPr>
          <w:rFonts w:hint="eastAsia" w:ascii="宋体" w:hAnsi="宋体" w:eastAsia="宋体" w:cs="宋体"/>
          <w:snapToGrid w:val="0"/>
          <w:color w:val="auto"/>
          <w:kern w:val="0"/>
          <w:sz w:val="24"/>
          <w:szCs w:val="24"/>
          <w:highlight w:val="none"/>
          <w:lang w:val="en-US" w:eastAsia="zh-CN"/>
        </w:rPr>
        <w:t>，并对所提供的全部资料的真实性承担法律责任。</w:t>
      </w:r>
    </w:p>
    <w:p w14:paraId="387BE6C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val="en-US" w:eastAsia="zh-CN"/>
        </w:rPr>
        <w:t>对所投标项内的采购内容必须全部进行投标。</w:t>
      </w:r>
    </w:p>
    <w:p w14:paraId="0663FBB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val="en-US" w:eastAsia="zh-CN"/>
        </w:rPr>
        <w:t>发送的资料文件，还是</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val="en-US" w:eastAsia="zh-CN"/>
        </w:rPr>
        <w:t>提出的问题，均采用书面形式，任何口头提问及答复一律无效。</w:t>
      </w:r>
    </w:p>
    <w:p w14:paraId="4850DF0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val="en-US" w:eastAsia="zh-CN"/>
        </w:rPr>
        <w:t>应保证所投产品整体或其任一部分，均免受第三方提出的侵犯其专利权、商标权、著作权或其他知识产权的起诉。</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val="en-US" w:eastAsia="zh-CN"/>
        </w:rPr>
        <w:t>应承担由此可能产生的一切法律责任和费用。</w:t>
      </w:r>
    </w:p>
    <w:p w14:paraId="16D056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71360EB6">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cs="宋体"/>
          <w:b/>
          <w:snapToGrid w:val="0"/>
          <w:color w:val="auto"/>
          <w:kern w:val="0"/>
          <w:sz w:val="28"/>
          <w:szCs w:val="28"/>
          <w:highlight w:val="none"/>
          <w:lang w:val="en-US" w:eastAsia="zh-CN"/>
        </w:rPr>
      </w:pPr>
      <w:r>
        <w:rPr>
          <w:rFonts w:hint="eastAsia" w:ascii="宋体" w:hAnsi="宋体" w:cs="宋体"/>
          <w:b/>
          <w:snapToGrid w:val="0"/>
          <w:color w:val="auto"/>
          <w:kern w:val="0"/>
          <w:sz w:val="28"/>
          <w:szCs w:val="28"/>
          <w:highlight w:val="none"/>
          <w:lang w:val="en-US" w:eastAsia="zh-CN"/>
        </w:rPr>
        <w:t>5.保密</w:t>
      </w:r>
    </w:p>
    <w:p w14:paraId="1A7E958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w:t>
      </w:r>
      <w:r>
        <w:rPr>
          <w:rFonts w:hint="eastAsia" w:ascii="宋体" w:hAnsi="宋体" w:cs="宋体"/>
          <w:snapToGrid w:val="0"/>
          <w:color w:val="auto"/>
          <w:kern w:val="0"/>
          <w:sz w:val="24"/>
          <w:szCs w:val="24"/>
          <w:highlight w:val="none"/>
          <w:lang w:val="en-US" w:eastAsia="zh-CN"/>
        </w:rPr>
        <w:t>竞争性磋商文件</w:t>
      </w:r>
      <w:r>
        <w:rPr>
          <w:rFonts w:hint="eastAsia" w:ascii="宋体" w:hAnsi="宋体" w:eastAsia="宋体" w:cs="宋体"/>
          <w:snapToGrid w:val="0"/>
          <w:color w:val="auto"/>
          <w:kern w:val="0"/>
          <w:sz w:val="24"/>
          <w:szCs w:val="24"/>
          <w:highlight w:val="none"/>
          <w:lang w:val="en-US" w:eastAsia="zh-CN"/>
        </w:rPr>
        <w:t>和</w:t>
      </w:r>
      <w:r>
        <w:rPr>
          <w:rFonts w:hint="eastAsia" w:ascii="宋体" w:hAnsi="宋体" w:cs="宋体"/>
          <w:snapToGrid w:val="0"/>
          <w:color w:val="auto"/>
          <w:kern w:val="0"/>
          <w:sz w:val="24"/>
          <w:szCs w:val="24"/>
          <w:highlight w:val="none"/>
          <w:lang w:val="en-US" w:eastAsia="zh-CN"/>
        </w:rPr>
        <w:t>响应文件</w:t>
      </w:r>
      <w:r>
        <w:rPr>
          <w:rFonts w:hint="eastAsia" w:ascii="宋体" w:hAnsi="宋体" w:eastAsia="宋体" w:cs="宋体"/>
          <w:snapToGrid w:val="0"/>
          <w:color w:val="auto"/>
          <w:kern w:val="0"/>
          <w:sz w:val="24"/>
          <w:szCs w:val="24"/>
          <w:highlight w:val="none"/>
          <w:lang w:val="en-US" w:eastAsia="zh-CN"/>
        </w:rPr>
        <w:t>中的商业和技术等秘密保密，违者应对此造成的后果承担法律责任。</w:t>
      </w:r>
    </w:p>
    <w:p w14:paraId="2B2BE049">
      <w:pPr>
        <w:pStyle w:val="19"/>
        <w:rPr>
          <w:rFonts w:hint="eastAsia"/>
          <w:highlight w:val="none"/>
          <w:lang w:val="en-US" w:eastAsia="zh-CN"/>
        </w:rPr>
      </w:pPr>
    </w:p>
    <w:p w14:paraId="19D348D7">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lang w:eastAsia="zh-CN"/>
        </w:rPr>
      </w:pPr>
      <w:bookmarkStart w:id="19" w:name="_Toc251566651"/>
      <w:bookmarkStart w:id="20" w:name="_Toc4927"/>
      <w:bookmarkStart w:id="21" w:name="_Toc27862"/>
      <w:bookmarkStart w:id="22" w:name="_Toc18941"/>
      <w:bookmarkStart w:id="23" w:name="_Toc240450078"/>
      <w:r>
        <w:rPr>
          <w:rFonts w:hint="eastAsia" w:ascii="宋体" w:hAnsi="宋体" w:eastAsia="宋体" w:cs="宋体"/>
          <w:b/>
          <w:bCs/>
          <w:color w:val="auto"/>
          <w:sz w:val="28"/>
          <w:szCs w:val="24"/>
          <w:highlight w:val="none"/>
        </w:rPr>
        <w:t>二、</w:t>
      </w:r>
      <w:bookmarkEnd w:id="19"/>
      <w:bookmarkEnd w:id="20"/>
      <w:bookmarkEnd w:id="21"/>
      <w:bookmarkEnd w:id="22"/>
      <w:bookmarkEnd w:id="23"/>
      <w:r>
        <w:rPr>
          <w:rFonts w:hint="eastAsia" w:ascii="宋体" w:hAnsi="宋体" w:cs="宋体"/>
          <w:b/>
          <w:bCs/>
          <w:color w:val="auto"/>
          <w:sz w:val="28"/>
          <w:szCs w:val="24"/>
          <w:highlight w:val="none"/>
          <w:lang w:eastAsia="zh-CN"/>
        </w:rPr>
        <w:t>竞争性磋商文件</w:t>
      </w:r>
    </w:p>
    <w:p w14:paraId="5A0C631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6.</w:t>
      </w:r>
      <w:r>
        <w:rPr>
          <w:rFonts w:hint="eastAsia" w:ascii="宋体" w:hAnsi="宋体" w:cs="宋体"/>
          <w:b/>
          <w:snapToGrid w:val="0"/>
          <w:color w:val="auto"/>
          <w:kern w:val="0"/>
          <w:sz w:val="28"/>
          <w:szCs w:val="28"/>
          <w:highlight w:val="none"/>
          <w:lang w:eastAsia="zh-CN"/>
        </w:rPr>
        <w:t>竞争性磋商文件</w:t>
      </w:r>
      <w:r>
        <w:rPr>
          <w:rFonts w:hint="eastAsia" w:ascii="宋体" w:hAnsi="宋体" w:eastAsia="宋体" w:cs="宋体"/>
          <w:b/>
          <w:snapToGrid w:val="0"/>
          <w:color w:val="auto"/>
          <w:kern w:val="0"/>
          <w:sz w:val="28"/>
          <w:szCs w:val="28"/>
          <w:highlight w:val="none"/>
        </w:rPr>
        <w:t>构成</w:t>
      </w:r>
    </w:p>
    <w:p w14:paraId="735E622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包括目录所示内容及所有按本须知第6、7条发出的补充资料。</w:t>
      </w:r>
    </w:p>
    <w:p w14:paraId="4EB3112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1713B6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是招标过程进行的有效依据，也是成交后签订合同的依据，对双方均具有约束力，凡不遵守</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规定或对</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的实质性内容不响应的，将可能被拒绝或以无效标处理。</w:t>
      </w:r>
    </w:p>
    <w:p w14:paraId="5F9B01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由采购人或采购代理机构依据相关法律、法规、规章、省市规定及</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进行解释。</w:t>
      </w:r>
    </w:p>
    <w:p w14:paraId="7D6245C9">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7.</w:t>
      </w:r>
      <w:r>
        <w:rPr>
          <w:rFonts w:hint="eastAsia" w:ascii="宋体" w:hAnsi="宋体" w:cs="宋体"/>
          <w:b/>
          <w:snapToGrid w:val="0"/>
          <w:color w:val="auto"/>
          <w:kern w:val="0"/>
          <w:sz w:val="28"/>
          <w:szCs w:val="28"/>
          <w:highlight w:val="none"/>
          <w:lang w:eastAsia="zh-CN"/>
        </w:rPr>
        <w:t>竞争性磋商文件</w:t>
      </w:r>
      <w:r>
        <w:rPr>
          <w:rFonts w:hint="eastAsia" w:ascii="宋体" w:hAnsi="宋体" w:eastAsia="宋体" w:cs="宋体"/>
          <w:b/>
          <w:snapToGrid w:val="0"/>
          <w:color w:val="auto"/>
          <w:kern w:val="0"/>
          <w:sz w:val="28"/>
          <w:szCs w:val="28"/>
          <w:highlight w:val="none"/>
        </w:rPr>
        <w:t>的澄清</w:t>
      </w:r>
    </w:p>
    <w:p w14:paraId="396FE9B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691921091@qq.com</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7E6D66B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3F55683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的供应商。</w:t>
      </w:r>
    </w:p>
    <w:p w14:paraId="22A8C2F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8.</w:t>
      </w:r>
      <w:r>
        <w:rPr>
          <w:rFonts w:hint="eastAsia" w:ascii="宋体" w:hAnsi="宋体" w:cs="宋体"/>
          <w:b/>
          <w:snapToGrid w:val="0"/>
          <w:color w:val="auto"/>
          <w:kern w:val="0"/>
          <w:sz w:val="28"/>
          <w:szCs w:val="28"/>
          <w:highlight w:val="none"/>
          <w:lang w:eastAsia="zh-CN"/>
        </w:rPr>
        <w:t>竞争性磋商文件</w:t>
      </w:r>
      <w:r>
        <w:rPr>
          <w:rFonts w:hint="eastAsia" w:ascii="宋体" w:hAnsi="宋体" w:eastAsia="宋体" w:cs="宋体"/>
          <w:b/>
          <w:snapToGrid w:val="0"/>
          <w:color w:val="auto"/>
          <w:kern w:val="0"/>
          <w:sz w:val="28"/>
          <w:szCs w:val="28"/>
          <w:highlight w:val="none"/>
        </w:rPr>
        <w:t>的修改</w:t>
      </w:r>
    </w:p>
    <w:p w14:paraId="59C5C6D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进行必要的澄清或者修改。澄清或者修改的内容可能影响</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编制的，采购人或者采购代理机构应当在投标截止时间至少</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日前，以更正（澄清）公告形式通知所有获取</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的潜在供应商；不足</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日的，采购人或者采购代理机构应当顺延提交</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的截止时间。</w:t>
      </w:r>
    </w:p>
    <w:p w14:paraId="4FADB7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的修改将以更正（澄清）公告通知所有获取</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4E2CC03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的时间不充分的，必须在公告发布之日的24小时内通知采购人和采购代理机构。否则，视同供应商有充足时间编制</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w:t>
      </w:r>
    </w:p>
    <w:p w14:paraId="73B78CF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澄清、答复、修改、补充的内容为</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的组成部分。当</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与</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的答复、澄清、修改、补充通知就同一内容的表述不一致时，以最后发出的更正（澄清）公告为准。</w:t>
      </w:r>
    </w:p>
    <w:p w14:paraId="037726F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的澄清、答复、修改或补充都应该通过本代理机构以法定形式发布，除此以外的发布不属于</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的组成部分。</w:t>
      </w:r>
    </w:p>
    <w:p w14:paraId="627AEB0E">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24" w:name="_Toc240450079"/>
      <w:bookmarkStart w:id="25" w:name="_Toc31368"/>
      <w:bookmarkStart w:id="26" w:name="_Toc22768"/>
      <w:bookmarkStart w:id="27" w:name="_Toc15075"/>
      <w:bookmarkStart w:id="28" w:name="_Toc251566652"/>
      <w:r>
        <w:rPr>
          <w:rFonts w:hint="eastAsia" w:ascii="宋体" w:hAnsi="宋体" w:eastAsia="宋体" w:cs="宋体"/>
          <w:b/>
          <w:bCs/>
          <w:color w:val="auto"/>
          <w:sz w:val="28"/>
          <w:szCs w:val="24"/>
          <w:highlight w:val="none"/>
        </w:rPr>
        <w:t>三、</w:t>
      </w:r>
      <w:r>
        <w:rPr>
          <w:rFonts w:hint="eastAsia" w:ascii="宋体" w:hAnsi="宋体" w:cs="宋体"/>
          <w:b/>
          <w:bCs/>
          <w:color w:val="auto"/>
          <w:sz w:val="28"/>
          <w:szCs w:val="24"/>
          <w:highlight w:val="none"/>
          <w:lang w:eastAsia="zh-CN"/>
        </w:rPr>
        <w:t>响应文件</w:t>
      </w:r>
      <w:r>
        <w:rPr>
          <w:rFonts w:hint="eastAsia" w:ascii="宋体" w:hAnsi="宋体" w:eastAsia="宋体" w:cs="宋体"/>
          <w:b/>
          <w:bCs/>
          <w:color w:val="auto"/>
          <w:sz w:val="28"/>
          <w:szCs w:val="24"/>
          <w:highlight w:val="none"/>
        </w:rPr>
        <w:t>的编制</w:t>
      </w:r>
      <w:bookmarkEnd w:id="24"/>
      <w:bookmarkEnd w:id="25"/>
      <w:bookmarkEnd w:id="26"/>
      <w:bookmarkEnd w:id="27"/>
      <w:bookmarkEnd w:id="28"/>
    </w:p>
    <w:p w14:paraId="2C6CF01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w:t>
      </w:r>
      <w:r>
        <w:rPr>
          <w:rFonts w:hint="eastAsia" w:ascii="宋体" w:hAnsi="宋体" w:cs="宋体"/>
          <w:b/>
          <w:snapToGrid w:val="0"/>
          <w:color w:val="auto"/>
          <w:kern w:val="0"/>
          <w:sz w:val="24"/>
          <w:szCs w:val="24"/>
          <w:highlight w:val="none"/>
          <w:lang w:eastAsia="zh-CN"/>
        </w:rPr>
        <w:t>竞争性磋商文件</w:t>
      </w:r>
      <w:r>
        <w:rPr>
          <w:rFonts w:hint="eastAsia" w:ascii="宋体" w:hAnsi="宋体" w:eastAsia="宋体" w:cs="宋体"/>
          <w:b/>
          <w:snapToGrid w:val="0"/>
          <w:color w:val="auto"/>
          <w:kern w:val="0"/>
          <w:sz w:val="24"/>
          <w:szCs w:val="24"/>
          <w:highlight w:val="none"/>
        </w:rPr>
        <w:t>中所有的事项、格式、条款和技术要求等。如果供应商没有按照</w:t>
      </w:r>
      <w:r>
        <w:rPr>
          <w:rFonts w:hint="eastAsia" w:ascii="宋体" w:hAnsi="宋体" w:cs="宋体"/>
          <w:b/>
          <w:snapToGrid w:val="0"/>
          <w:color w:val="auto"/>
          <w:kern w:val="0"/>
          <w:sz w:val="24"/>
          <w:szCs w:val="24"/>
          <w:highlight w:val="none"/>
          <w:lang w:eastAsia="zh-CN"/>
        </w:rPr>
        <w:t>竞争性磋商文件</w:t>
      </w:r>
      <w:r>
        <w:rPr>
          <w:rFonts w:hint="eastAsia" w:ascii="宋体" w:hAnsi="宋体" w:eastAsia="宋体" w:cs="宋体"/>
          <w:b/>
          <w:snapToGrid w:val="0"/>
          <w:color w:val="auto"/>
          <w:kern w:val="0"/>
          <w:sz w:val="24"/>
          <w:szCs w:val="24"/>
          <w:highlight w:val="none"/>
        </w:rPr>
        <w:t>要求和规定编制</w:t>
      </w:r>
      <w:r>
        <w:rPr>
          <w:rFonts w:hint="eastAsia" w:ascii="宋体" w:hAnsi="宋体" w:cs="宋体"/>
          <w:b/>
          <w:snapToGrid w:val="0"/>
          <w:color w:val="auto"/>
          <w:kern w:val="0"/>
          <w:sz w:val="24"/>
          <w:szCs w:val="24"/>
          <w:highlight w:val="none"/>
          <w:lang w:eastAsia="zh-CN"/>
        </w:rPr>
        <w:t>响应文件</w:t>
      </w:r>
      <w:r>
        <w:rPr>
          <w:rFonts w:hint="eastAsia" w:ascii="宋体" w:hAnsi="宋体" w:eastAsia="宋体" w:cs="宋体"/>
          <w:b/>
          <w:snapToGrid w:val="0"/>
          <w:color w:val="auto"/>
          <w:kern w:val="0"/>
          <w:sz w:val="24"/>
          <w:szCs w:val="24"/>
          <w:highlight w:val="none"/>
        </w:rPr>
        <w:t>及提交全部资料，或者投标没有对</w:t>
      </w:r>
      <w:r>
        <w:rPr>
          <w:rFonts w:hint="eastAsia" w:ascii="宋体" w:hAnsi="宋体" w:cs="宋体"/>
          <w:b/>
          <w:snapToGrid w:val="0"/>
          <w:color w:val="auto"/>
          <w:kern w:val="0"/>
          <w:sz w:val="24"/>
          <w:szCs w:val="24"/>
          <w:highlight w:val="none"/>
          <w:lang w:eastAsia="zh-CN"/>
        </w:rPr>
        <w:t>竞争性磋商文件</w:t>
      </w:r>
      <w:r>
        <w:rPr>
          <w:rFonts w:hint="eastAsia" w:ascii="宋体" w:hAnsi="宋体" w:eastAsia="宋体" w:cs="宋体"/>
          <w:b/>
          <w:snapToGrid w:val="0"/>
          <w:color w:val="auto"/>
          <w:kern w:val="0"/>
          <w:sz w:val="24"/>
          <w:szCs w:val="24"/>
          <w:highlight w:val="none"/>
        </w:rPr>
        <w:t>中各方面作出实质性响应，其风险应由供应商承担。</w:t>
      </w:r>
    </w:p>
    <w:p w14:paraId="7B8C1A6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cs="宋体"/>
          <w:b/>
          <w:snapToGrid w:val="0"/>
          <w:color w:val="auto"/>
          <w:kern w:val="0"/>
          <w:sz w:val="24"/>
          <w:szCs w:val="24"/>
          <w:highlight w:val="none"/>
          <w:lang w:val="en-US" w:eastAsia="zh-CN" w:bidi="ar-SA"/>
        </w:rPr>
        <w:t>供应商</w:t>
      </w:r>
      <w:r>
        <w:rPr>
          <w:rFonts w:hint="eastAsia" w:ascii="宋体" w:hAnsi="宋体" w:eastAsia="宋体" w:cs="宋体"/>
          <w:b/>
          <w:snapToGrid w:val="0"/>
          <w:color w:val="auto"/>
          <w:kern w:val="0"/>
          <w:sz w:val="24"/>
          <w:szCs w:val="24"/>
          <w:highlight w:val="none"/>
          <w:lang w:val="en-US" w:eastAsia="zh-CN" w:bidi="ar-SA"/>
        </w:rPr>
        <w:t>应确保所提供</w:t>
      </w:r>
      <w:r>
        <w:rPr>
          <w:rFonts w:hint="eastAsia" w:ascii="宋体" w:hAnsi="宋体" w:cs="宋体"/>
          <w:b/>
          <w:snapToGrid w:val="0"/>
          <w:color w:val="auto"/>
          <w:kern w:val="0"/>
          <w:sz w:val="24"/>
          <w:szCs w:val="24"/>
          <w:highlight w:val="none"/>
          <w:lang w:val="en-US" w:eastAsia="zh-CN" w:bidi="ar-SA"/>
        </w:rPr>
        <w:t>响应文件</w:t>
      </w:r>
      <w:r>
        <w:rPr>
          <w:rFonts w:hint="eastAsia" w:ascii="宋体" w:hAnsi="宋体" w:eastAsia="宋体" w:cs="宋体"/>
          <w:b/>
          <w:snapToGrid w:val="0"/>
          <w:color w:val="auto"/>
          <w:kern w:val="0"/>
          <w:sz w:val="24"/>
          <w:szCs w:val="24"/>
          <w:highlight w:val="none"/>
          <w:lang w:val="en-US" w:eastAsia="zh-CN" w:bidi="ar-SA"/>
        </w:rPr>
        <w:t>资料的有效性和真实性，所有文件资料必须是针对本次投标的。如发现</w:t>
      </w:r>
      <w:r>
        <w:rPr>
          <w:rFonts w:hint="eastAsia" w:ascii="宋体" w:hAnsi="宋体" w:cs="宋体"/>
          <w:b/>
          <w:snapToGrid w:val="0"/>
          <w:color w:val="auto"/>
          <w:kern w:val="0"/>
          <w:sz w:val="24"/>
          <w:szCs w:val="24"/>
          <w:highlight w:val="none"/>
          <w:lang w:val="en-US" w:eastAsia="zh-CN" w:bidi="ar-SA"/>
        </w:rPr>
        <w:t>供应商</w:t>
      </w:r>
      <w:r>
        <w:rPr>
          <w:rFonts w:hint="eastAsia" w:ascii="宋体" w:hAnsi="宋体" w:eastAsia="宋体" w:cs="宋体"/>
          <w:b/>
          <w:snapToGrid w:val="0"/>
          <w:color w:val="auto"/>
          <w:kern w:val="0"/>
          <w:sz w:val="24"/>
          <w:szCs w:val="24"/>
          <w:highlight w:val="none"/>
          <w:lang w:val="en-US" w:eastAsia="zh-CN" w:bidi="ar-SA"/>
        </w:rPr>
        <w:t>在投标活动中提供虚假文件资料，其投标无效，并报监管部门查处；中标后发现的，中标人还须按照《中华人民共和国消费者权益保护法》第49条之规定双倍赔偿采购人，且民事赔偿并不免除违法</w:t>
      </w:r>
      <w:r>
        <w:rPr>
          <w:rFonts w:hint="eastAsia" w:ascii="宋体" w:hAnsi="宋体" w:cs="宋体"/>
          <w:b/>
          <w:snapToGrid w:val="0"/>
          <w:color w:val="auto"/>
          <w:kern w:val="0"/>
          <w:sz w:val="24"/>
          <w:szCs w:val="24"/>
          <w:highlight w:val="none"/>
          <w:lang w:val="en-US" w:eastAsia="zh-CN" w:bidi="ar-SA"/>
        </w:rPr>
        <w:t>供应商</w:t>
      </w:r>
      <w:r>
        <w:rPr>
          <w:rFonts w:hint="eastAsia" w:ascii="宋体" w:hAnsi="宋体" w:eastAsia="宋体" w:cs="宋体"/>
          <w:b/>
          <w:snapToGrid w:val="0"/>
          <w:color w:val="auto"/>
          <w:kern w:val="0"/>
          <w:sz w:val="24"/>
          <w:szCs w:val="24"/>
          <w:highlight w:val="none"/>
          <w:lang w:val="en-US" w:eastAsia="zh-CN" w:bidi="ar-SA"/>
        </w:rPr>
        <w:t>的行政与刑事责任。</w:t>
      </w:r>
    </w:p>
    <w:p w14:paraId="34A79696">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9.</w:t>
      </w:r>
      <w:r>
        <w:rPr>
          <w:rFonts w:hint="eastAsia" w:ascii="宋体" w:hAnsi="宋体" w:cs="宋体"/>
          <w:b/>
          <w:snapToGrid w:val="0"/>
          <w:color w:val="auto"/>
          <w:kern w:val="0"/>
          <w:sz w:val="28"/>
          <w:szCs w:val="28"/>
          <w:highlight w:val="none"/>
          <w:lang w:eastAsia="zh-CN"/>
        </w:rPr>
        <w:t>响应文件</w:t>
      </w:r>
      <w:r>
        <w:rPr>
          <w:rFonts w:hint="eastAsia" w:ascii="宋体" w:hAnsi="宋体" w:eastAsia="宋体" w:cs="宋体"/>
          <w:b/>
          <w:snapToGrid w:val="0"/>
          <w:color w:val="auto"/>
          <w:kern w:val="0"/>
          <w:sz w:val="28"/>
          <w:szCs w:val="28"/>
          <w:highlight w:val="none"/>
        </w:rPr>
        <w:t>的语言、计量单位、形式及效力</w:t>
      </w:r>
    </w:p>
    <w:p w14:paraId="00BE90A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14BF3B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及供应商与采购人之间与投标有关的来往通知、函件和文件均应使用简体中文。除签名、盖章、专用名称等特殊情形外，以中文汉语以外的文字表述的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视同未提供。供应商提交的支持文件和印刷的文献可以用另一种语言，但相应内容应附有中文翻译文本，在解释</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时以中文翻译文本为准。</w:t>
      </w:r>
    </w:p>
    <w:p w14:paraId="2263F2B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另有规定外，</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所使用的计量单位，均须采用中华人民共和国法定计量单位，否则视同未响应。</w:t>
      </w:r>
    </w:p>
    <w:p w14:paraId="6D8A378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10.</w:t>
      </w:r>
      <w:r>
        <w:rPr>
          <w:rFonts w:hint="eastAsia" w:ascii="宋体" w:hAnsi="宋体" w:cs="宋体"/>
          <w:b/>
          <w:snapToGrid w:val="0"/>
          <w:color w:val="auto"/>
          <w:kern w:val="0"/>
          <w:sz w:val="28"/>
          <w:szCs w:val="28"/>
          <w:highlight w:val="none"/>
          <w:lang w:eastAsia="zh-CN"/>
        </w:rPr>
        <w:t>响应文件</w:t>
      </w:r>
      <w:r>
        <w:rPr>
          <w:rFonts w:hint="eastAsia" w:ascii="宋体" w:hAnsi="宋体" w:eastAsia="宋体" w:cs="宋体"/>
          <w:b/>
          <w:snapToGrid w:val="0"/>
          <w:color w:val="auto"/>
          <w:kern w:val="0"/>
          <w:sz w:val="28"/>
          <w:szCs w:val="28"/>
          <w:highlight w:val="none"/>
        </w:rPr>
        <w:t>构成</w:t>
      </w:r>
    </w:p>
    <w:p w14:paraId="01ED0F03">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13BB1D6E">
      <w:pPr>
        <w:pStyle w:val="19"/>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color w:val="auto"/>
          <w:highlight w:val="none"/>
          <w:lang w:val="en-US" w:eastAsia="zh-CN"/>
        </w:rPr>
      </w:pPr>
      <w:r>
        <w:rPr>
          <w:rFonts w:hint="eastAsia" w:ascii="宋体" w:hAnsi="宋体" w:cs="宋体"/>
          <w:b/>
          <w:bCs/>
          <w:snapToGrid w:val="0"/>
          <w:color w:val="auto"/>
          <w:kern w:val="0"/>
          <w:sz w:val="24"/>
          <w:szCs w:val="24"/>
          <w:highlight w:val="none"/>
          <w:lang w:val="en-US" w:eastAsia="zh-CN"/>
        </w:rPr>
        <w:t>12</w:t>
      </w:r>
      <w:r>
        <w:rPr>
          <w:rFonts w:hint="eastAsia" w:ascii="宋体" w:hAnsi="宋体" w:eastAsia="宋体" w:cs="宋体"/>
          <w:b/>
          <w:bCs/>
          <w:snapToGrid w:val="0"/>
          <w:color w:val="auto"/>
          <w:kern w:val="0"/>
          <w:sz w:val="24"/>
          <w:szCs w:val="24"/>
          <w:highlight w:val="none"/>
          <w:lang w:val="en-US" w:eastAsia="zh-CN"/>
        </w:rPr>
        <w:t>.1资格审查文件</w:t>
      </w:r>
    </w:p>
    <w:tbl>
      <w:tblPr>
        <w:tblStyle w:val="20"/>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0302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400CBE17">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483AB4CC">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71C8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3ECFD2B3">
            <w:pPr>
              <w:keepNext w:val="0"/>
              <w:keepLines w:val="0"/>
              <w:pageBreakBefore w:val="0"/>
              <w:kinsoku/>
              <w:wordWrap/>
              <w:overflowPunct w:val="0"/>
              <w:topLinePunct w:val="0"/>
              <w:bidi w:val="0"/>
              <w:spacing w:before="60" w:after="60"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10F8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0C78F65">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2A7032A9">
            <w:pPr>
              <w:spacing w:before="60" w:after="60" w:line="500" w:lineRule="exact"/>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符合参加政府采购活动应当具备的一般条件的承诺函</w:t>
            </w:r>
          </w:p>
        </w:tc>
        <w:tc>
          <w:tcPr>
            <w:tcW w:w="5533" w:type="dxa"/>
            <w:noWrap w:val="0"/>
            <w:vAlign w:val="center"/>
          </w:tcPr>
          <w:p w14:paraId="418B2722">
            <w:pPr>
              <w:keepNext w:val="0"/>
              <w:keepLines w:val="0"/>
              <w:pageBreakBefore w:val="0"/>
              <w:kinsoku/>
              <w:wordWrap/>
              <w:overflowPunct/>
              <w:topLinePunct w:val="0"/>
              <w:autoSpaceDE/>
              <w:autoSpaceDN/>
              <w:bidi w:val="0"/>
              <w:adjustRightInd/>
              <w:spacing w:before="60" w:after="60" w:line="50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供应商须在</w:t>
            </w:r>
            <w:r>
              <w:rPr>
                <w:rFonts w:hint="eastAsia" w:ascii="宋体" w:hAnsi="宋体" w:cs="宋体"/>
                <w:color w:val="auto"/>
                <w:kern w:val="0"/>
                <w:sz w:val="24"/>
                <w:highlight w:val="none"/>
                <w:lang w:val="en-US" w:eastAsia="zh-CN"/>
              </w:rPr>
              <w:t>响应文件</w:t>
            </w:r>
            <w:r>
              <w:rPr>
                <w:rFonts w:hint="eastAsia" w:ascii="宋体" w:hAnsi="宋体" w:eastAsia="宋体" w:cs="宋体"/>
                <w:color w:val="auto"/>
                <w:kern w:val="0"/>
                <w:sz w:val="24"/>
                <w:highlight w:val="none"/>
              </w:rPr>
              <w:t>中出具符合参加政府采购活动应当具备的一般条件的承诺函</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详见第五章应提交的有关格式范例</w:t>
            </w:r>
            <w:r>
              <w:rPr>
                <w:rFonts w:hint="eastAsia" w:ascii="宋体" w:hAnsi="宋体" w:eastAsia="宋体" w:cs="宋体"/>
                <w:color w:val="auto"/>
                <w:sz w:val="24"/>
                <w:highlight w:val="none"/>
              </w:rPr>
              <w:t>）</w:t>
            </w:r>
          </w:p>
        </w:tc>
      </w:tr>
      <w:tr w14:paraId="57BA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61AFB4E4">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1FC6E43F">
            <w:pPr>
              <w:keepNext w:val="0"/>
              <w:keepLines w:val="0"/>
              <w:pageBreakBefore w:val="0"/>
              <w:kinsoku/>
              <w:wordWrap/>
              <w:overflowPunct/>
              <w:topLinePunct w:val="0"/>
              <w:bidi w:val="0"/>
              <w:spacing w:before="60" w:after="60"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681AD86C">
            <w:pPr>
              <w:keepNext w:val="0"/>
              <w:keepLines w:val="0"/>
              <w:pageBreakBefore w:val="0"/>
              <w:widowControl w:val="0"/>
              <w:kinsoku/>
              <w:wordWrap/>
              <w:overflowPunct/>
              <w:topLinePunct w:val="0"/>
              <w:autoSpaceDE/>
              <w:autoSpaceDN/>
              <w:bidi w:val="0"/>
              <w:adjustRightInd/>
              <w:snapToGrid/>
              <w:spacing w:before="60" w:after="60" w:line="4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提供政府司法部门颁发律师事务所执业许可证书扫描件； </w:t>
            </w:r>
          </w:p>
        </w:tc>
      </w:tr>
      <w:tr w14:paraId="228D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32" w:type="dxa"/>
            <w:noWrap w:val="0"/>
            <w:vAlign w:val="center"/>
          </w:tcPr>
          <w:p w14:paraId="3ACAD675">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4BDA7DD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特定资格要求证明材料</w:t>
            </w:r>
          </w:p>
        </w:tc>
        <w:tc>
          <w:tcPr>
            <w:tcW w:w="5533" w:type="dxa"/>
            <w:noWrap w:val="0"/>
            <w:vAlign w:val="center"/>
          </w:tcPr>
          <w:p w14:paraId="4910CB1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项目负责人律师执业证书扫描件；</w:t>
            </w:r>
          </w:p>
        </w:tc>
      </w:tr>
      <w:tr w14:paraId="0022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5CAAB6EA">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29AFA4C5">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rPr>
              <w:t>未被“信用中国”（www.creditchina.gov.cn)、中国政府采购网（www.ccgp.gov.cn）列入失信被执行人、重大税收违法案件当事人名单、政府采购严重违法失信行为记录</w:t>
            </w:r>
            <w:r>
              <w:rPr>
                <w:rFonts w:hint="eastAsia" w:ascii="宋体" w:hAnsi="宋体" w:eastAsia="宋体" w:cs="宋体"/>
                <w:snapToGrid w:val="0"/>
                <w:color w:val="auto"/>
                <w:kern w:val="28"/>
                <w:sz w:val="24"/>
                <w:szCs w:val="24"/>
                <w:highlight w:val="none"/>
                <w:lang w:val="en-US" w:eastAsia="zh-CN"/>
              </w:rPr>
              <w:t>名单</w:t>
            </w:r>
          </w:p>
        </w:tc>
        <w:tc>
          <w:tcPr>
            <w:tcW w:w="5533" w:type="dxa"/>
            <w:noWrap w:val="0"/>
            <w:vAlign w:val="center"/>
          </w:tcPr>
          <w:p w14:paraId="5CED9852">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w:t>
            </w:r>
            <w:r>
              <w:rPr>
                <w:rFonts w:hint="eastAsia" w:ascii="宋体" w:hAnsi="宋体" w:eastAsia="宋体" w:cs="宋体"/>
                <w:snapToGrid w:val="0"/>
                <w:color w:val="auto"/>
                <w:kern w:val="28"/>
                <w:sz w:val="24"/>
                <w:szCs w:val="24"/>
                <w:highlight w:val="none"/>
              </w:rPr>
              <w:t>未被“信用中国”（www.creditchina.gov.cn)、中国政府采购网（www.ccgp.gov.cn）列入失信被执行人、重大税收违法案件当事人名单、政府采购严重违法失信行为记录</w:t>
            </w:r>
            <w:r>
              <w:rPr>
                <w:rFonts w:hint="eastAsia" w:ascii="宋体" w:hAnsi="宋体" w:eastAsia="宋体" w:cs="宋体"/>
                <w:snapToGrid w:val="0"/>
                <w:color w:val="auto"/>
                <w:kern w:val="28"/>
                <w:sz w:val="24"/>
                <w:szCs w:val="24"/>
                <w:highlight w:val="none"/>
                <w:lang w:val="en-US" w:eastAsia="zh-CN"/>
              </w:rPr>
              <w:t>名单查询结果（查询要求详见供应商须知前附表第32条）</w:t>
            </w:r>
          </w:p>
        </w:tc>
      </w:tr>
      <w:tr w14:paraId="7D9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32" w:type="dxa"/>
            <w:noWrap w:val="0"/>
            <w:vAlign w:val="center"/>
          </w:tcPr>
          <w:p w14:paraId="1A4AC77C">
            <w:pPr>
              <w:keepNext w:val="0"/>
              <w:keepLines w:val="0"/>
              <w:pageBreakBefore w:val="0"/>
              <w:kinsoku/>
              <w:wordWrap/>
              <w:overflowPunct w:val="0"/>
              <w:topLinePunct w:val="0"/>
              <w:bidi w:val="0"/>
              <w:spacing w:before="60" w:after="60" w:line="5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369" w:type="dxa"/>
            <w:noWrap w:val="0"/>
            <w:vAlign w:val="center"/>
          </w:tcPr>
          <w:p w14:paraId="7E92E0A5">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c>
          <w:tcPr>
            <w:tcW w:w="5533" w:type="dxa"/>
            <w:noWrap w:val="0"/>
            <w:vAlign w:val="center"/>
          </w:tcPr>
          <w:p w14:paraId="011EFFF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格式自拟（如有）</w:t>
            </w:r>
          </w:p>
        </w:tc>
      </w:tr>
      <w:bookmarkEnd w:id="29"/>
    </w:tbl>
    <w:p w14:paraId="070F034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注：上述资格条件审查材料有一项</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第5项除外）</w:t>
      </w:r>
      <w:r>
        <w:rPr>
          <w:rFonts w:hint="eastAsia" w:ascii="宋体" w:hAnsi="宋体" w:eastAsia="宋体" w:cs="宋体"/>
          <w:b/>
          <w:color w:val="auto"/>
          <w:sz w:val="24"/>
          <w:szCs w:val="24"/>
          <w:highlight w:val="none"/>
        </w:rPr>
        <w:t>不提供的，视为资格审查不通过,不进入后续评审。</w:t>
      </w:r>
    </w:p>
    <w:p w14:paraId="02CFE5AA">
      <w:pPr>
        <w:pStyle w:val="19"/>
        <w:rPr>
          <w:rFonts w:hint="eastAsia" w:ascii="宋体" w:hAnsi="宋体" w:eastAsia="宋体" w:cs="宋体"/>
          <w:b/>
          <w:color w:val="auto"/>
          <w:sz w:val="24"/>
          <w:szCs w:val="24"/>
          <w:highlight w:val="none"/>
        </w:rPr>
      </w:pPr>
    </w:p>
    <w:p w14:paraId="5B52C504">
      <w:pPr>
        <w:pStyle w:val="19"/>
        <w:rPr>
          <w:rFonts w:hint="eastAsia" w:ascii="宋体" w:hAnsi="宋体" w:eastAsia="宋体" w:cs="宋体"/>
          <w:b/>
          <w:color w:val="auto"/>
          <w:sz w:val="24"/>
          <w:szCs w:val="24"/>
          <w:highlight w:val="none"/>
        </w:rPr>
      </w:pPr>
    </w:p>
    <w:p w14:paraId="12D68E7C">
      <w:pPr>
        <w:pStyle w:val="19"/>
        <w:rPr>
          <w:rFonts w:hint="eastAsia" w:ascii="宋体" w:hAnsi="宋体" w:eastAsia="宋体" w:cs="宋体"/>
          <w:b/>
          <w:color w:val="auto"/>
          <w:sz w:val="24"/>
          <w:szCs w:val="24"/>
          <w:highlight w:val="none"/>
        </w:rPr>
      </w:pPr>
    </w:p>
    <w:p w14:paraId="00BA2CB0">
      <w:pPr>
        <w:pStyle w:val="19"/>
        <w:rPr>
          <w:rFonts w:hint="eastAsia" w:ascii="宋体" w:hAnsi="宋体" w:eastAsia="宋体" w:cs="宋体"/>
          <w:b/>
          <w:color w:val="auto"/>
          <w:sz w:val="24"/>
          <w:szCs w:val="24"/>
          <w:highlight w:val="none"/>
        </w:rPr>
      </w:pPr>
    </w:p>
    <w:p w14:paraId="3218C033">
      <w:pPr>
        <w:pStyle w:val="19"/>
        <w:rPr>
          <w:rFonts w:hint="eastAsia" w:ascii="宋体" w:hAnsi="宋体" w:eastAsia="宋体" w:cs="宋体"/>
          <w:b/>
          <w:color w:val="auto"/>
          <w:sz w:val="24"/>
          <w:szCs w:val="24"/>
          <w:highlight w:val="none"/>
        </w:rPr>
      </w:pPr>
    </w:p>
    <w:p w14:paraId="450190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商务技术文件</w:t>
      </w:r>
      <w:bookmarkEnd w:id="30"/>
    </w:p>
    <w:tbl>
      <w:tblPr>
        <w:tblStyle w:val="20"/>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09C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8C67343">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561984F1">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1ABA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E17F111">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w:t>
            </w:r>
          </w:p>
        </w:tc>
        <w:tc>
          <w:tcPr>
            <w:tcW w:w="8526" w:type="dxa"/>
            <w:noWrap w:val="0"/>
            <w:vAlign w:val="center"/>
          </w:tcPr>
          <w:p w14:paraId="15FF4231">
            <w:pPr>
              <w:keepNext w:val="0"/>
              <w:keepLines w:val="0"/>
              <w:pageBreakBefore w:val="0"/>
              <w:kinsoku/>
              <w:wordWrap/>
              <w:topLinePunct w:val="0"/>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3BCD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70EC777">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365368A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cs="宋体"/>
                <w:b w:val="0"/>
                <w:bCs/>
                <w:color w:val="auto"/>
                <w:sz w:val="24"/>
                <w:szCs w:val="24"/>
                <w:highlight w:val="none"/>
                <w:u w:val="single"/>
                <w:lang w:val="en-US" w:eastAsia="zh-CN"/>
              </w:rPr>
              <w:t>磋商响应</w:t>
            </w:r>
            <w:r>
              <w:rPr>
                <w:rFonts w:hint="eastAsia" w:ascii="宋体" w:hAnsi="宋体" w:eastAsia="宋体" w:cs="宋体"/>
                <w:b w:val="0"/>
                <w:bCs/>
                <w:color w:val="auto"/>
                <w:sz w:val="24"/>
                <w:szCs w:val="24"/>
                <w:highlight w:val="none"/>
                <w:u w:val="single"/>
              </w:rPr>
              <w:t>函</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val="en-US" w:eastAsia="zh-CN"/>
              </w:rPr>
              <w:t>详见第五章应提交的有关格式范例</w:t>
            </w:r>
            <w:r>
              <w:rPr>
                <w:rFonts w:hint="eastAsia" w:ascii="宋体" w:hAnsi="宋体" w:eastAsia="宋体" w:cs="宋体"/>
                <w:b w:val="0"/>
                <w:bCs w:val="0"/>
                <w:color w:val="auto"/>
                <w:sz w:val="24"/>
                <w:szCs w:val="24"/>
                <w:highlight w:val="none"/>
                <w:u w:val="single"/>
                <w:lang w:val="en-US" w:eastAsia="zh-CN"/>
              </w:rPr>
              <w:t>）</w:t>
            </w:r>
          </w:p>
        </w:tc>
      </w:tr>
      <w:tr w14:paraId="43E2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8A9621A">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79A4DE96">
            <w:pPr>
              <w:keepNext w:val="0"/>
              <w:keepLines w:val="0"/>
              <w:pageBreakBefore w:val="0"/>
              <w:kinsoku/>
              <w:wordWrap/>
              <w:topLinePunct w:val="0"/>
              <w:bidi w:val="0"/>
              <w:spacing w:line="50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法定代表人资格证明书及法定代表人授权书</w:t>
            </w:r>
            <w:r>
              <w:rPr>
                <w:rFonts w:hint="eastAsia" w:ascii="宋体" w:hAnsi="宋体" w:eastAsia="宋体" w:cs="宋体"/>
                <w:b/>
                <w:bCs w:val="0"/>
                <w:color w:val="auto"/>
                <w:sz w:val="24"/>
                <w:szCs w:val="24"/>
                <w:highlight w:val="none"/>
                <w:u w:val="single"/>
              </w:rPr>
              <w:t>（法定代表人直接参加投标并对相应文件签字的，只需提供前者）</w:t>
            </w:r>
            <w:r>
              <w:rPr>
                <w:rFonts w:hint="eastAsia" w:ascii="宋体" w:hAnsi="宋体" w:eastAsia="宋体" w:cs="宋体"/>
                <w:b w:val="0"/>
                <w:bCs/>
                <w:color w:val="auto"/>
                <w:sz w:val="24"/>
                <w:szCs w:val="24"/>
                <w:highlight w:val="none"/>
                <w:u w:val="single"/>
              </w:rPr>
              <w:t>，同时须附法定代表人和授权委托代表的有效身份证复印件；</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val="en-US" w:eastAsia="zh-CN"/>
              </w:rPr>
              <w:t>详见第五章应提交的有关格式范例</w:t>
            </w:r>
            <w:r>
              <w:rPr>
                <w:rFonts w:hint="eastAsia" w:ascii="宋体" w:hAnsi="宋体" w:eastAsia="宋体" w:cs="宋体"/>
                <w:b w:val="0"/>
                <w:bCs w:val="0"/>
                <w:color w:val="auto"/>
                <w:sz w:val="24"/>
                <w:szCs w:val="24"/>
                <w:highlight w:val="none"/>
                <w:u w:val="single"/>
                <w:lang w:val="en-US" w:eastAsia="zh-CN"/>
              </w:rPr>
              <w:t>）</w:t>
            </w:r>
          </w:p>
        </w:tc>
      </w:tr>
      <w:tr w14:paraId="060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09255DC1">
            <w:pPr>
              <w:spacing w:line="50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w:t>
            </w:r>
          </w:p>
        </w:tc>
        <w:tc>
          <w:tcPr>
            <w:tcW w:w="8526" w:type="dxa"/>
            <w:noWrap w:val="0"/>
            <w:vAlign w:val="center"/>
          </w:tcPr>
          <w:p w14:paraId="550272F7">
            <w:pPr>
              <w:spacing w:line="500" w:lineRule="exact"/>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rPr>
              <w:t>偏离表（详见第五章应提交的有关格式范例）</w:t>
            </w:r>
          </w:p>
        </w:tc>
      </w:tr>
      <w:tr w14:paraId="47D3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9C39BCC">
            <w:pPr>
              <w:spacing w:line="5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8526" w:type="dxa"/>
            <w:noWrap w:val="0"/>
            <w:vAlign w:val="center"/>
          </w:tcPr>
          <w:p w14:paraId="7CEAB554">
            <w:pPr>
              <w:spacing w:line="5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业绩汇总表</w:t>
            </w:r>
            <w:r>
              <w:rPr>
                <w:rFonts w:hint="eastAsia" w:ascii="宋体" w:hAnsi="宋体" w:cs="宋体"/>
                <w:sz w:val="24"/>
                <w:szCs w:val="24"/>
                <w:highlight w:val="none"/>
              </w:rPr>
              <w:t>（详见第五章应提交的有关格式范例）</w:t>
            </w:r>
          </w:p>
        </w:tc>
      </w:tr>
      <w:tr w14:paraId="2A21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8F8ACFB">
            <w:pPr>
              <w:spacing w:line="5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8526" w:type="dxa"/>
            <w:noWrap w:val="0"/>
            <w:vAlign w:val="center"/>
          </w:tcPr>
          <w:p w14:paraId="1853BE10">
            <w:pPr>
              <w:spacing w:line="500" w:lineRule="exac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供应商情况表</w:t>
            </w:r>
            <w:r>
              <w:rPr>
                <w:rFonts w:hint="eastAsia" w:ascii="宋体" w:hAnsi="宋体" w:cs="宋体"/>
                <w:sz w:val="24"/>
                <w:szCs w:val="24"/>
                <w:highlight w:val="none"/>
              </w:rPr>
              <w:t>（详见第五章应提交的有关格式范例）</w:t>
            </w:r>
          </w:p>
        </w:tc>
      </w:tr>
      <w:tr w14:paraId="084B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FD32BC4">
            <w:pPr>
              <w:spacing w:line="5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8526" w:type="dxa"/>
            <w:noWrap w:val="0"/>
            <w:vAlign w:val="center"/>
          </w:tcPr>
          <w:p w14:paraId="049A8992">
            <w:pPr>
              <w:spacing w:line="50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项目组成员汇总表</w:t>
            </w:r>
            <w:r>
              <w:rPr>
                <w:rFonts w:hint="eastAsia" w:ascii="宋体" w:hAnsi="宋体" w:cs="宋体"/>
                <w:sz w:val="24"/>
                <w:szCs w:val="24"/>
                <w:highlight w:val="none"/>
              </w:rPr>
              <w:t>（详见第五章应提交的有关格式范例）</w:t>
            </w:r>
            <w:r>
              <w:rPr>
                <w:rFonts w:hint="eastAsia" w:ascii="宋体" w:hAnsi="宋体" w:cs="宋体"/>
                <w:sz w:val="24"/>
                <w:szCs w:val="24"/>
                <w:highlight w:val="none"/>
                <w:lang w:val="en-US" w:eastAsia="zh-CN"/>
              </w:rPr>
              <w:t xml:space="preserve"> </w:t>
            </w:r>
          </w:p>
        </w:tc>
      </w:tr>
      <w:tr w14:paraId="18C1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02FAE147">
            <w:pPr>
              <w:keepNext w:val="0"/>
              <w:keepLines w:val="0"/>
              <w:pageBreakBefore w:val="0"/>
              <w:kinsoku/>
              <w:wordWrap/>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w:t>
            </w:r>
            <w:r>
              <w:rPr>
                <w:rFonts w:hint="eastAsia" w:ascii="宋体" w:hAnsi="宋体" w:cs="宋体"/>
                <w:color w:val="auto"/>
                <w:sz w:val="24"/>
                <w:szCs w:val="24"/>
                <w:highlight w:val="none"/>
                <w:lang w:val="en-US" w:eastAsia="zh-CN"/>
              </w:rPr>
              <w:t>评分</w:t>
            </w:r>
            <w:r>
              <w:rPr>
                <w:rFonts w:hint="eastAsia" w:ascii="宋体" w:hAnsi="宋体" w:eastAsia="宋体" w:cs="宋体"/>
                <w:color w:val="auto"/>
                <w:sz w:val="24"/>
                <w:szCs w:val="24"/>
                <w:highlight w:val="none"/>
                <w:lang w:val="en-US" w:eastAsia="zh-CN"/>
              </w:rPr>
              <w:t>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7697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0EA5202">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p>
        </w:tc>
        <w:tc>
          <w:tcPr>
            <w:tcW w:w="8526" w:type="dxa"/>
            <w:noWrap w:val="0"/>
            <w:vAlign w:val="center"/>
          </w:tcPr>
          <w:p w14:paraId="3B6D992E">
            <w:pPr>
              <w:keepNext w:val="0"/>
              <w:keepLines w:val="0"/>
              <w:pageBreakBefore w:val="0"/>
              <w:kinsoku/>
              <w:wordWrap/>
              <w:topLinePunct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5697A5A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61A70B8A">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中的技术规格书以及评分细则，提供供应商认为需要提供的文件和资料。</w:t>
      </w:r>
    </w:p>
    <w:p w14:paraId="73898BC3">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2BB574E4">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w:t>
      </w:r>
      <w:bookmarkEnd w:id="32"/>
    </w:p>
    <w:tbl>
      <w:tblPr>
        <w:tblStyle w:val="20"/>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7C57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5BD9422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796CD7AA">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6CDA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91854E0">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488BA3BF">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val="en-US" w:eastAsia="zh-CN"/>
              </w:rPr>
              <w:t>详见第五章应提交的有关格式范例</w:t>
            </w:r>
            <w:r>
              <w:rPr>
                <w:rFonts w:hint="eastAsia" w:ascii="宋体" w:hAnsi="宋体" w:eastAsia="宋体" w:cs="宋体"/>
                <w:b w:val="0"/>
                <w:bCs w:val="0"/>
                <w:color w:val="auto"/>
                <w:sz w:val="24"/>
                <w:szCs w:val="24"/>
                <w:highlight w:val="none"/>
                <w:u w:val="single"/>
                <w:lang w:val="en-US" w:eastAsia="zh-CN"/>
              </w:rPr>
              <w:t>）</w:t>
            </w:r>
          </w:p>
        </w:tc>
      </w:tr>
      <w:tr w14:paraId="596E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6752BFF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64" w:type="dxa"/>
            <w:noWrap w:val="0"/>
            <w:vAlign w:val="center"/>
          </w:tcPr>
          <w:p w14:paraId="185770CF">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6859BA20">
      <w:pPr>
        <w:pStyle w:val="19"/>
      </w:pPr>
    </w:p>
    <w:p w14:paraId="58CCCE2D">
      <w:pPr>
        <w:pStyle w:val="19"/>
      </w:pPr>
    </w:p>
    <w:p w14:paraId="7B30C0D5">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11.</w:t>
      </w:r>
      <w:r>
        <w:rPr>
          <w:rFonts w:hint="eastAsia" w:ascii="宋体" w:hAnsi="宋体" w:eastAsia="宋体" w:cs="宋体"/>
          <w:b/>
          <w:snapToGrid w:val="0"/>
          <w:color w:val="auto"/>
          <w:kern w:val="0"/>
          <w:sz w:val="28"/>
          <w:szCs w:val="28"/>
          <w:highlight w:val="none"/>
        </w:rPr>
        <w:t>陈述和答辩</w:t>
      </w:r>
    </w:p>
    <w:p w14:paraId="3F1083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628894C1">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cs="宋体"/>
          <w:b/>
          <w:snapToGrid w:val="0"/>
          <w:color w:val="auto"/>
          <w:kern w:val="0"/>
          <w:sz w:val="28"/>
          <w:szCs w:val="28"/>
          <w:highlight w:val="none"/>
          <w:lang w:val="en-US" w:eastAsia="zh-CN"/>
        </w:rPr>
        <w:t>2.</w:t>
      </w:r>
      <w:r>
        <w:rPr>
          <w:rFonts w:hint="eastAsia" w:ascii="宋体" w:hAnsi="宋体" w:eastAsia="宋体" w:cs="宋体"/>
          <w:b/>
          <w:snapToGrid w:val="0"/>
          <w:color w:val="auto"/>
          <w:kern w:val="0"/>
          <w:sz w:val="28"/>
          <w:szCs w:val="28"/>
          <w:highlight w:val="none"/>
        </w:rPr>
        <w:t>投标函</w:t>
      </w:r>
    </w:p>
    <w:p w14:paraId="7FC14C2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中提供的投标函和投标相关附件。</w:t>
      </w:r>
    </w:p>
    <w:p w14:paraId="56BD1C9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应当对</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实质性要求的基础上，可以提出比</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要求更有利于采购人的承诺。</w:t>
      </w:r>
    </w:p>
    <w:p w14:paraId="024AD0E7">
      <w:pPr>
        <w:pStyle w:val="5"/>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cs="宋体"/>
          <w:b/>
          <w:bCs/>
          <w:snapToGrid w:val="0"/>
          <w:color w:val="auto"/>
          <w:kern w:val="0"/>
          <w:szCs w:val="28"/>
          <w:highlight w:val="none"/>
          <w:lang w:val="en-US" w:eastAsia="zh-CN"/>
        </w:rPr>
        <w:t>13.</w:t>
      </w:r>
      <w:r>
        <w:rPr>
          <w:rFonts w:hint="eastAsia" w:ascii="宋体" w:hAnsi="宋体" w:eastAsia="宋体" w:cs="宋体"/>
          <w:b/>
          <w:bCs/>
          <w:snapToGrid w:val="0"/>
          <w:color w:val="auto"/>
          <w:kern w:val="0"/>
          <w:szCs w:val="28"/>
          <w:highlight w:val="none"/>
        </w:rPr>
        <w:t>投标报价</w:t>
      </w:r>
    </w:p>
    <w:p w14:paraId="77F14592">
      <w:pPr>
        <w:pStyle w:val="5"/>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中规定填写报价相关表单；</w:t>
      </w:r>
    </w:p>
    <w:p w14:paraId="118A2E40">
      <w:pPr>
        <w:pStyle w:val="5"/>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.2本项目报价采用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报价形式，</w:t>
      </w:r>
      <w:r>
        <w:rPr>
          <w:rFonts w:hint="eastAsia" w:ascii="宋体" w:hAnsi="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的报价应低于</w:t>
      </w:r>
      <w:r>
        <w:rPr>
          <w:rFonts w:hint="eastAsia" w:ascii="宋体" w:hAnsi="宋体" w:cs="宋体"/>
          <w:b/>
          <w:bCs/>
          <w:snapToGrid w:val="0"/>
          <w:color w:val="auto"/>
          <w:kern w:val="0"/>
          <w:sz w:val="24"/>
          <w:szCs w:val="24"/>
          <w:highlight w:val="none"/>
          <w:lang w:val="en-US" w:eastAsia="zh-CN"/>
        </w:rPr>
        <w:t>最高限价</w:t>
      </w:r>
      <w:r>
        <w:rPr>
          <w:rFonts w:hint="eastAsia" w:ascii="宋体" w:hAnsi="宋体" w:eastAsia="宋体" w:cs="宋体"/>
          <w:b/>
          <w:bCs/>
          <w:snapToGrid w:val="0"/>
          <w:color w:val="auto"/>
          <w:kern w:val="0"/>
          <w:sz w:val="24"/>
          <w:szCs w:val="24"/>
          <w:highlight w:val="none"/>
        </w:rPr>
        <w:t>，否则其投标无效。签约合同价包含本项目</w:t>
      </w:r>
      <w:r>
        <w:rPr>
          <w:rFonts w:hint="eastAsia" w:ascii="宋体" w:hAnsi="宋体" w:cs="宋体"/>
          <w:b/>
          <w:bCs/>
          <w:snapToGrid w:val="0"/>
          <w:color w:val="auto"/>
          <w:kern w:val="0"/>
          <w:sz w:val="24"/>
          <w:szCs w:val="24"/>
          <w:highlight w:val="none"/>
          <w:lang w:eastAsia="zh-CN"/>
        </w:rPr>
        <w:t>采购</w:t>
      </w:r>
      <w:r>
        <w:rPr>
          <w:rFonts w:hint="eastAsia" w:ascii="宋体" w:hAnsi="宋体" w:eastAsia="宋体" w:cs="宋体"/>
          <w:b/>
          <w:bCs/>
          <w:snapToGrid w:val="0"/>
          <w:color w:val="auto"/>
          <w:kern w:val="0"/>
          <w:sz w:val="24"/>
          <w:szCs w:val="24"/>
          <w:highlight w:val="none"/>
        </w:rPr>
        <w:t>内容及要求及合同约定所有服务内容所需所有</w:t>
      </w:r>
      <w:r>
        <w:rPr>
          <w:rFonts w:hint="eastAsia" w:ascii="宋体" w:hAnsi="宋体" w:cs="宋体"/>
          <w:b/>
          <w:bCs/>
          <w:snapToGrid w:val="0"/>
          <w:color w:val="auto"/>
          <w:kern w:val="0"/>
          <w:sz w:val="24"/>
          <w:szCs w:val="24"/>
          <w:highlight w:val="none"/>
          <w:lang w:eastAsia="zh-CN"/>
        </w:rPr>
        <w:t>服务</w:t>
      </w:r>
      <w:r>
        <w:rPr>
          <w:rFonts w:hint="eastAsia" w:ascii="宋体" w:hAnsi="宋体" w:cs="宋体"/>
          <w:b/>
          <w:bCs/>
          <w:snapToGrid w:val="0"/>
          <w:color w:val="auto"/>
          <w:kern w:val="0"/>
          <w:sz w:val="24"/>
          <w:szCs w:val="24"/>
          <w:highlight w:val="none"/>
          <w:lang w:val="en-US" w:eastAsia="zh-CN"/>
        </w:rPr>
        <w:t>费、</w:t>
      </w:r>
      <w:r>
        <w:rPr>
          <w:rFonts w:hint="eastAsia" w:ascii="宋体" w:hAnsi="宋体" w:eastAsia="宋体" w:cs="宋体"/>
          <w:b/>
          <w:bCs/>
          <w:snapToGrid w:val="0"/>
          <w:color w:val="auto"/>
          <w:kern w:val="0"/>
          <w:sz w:val="24"/>
          <w:szCs w:val="24"/>
          <w:highlight w:val="none"/>
        </w:rPr>
        <w:t>人工工资（含社会保险费、劳保用品、员工住宿交通差旅费用等）、规费、税费、企业管理费、利润、技术支持</w:t>
      </w:r>
      <w:r>
        <w:rPr>
          <w:rFonts w:hint="eastAsia" w:ascii="宋体" w:hAnsi="宋体" w:cs="宋体"/>
          <w:b/>
          <w:bCs/>
          <w:snapToGrid w:val="0"/>
          <w:color w:val="auto"/>
          <w:kern w:val="0"/>
          <w:sz w:val="24"/>
          <w:szCs w:val="24"/>
          <w:highlight w:val="none"/>
          <w:lang w:val="en-US" w:eastAsia="zh-CN"/>
        </w:rPr>
        <w:t>与培训</w:t>
      </w:r>
      <w:r>
        <w:rPr>
          <w:rFonts w:hint="eastAsia" w:ascii="宋体" w:hAnsi="宋体" w:eastAsia="宋体" w:cs="宋体"/>
          <w:b/>
          <w:bCs/>
          <w:snapToGrid w:val="0"/>
          <w:color w:val="auto"/>
          <w:kern w:val="0"/>
          <w:sz w:val="24"/>
          <w:szCs w:val="24"/>
          <w:highlight w:val="none"/>
        </w:rPr>
        <w:t>、售后服务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本项目采用□</w:t>
      </w:r>
      <w:r>
        <w:rPr>
          <w:rFonts w:hint="eastAsia" w:ascii="宋体" w:hAnsi="宋体" w:cs="宋体"/>
          <w:b/>
          <w:bCs/>
          <w:snapToGrid w:val="0"/>
          <w:color w:val="auto"/>
          <w:kern w:val="0"/>
          <w:sz w:val="24"/>
          <w:szCs w:val="24"/>
          <w:highlight w:val="none"/>
          <w:u w:val="none"/>
          <w:lang w:val="en-US" w:eastAsia="zh-CN"/>
        </w:rPr>
        <w:t>固定单价</w:t>
      </w:r>
      <w:r>
        <w:rPr>
          <w:rFonts w:hint="eastAsia" w:ascii="宋体" w:hAnsi="宋体" w:eastAsia="宋体" w:cs="宋体"/>
          <w:b/>
          <w:bCs/>
          <w:snapToGrid w:val="0"/>
          <w:color w:val="auto"/>
          <w:kern w:val="0"/>
          <w:sz w:val="24"/>
          <w:szCs w:val="24"/>
          <w:highlight w:val="none"/>
        </w:rPr>
        <w:t>方式结算，中标价为暂定合同价，合同最终支付金额依据合同单价（即</w:t>
      </w:r>
      <w:r>
        <w:rPr>
          <w:rFonts w:hint="eastAsia" w:ascii="宋体" w:hAnsi="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投标</w:t>
      </w:r>
      <w:r>
        <w:rPr>
          <w:rFonts w:hint="eastAsia" w:ascii="宋体" w:hAnsi="宋体" w:cs="宋体"/>
          <w:b/>
          <w:bCs/>
          <w:snapToGrid w:val="0"/>
          <w:color w:val="auto"/>
          <w:kern w:val="0"/>
          <w:sz w:val="24"/>
          <w:szCs w:val="24"/>
          <w:highlight w:val="none"/>
          <w:lang w:eastAsia="zh-CN"/>
        </w:rPr>
        <w:t>服务综合</w:t>
      </w:r>
      <w:r>
        <w:rPr>
          <w:rFonts w:hint="eastAsia" w:ascii="宋体" w:hAnsi="宋体" w:eastAsia="宋体" w:cs="宋体"/>
          <w:b/>
          <w:bCs/>
          <w:snapToGrid w:val="0"/>
          <w:color w:val="auto"/>
          <w:kern w:val="0"/>
          <w:sz w:val="24"/>
          <w:szCs w:val="24"/>
          <w:highlight w:val="none"/>
        </w:rPr>
        <w:t>单价）和采购人实际</w:t>
      </w:r>
      <w:r>
        <w:rPr>
          <w:rFonts w:hint="eastAsia" w:ascii="宋体" w:hAnsi="宋体" w:cs="宋体"/>
          <w:b/>
          <w:bCs/>
          <w:snapToGrid w:val="0"/>
          <w:color w:val="auto"/>
          <w:kern w:val="0"/>
          <w:sz w:val="24"/>
          <w:szCs w:val="24"/>
          <w:highlight w:val="none"/>
          <w:lang w:eastAsia="zh-CN"/>
        </w:rPr>
        <w:t>所需</w:t>
      </w:r>
      <w:r>
        <w:rPr>
          <w:rFonts w:hint="eastAsia" w:ascii="宋体" w:hAnsi="宋体" w:eastAsia="宋体" w:cs="宋体"/>
          <w:b/>
          <w:bCs/>
          <w:snapToGrid w:val="0"/>
          <w:color w:val="auto"/>
          <w:kern w:val="0"/>
          <w:sz w:val="24"/>
          <w:szCs w:val="24"/>
          <w:highlight w:val="none"/>
        </w:rPr>
        <w:t>提供服务时间计算。</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实行固定总价</w:t>
      </w:r>
      <w:r>
        <w:rPr>
          <w:rFonts w:hint="eastAsia" w:ascii="宋体" w:hAnsi="宋体" w:eastAsia="宋体" w:cs="宋体"/>
          <w:b/>
          <w:bCs/>
          <w:snapToGrid w:val="0"/>
          <w:color w:val="auto"/>
          <w:kern w:val="0"/>
          <w:sz w:val="24"/>
          <w:szCs w:val="24"/>
          <w:highlight w:val="none"/>
          <w:lang w:val="en-US" w:eastAsia="zh-CN"/>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lang w:eastAsia="zh-CN"/>
        </w:rPr>
        <w:t>。</w:t>
      </w:r>
    </w:p>
    <w:p w14:paraId="3FF0BD90">
      <w:pPr>
        <w:pStyle w:val="5"/>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3191B64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磋商响应文件中价格全部采用人民币报价。报价应是唯一的，不接受有选择的报价。不允许以开标后调整的报价作为</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的依据（但按本</w:t>
      </w:r>
      <w:r>
        <w:rPr>
          <w:rFonts w:hint="eastAsia" w:ascii="宋体" w:hAnsi="宋体" w:cs="宋体"/>
          <w:snapToGrid w:val="0"/>
          <w:color w:val="auto"/>
          <w:kern w:val="0"/>
          <w:sz w:val="24"/>
          <w:szCs w:val="24"/>
          <w:highlight w:val="none"/>
          <w:lang w:eastAsia="zh-CN"/>
        </w:rPr>
        <w:t>竞争性磋商文件供应商</w:t>
      </w:r>
      <w:r>
        <w:rPr>
          <w:rFonts w:hint="eastAsia" w:ascii="宋体" w:hAnsi="宋体" w:eastAsia="宋体" w:cs="宋体"/>
          <w:snapToGrid w:val="0"/>
          <w:color w:val="auto"/>
          <w:kern w:val="0"/>
          <w:sz w:val="24"/>
          <w:szCs w:val="24"/>
          <w:highlight w:val="none"/>
        </w:rPr>
        <w:t>须知</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错误的修正并经</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认定或经供应商确认同意的除外）。</w:t>
      </w:r>
    </w:p>
    <w:p w14:paraId="0A65D67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0125B888">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4A0AC712">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竞争性磋商文件</w:t>
      </w:r>
      <w:r>
        <w:rPr>
          <w:rFonts w:hint="eastAsia" w:ascii="宋体" w:hAnsi="宋体" w:eastAsia="宋体" w:cs="宋体"/>
          <w:b/>
          <w:color w:val="auto"/>
          <w:sz w:val="24"/>
          <w:szCs w:val="24"/>
          <w:highlight w:val="none"/>
        </w:rPr>
        <w:t>未明示但供应商认为可能产生的潜在费用支出均需自行考虑并计入报价中；</w:t>
      </w:r>
    </w:p>
    <w:p w14:paraId="67D13E0E">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268BD68F">
      <w:pPr>
        <w:pStyle w:val="5"/>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cs="宋体"/>
          <w:b/>
          <w:bCs/>
          <w:snapToGrid w:val="0"/>
          <w:color w:val="auto"/>
          <w:kern w:val="0"/>
          <w:sz w:val="24"/>
          <w:szCs w:val="24"/>
          <w:highlight w:val="none"/>
          <w:lang w:val="en-US" w:eastAsia="zh-CN"/>
        </w:rPr>
        <w:t>4.</w:t>
      </w:r>
      <w:r>
        <w:rPr>
          <w:rFonts w:hint="eastAsia" w:ascii="宋体" w:hAnsi="宋体" w:cs="宋体"/>
          <w:b/>
          <w:color w:val="auto"/>
          <w:sz w:val="24"/>
          <w:szCs w:val="22"/>
          <w:highlight w:val="none"/>
          <w:lang w:eastAsia="zh-CN"/>
        </w:rPr>
        <w:t>响应文件</w:t>
      </w:r>
      <w:r>
        <w:rPr>
          <w:rFonts w:hint="eastAsia" w:ascii="宋体" w:hAnsi="宋体" w:eastAsia="宋体" w:cs="宋体"/>
          <w:b/>
          <w:color w:val="auto"/>
          <w:sz w:val="24"/>
          <w:szCs w:val="22"/>
          <w:highlight w:val="none"/>
        </w:rPr>
        <w:t>的编制</w:t>
      </w:r>
    </w:p>
    <w:p w14:paraId="4A91376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分为资格审查文件、商务技术文件、报价文件三部分。各供应商在编制</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时请按照</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被误读或</w:t>
      </w:r>
      <w:r>
        <w:rPr>
          <w:rFonts w:hint="eastAsia" w:ascii="宋体" w:hAnsi="宋体" w:cs="宋体"/>
          <w:snapToGrid w:val="0"/>
          <w:color w:val="auto"/>
          <w:kern w:val="0"/>
          <w:sz w:val="24"/>
          <w:szCs w:val="24"/>
          <w:highlight w:val="none"/>
          <w:lang w:val="zh-CN"/>
        </w:rPr>
        <w:t>磋商小组</w:t>
      </w:r>
      <w:r>
        <w:rPr>
          <w:rFonts w:hint="eastAsia" w:ascii="宋体" w:hAnsi="宋体" w:eastAsia="宋体" w:cs="宋体"/>
          <w:snapToGrid w:val="0"/>
          <w:color w:val="auto"/>
          <w:kern w:val="0"/>
          <w:sz w:val="24"/>
          <w:szCs w:val="24"/>
          <w:highlight w:val="none"/>
          <w:lang w:val="zh-CN"/>
        </w:rPr>
        <w:t>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未按规定的格式编制的，投标无效；</w:t>
      </w:r>
    </w:p>
    <w:p w14:paraId="1B74AA0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w:t>
      </w:r>
      <w:r>
        <w:rPr>
          <w:rFonts w:hint="eastAsia" w:ascii="宋体" w:hAnsi="宋体" w:cs="宋体"/>
          <w:snapToGrid w:val="0"/>
          <w:color w:val="auto"/>
          <w:kern w:val="0"/>
          <w:sz w:val="24"/>
          <w:szCs w:val="24"/>
          <w:highlight w:val="none"/>
          <w:lang w:val="zh-CN"/>
        </w:rPr>
        <w:t>竞争性磋商文件</w:t>
      </w:r>
      <w:r>
        <w:rPr>
          <w:rFonts w:hint="eastAsia" w:ascii="宋体" w:hAnsi="宋体" w:eastAsia="宋体" w:cs="宋体"/>
          <w:snapToGrid w:val="0"/>
          <w:color w:val="auto"/>
          <w:kern w:val="0"/>
          <w:sz w:val="24"/>
          <w:szCs w:val="24"/>
          <w:highlight w:val="none"/>
          <w:lang w:val="zh-CN"/>
        </w:rPr>
        <w:t>和电子交易平台的要求编制并加密</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w:t>
      </w:r>
      <w:r>
        <w:rPr>
          <w:rFonts w:hint="eastAsia" w:ascii="宋体" w:hAnsi="宋体" w:cs="宋体"/>
          <w:snapToGrid w:val="0"/>
          <w:color w:val="auto"/>
          <w:kern w:val="0"/>
          <w:sz w:val="24"/>
          <w:szCs w:val="24"/>
          <w:highlight w:val="none"/>
          <w:lang w:val="zh-CN"/>
        </w:rPr>
        <w:t>响应文件</w:t>
      </w:r>
      <w:r>
        <w:rPr>
          <w:rFonts w:hint="eastAsia" w:ascii="宋体" w:hAnsi="宋体" w:eastAsia="宋体" w:cs="宋体"/>
          <w:snapToGrid w:val="0"/>
          <w:color w:val="auto"/>
          <w:kern w:val="0"/>
          <w:sz w:val="24"/>
          <w:szCs w:val="24"/>
          <w:highlight w:val="none"/>
          <w:lang w:val="zh-CN"/>
        </w:rPr>
        <w:t>，电子交易平台将拒收并提示。</w:t>
      </w:r>
    </w:p>
    <w:p w14:paraId="176C146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0C1DDF60">
      <w:pPr>
        <w:pStyle w:val="5"/>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w:t>
      </w:r>
      <w:r>
        <w:rPr>
          <w:rFonts w:hint="eastAsia" w:ascii="宋体" w:hAnsi="宋体" w:cs="宋体"/>
          <w:b/>
          <w:bCs/>
          <w:snapToGrid w:val="0"/>
          <w:color w:val="auto"/>
          <w:kern w:val="0"/>
          <w:szCs w:val="28"/>
          <w:highlight w:val="none"/>
          <w:lang w:val="en-US" w:eastAsia="zh-CN"/>
        </w:rPr>
        <w:t>5.</w:t>
      </w:r>
      <w:r>
        <w:rPr>
          <w:rFonts w:hint="eastAsia" w:ascii="宋体" w:hAnsi="宋体" w:eastAsia="宋体" w:cs="宋体"/>
          <w:b/>
          <w:bCs/>
          <w:snapToGrid w:val="0"/>
          <w:color w:val="auto"/>
          <w:kern w:val="0"/>
          <w:szCs w:val="28"/>
          <w:highlight w:val="none"/>
        </w:rPr>
        <w:t>投标保证金</w:t>
      </w:r>
    </w:p>
    <w:p w14:paraId="63694ED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3B9B2E2A">
      <w:pPr>
        <w:pStyle w:val="5"/>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cs="宋体"/>
          <w:b/>
          <w:bCs/>
          <w:snapToGrid w:val="0"/>
          <w:color w:val="auto"/>
          <w:kern w:val="0"/>
          <w:szCs w:val="28"/>
          <w:highlight w:val="none"/>
          <w:lang w:val="en-US" w:eastAsia="zh-CN"/>
        </w:rPr>
        <w:t>6.</w:t>
      </w:r>
      <w:r>
        <w:rPr>
          <w:rFonts w:hint="eastAsia" w:ascii="宋体" w:hAnsi="宋体" w:eastAsia="宋体" w:cs="宋体"/>
          <w:b/>
          <w:bCs/>
          <w:snapToGrid w:val="0"/>
          <w:color w:val="auto"/>
          <w:kern w:val="0"/>
          <w:szCs w:val="28"/>
          <w:highlight w:val="none"/>
        </w:rPr>
        <w:t>投标有效期</w:t>
      </w:r>
    </w:p>
    <w:p w14:paraId="4DE6AE7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在开标之日起90个日历天内有效。</w:t>
      </w:r>
    </w:p>
    <w:p w14:paraId="0F27AB1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将不会被要求和允许修正其投标。</w:t>
      </w:r>
    </w:p>
    <w:p w14:paraId="1DC50D6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自开标之日起至合同履行完毕止均应保持有效。</w:t>
      </w:r>
    </w:p>
    <w:p w14:paraId="1F9ED428">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1</w:t>
      </w:r>
      <w:r>
        <w:rPr>
          <w:rFonts w:hint="eastAsia" w:ascii="宋体" w:hAnsi="宋体" w:cs="宋体"/>
          <w:b/>
          <w:bCs/>
          <w:snapToGrid w:val="0"/>
          <w:color w:val="auto"/>
          <w:kern w:val="0"/>
          <w:sz w:val="28"/>
          <w:szCs w:val="28"/>
          <w:highlight w:val="none"/>
          <w:lang w:val="en-US" w:eastAsia="zh-CN" w:bidi="ar-SA"/>
        </w:rPr>
        <w:t>7.响应文件</w:t>
      </w:r>
      <w:r>
        <w:rPr>
          <w:rFonts w:hint="eastAsia" w:ascii="宋体" w:hAnsi="宋体" w:eastAsia="宋体" w:cs="宋体"/>
          <w:b/>
          <w:bCs/>
          <w:snapToGrid w:val="0"/>
          <w:color w:val="auto"/>
          <w:kern w:val="0"/>
          <w:sz w:val="28"/>
          <w:szCs w:val="28"/>
          <w:highlight w:val="none"/>
          <w:lang w:val="en-US" w:eastAsia="zh-CN" w:bidi="ar-SA"/>
        </w:rPr>
        <w:t>的签署、盖章</w:t>
      </w:r>
    </w:p>
    <w:p w14:paraId="0C3ED4C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按照</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未按照</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要求签署、盖章的，其投标无效。</w:t>
      </w:r>
    </w:p>
    <w:p w14:paraId="51AE45B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6A6BC1A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17.3</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应按本</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规定的格式和顺序编制、装订</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并标注页码，</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内容不完整、编排混乱导致</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被误读、漏读或者查找不到相关内容的，是</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的责任。</w:t>
      </w:r>
    </w:p>
    <w:p w14:paraId="7211BDF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和“政采云平台”的要求编制并加密</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w:t>
      </w:r>
    </w:p>
    <w:p w14:paraId="03AEE9A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17.5</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应当按照“</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组成”规定的内容及顺序在“政采云电子交易客户端”编制</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。其中《</w:t>
      </w:r>
      <w:r>
        <w:rPr>
          <w:rFonts w:hint="eastAsia" w:ascii="宋体" w:hAnsi="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原因提前泄露投标报价，是</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的责任。</w:t>
      </w:r>
    </w:p>
    <w:p w14:paraId="0C3D71D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17.6</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需做好“标书关联”（即设置关联点），未设置关联点而导致失分或无效投标处理的风险由</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承担。</w:t>
      </w:r>
    </w:p>
    <w:p w14:paraId="43246A1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17.7</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应按</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中投标格式文件所示列要求由</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的法定代表人或其授权的代理人签字、盖单位公章。</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的法定代表人授权代理人签字的，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应附由法定代表人签署的授权委托书。</w:t>
      </w:r>
    </w:p>
    <w:p w14:paraId="0AFEB74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17.8</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不得涂改，若有修改和增删处，必须加盖单位公章或法定代表人或授权委托人签字或盖章。</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字迹模糊、潦草或在关键的技术、商务条款上表述不清所引起的后果由</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负责。</w:t>
      </w:r>
    </w:p>
    <w:p w14:paraId="65F9FD0F">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w:t>
      </w:r>
      <w:r>
        <w:rPr>
          <w:rFonts w:hint="eastAsia" w:ascii="宋体" w:hAnsi="宋体" w:cs="宋体"/>
          <w:b/>
          <w:bCs/>
          <w:color w:val="auto"/>
          <w:sz w:val="28"/>
          <w:szCs w:val="24"/>
          <w:highlight w:val="none"/>
          <w:lang w:eastAsia="zh-CN"/>
        </w:rPr>
        <w:t>响应文件</w:t>
      </w:r>
      <w:r>
        <w:rPr>
          <w:rFonts w:hint="eastAsia" w:ascii="宋体" w:hAnsi="宋体" w:eastAsia="宋体" w:cs="宋体"/>
          <w:b/>
          <w:bCs/>
          <w:color w:val="auto"/>
          <w:sz w:val="28"/>
          <w:szCs w:val="24"/>
          <w:highlight w:val="none"/>
        </w:rPr>
        <w:t>的递交</w:t>
      </w:r>
    </w:p>
    <w:p w14:paraId="488E2BD6">
      <w:pPr>
        <w:pStyle w:val="5"/>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cs="宋体"/>
          <w:b/>
          <w:bCs/>
          <w:snapToGrid w:val="0"/>
          <w:color w:val="auto"/>
          <w:kern w:val="0"/>
          <w:szCs w:val="28"/>
          <w:highlight w:val="none"/>
          <w:lang w:val="en-US" w:eastAsia="zh-CN"/>
        </w:rPr>
        <w:t>8.</w:t>
      </w:r>
      <w:r>
        <w:rPr>
          <w:rFonts w:hint="eastAsia" w:ascii="宋体" w:hAnsi="宋体" w:cs="宋体"/>
          <w:b/>
          <w:bCs/>
          <w:snapToGrid w:val="0"/>
          <w:color w:val="auto"/>
          <w:kern w:val="0"/>
          <w:szCs w:val="28"/>
          <w:highlight w:val="none"/>
          <w:lang w:eastAsia="zh-CN"/>
        </w:rPr>
        <w:t>响应文件</w:t>
      </w:r>
      <w:r>
        <w:rPr>
          <w:rFonts w:hint="eastAsia" w:ascii="宋体" w:hAnsi="宋体" w:eastAsia="宋体" w:cs="宋体"/>
          <w:b/>
          <w:bCs/>
          <w:snapToGrid w:val="0"/>
          <w:color w:val="auto"/>
          <w:kern w:val="0"/>
          <w:szCs w:val="28"/>
          <w:highlight w:val="none"/>
        </w:rPr>
        <w:t>的递交</w:t>
      </w:r>
    </w:p>
    <w:p w14:paraId="0D6C6D5E">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截止时间前完成电子</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的传输递交，</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截止时间前可以补充、修改或者撤回电子</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。补充或者修改电子</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的，应当先行撤回原文件，补充、修改后重新传输递交。</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截止时间前未完成传输的，视为撤回</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截止时间后送达的投标、响应文件，将被拒收。</w:t>
      </w:r>
    </w:p>
    <w:p w14:paraId="61AFD9B8">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截止时间后，供应商登录政采云平台，用“项目采购-开标评标”功能对电子</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进行在线解密。在线解密电子</w:t>
      </w:r>
      <w:r>
        <w:rPr>
          <w:rFonts w:hint="eastAsia" w:ascii="宋体" w:hAnsi="宋体" w:cs="宋体"/>
          <w:b/>
          <w:bCs/>
          <w:snapToGrid w:val="0"/>
          <w:color w:val="auto"/>
          <w:kern w:val="0"/>
          <w:sz w:val="24"/>
          <w:szCs w:val="24"/>
          <w:highlight w:val="none"/>
          <w:lang w:eastAsia="zh-CN"/>
        </w:rPr>
        <w:t>响应文件</w:t>
      </w:r>
      <w:r>
        <w:rPr>
          <w:rFonts w:hint="eastAsia" w:ascii="宋体" w:hAnsi="宋体" w:eastAsia="宋体" w:cs="宋体"/>
          <w:b/>
          <w:bCs/>
          <w:snapToGrid w:val="0"/>
          <w:color w:val="auto"/>
          <w:kern w:val="0"/>
          <w:sz w:val="24"/>
          <w:szCs w:val="24"/>
          <w:highlight w:val="none"/>
        </w:rPr>
        <w:t>时间为开标时间起30分钟内。</w:t>
      </w:r>
    </w:p>
    <w:p w14:paraId="0CCCC947">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1</w:t>
      </w: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备份</w:t>
      </w:r>
      <w:r>
        <w:rPr>
          <w:rFonts w:hint="eastAsia" w:ascii="宋体" w:hAnsi="宋体" w:cs="宋体"/>
          <w:b/>
          <w:color w:val="auto"/>
          <w:sz w:val="28"/>
          <w:szCs w:val="28"/>
          <w:highlight w:val="none"/>
          <w:lang w:eastAsia="zh-CN"/>
        </w:rPr>
        <w:t>响应文件</w:t>
      </w:r>
    </w:p>
    <w:p w14:paraId="1D9C025E">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后，还可以按</w:t>
      </w:r>
      <w:r>
        <w:rPr>
          <w:rFonts w:hint="eastAsia" w:hAnsi="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hAnsi="宋体" w:cs="宋体"/>
          <w:snapToGrid w:val="0"/>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推荐EMS或顺丰邮寄形式</w:t>
      </w:r>
      <w:r>
        <w:rPr>
          <w:rFonts w:hint="eastAsia" w:ascii="宋体" w:hAnsi="宋体" w:eastAsia="宋体" w:cs="宋体"/>
          <w:snapToGrid w:val="0"/>
          <w:color w:val="auto"/>
          <w:kern w:val="0"/>
          <w:sz w:val="24"/>
          <w:szCs w:val="24"/>
          <w:highlight w:val="none"/>
        </w:rPr>
        <w:t>）递交“备份</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0D55D6EF">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”将被视为无效或者被拒绝接收。</w:t>
      </w:r>
    </w:p>
    <w:p w14:paraId="5E786785">
      <w:pPr>
        <w:pStyle w:val="9"/>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20.</w:t>
      </w:r>
      <w:r>
        <w:rPr>
          <w:rFonts w:hint="eastAsia" w:ascii="宋体" w:hAnsi="宋体" w:eastAsia="宋体" w:cs="宋体"/>
          <w:b/>
          <w:color w:val="auto"/>
          <w:sz w:val="28"/>
          <w:szCs w:val="28"/>
          <w:highlight w:val="none"/>
        </w:rPr>
        <w:t>投标截止期</w:t>
      </w:r>
    </w:p>
    <w:p w14:paraId="1392681F">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w:t>
      </w:r>
    </w:p>
    <w:p w14:paraId="349503AF">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w:t>
      </w:r>
      <w:r>
        <w:rPr>
          <w:rFonts w:hint="eastAsia"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20C54DDD">
      <w:pPr>
        <w:pStyle w:val="9"/>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snapToGrid/>
          <w:color w:val="auto"/>
          <w:kern w:val="2"/>
          <w:sz w:val="28"/>
          <w:szCs w:val="28"/>
          <w:highlight w:val="none"/>
          <w:lang w:eastAsia="zh-CN"/>
        </w:rPr>
      </w:pPr>
      <w:r>
        <w:rPr>
          <w:rFonts w:hint="eastAsia" w:hAnsi="宋体" w:cs="宋体"/>
          <w:b/>
          <w:snapToGrid/>
          <w:color w:val="auto"/>
          <w:kern w:val="2"/>
          <w:sz w:val="28"/>
          <w:szCs w:val="28"/>
          <w:highlight w:val="none"/>
          <w:lang w:val="en-US" w:eastAsia="zh-CN"/>
        </w:rPr>
        <w:t>21.</w:t>
      </w:r>
      <w:r>
        <w:rPr>
          <w:rFonts w:hint="eastAsia" w:ascii="宋体" w:hAnsi="宋体" w:eastAsia="宋体" w:cs="宋体"/>
          <w:b/>
          <w:snapToGrid/>
          <w:color w:val="auto"/>
          <w:kern w:val="2"/>
          <w:sz w:val="28"/>
          <w:szCs w:val="28"/>
          <w:highlight w:val="none"/>
        </w:rPr>
        <w:t>迟交的</w:t>
      </w:r>
      <w:r>
        <w:rPr>
          <w:rFonts w:hint="eastAsia" w:hAnsi="宋体" w:cs="宋体"/>
          <w:b/>
          <w:snapToGrid/>
          <w:color w:val="auto"/>
          <w:kern w:val="2"/>
          <w:sz w:val="28"/>
          <w:szCs w:val="28"/>
          <w:highlight w:val="none"/>
          <w:lang w:eastAsia="zh-CN"/>
        </w:rPr>
        <w:t>响应文件</w:t>
      </w:r>
    </w:p>
    <w:p w14:paraId="261F4820">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w:t>
      </w:r>
      <w:r>
        <w:rPr>
          <w:rFonts w:hint="eastAsia"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，采购人将不予接收。</w:t>
      </w:r>
    </w:p>
    <w:p w14:paraId="7B7A77A3">
      <w:pPr>
        <w:pStyle w:val="9"/>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宋体" w:hAnsi="宋体" w:eastAsia="宋体" w:cs="宋体"/>
          <w:b/>
          <w:bCs/>
          <w:snapToGrid/>
          <w:color w:val="auto"/>
          <w:kern w:val="2"/>
          <w:sz w:val="28"/>
          <w:szCs w:val="24"/>
          <w:highlight w:val="none"/>
        </w:rPr>
      </w:pPr>
      <w:bookmarkStart w:id="33" w:name="_Toc240450081"/>
      <w:bookmarkStart w:id="34" w:name="_Toc14566"/>
      <w:bookmarkStart w:id="35" w:name="_Toc22131"/>
      <w:bookmarkStart w:id="36" w:name="_Toc13578"/>
      <w:bookmarkStart w:id="37" w:name="_Toc251566654"/>
      <w:bookmarkStart w:id="38" w:name="_Toc15503"/>
      <w:r>
        <w:rPr>
          <w:rFonts w:hint="eastAsia" w:ascii="宋体" w:hAnsi="宋体" w:eastAsia="宋体" w:cs="宋体"/>
          <w:b/>
          <w:bCs/>
          <w:snapToGrid/>
          <w:color w:val="auto"/>
          <w:kern w:val="2"/>
          <w:sz w:val="28"/>
          <w:szCs w:val="24"/>
          <w:highlight w:val="none"/>
        </w:rPr>
        <w:t>五、</w:t>
      </w:r>
      <w:r>
        <w:rPr>
          <w:rFonts w:hint="eastAsia" w:hAnsi="宋体" w:cs="宋体"/>
          <w:b/>
          <w:bCs/>
          <w:snapToGrid/>
          <w:color w:val="auto"/>
          <w:kern w:val="2"/>
          <w:sz w:val="28"/>
          <w:szCs w:val="24"/>
          <w:highlight w:val="none"/>
          <w:lang w:eastAsia="zh-CN"/>
        </w:rPr>
        <w:t>磋商</w:t>
      </w:r>
      <w:r>
        <w:rPr>
          <w:rFonts w:hint="eastAsia" w:ascii="宋体" w:hAnsi="宋体" w:eastAsia="宋体" w:cs="宋体"/>
          <w:b/>
          <w:bCs/>
          <w:snapToGrid/>
          <w:color w:val="auto"/>
          <w:kern w:val="2"/>
          <w:sz w:val="28"/>
          <w:szCs w:val="24"/>
          <w:highlight w:val="none"/>
        </w:rPr>
        <w:t>与评标</w:t>
      </w:r>
      <w:bookmarkEnd w:id="33"/>
      <w:bookmarkEnd w:id="34"/>
      <w:bookmarkEnd w:id="35"/>
      <w:bookmarkEnd w:id="36"/>
      <w:bookmarkEnd w:id="37"/>
      <w:bookmarkEnd w:id="38"/>
    </w:p>
    <w:p w14:paraId="17EEC322">
      <w:pPr>
        <w:pStyle w:val="9"/>
        <w:keepNext w:val="0"/>
        <w:keepLines w:val="0"/>
        <w:pageBreakBefore w:val="0"/>
        <w:kinsoku/>
        <w:topLinePunct w:val="0"/>
        <w:bidi w:val="0"/>
        <w:spacing w:line="500" w:lineRule="exact"/>
        <w:ind w:left="0" w:leftChars="0" w:firstLine="422" w:firstLineChars="150"/>
        <w:rPr>
          <w:rFonts w:hint="eastAsia" w:ascii="宋体" w:hAnsi="宋体" w:eastAsia="宋体" w:cs="宋体"/>
          <w:b/>
          <w:snapToGrid/>
          <w:color w:val="auto"/>
          <w:kern w:val="2"/>
          <w:sz w:val="28"/>
          <w:szCs w:val="28"/>
          <w:highlight w:val="none"/>
          <w:lang w:eastAsia="zh-CN"/>
        </w:rPr>
      </w:pPr>
      <w:r>
        <w:rPr>
          <w:rFonts w:hint="eastAsia" w:hAnsi="宋体" w:cs="宋体"/>
          <w:b/>
          <w:snapToGrid/>
          <w:color w:val="auto"/>
          <w:kern w:val="2"/>
          <w:sz w:val="28"/>
          <w:szCs w:val="28"/>
          <w:highlight w:val="none"/>
          <w:lang w:val="en-US" w:eastAsia="zh-CN"/>
        </w:rPr>
        <w:t>22.</w:t>
      </w:r>
      <w:r>
        <w:rPr>
          <w:rFonts w:hint="eastAsia" w:ascii="宋体" w:hAnsi="宋体" w:cs="宋体"/>
          <w:b/>
          <w:snapToGrid/>
          <w:color w:val="auto"/>
          <w:kern w:val="2"/>
          <w:sz w:val="28"/>
          <w:szCs w:val="28"/>
          <w:highlight w:val="none"/>
          <w:lang w:eastAsia="zh-CN"/>
        </w:rPr>
        <w:t>磋商</w:t>
      </w:r>
    </w:p>
    <w:p w14:paraId="497A3788">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22.1</w:t>
      </w:r>
      <w:r>
        <w:rPr>
          <w:rFonts w:hint="eastAsia" w:ascii="宋体" w:hAnsi="宋体" w:eastAsia="宋体" w:cs="宋体"/>
          <w:snapToGrid w:val="0"/>
          <w:color w:val="auto"/>
          <w:kern w:val="0"/>
          <w:sz w:val="24"/>
          <w:szCs w:val="24"/>
          <w:highlight w:val="none"/>
          <w:u w:val="none"/>
        </w:rPr>
        <w:t>符合性审查</w:t>
      </w:r>
    </w:p>
    <w:p w14:paraId="07688589">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6AE469EA">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w:t>
      </w:r>
      <w:r>
        <w:rPr>
          <w:rFonts w:hint="eastAsia" w:ascii="宋体" w:hAnsi="宋体" w:eastAsia="宋体" w:cs="宋体"/>
          <w:snapToGrid w:val="0"/>
          <w:color w:val="auto"/>
          <w:kern w:val="0"/>
          <w:sz w:val="24"/>
          <w:szCs w:val="24"/>
          <w:highlight w:val="none"/>
          <w:u w:val="none"/>
        </w:rPr>
        <w:t>2 磋商</w:t>
      </w:r>
    </w:p>
    <w:p w14:paraId="0EFB8EC6">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22.2</w:t>
      </w:r>
      <w:r>
        <w:rPr>
          <w:rFonts w:hint="eastAsia" w:ascii="宋体" w:hAnsi="宋体" w:eastAsia="宋体" w:cs="宋体"/>
          <w:snapToGrid w:val="0"/>
          <w:color w:val="auto"/>
          <w:kern w:val="0"/>
          <w:sz w:val="24"/>
          <w:szCs w:val="24"/>
          <w:highlight w:val="none"/>
          <w:u w:val="none"/>
        </w:rPr>
        <w:t>.1磋商小组对响应文件进行评审，并根据磋商文件规定的程序、评定成交的标准等事项与实质性响应磋商文件要求的供应商进行多轮磋商。</w:t>
      </w:r>
    </w:p>
    <w:p w14:paraId="101C8686">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磋商小组按供应商提交响应文件的顺序分别进行磋商（若有演示、讲解内容，演示、讲解顺序同磋商顺序）。磋商小组所有成员应当集中与单一供应商分别进行磋商，并给予所有参加磋商的供应商平等的磋商机会。</w:t>
      </w:r>
    </w:p>
    <w:p w14:paraId="431D5C48">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（2）在磋商过程中，磋商小组可以根据磋商文件和磋商情况实质性变动采购需求中的技术、服务要求以及合同条款。实质性变动的内容，须经采购人代表确认。</w:t>
      </w:r>
    </w:p>
    <w:p w14:paraId="0CBDF036">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（3）对磋商文件作出实质性变动是磋商文件的有效组成部分，磋商小组应当及时通过电子交易平台交换数据电文同时通知所有参加磋商的供应商。</w:t>
      </w:r>
    </w:p>
    <w:p w14:paraId="003179CE">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（4）磋商文件能够详细列明采购标的的技术、服务要求的，磋商结束后，磋商小组应当要求所有继续参加磋商的供应商在规定时间内提交最终报价，提交最终报价的供应商不得少于3家。</w:t>
      </w:r>
    </w:p>
    <w:p w14:paraId="1D8E17E1">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（5）磋商小组采用综合评分法对确定作出最终报价的供应商的响应文件进行综合评分。</w:t>
      </w:r>
    </w:p>
    <w:p w14:paraId="57257EAB">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（6）供应商提交最终报价，并公布商务技术得分。</w:t>
      </w:r>
    </w:p>
    <w:p w14:paraId="5C703DDB">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7）磋商小组对报价进行评分。“报价文件”开启后，由磋商小组对各供应商的商务报价进行核查，核查时发现磋商报价内容不清楚可要求供应商通过电子交易平台交换数据电文要求供应商作出必要的澄清、说明或者更正，磋商响应文件中磋商报价一览表内容计算上的错误，可按下面方法修改：</w:t>
      </w:r>
    </w:p>
    <w:p w14:paraId="08FAF4BC">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b w:val="0"/>
          <w:snapToGrid w:val="0"/>
          <w:color w:val="auto"/>
          <w:kern w:val="0"/>
          <w:sz w:val="24"/>
          <w:szCs w:val="24"/>
          <w:highlight w:val="none"/>
          <w:u w:val="none"/>
        </w:rPr>
      </w:pPr>
      <w:r>
        <w:rPr>
          <w:rFonts w:hint="eastAsia" w:ascii="宋体" w:hAnsi="宋体" w:eastAsia="宋体" w:cs="宋体"/>
          <w:b w:val="0"/>
          <w:snapToGrid w:val="0"/>
          <w:color w:val="auto"/>
          <w:kern w:val="0"/>
          <w:sz w:val="24"/>
          <w:szCs w:val="24"/>
          <w:highlight w:val="none"/>
          <w:u w:val="none"/>
        </w:rPr>
        <w:t>开标时，</w:t>
      </w:r>
      <w:r>
        <w:rPr>
          <w:rFonts w:hint="eastAsia" w:ascii="宋体" w:hAnsi="宋体" w:cs="宋体"/>
          <w:b w:val="0"/>
          <w:snapToGrid w:val="0"/>
          <w:color w:val="auto"/>
          <w:kern w:val="0"/>
          <w:sz w:val="24"/>
          <w:szCs w:val="24"/>
          <w:highlight w:val="none"/>
          <w:u w:val="none"/>
          <w:lang w:eastAsia="zh-CN"/>
        </w:rPr>
        <w:t>响应</w:t>
      </w:r>
      <w:r>
        <w:rPr>
          <w:rFonts w:hint="eastAsia" w:ascii="宋体" w:hAnsi="宋体" w:eastAsia="宋体" w:cs="宋体"/>
          <w:b w:val="0"/>
          <w:snapToGrid w:val="0"/>
          <w:color w:val="auto"/>
          <w:kern w:val="0"/>
          <w:sz w:val="24"/>
          <w:szCs w:val="24"/>
          <w:highlight w:val="none"/>
          <w:u w:val="none"/>
        </w:rPr>
        <w:t>文件中磋商报价一览表内容与</w:t>
      </w:r>
      <w:r>
        <w:rPr>
          <w:rFonts w:hint="eastAsia" w:ascii="宋体" w:hAnsi="宋体" w:cs="宋体"/>
          <w:b w:val="0"/>
          <w:snapToGrid w:val="0"/>
          <w:color w:val="auto"/>
          <w:kern w:val="0"/>
          <w:sz w:val="24"/>
          <w:szCs w:val="24"/>
          <w:highlight w:val="none"/>
          <w:u w:val="none"/>
          <w:lang w:eastAsia="zh-CN"/>
        </w:rPr>
        <w:t>响应</w:t>
      </w:r>
      <w:r>
        <w:rPr>
          <w:rFonts w:hint="eastAsia" w:ascii="宋体" w:hAnsi="宋体" w:eastAsia="宋体" w:cs="宋体"/>
          <w:b w:val="0"/>
          <w:snapToGrid w:val="0"/>
          <w:color w:val="auto"/>
          <w:kern w:val="0"/>
          <w:sz w:val="24"/>
          <w:szCs w:val="24"/>
          <w:highlight w:val="none"/>
          <w:u w:val="none"/>
        </w:rPr>
        <w:t>文件中明细表内容不一致的，以磋商报价一览表为准；投标文件的大写金额和小写金额不一致的，以大写金额为准；单价金额小数点或百分比有明显错位的，以磋商报价一览表的总价为准，并修改单价；总价金额与按单价汇总金额不一致的，以单价金额计算结果为准；同时出现两种以上不一致的，按照前款规定的顺序修正，修正后的报价应经投标人书面确认，投标人不予确认的，其投标无效。</w:t>
      </w:r>
    </w:p>
    <w:p w14:paraId="0DEB925D">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b w:val="0"/>
          <w:snapToGrid w:val="0"/>
          <w:color w:val="auto"/>
          <w:kern w:val="0"/>
          <w:sz w:val="24"/>
          <w:szCs w:val="24"/>
          <w:highlight w:val="none"/>
          <w:u w:val="none"/>
        </w:rPr>
      </w:pPr>
      <w:r>
        <w:rPr>
          <w:rFonts w:hint="eastAsia" w:ascii="宋体" w:hAnsi="宋体" w:eastAsia="宋体" w:cs="宋体"/>
          <w:b w:val="0"/>
          <w:snapToGrid w:val="0"/>
          <w:color w:val="auto"/>
          <w:kern w:val="0"/>
          <w:sz w:val="24"/>
          <w:szCs w:val="24"/>
          <w:highlight w:val="none"/>
          <w:u w:val="none"/>
        </w:rPr>
        <w:t>评审时如发现供应商的报价明显低于其他通过符合性审查投标人的报价，有权要求投标供应商在30分钟内提供说明及相关证明材料。供应商不能合理说明原因并提供证明材料的，磋商响应文件作无效标处理。</w:t>
      </w:r>
    </w:p>
    <w:p w14:paraId="3AB457B2">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b w:val="0"/>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（8）在详细</w:t>
      </w:r>
      <w:r>
        <w:rPr>
          <w:rFonts w:hint="eastAsia" w:ascii="宋体" w:hAnsi="宋体" w:cs="宋体"/>
          <w:snapToGrid w:val="0"/>
          <w:color w:val="auto"/>
          <w:kern w:val="0"/>
          <w:sz w:val="24"/>
          <w:szCs w:val="24"/>
          <w:highlight w:val="none"/>
          <w:u w:val="none"/>
          <w:lang w:eastAsia="zh-CN"/>
        </w:rPr>
        <w:t>磋商</w:t>
      </w:r>
      <w:r>
        <w:rPr>
          <w:rFonts w:hint="eastAsia" w:ascii="宋体" w:hAnsi="宋体" w:eastAsia="宋体" w:cs="宋体"/>
          <w:snapToGrid w:val="0"/>
          <w:color w:val="auto"/>
          <w:kern w:val="0"/>
          <w:sz w:val="24"/>
          <w:szCs w:val="24"/>
          <w:highlight w:val="none"/>
          <w:u w:val="none"/>
        </w:rPr>
        <w:t>之前，磋商小组要审查每份磋商响应文件是否实质上响应了磋商文件的要求。实质上响应的磋商响应应该是与磋商文件要求的全部条款、条件和规格基本相符，没有重大偏离</w:t>
      </w:r>
      <w:r>
        <w:rPr>
          <w:rFonts w:hint="eastAsia" w:ascii="宋体" w:hAnsi="宋体" w:eastAsia="宋体" w:cs="宋体"/>
          <w:b w:val="0"/>
          <w:snapToGrid w:val="0"/>
          <w:color w:val="auto"/>
          <w:kern w:val="0"/>
          <w:sz w:val="24"/>
          <w:szCs w:val="24"/>
          <w:highlight w:val="none"/>
          <w:u w:val="none"/>
        </w:rPr>
        <w:t>。</w:t>
      </w:r>
    </w:p>
    <w:p w14:paraId="71E6D492">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（9）</w:t>
      </w:r>
      <w:r>
        <w:rPr>
          <w:rFonts w:hint="eastAsia" w:ascii="宋体" w:hAnsi="宋体" w:eastAsia="宋体" w:cs="宋体"/>
          <w:b w:val="0"/>
          <w:snapToGrid w:val="0"/>
          <w:color w:val="auto"/>
          <w:kern w:val="0"/>
          <w:sz w:val="24"/>
          <w:szCs w:val="24"/>
          <w:highlight w:val="none"/>
          <w:u w:val="none"/>
        </w:rPr>
        <w:t>实质上没有响应磋商文件要求的磋商响应将被拒绝</w:t>
      </w:r>
      <w:r>
        <w:rPr>
          <w:rFonts w:hint="eastAsia" w:ascii="宋体" w:hAnsi="宋体" w:eastAsia="宋体" w:cs="宋体"/>
          <w:snapToGrid w:val="0"/>
          <w:color w:val="auto"/>
          <w:kern w:val="0"/>
          <w:sz w:val="24"/>
          <w:szCs w:val="24"/>
          <w:highlight w:val="none"/>
          <w:u w:val="none"/>
        </w:rPr>
        <w:t>，供应商不得通过修正或撤销不合要求的偏离或保留从而使其磋商响应成为实质上响应的磋商响应。</w:t>
      </w:r>
    </w:p>
    <w:p w14:paraId="0642EF1A">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（10）磋商过程中遇到特殊情况，由磋商小组遵循公平、公正原则，采取投票方式按照少数服从多数原则决定。</w:t>
      </w:r>
    </w:p>
    <w:p w14:paraId="728633E0">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（11）磋商响应文件的澄清</w:t>
      </w:r>
    </w:p>
    <w:p w14:paraId="0B45F4B1">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22.3</w:t>
      </w:r>
      <w:r>
        <w:rPr>
          <w:rFonts w:hint="eastAsia" w:ascii="宋体" w:hAnsi="宋体" w:eastAsia="宋体" w:cs="宋体"/>
          <w:snapToGrid w:val="0"/>
          <w:color w:val="auto"/>
          <w:kern w:val="0"/>
          <w:sz w:val="24"/>
          <w:szCs w:val="24"/>
          <w:highlight w:val="none"/>
          <w:u w:val="none"/>
        </w:rPr>
        <w:t>在</w:t>
      </w:r>
      <w:r>
        <w:rPr>
          <w:rFonts w:hint="eastAsia" w:ascii="宋体" w:hAnsi="宋体" w:cs="宋体"/>
          <w:snapToGrid w:val="0"/>
          <w:color w:val="auto"/>
          <w:kern w:val="0"/>
          <w:sz w:val="24"/>
          <w:szCs w:val="24"/>
          <w:highlight w:val="none"/>
          <w:u w:val="none"/>
          <w:lang w:eastAsia="zh-CN"/>
        </w:rPr>
        <w:t>磋商</w:t>
      </w:r>
      <w:r>
        <w:rPr>
          <w:rFonts w:hint="eastAsia" w:ascii="宋体" w:hAnsi="宋体" w:eastAsia="宋体" w:cs="宋体"/>
          <w:snapToGrid w:val="0"/>
          <w:color w:val="auto"/>
          <w:kern w:val="0"/>
          <w:sz w:val="24"/>
          <w:szCs w:val="24"/>
          <w:highlight w:val="none"/>
          <w:u w:val="none"/>
        </w:rPr>
        <w:t>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超出磋商响应文件的范围或者改变磋商响应文件的实质性内容。拒不按要求对其磋商响应文件进行澄清、说明或补正的磋商响应供应商，磋商小组可以否决其磋商响应。</w:t>
      </w:r>
    </w:p>
    <w:p w14:paraId="26FC93C2">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22.4</w:t>
      </w:r>
      <w:r>
        <w:rPr>
          <w:rFonts w:hint="eastAsia" w:ascii="宋体" w:hAnsi="宋体" w:eastAsia="宋体" w:cs="宋体"/>
          <w:snapToGrid w:val="0"/>
          <w:color w:val="auto"/>
          <w:kern w:val="0"/>
          <w:sz w:val="24"/>
          <w:szCs w:val="24"/>
          <w:highlight w:val="none"/>
          <w:u w:val="none"/>
        </w:rPr>
        <w:t>▲经澄清后，若偏差仍存在，且不可接受，磋商响应文件则被认为是“没有实质性响应</w:t>
      </w:r>
      <w:r>
        <w:rPr>
          <w:rFonts w:hint="eastAsia" w:ascii="宋体" w:hAnsi="宋体" w:eastAsia="宋体" w:cs="宋体"/>
          <w:snapToGrid w:val="0"/>
          <w:color w:val="auto"/>
          <w:kern w:val="0"/>
          <w:sz w:val="24"/>
          <w:szCs w:val="24"/>
          <w:highlight w:val="none"/>
          <w:u w:val="none"/>
          <w:lang w:eastAsia="zh-CN"/>
        </w:rPr>
        <w:t>磋商文件</w:t>
      </w:r>
      <w:r>
        <w:rPr>
          <w:rFonts w:hint="eastAsia" w:ascii="宋体" w:hAnsi="宋体" w:eastAsia="宋体" w:cs="宋体"/>
          <w:snapToGrid w:val="0"/>
          <w:color w:val="auto"/>
          <w:kern w:val="0"/>
          <w:sz w:val="24"/>
          <w:szCs w:val="24"/>
          <w:highlight w:val="none"/>
          <w:u w:val="none"/>
        </w:rPr>
        <w:t>要求“，不进入下一步评审。</w:t>
      </w:r>
    </w:p>
    <w:p w14:paraId="366CFD6D">
      <w:pPr>
        <w:pStyle w:val="5"/>
        <w:keepNext w:val="0"/>
        <w:keepLines w:val="0"/>
        <w:pageBreakBefore w:val="0"/>
        <w:kinsoku/>
        <w:topLinePunct w:val="0"/>
        <w:bidi w:val="0"/>
        <w:spacing w:line="400" w:lineRule="exact"/>
        <w:ind w:left="0" w:leftChars="0" w:firstLine="480" w:firstLineChars="2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22.5</w:t>
      </w:r>
      <w:r>
        <w:rPr>
          <w:rFonts w:hint="eastAsia" w:ascii="宋体" w:hAnsi="宋体" w:eastAsia="宋体" w:cs="宋体"/>
          <w:snapToGrid w:val="0"/>
          <w:color w:val="auto"/>
          <w:kern w:val="0"/>
          <w:sz w:val="24"/>
          <w:szCs w:val="24"/>
          <w:highlight w:val="none"/>
          <w:u w:val="none"/>
        </w:rPr>
        <w:t>当出现磋商响应时间截止后供应商不足三家的情况时，严格按照财政部及浙江省财政厅有关规章制度进行处理。</w:t>
      </w:r>
    </w:p>
    <w:p w14:paraId="0F3C03DC">
      <w:pPr>
        <w:pStyle w:val="29"/>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lang w:val="en-US" w:eastAsia="zh-CN"/>
        </w:rPr>
        <w:t>23.</w:t>
      </w:r>
      <w:r>
        <w:rPr>
          <w:rFonts w:hint="eastAsia" w:ascii="宋体" w:hAnsi="宋体" w:eastAsia="宋体" w:cs="宋体"/>
          <w:b/>
          <w:bCs/>
          <w:snapToGrid w:val="0"/>
          <w:color w:val="auto"/>
          <w:kern w:val="0"/>
          <w:sz w:val="28"/>
          <w:szCs w:val="28"/>
          <w:highlight w:val="none"/>
        </w:rPr>
        <w:t>信用信息查询</w:t>
      </w:r>
    </w:p>
    <w:p w14:paraId="09052E14">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浙江政府采购网（ccgp-zhejiang.gov.cn）</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4938407E">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一起存档。</w:t>
      </w:r>
    </w:p>
    <w:p w14:paraId="145C01E0">
      <w:pPr>
        <w:pStyle w:val="29"/>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被列入失信被执行人、重大税收违法案件当事人名单、政府采购严重违法失信行为记录名单或浙江政府采购网曝光台中尚在行政处罚期内及其它不符合《中华人民共和国政府采购法》第二十二条规定条件的情形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088293FD">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24.</w:t>
      </w:r>
      <w:r>
        <w:rPr>
          <w:rFonts w:hint="eastAsia" w:ascii="宋体" w:hAnsi="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程序</w:t>
      </w:r>
    </w:p>
    <w:p w14:paraId="27BEB310">
      <w:pPr>
        <w:pStyle w:val="29"/>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w:t>
      </w:r>
      <w:r>
        <w:rPr>
          <w:rFonts w:hint="eastAsia" w:ascii="宋体" w:hAnsi="宋体" w:cs="宋体"/>
          <w:snapToGrid w:val="0"/>
          <w:color w:val="auto"/>
          <w:kern w:val="0"/>
          <w:sz w:val="24"/>
          <w:szCs w:val="24"/>
          <w:highlight w:val="none"/>
          <w:lang w:eastAsia="zh-CN"/>
        </w:rPr>
        <w:t>审</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将首先评定每份</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是否在实质上响应了</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要求。所谓实质上的响应，是指</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与</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的所有实质性条款、条件和要求相符，无显著差异或保留，或者对合同中约定的采购人的权利和</w:t>
      </w:r>
      <w:r>
        <w:rPr>
          <w:rFonts w:hint="eastAsia" w:ascii="宋体" w:hAnsi="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要求的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决定</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的响应性只根据</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本身的内容，而不寻求外部证据。如果</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实质不响应</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的各项要求，</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2FE0C1A8">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w:t>
      </w:r>
      <w:r>
        <w:rPr>
          <w:rFonts w:hint="eastAsia" w:ascii="宋体" w:hAnsi="宋体" w:cs="宋体"/>
          <w:color w:val="auto"/>
          <w:sz w:val="24"/>
          <w:szCs w:val="24"/>
          <w:highlight w:val="none"/>
          <w:lang w:val="zh-CN"/>
        </w:rPr>
        <w:t>响应文件</w:t>
      </w:r>
      <w:r>
        <w:rPr>
          <w:rFonts w:hint="eastAsia" w:ascii="宋体" w:hAnsi="宋体" w:eastAsia="宋体" w:cs="宋体"/>
          <w:color w:val="auto"/>
          <w:sz w:val="24"/>
          <w:szCs w:val="24"/>
          <w:highlight w:val="none"/>
          <w:lang w:val="zh-CN"/>
        </w:rPr>
        <w:t>将被视为无效投标：</w:t>
      </w:r>
    </w:p>
    <w:p w14:paraId="37094512">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65FDE48F">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如以联合体形式参加政府采购活动的，联合体协议不符合</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规定的联合体协议要求的；</w:t>
      </w:r>
    </w:p>
    <w:p w14:paraId="0B39F56E">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未按规定的格式编制的；</w:t>
      </w:r>
    </w:p>
    <w:p w14:paraId="2BB080FA">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未按</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459232DE">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4DC7826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727323D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未按照</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要求签署、盖章的；</w:t>
      </w:r>
    </w:p>
    <w:p w14:paraId="4D65756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含有采购人不能接受的附加条件的；</w:t>
      </w:r>
    </w:p>
    <w:p w14:paraId="3A3FF17B">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中承诺的投标有效期少于</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中载明的投标有效期的；</w:t>
      </w:r>
    </w:p>
    <w:p w14:paraId="353155E9">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出现不是唯一的、有选择性投标报价的；</w:t>
      </w:r>
    </w:p>
    <w:p w14:paraId="0681AD57">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报价超过</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中规定的预算金额或者最高限价的；</w:t>
      </w:r>
    </w:p>
    <w:p w14:paraId="4514C756">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报价明显低于其他通过符合性审查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的报价，有可能影响产品质量或者不能诚信履约的，未能按要求提供书面说明或者提交相关证明材料，不能证明其报价合理性的；</w:t>
      </w:r>
    </w:p>
    <w:p w14:paraId="1DA8143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对根据修正原则修正后的报价不确认的；</w:t>
      </w:r>
    </w:p>
    <w:p w14:paraId="783EE1AD">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仅提交备份</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，未在电子交易平台传输递交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的，投标无效；</w:t>
      </w:r>
    </w:p>
    <w:p w14:paraId="0C0B72DA">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对一个标项存在一个或一个以上备选（替代）投标方案的；</w:t>
      </w:r>
    </w:p>
    <w:p w14:paraId="01ADCBA7">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未采用人民币报价或者未按照</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标明的币种报价的；</w:t>
      </w:r>
    </w:p>
    <w:p w14:paraId="4D248F91">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响应文件</w:t>
      </w:r>
      <w:r>
        <w:rPr>
          <w:rFonts w:hint="eastAsia" w:ascii="宋体" w:hAnsi="宋体" w:eastAsia="宋体" w:cs="宋体"/>
          <w:color w:val="auto"/>
          <w:sz w:val="24"/>
          <w:highlight w:val="none"/>
        </w:rPr>
        <w:t>没有对本</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作出实质性响应的，或不满足（不响应）本</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中标注“▲”的实质性要求条款的，或存在</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中明确规定的其他无效响应文件情形的</w:t>
      </w:r>
      <w:r>
        <w:rPr>
          <w:rFonts w:hint="eastAsia" w:ascii="宋体" w:hAnsi="宋体" w:eastAsia="宋体" w:cs="宋体"/>
          <w:color w:val="auto"/>
          <w:sz w:val="24"/>
          <w:highlight w:val="none"/>
          <w:lang w:eastAsia="zh-CN"/>
        </w:rPr>
        <w:t>；</w:t>
      </w:r>
    </w:p>
    <w:p w14:paraId="0944B770">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供应商提供虚假材料响应的（包括但不限于以下情节）；</w:t>
      </w:r>
    </w:p>
    <w:p w14:paraId="7FA7E6BA">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使用伪造、变造的许可证件；</w:t>
      </w:r>
    </w:p>
    <w:p w14:paraId="54941B02">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提供虚假的财务状况或者业绩；</w:t>
      </w:r>
    </w:p>
    <w:p w14:paraId="18FE37BE">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提供虚假的项目负责人或者主要技术人员简历、劳动关系证明；</w:t>
      </w:r>
    </w:p>
    <w:p w14:paraId="5093C1E8">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提供虚假的信用状况；</w:t>
      </w:r>
    </w:p>
    <w:p w14:paraId="6B28F6BB">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其他弄虚作假的行为。</w:t>
      </w:r>
    </w:p>
    <w:p w14:paraId="4CBD5D6B">
      <w:pPr>
        <w:pStyle w:val="19"/>
        <w:spacing w:line="50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7327D305">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供应商直接或者间接从采购人或者采购代理机构处获得其他供应商的相关情况并修改其投标文件；</w:t>
      </w:r>
    </w:p>
    <w:p w14:paraId="0C9FC387">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供应商按照采购人或者采购代理机构的授意撤换、修改投标文件或者响应文件；</w:t>
      </w:r>
    </w:p>
    <w:p w14:paraId="1FF6CED3">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供应商之间协商报价、技术方案等投标文件或者响应文件的实质性内容；</w:t>
      </w:r>
    </w:p>
    <w:p w14:paraId="767EBC28">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属于同一集团、协会、商会等组织成员的供应商按照该组织要求协同参加政府采购活动；</w:t>
      </w:r>
    </w:p>
    <w:p w14:paraId="15514E70">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供应商之间事先约定由某一特定供应商中标、成交；</w:t>
      </w:r>
    </w:p>
    <w:p w14:paraId="6FC76257">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供应商之间商定部分供应商放弃参加政府采购活动或者放弃中标、成交；</w:t>
      </w:r>
    </w:p>
    <w:p w14:paraId="550A4C0A">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供应商与采购人或者采购代理机构之间、供应商相互之间，为谋求特定供应商中标、成交或者排斥其他供应商的其他串通行为。</w:t>
      </w:r>
    </w:p>
    <w:p w14:paraId="33C4FEE1">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不同供应商的响应文件由同一单位或者个人编制；</w:t>
      </w:r>
    </w:p>
    <w:p w14:paraId="758C600A">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不同供应商委托同一单位或者个人办理响应事宜；</w:t>
      </w:r>
    </w:p>
    <w:p w14:paraId="6A90CFD7">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不同供应商的响应文件载明的项目管理成员或者联系人员为同一人；</w:t>
      </w:r>
    </w:p>
    <w:p w14:paraId="7043FF90">
      <w:pPr>
        <w:pStyle w:val="19"/>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不同供应商的响应文件异常一致或者最后报价呈规律性差异；</w:t>
      </w:r>
    </w:p>
    <w:p w14:paraId="5E0EB333">
      <w:pPr>
        <w:pStyle w:val="19"/>
        <w:spacing w:line="500" w:lineRule="exact"/>
        <w:ind w:firstLine="720" w:firstLineChars="300"/>
        <w:rPr>
          <w:rFonts w:hint="eastAsia" w:ascii="宋体" w:hAnsi="宋体" w:eastAsia="宋体" w:cs="宋体"/>
          <w:highlight w:val="none"/>
          <w:lang w:eastAsia="zh-CN"/>
        </w:rPr>
      </w:pPr>
      <w:r>
        <w:rPr>
          <w:rFonts w:hint="eastAsia" w:ascii="宋体" w:hAnsi="宋体" w:cs="宋体"/>
          <w:sz w:val="24"/>
          <w:highlight w:val="none"/>
          <w:lang w:val="en-US" w:eastAsia="zh-CN"/>
        </w:rPr>
        <w:t>12）</w:t>
      </w:r>
      <w:r>
        <w:rPr>
          <w:rFonts w:hint="eastAsia" w:ascii="宋体" w:hAnsi="宋体" w:cs="宋体"/>
          <w:sz w:val="24"/>
          <w:highlight w:val="none"/>
        </w:rPr>
        <w:t>不同供应商的响应文件相互混装</w:t>
      </w:r>
      <w:r>
        <w:rPr>
          <w:rFonts w:hint="eastAsia" w:ascii="宋体" w:hAnsi="宋体" w:cs="宋体"/>
          <w:sz w:val="24"/>
          <w:highlight w:val="none"/>
          <w:lang w:eastAsia="zh-CN"/>
        </w:rPr>
        <w:t>。</w:t>
      </w:r>
    </w:p>
    <w:p w14:paraId="0B0D5150">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法律、法规、规章（适用本市的）及省级以上规范性文件（适用本市的）规定的其他无效情形；</w:t>
      </w:r>
    </w:p>
    <w:p w14:paraId="04925C68">
      <w:pPr>
        <w:pStyle w:val="29"/>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.2</w:t>
      </w:r>
      <w:r>
        <w:rPr>
          <w:rFonts w:hint="eastAsia" w:ascii="宋体" w:hAnsi="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澄清、说明或者补正：</w:t>
      </w:r>
      <w:r>
        <w:rPr>
          <w:rFonts w:hint="eastAsia" w:ascii="宋体" w:hAnsi="宋体" w:eastAsia="宋体" w:cs="宋体"/>
          <w:snapToGrid w:val="0"/>
          <w:color w:val="auto"/>
          <w:kern w:val="0"/>
          <w:sz w:val="24"/>
          <w:szCs w:val="24"/>
          <w:highlight w:val="none"/>
        </w:rPr>
        <w:t>对于</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中含义不明确、同类问题表述不一致或者有明显文字和计算错误的内容需要</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作出必要的澄清、说明或者补正的，</w:t>
      </w:r>
      <w:r>
        <w:rPr>
          <w:rFonts w:hint="eastAsia" w:ascii="宋体" w:hAnsi="宋体" w:cs="宋体"/>
          <w:snapToGrid w:val="0"/>
          <w:color w:val="auto"/>
          <w:kern w:val="0"/>
          <w:sz w:val="24"/>
          <w:szCs w:val="24"/>
          <w:highlight w:val="none"/>
          <w:lang w:val="en-US" w:eastAsia="zh-CN"/>
        </w:rPr>
        <w:t>磋商</w:t>
      </w:r>
      <w:r>
        <w:rPr>
          <w:rFonts w:hint="eastAsia" w:ascii="宋体" w:hAnsi="宋体" w:cs="宋体"/>
          <w:snapToGrid w:val="0"/>
          <w:color w:val="auto"/>
          <w:kern w:val="0"/>
          <w:sz w:val="24"/>
          <w:szCs w:val="24"/>
          <w:highlight w:val="none"/>
          <w:lang w:eastAsia="zh-CN"/>
        </w:rPr>
        <w:t>小组</w:t>
      </w:r>
      <w:r>
        <w:rPr>
          <w:rFonts w:hint="eastAsia" w:ascii="宋体" w:hAnsi="宋体" w:eastAsia="宋体" w:cs="宋体"/>
          <w:snapToGrid w:val="0"/>
          <w:color w:val="auto"/>
          <w:kern w:val="0"/>
          <w:sz w:val="24"/>
          <w:szCs w:val="24"/>
          <w:highlight w:val="none"/>
        </w:rPr>
        <w:t>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的范围或者改变</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的实质性内容。</w:t>
      </w:r>
    </w:p>
    <w:p w14:paraId="6FC90CA3">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.3比较与评价：</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应当按照</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标准，对符合性审查合格的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进行商务和技术评估，综合比较与评价。</w:t>
      </w:r>
    </w:p>
    <w:p w14:paraId="39339449">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307DB70A">
      <w:pPr>
        <w:pStyle w:val="29"/>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24</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36BB5A14">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.5.1</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7546CFEC">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价格的修正原则。</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报价出现前后不一致的，按照下列规定修正：</w:t>
      </w:r>
    </w:p>
    <w:p w14:paraId="54C5BC85">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7ADBA687">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3496A8E5">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2C6410E4">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1A11D8D4">
      <w:pPr>
        <w:pStyle w:val="29"/>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24</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4879C77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w:t>
      </w:r>
      <w:r>
        <w:rPr>
          <w:rFonts w:hint="eastAsia" w:ascii="宋体" w:hAnsi="宋体" w:cs="宋体"/>
          <w:b/>
          <w:bCs/>
          <w:snapToGrid w:val="0"/>
          <w:color w:val="auto"/>
          <w:kern w:val="0"/>
          <w:sz w:val="24"/>
          <w:szCs w:val="24"/>
          <w:highlight w:val="none"/>
          <w:lang w:eastAsia="zh-CN"/>
        </w:rPr>
        <w:t>磋商</w:t>
      </w:r>
      <w:r>
        <w:rPr>
          <w:rFonts w:hint="eastAsia" w:ascii="宋体" w:hAnsi="宋体" w:eastAsia="宋体" w:cs="宋体"/>
          <w:b/>
          <w:bCs/>
          <w:snapToGrid w:val="0"/>
          <w:color w:val="auto"/>
          <w:kern w:val="0"/>
          <w:sz w:val="24"/>
          <w:szCs w:val="24"/>
          <w:highlight w:val="none"/>
        </w:rPr>
        <w:t>无效。采购人将以合同形式有偿取得货物或服务，不接受供应商给予的赠品、回扣或者与采购无关的其他商品、服务。</w:t>
      </w:r>
    </w:p>
    <w:p w14:paraId="6C1796FF">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b/>
          <w:bCs/>
          <w:snapToGrid w:val="0"/>
          <w:color w:val="auto"/>
          <w:kern w:val="0"/>
          <w:sz w:val="24"/>
          <w:szCs w:val="24"/>
          <w:highlight w:val="none"/>
          <w:lang w:val="en-US" w:eastAsia="zh-CN" w:bidi="ar-SA"/>
        </w:rPr>
        <w:t>24</w:t>
      </w:r>
      <w:r>
        <w:rPr>
          <w:rFonts w:hint="eastAsia" w:ascii="宋体" w:hAnsi="宋体" w:eastAsia="宋体" w:cs="宋体"/>
          <w:b/>
          <w:bCs/>
          <w:snapToGrid w:val="0"/>
          <w:color w:val="auto"/>
          <w:kern w:val="0"/>
          <w:sz w:val="24"/>
          <w:szCs w:val="24"/>
          <w:highlight w:val="none"/>
          <w:lang w:val="en-US" w:eastAsia="zh-CN" w:bidi="ar-SA"/>
        </w:rPr>
        <w:t>.6汇总得分</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磋商小组</w:t>
      </w:r>
      <w:r>
        <w:rPr>
          <w:rFonts w:hint="eastAsia" w:ascii="宋体" w:hAnsi="宋体" w:eastAsia="宋体" w:cs="宋体"/>
          <w:snapToGrid w:val="0"/>
          <w:color w:val="auto"/>
          <w:kern w:val="0"/>
          <w:sz w:val="24"/>
          <w:szCs w:val="24"/>
          <w:highlight w:val="none"/>
          <w:lang w:val="en-US" w:eastAsia="zh-CN" w:bidi="ar-SA"/>
        </w:rPr>
        <w:t>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w:t>
      </w:r>
      <w:r>
        <w:rPr>
          <w:rFonts w:hint="eastAsia" w:ascii="宋体" w:hAnsi="宋体" w:cs="宋体"/>
          <w:snapToGrid w:val="0"/>
          <w:color w:val="auto"/>
          <w:kern w:val="0"/>
          <w:sz w:val="24"/>
          <w:szCs w:val="24"/>
          <w:highlight w:val="none"/>
          <w:lang w:val="en-US" w:eastAsia="zh-CN" w:bidi="ar-SA"/>
        </w:rPr>
        <w:t>响应文件</w:t>
      </w:r>
      <w:r>
        <w:rPr>
          <w:rFonts w:hint="eastAsia" w:ascii="宋体" w:hAnsi="宋体" w:eastAsia="宋体" w:cs="宋体"/>
          <w:snapToGrid w:val="0"/>
          <w:color w:val="auto"/>
          <w:kern w:val="0"/>
          <w:sz w:val="24"/>
          <w:szCs w:val="24"/>
          <w:highlight w:val="none"/>
          <w:lang w:val="en-US" w:eastAsia="zh-CN" w:bidi="ar-SA"/>
        </w:rPr>
        <w:t>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5E45111D">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cs="宋体"/>
          <w:b/>
          <w:bCs/>
          <w:snapToGrid w:val="0"/>
          <w:color w:val="auto"/>
          <w:kern w:val="0"/>
          <w:sz w:val="28"/>
          <w:szCs w:val="28"/>
          <w:highlight w:val="none"/>
          <w:lang w:val="en-US" w:eastAsia="zh-CN"/>
        </w:rPr>
        <w:t>25.</w:t>
      </w:r>
      <w:r>
        <w:rPr>
          <w:rFonts w:hint="eastAsia" w:ascii="宋体" w:hAnsi="宋体" w:eastAsia="宋体" w:cs="宋体"/>
          <w:b/>
          <w:bCs/>
          <w:snapToGrid w:val="0"/>
          <w:color w:val="auto"/>
          <w:kern w:val="0"/>
          <w:sz w:val="28"/>
          <w:szCs w:val="28"/>
          <w:highlight w:val="none"/>
        </w:rPr>
        <w:t>顺序排列与中标候选推荐</w:t>
      </w:r>
    </w:p>
    <w:p w14:paraId="03E1981E">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结果按评审后得分由高到低顺序排列，确定综合得分最高的供应商为第一中标人，得分第二高者为第二中标候选人，得分第三高者为第三中标候选人。如出现综合得分相同时，</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报价低的优先；如综合得分和</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报价均相同，则现场抽签确定</w:t>
      </w:r>
      <w:r>
        <w:rPr>
          <w:rFonts w:hint="eastAsia" w:ascii="宋体" w:hAnsi="宋体" w:eastAsia="宋体" w:cs="宋体"/>
          <w:snapToGrid w:val="0"/>
          <w:color w:val="auto"/>
          <w:kern w:val="0"/>
          <w:sz w:val="24"/>
          <w:szCs w:val="24"/>
          <w:highlight w:val="none"/>
          <w:lang w:eastAsia="zh-CN"/>
        </w:rPr>
        <w:t>。</w:t>
      </w:r>
    </w:p>
    <w:p w14:paraId="1C94E39D">
      <w:pPr>
        <w:pStyle w:val="9"/>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hAnsi="宋体" w:cs="宋体"/>
          <w:b/>
          <w:bCs/>
          <w:snapToGrid w:val="0"/>
          <w:color w:val="auto"/>
          <w:kern w:val="0"/>
          <w:sz w:val="28"/>
          <w:szCs w:val="28"/>
          <w:highlight w:val="none"/>
          <w:lang w:val="en-US" w:eastAsia="zh-CN" w:bidi="ar-SA"/>
        </w:rPr>
        <w:t>26</w:t>
      </w:r>
      <w:r>
        <w:rPr>
          <w:rFonts w:hint="eastAsia" w:ascii="宋体" w:hAnsi="宋体" w:eastAsia="宋体" w:cs="宋体"/>
          <w:b/>
          <w:bCs/>
          <w:snapToGrid w:val="0"/>
          <w:color w:val="auto"/>
          <w:kern w:val="0"/>
          <w:sz w:val="28"/>
          <w:szCs w:val="28"/>
          <w:highlight w:val="none"/>
          <w:lang w:val="en-US" w:eastAsia="zh-CN" w:bidi="ar-SA"/>
        </w:rPr>
        <w:t>.在招标采购中，出现下列情形之一的，应予废标：</w:t>
      </w:r>
    </w:p>
    <w:p w14:paraId="0153807E">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157BF5A4">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lang w:eastAsia="zh-CN"/>
        </w:rPr>
        <w:t>.1符合专业条件的供应商或者对</w:t>
      </w:r>
      <w:r>
        <w:rPr>
          <w:rFonts w:hint="eastAsia"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lang w:eastAsia="zh-CN"/>
        </w:rPr>
        <w:t>作实质响应的供应商不足3家的；</w:t>
      </w:r>
    </w:p>
    <w:p w14:paraId="045FCC52">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lang w:eastAsia="zh-CN"/>
        </w:rPr>
        <w:t>.2出现影响采购公正的违法、违规行为的；</w:t>
      </w:r>
    </w:p>
    <w:p w14:paraId="556D6A20">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12479295">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hAnsi="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lang w:eastAsia="zh-CN"/>
        </w:rPr>
        <w:t>.4因重大变故，采购任务取消的。</w:t>
      </w:r>
    </w:p>
    <w:p w14:paraId="23C18109">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4030E6F7">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宋体" w:hAnsi="宋体" w:eastAsia="宋体" w:cs="宋体"/>
          <w:b/>
          <w:color w:val="auto"/>
          <w:sz w:val="32"/>
          <w:highlight w:val="none"/>
        </w:rPr>
      </w:pPr>
      <w:r>
        <w:rPr>
          <w:rFonts w:hint="eastAsia" w:ascii="宋体" w:hAnsi="宋体" w:cs="宋体"/>
          <w:b/>
          <w:bCs/>
          <w:color w:val="auto"/>
          <w:sz w:val="28"/>
          <w:szCs w:val="24"/>
          <w:highlight w:val="none"/>
          <w:lang w:val="en-US" w:eastAsia="zh-CN"/>
        </w:rPr>
        <w:t>27.</w:t>
      </w:r>
      <w:r>
        <w:rPr>
          <w:rFonts w:hint="eastAsia" w:ascii="宋体" w:hAnsi="宋体" w:eastAsia="宋体" w:cs="宋体"/>
          <w:b/>
          <w:color w:val="auto"/>
          <w:kern w:val="2"/>
          <w:sz w:val="28"/>
          <w:szCs w:val="24"/>
          <w:highlight w:val="none"/>
          <w:lang w:val="en-US" w:eastAsia="zh-CN" w:bidi="ar-SA"/>
        </w:rPr>
        <w:t>重新组织采购</w:t>
      </w:r>
    </w:p>
    <w:p w14:paraId="51C6A175">
      <w:pPr>
        <w:pStyle w:val="5"/>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cs="宋体"/>
          <w:b/>
          <w:color w:val="auto"/>
          <w:sz w:val="24"/>
          <w:szCs w:val="22"/>
          <w:highlight w:val="none"/>
          <w:lang w:val="en-US" w:eastAsia="zh-CN"/>
        </w:rPr>
        <w:t>27</w:t>
      </w:r>
      <w:r>
        <w:rPr>
          <w:rFonts w:hint="eastAsia" w:ascii="宋体" w:hAnsi="宋体" w:eastAsia="宋体" w:cs="宋体"/>
          <w:b/>
          <w:color w:val="auto"/>
          <w:sz w:val="24"/>
          <w:szCs w:val="22"/>
          <w:highlight w:val="none"/>
        </w:rPr>
        <w:t>.1修改</w:t>
      </w:r>
      <w:r>
        <w:rPr>
          <w:rFonts w:hint="eastAsia" w:ascii="宋体" w:hAnsi="宋体" w:cs="宋体"/>
          <w:b/>
          <w:color w:val="auto"/>
          <w:sz w:val="24"/>
          <w:szCs w:val="22"/>
          <w:highlight w:val="none"/>
          <w:lang w:eastAsia="zh-CN"/>
        </w:rPr>
        <w:t>竞争性磋商文件</w:t>
      </w:r>
      <w:r>
        <w:rPr>
          <w:rFonts w:hint="eastAsia" w:ascii="宋体" w:hAnsi="宋体" w:eastAsia="宋体" w:cs="宋体"/>
          <w:b/>
          <w:color w:val="auto"/>
          <w:sz w:val="24"/>
          <w:szCs w:val="22"/>
          <w:highlight w:val="none"/>
        </w:rPr>
        <w:t>，重新组织采购活动。</w:t>
      </w:r>
      <w:r>
        <w:rPr>
          <w:rFonts w:hint="eastAsia" w:ascii="宋体" w:hAnsi="宋体" w:cs="宋体"/>
          <w:color w:val="auto"/>
          <w:sz w:val="24"/>
          <w:szCs w:val="22"/>
          <w:highlight w:val="none"/>
          <w:lang w:eastAsia="zh-CN"/>
        </w:rPr>
        <w:t>磋商小组</w:t>
      </w:r>
      <w:r>
        <w:rPr>
          <w:rFonts w:hint="eastAsia" w:ascii="宋体" w:hAnsi="宋体" w:eastAsia="宋体" w:cs="宋体"/>
          <w:color w:val="auto"/>
          <w:sz w:val="24"/>
          <w:szCs w:val="22"/>
          <w:highlight w:val="none"/>
        </w:rPr>
        <w:t>发现</w:t>
      </w:r>
      <w:r>
        <w:rPr>
          <w:rFonts w:hint="eastAsia" w:ascii="宋体" w:hAnsi="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存在歧义、重大缺陷导致</w:t>
      </w:r>
      <w:r>
        <w:rPr>
          <w:rFonts w:hint="eastAsia" w:ascii="宋体" w:hAnsi="宋体" w:cs="宋体"/>
          <w:color w:val="auto"/>
          <w:sz w:val="24"/>
          <w:szCs w:val="22"/>
          <w:highlight w:val="none"/>
          <w:lang w:eastAsia="zh-CN"/>
        </w:rPr>
        <w:t>磋商</w:t>
      </w:r>
      <w:r>
        <w:rPr>
          <w:rFonts w:hint="eastAsia" w:ascii="宋体" w:hAnsi="宋体" w:eastAsia="宋体" w:cs="宋体"/>
          <w:color w:val="auto"/>
          <w:sz w:val="24"/>
          <w:szCs w:val="22"/>
          <w:highlight w:val="none"/>
        </w:rPr>
        <w:t>工作无法进行，或者</w:t>
      </w:r>
      <w:r>
        <w:rPr>
          <w:rFonts w:hint="eastAsia" w:ascii="宋体" w:hAnsi="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内容违反国家有关强制性规定的，将停止</w:t>
      </w:r>
      <w:r>
        <w:rPr>
          <w:rFonts w:hint="eastAsia" w:ascii="宋体" w:hAnsi="宋体" w:cs="宋体"/>
          <w:color w:val="auto"/>
          <w:sz w:val="24"/>
          <w:szCs w:val="22"/>
          <w:highlight w:val="none"/>
          <w:lang w:eastAsia="zh-CN"/>
        </w:rPr>
        <w:t>磋商</w:t>
      </w:r>
      <w:r>
        <w:rPr>
          <w:rFonts w:hint="eastAsia" w:ascii="宋体" w:hAnsi="宋体" w:eastAsia="宋体" w:cs="宋体"/>
          <w:color w:val="auto"/>
          <w:sz w:val="24"/>
          <w:szCs w:val="22"/>
          <w:highlight w:val="none"/>
        </w:rPr>
        <w:t>工作，并与采购人、代理机构沟通并作书面记录。采购人、代理机构确认后，将修改</w:t>
      </w:r>
      <w:r>
        <w:rPr>
          <w:rFonts w:hint="eastAsia" w:ascii="宋体" w:hAnsi="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，重新组织采购活动。</w:t>
      </w:r>
    </w:p>
    <w:p w14:paraId="4FFFDC4E">
      <w:pPr>
        <w:pStyle w:val="5"/>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cs="宋体"/>
          <w:b/>
          <w:color w:val="auto"/>
          <w:kern w:val="0"/>
          <w:sz w:val="24"/>
          <w:szCs w:val="22"/>
          <w:highlight w:val="none"/>
          <w:lang w:val="en-US" w:eastAsia="zh-CN"/>
        </w:rPr>
        <w:t>27</w:t>
      </w:r>
      <w:r>
        <w:rPr>
          <w:rFonts w:hint="eastAsia" w:ascii="宋体" w:hAnsi="宋体" w:eastAsia="宋体" w:cs="宋体"/>
          <w:b/>
          <w:color w:val="auto"/>
          <w:kern w:val="0"/>
          <w:sz w:val="24"/>
          <w:szCs w:val="22"/>
          <w:highlight w:val="none"/>
        </w:rPr>
        <w:t>.2重新开展采购。</w:t>
      </w:r>
      <w:r>
        <w:rPr>
          <w:rFonts w:hint="eastAsia" w:ascii="宋体" w:hAnsi="宋体" w:eastAsia="宋体" w:cs="宋体"/>
          <w:color w:val="auto"/>
          <w:sz w:val="24"/>
          <w:szCs w:val="22"/>
          <w:highlight w:val="none"/>
        </w:rPr>
        <w:t>有政府采购法第七十一条、第七十二条规定的违法行为之一，影响或者可能影响中标、成交结果的，依照下列规定处理：</w:t>
      </w:r>
    </w:p>
    <w:p w14:paraId="01BCDE0A">
      <w:pPr>
        <w:pStyle w:val="5"/>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27</w:t>
      </w:r>
      <w:r>
        <w:rPr>
          <w:rFonts w:hint="eastAsia" w:ascii="宋体" w:hAnsi="宋体" w:eastAsia="宋体" w:cs="宋体"/>
          <w:color w:val="auto"/>
          <w:sz w:val="24"/>
          <w:szCs w:val="22"/>
          <w:highlight w:val="none"/>
        </w:rPr>
        <w:t>.2.1未确定中标或者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的，终止本次政府采购</w:t>
      </w:r>
      <w:r>
        <w:rPr>
          <w:rFonts w:hint="eastAsia" w:ascii="宋体" w:hAnsi="宋体" w:cs="宋体"/>
          <w:color w:val="auto"/>
          <w:sz w:val="24"/>
          <w:szCs w:val="22"/>
          <w:highlight w:val="none"/>
          <w:lang w:eastAsia="zh-CN"/>
        </w:rPr>
        <w:t>磋商</w:t>
      </w:r>
      <w:r>
        <w:rPr>
          <w:rFonts w:hint="eastAsia" w:ascii="宋体" w:hAnsi="宋体" w:eastAsia="宋体" w:cs="宋体"/>
          <w:color w:val="auto"/>
          <w:sz w:val="24"/>
          <w:szCs w:val="22"/>
          <w:highlight w:val="none"/>
        </w:rPr>
        <w:t>活动，重新开展政府采购活动。</w:t>
      </w:r>
    </w:p>
    <w:p w14:paraId="4D0A8740">
      <w:pPr>
        <w:pStyle w:val="5"/>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27</w:t>
      </w:r>
      <w:r>
        <w:rPr>
          <w:rFonts w:hint="eastAsia" w:ascii="宋体" w:hAnsi="宋体" w:eastAsia="宋体" w:cs="宋体"/>
          <w:color w:val="auto"/>
          <w:sz w:val="24"/>
          <w:szCs w:val="22"/>
          <w:highlight w:val="none"/>
        </w:rPr>
        <w:t>.2.2已确定中标或者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6559457D">
      <w:pPr>
        <w:pStyle w:val="5"/>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27</w:t>
      </w:r>
      <w:r>
        <w:rPr>
          <w:rFonts w:hint="eastAsia" w:ascii="宋体" w:hAnsi="宋体" w:eastAsia="宋体" w:cs="宋体"/>
          <w:color w:val="auto"/>
          <w:sz w:val="24"/>
          <w:szCs w:val="22"/>
          <w:highlight w:val="none"/>
        </w:rPr>
        <w:t>.2.3政府采购合同已签订但尚未履行的，撤销合同，从合格的中标或者成交候选人中另行确定中标或者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10B8CFD1">
      <w:pPr>
        <w:pStyle w:val="5"/>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27</w:t>
      </w:r>
      <w:r>
        <w:rPr>
          <w:rFonts w:hint="eastAsia" w:ascii="宋体" w:hAnsi="宋体" w:eastAsia="宋体" w:cs="宋体"/>
          <w:color w:val="auto"/>
          <w:sz w:val="24"/>
          <w:szCs w:val="22"/>
          <w:highlight w:val="none"/>
        </w:rPr>
        <w:t>.2.4政府采购合同已经履行，给采购人、供应商造成损失的，由责任人承担赔偿责任。</w:t>
      </w:r>
    </w:p>
    <w:p w14:paraId="1B254FC0">
      <w:pPr>
        <w:pStyle w:val="5"/>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27</w:t>
      </w:r>
      <w:r>
        <w:rPr>
          <w:rFonts w:hint="eastAsia" w:ascii="宋体" w:hAnsi="宋体" w:eastAsia="宋体" w:cs="宋体"/>
          <w:color w:val="auto"/>
          <w:sz w:val="24"/>
          <w:szCs w:val="22"/>
          <w:highlight w:val="none"/>
        </w:rPr>
        <w:t>.2.5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政府采购当事人有其他违反政府采购法或者本条例规定的行为，经改正后仍然影响或者可能影响中标、成交结果或者依法被认定为中标、成交无效的，依照2</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.2.1-2</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.2.4规定处理。</w:t>
      </w:r>
    </w:p>
    <w:p w14:paraId="244FBBA7">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39" w:name="_Toc251566655"/>
      <w:bookmarkStart w:id="40" w:name="_Toc16847"/>
      <w:bookmarkStart w:id="41" w:name="_Toc240450082"/>
      <w:bookmarkStart w:id="42" w:name="_Toc26186"/>
      <w:bookmarkStart w:id="43" w:name="_Toc25029"/>
      <w:r>
        <w:rPr>
          <w:rFonts w:hint="eastAsia" w:ascii="宋体" w:hAnsi="宋体" w:eastAsia="宋体" w:cs="宋体"/>
          <w:b/>
          <w:bCs/>
          <w:color w:val="auto"/>
          <w:sz w:val="28"/>
          <w:szCs w:val="24"/>
          <w:highlight w:val="none"/>
        </w:rPr>
        <w:t>六、确定</w:t>
      </w:r>
      <w:r>
        <w:rPr>
          <w:rFonts w:hint="eastAsia" w:ascii="宋体" w:hAnsi="宋体" w:eastAsia="宋体" w:cs="宋体"/>
          <w:b/>
          <w:bCs/>
          <w:color w:val="auto"/>
          <w:sz w:val="28"/>
          <w:szCs w:val="24"/>
          <w:highlight w:val="none"/>
          <w:lang w:eastAsia="zh-CN"/>
        </w:rPr>
        <w:t>中标供应商</w:t>
      </w:r>
      <w:r>
        <w:rPr>
          <w:rFonts w:hint="eastAsia" w:ascii="宋体" w:hAnsi="宋体" w:eastAsia="宋体" w:cs="宋体"/>
          <w:b/>
          <w:bCs/>
          <w:color w:val="auto"/>
          <w:sz w:val="28"/>
          <w:szCs w:val="24"/>
          <w:highlight w:val="none"/>
        </w:rPr>
        <w:t>及授予合同</w:t>
      </w:r>
      <w:bookmarkEnd w:id="39"/>
      <w:bookmarkEnd w:id="40"/>
      <w:bookmarkEnd w:id="41"/>
      <w:bookmarkEnd w:id="42"/>
      <w:bookmarkEnd w:id="43"/>
    </w:p>
    <w:p w14:paraId="204DBC1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28.</w:t>
      </w:r>
      <w:r>
        <w:rPr>
          <w:rFonts w:hint="eastAsia" w:ascii="宋体" w:hAnsi="宋体" w:eastAsia="宋体" w:cs="宋体"/>
          <w:b/>
          <w:color w:val="auto"/>
          <w:sz w:val="28"/>
          <w:szCs w:val="28"/>
          <w:highlight w:val="none"/>
        </w:rPr>
        <w:t>中标供应商的确定</w:t>
      </w:r>
    </w:p>
    <w:p w14:paraId="4785E4E9">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538881B1">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w:t>
      </w:r>
      <w:r>
        <w:rPr>
          <w:rFonts w:hint="eastAsia" w:ascii="宋体" w:hAnsi="宋体" w:cs="宋体"/>
          <w:snapToGrid w:val="0"/>
          <w:color w:val="auto"/>
          <w:kern w:val="0"/>
          <w:sz w:val="24"/>
          <w:szCs w:val="24"/>
          <w:highlight w:val="none"/>
          <w:lang w:eastAsia="zh-CN"/>
        </w:rPr>
        <w:t>评审</w:t>
      </w:r>
      <w:r>
        <w:rPr>
          <w:rFonts w:hint="eastAsia" w:ascii="宋体" w:hAnsi="宋体" w:eastAsia="宋体" w:cs="宋体"/>
          <w:snapToGrid w:val="0"/>
          <w:color w:val="auto"/>
          <w:kern w:val="0"/>
          <w:sz w:val="24"/>
          <w:szCs w:val="24"/>
          <w:highlight w:val="none"/>
        </w:rPr>
        <w:t>报告之日起５个工作日内，在</w:t>
      </w:r>
      <w:r>
        <w:rPr>
          <w:rFonts w:hint="eastAsia" w:ascii="宋体" w:hAnsi="宋体" w:cs="宋体"/>
          <w:snapToGrid w:val="0"/>
          <w:color w:val="auto"/>
          <w:kern w:val="0"/>
          <w:sz w:val="24"/>
          <w:szCs w:val="24"/>
          <w:highlight w:val="none"/>
          <w:lang w:eastAsia="zh-CN"/>
        </w:rPr>
        <w:t>评审</w:t>
      </w:r>
      <w:r>
        <w:rPr>
          <w:rFonts w:hint="eastAsia" w:ascii="宋体" w:hAnsi="宋体" w:eastAsia="宋体" w:cs="宋体"/>
          <w:snapToGrid w:val="0"/>
          <w:color w:val="auto"/>
          <w:kern w:val="0"/>
          <w:sz w:val="24"/>
          <w:szCs w:val="24"/>
          <w:highlight w:val="none"/>
        </w:rPr>
        <w:t>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w:t>
      </w:r>
      <w:r>
        <w:rPr>
          <w:rFonts w:hint="eastAsia" w:ascii="宋体" w:hAnsi="宋体" w:cs="宋体"/>
          <w:snapToGrid w:val="0"/>
          <w:color w:val="auto"/>
          <w:kern w:val="0"/>
          <w:sz w:val="24"/>
          <w:szCs w:val="24"/>
          <w:highlight w:val="none"/>
          <w:lang w:eastAsia="zh-CN"/>
        </w:rPr>
        <w:t>磋商小组</w:t>
      </w:r>
      <w:r>
        <w:rPr>
          <w:rFonts w:hint="eastAsia" w:ascii="宋体" w:hAnsi="宋体" w:eastAsia="宋体" w:cs="宋体"/>
          <w:snapToGrid w:val="0"/>
          <w:color w:val="auto"/>
          <w:kern w:val="0"/>
          <w:sz w:val="24"/>
          <w:szCs w:val="24"/>
          <w:highlight w:val="none"/>
        </w:rPr>
        <w:t>按照</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未规定的，采取随机抽取的方式确定。</w:t>
      </w:r>
    </w:p>
    <w:p w14:paraId="293BB7B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w:t>
      </w:r>
      <w:r>
        <w:rPr>
          <w:rFonts w:hint="eastAsia" w:ascii="宋体" w:hAnsi="宋体" w:cs="宋体"/>
          <w:snapToGrid w:val="0"/>
          <w:color w:val="auto"/>
          <w:kern w:val="0"/>
          <w:sz w:val="24"/>
          <w:szCs w:val="24"/>
          <w:highlight w:val="none"/>
          <w:lang w:eastAsia="zh-CN"/>
        </w:rPr>
        <w:t>评审</w:t>
      </w:r>
      <w:r>
        <w:rPr>
          <w:rFonts w:hint="eastAsia" w:ascii="宋体" w:hAnsi="宋体" w:eastAsia="宋体" w:cs="宋体"/>
          <w:snapToGrid w:val="0"/>
          <w:color w:val="auto"/>
          <w:kern w:val="0"/>
          <w:sz w:val="24"/>
          <w:szCs w:val="24"/>
          <w:highlight w:val="none"/>
        </w:rPr>
        <w:t>报告5个工作日内未按</w:t>
      </w:r>
      <w:r>
        <w:rPr>
          <w:rFonts w:hint="eastAsia" w:ascii="宋体" w:hAnsi="宋体" w:cs="宋体"/>
          <w:snapToGrid w:val="0"/>
          <w:color w:val="auto"/>
          <w:kern w:val="0"/>
          <w:sz w:val="24"/>
          <w:szCs w:val="24"/>
          <w:highlight w:val="none"/>
          <w:lang w:eastAsia="zh-CN"/>
        </w:rPr>
        <w:t>评审</w:t>
      </w:r>
      <w:r>
        <w:rPr>
          <w:rFonts w:hint="eastAsia" w:ascii="宋体" w:hAnsi="宋体" w:eastAsia="宋体" w:cs="宋体"/>
          <w:snapToGrid w:val="0"/>
          <w:color w:val="auto"/>
          <w:kern w:val="0"/>
          <w:sz w:val="24"/>
          <w:szCs w:val="24"/>
          <w:highlight w:val="none"/>
        </w:rPr>
        <w:t>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w:t>
      </w:r>
      <w:r>
        <w:rPr>
          <w:rFonts w:hint="eastAsia" w:ascii="宋体" w:hAnsi="宋体" w:cs="宋体"/>
          <w:snapToGrid w:val="0"/>
          <w:color w:val="auto"/>
          <w:kern w:val="0"/>
          <w:sz w:val="24"/>
          <w:szCs w:val="24"/>
          <w:highlight w:val="none"/>
          <w:lang w:eastAsia="zh-CN"/>
        </w:rPr>
        <w:t>评审</w:t>
      </w:r>
      <w:r>
        <w:rPr>
          <w:rFonts w:hint="eastAsia" w:ascii="宋体" w:hAnsi="宋体" w:eastAsia="宋体" w:cs="宋体"/>
          <w:snapToGrid w:val="0"/>
          <w:color w:val="auto"/>
          <w:kern w:val="0"/>
          <w:sz w:val="24"/>
          <w:szCs w:val="24"/>
          <w:highlight w:val="none"/>
        </w:rPr>
        <w:t>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BAEE28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公告发布媒体上公告中标结果，</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应当随中标结果同时公告。</w:t>
      </w:r>
    </w:p>
    <w:p w14:paraId="3AA9CFD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0994F92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53CA5D1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44E6BAE4">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29.</w:t>
      </w:r>
      <w:r>
        <w:rPr>
          <w:rFonts w:hint="eastAsia" w:ascii="宋体" w:hAnsi="宋体" w:eastAsia="宋体" w:cs="宋体"/>
          <w:b/>
          <w:color w:val="auto"/>
          <w:sz w:val="28"/>
          <w:szCs w:val="28"/>
          <w:highlight w:val="none"/>
        </w:rPr>
        <w:t>合同授予</w:t>
      </w:r>
    </w:p>
    <w:p w14:paraId="69CE37A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488E4C9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419A432D">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签订合同</w:t>
      </w:r>
    </w:p>
    <w:p w14:paraId="759BD45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43A3AA9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或</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各项条款的邀约与要约，或在接到中标通知书后借故拖延，拒签合同的，采购人将依据国家和</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rPr>
        <w:t>.2的原则重新开展政府采购活动；</w:t>
      </w:r>
    </w:p>
    <w:p w14:paraId="23EEAFF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及投标修改文件、</w:t>
      </w:r>
      <w:r>
        <w:rPr>
          <w:rFonts w:hint="eastAsia" w:ascii="宋体" w:hAnsi="宋体" w:cs="宋体"/>
          <w:snapToGrid w:val="0"/>
          <w:color w:val="auto"/>
          <w:kern w:val="0"/>
          <w:sz w:val="24"/>
          <w:szCs w:val="24"/>
          <w:highlight w:val="none"/>
          <w:lang w:eastAsia="zh-CN"/>
        </w:rPr>
        <w:t>磋商</w:t>
      </w:r>
      <w:r>
        <w:rPr>
          <w:rFonts w:hint="eastAsia" w:ascii="宋体" w:hAnsi="宋体" w:eastAsia="宋体" w:cs="宋体"/>
          <w:snapToGrid w:val="0"/>
          <w:color w:val="auto"/>
          <w:kern w:val="0"/>
          <w:sz w:val="24"/>
          <w:szCs w:val="24"/>
          <w:highlight w:val="none"/>
        </w:rPr>
        <w:t>过程中有关澄清文件及经</w:t>
      </w:r>
      <w:r>
        <w:rPr>
          <w:rFonts w:hint="eastAsia" w:ascii="宋体" w:hAnsi="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法定代表人或授权代表签字确认的询标回复和承诺及中标通知书均作为合同组成部分。</w:t>
      </w:r>
    </w:p>
    <w:p w14:paraId="739F7325">
      <w:pPr>
        <w:keepNext w:val="0"/>
        <w:keepLines w:val="0"/>
        <w:pageBreakBefore w:val="0"/>
        <w:kinsoku/>
        <w:wordWrap/>
        <w:overflowPunct/>
        <w:topLinePunct w:val="0"/>
        <w:autoSpaceDE/>
        <w:autoSpaceDN/>
        <w:bidi w:val="0"/>
        <w:adjustRightInd w:val="0"/>
        <w:snapToGrid w:val="0"/>
        <w:spacing w:before="0" w:beforeLines="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31.</w:t>
      </w:r>
      <w:r>
        <w:rPr>
          <w:rFonts w:hint="eastAsia" w:ascii="宋体" w:hAnsi="宋体" w:eastAsia="宋体" w:cs="宋体"/>
          <w:b/>
          <w:color w:val="auto"/>
          <w:sz w:val="28"/>
          <w:szCs w:val="28"/>
          <w:highlight w:val="none"/>
        </w:rPr>
        <w:t>履约保证金</w:t>
      </w:r>
    </w:p>
    <w:p w14:paraId="35A978FC">
      <w:pPr>
        <w:adjustRightInd w:val="0"/>
        <w:snapToGrid w:val="0"/>
        <w:spacing w:before="0" w:beforeLines="0" w:line="5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w:t>
      </w:r>
      <w:r>
        <w:rPr>
          <w:rFonts w:hint="eastAsia" w:ascii="宋体" w:hAnsi="宋体" w:cs="宋体"/>
          <w:snapToGrid w:val="0"/>
          <w:kern w:val="0"/>
          <w:sz w:val="24"/>
          <w:szCs w:val="24"/>
          <w:highlight w:val="none"/>
        </w:rPr>
        <w:t>本项目不需交纳履约保证金</w:t>
      </w:r>
    </w:p>
    <w:p w14:paraId="282560A3">
      <w:pPr>
        <w:pStyle w:val="7"/>
        <w:adjustRightInd w:val="0"/>
        <w:snapToGrid w:val="0"/>
        <w:spacing w:before="0" w:beforeLines="0" w:line="500" w:lineRule="exact"/>
        <w:ind w:firstLine="480" w:firstLineChars="200"/>
        <w:rPr>
          <w:rFonts w:hint="eastAsia"/>
          <w:highlight w:val="none"/>
        </w:rPr>
      </w:pPr>
      <w:r>
        <w:rPr>
          <w:rFonts w:hint="eastAsia" w:ascii="宋体" w:hAnsi="宋体" w:cs="宋体"/>
          <w:snapToGrid w:val="0"/>
          <w:kern w:val="0"/>
          <w:sz w:val="24"/>
          <w:szCs w:val="24"/>
          <w:highlight w:val="none"/>
        </w:rPr>
        <w:t>□本项目需要交纳履约保证金，要求如下：</w:t>
      </w:r>
    </w:p>
    <w:p w14:paraId="09A567CB">
      <w:pPr>
        <w:keepNext w:val="0"/>
        <w:keepLines w:val="0"/>
        <w:pageBreakBefore w:val="0"/>
        <w:kinsoku/>
        <w:wordWrap/>
        <w:overflowPunct/>
        <w:topLinePunct w:val="0"/>
        <w:autoSpaceDE/>
        <w:autoSpaceDN/>
        <w:bidi w:val="0"/>
        <w:adjustRightInd w:val="0"/>
        <w:snapToGrid w:val="0"/>
        <w:spacing w:before="0" w:beforeLines="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合同签订前，</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供应商通过电汇、转账、银行或保险公司出具履约保函向采购人交纳</w:t>
      </w:r>
      <w:r>
        <w:rPr>
          <w:rFonts w:hint="eastAsia" w:ascii="宋体" w:hAnsi="宋体" w:eastAsia="宋体" w:cs="宋体"/>
          <w:b/>
          <w:bCs/>
          <w:snapToGrid w:val="0"/>
          <w:color w:val="auto"/>
          <w:kern w:val="0"/>
          <w:sz w:val="24"/>
          <w:szCs w:val="24"/>
          <w:highlight w:val="none"/>
          <w:u w:val="single"/>
          <w:lang w:val="en-US" w:eastAsia="zh-CN"/>
        </w:rPr>
        <w:t>中标金额（合同价）</w:t>
      </w:r>
      <w:r>
        <w:rPr>
          <w:rFonts w:hint="eastAsia" w:ascii="宋体" w:hAnsi="宋体" w:eastAsia="宋体" w:cs="宋体"/>
          <w:snapToGrid w:val="0"/>
          <w:color w:val="auto"/>
          <w:kern w:val="0"/>
          <w:sz w:val="24"/>
          <w:szCs w:val="24"/>
          <w:highlight w:val="none"/>
        </w:rPr>
        <w:t>1%的履约保证金。</w:t>
      </w:r>
    </w:p>
    <w:p w14:paraId="7FB6E662">
      <w:pPr>
        <w:keepNext w:val="0"/>
        <w:keepLines w:val="0"/>
        <w:pageBreakBefore w:val="0"/>
        <w:kinsoku/>
        <w:wordWrap/>
        <w:overflowPunct/>
        <w:topLinePunct w:val="0"/>
        <w:autoSpaceDE/>
        <w:autoSpaceDN/>
        <w:bidi w:val="0"/>
        <w:adjustRightInd w:val="0"/>
        <w:snapToGrid w:val="0"/>
        <w:spacing w:before="0" w:beforeLines="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履约保证金用于补偿采购人因</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供应商不能完成其合同义务而蒙受的损失。</w:t>
      </w:r>
    </w:p>
    <w:p w14:paraId="17CE13D5">
      <w:pPr>
        <w:keepNext w:val="0"/>
        <w:keepLines w:val="0"/>
        <w:pageBreakBefore w:val="0"/>
        <w:kinsoku/>
        <w:wordWrap/>
        <w:overflowPunct/>
        <w:topLinePunct w:val="0"/>
        <w:autoSpaceDE/>
        <w:autoSpaceDN/>
        <w:bidi w:val="0"/>
        <w:adjustRightInd w:val="0"/>
        <w:snapToGrid w:val="0"/>
        <w:spacing w:before="0" w:beforeLines="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履约保证金在</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供应商按合同完成所有服务内容后，如采用电汇、转账方式缴纳则退还给</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扣除合同约定的违约金后</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w:t>
      </w:r>
    </w:p>
    <w:p w14:paraId="37CACF90">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32.</w:t>
      </w:r>
      <w:r>
        <w:rPr>
          <w:rFonts w:hint="eastAsia" w:ascii="宋体" w:hAnsi="宋体" w:eastAsia="宋体" w:cs="宋体"/>
          <w:b/>
          <w:color w:val="auto"/>
          <w:sz w:val="28"/>
          <w:szCs w:val="28"/>
          <w:highlight w:val="none"/>
        </w:rPr>
        <w:t>采购代理服务费</w:t>
      </w:r>
    </w:p>
    <w:p w14:paraId="14EC0E6D">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6869002A">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lang w:val="en-US" w:eastAsia="zh-CN"/>
        </w:rPr>
        <w:t>33.</w:t>
      </w:r>
      <w:r>
        <w:rPr>
          <w:rFonts w:hint="eastAsia" w:ascii="宋体" w:hAnsi="宋体" w:eastAsia="宋体" w:cs="宋体"/>
          <w:b/>
          <w:snapToGrid w:val="0"/>
          <w:color w:val="auto"/>
          <w:kern w:val="0"/>
          <w:sz w:val="28"/>
          <w:szCs w:val="28"/>
          <w:highlight w:val="none"/>
        </w:rPr>
        <w:t>质疑与投诉</w:t>
      </w:r>
    </w:p>
    <w:p w14:paraId="72CB06F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下同）可以依法提起质疑和投诉。</w:t>
      </w:r>
    </w:p>
    <w:p w14:paraId="1F0671F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707380EA">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.1</w:t>
      </w:r>
      <w:r>
        <w:rPr>
          <w:rFonts w:hint="eastAsia" w:ascii="宋体" w:hAnsi="宋体" w:cs="宋体"/>
          <w:b/>
          <w:snapToGrid w:val="0"/>
          <w:color w:val="auto"/>
          <w:kern w:val="0"/>
          <w:sz w:val="24"/>
          <w:szCs w:val="24"/>
          <w:highlight w:val="none"/>
          <w:lang w:val="en-US" w:eastAsia="zh-CN"/>
        </w:rPr>
        <w:t>供应商</w:t>
      </w:r>
      <w:r>
        <w:rPr>
          <w:rFonts w:hint="eastAsia" w:ascii="宋体" w:hAnsi="宋体" w:eastAsia="宋体" w:cs="宋体"/>
          <w:b/>
          <w:snapToGrid w:val="0"/>
          <w:color w:val="auto"/>
          <w:kern w:val="0"/>
          <w:sz w:val="24"/>
          <w:szCs w:val="24"/>
          <w:highlight w:val="none"/>
        </w:rPr>
        <w:t>询问</w:t>
      </w:r>
    </w:p>
    <w:p w14:paraId="34CD046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01BDFD07">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.2</w:t>
      </w:r>
      <w:r>
        <w:rPr>
          <w:rFonts w:hint="eastAsia" w:ascii="宋体" w:hAnsi="宋体" w:cs="宋体"/>
          <w:b/>
          <w:snapToGrid w:val="0"/>
          <w:color w:val="auto"/>
          <w:kern w:val="0"/>
          <w:sz w:val="24"/>
          <w:szCs w:val="24"/>
          <w:highlight w:val="none"/>
          <w:lang w:val="en-US" w:eastAsia="zh-CN"/>
        </w:rPr>
        <w:t>供应商</w:t>
      </w:r>
      <w:r>
        <w:rPr>
          <w:rFonts w:hint="eastAsia" w:ascii="宋体" w:hAnsi="宋体" w:eastAsia="宋体" w:cs="宋体"/>
          <w:b/>
          <w:snapToGrid w:val="0"/>
          <w:color w:val="auto"/>
          <w:kern w:val="0"/>
          <w:sz w:val="24"/>
          <w:szCs w:val="24"/>
          <w:highlight w:val="none"/>
        </w:rPr>
        <w:t>质疑</w:t>
      </w:r>
    </w:p>
    <w:p w14:paraId="627E05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、采购过程、中标或者成交结果使自己的权益受到损害的，可以在知道或者应知其权益受到损害之日起7个工作日内，以书面形式向采购人、采购代理机构提出质疑。</w:t>
      </w:r>
    </w:p>
    <w:p w14:paraId="65CD441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7568723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46C1FF3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的，可以对该文件提出质疑。对</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提出质疑的，应当在获取</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或者</w:t>
      </w:r>
      <w:r>
        <w:rPr>
          <w:rFonts w:hint="eastAsia" w:ascii="宋体" w:hAnsi="宋体" w:cs="宋体"/>
          <w:snapToGrid w:val="0"/>
          <w:color w:val="auto"/>
          <w:kern w:val="0"/>
          <w:sz w:val="24"/>
          <w:szCs w:val="24"/>
          <w:highlight w:val="none"/>
          <w:lang w:eastAsia="zh-CN"/>
        </w:rPr>
        <w:t>竞争性磋商文件</w:t>
      </w:r>
      <w:r>
        <w:rPr>
          <w:rFonts w:hint="eastAsia" w:ascii="宋体" w:hAnsi="宋体" w:eastAsia="宋体" w:cs="宋体"/>
          <w:snapToGrid w:val="0"/>
          <w:color w:val="auto"/>
          <w:kern w:val="0"/>
          <w:sz w:val="24"/>
          <w:szCs w:val="24"/>
          <w:highlight w:val="none"/>
        </w:rPr>
        <w:t>公告期限届满之日起7个工作日内提出。</w:t>
      </w:r>
    </w:p>
    <w:p w14:paraId="085DF50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2FB635C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381D076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3AD3BB0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76DBA69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7556BDE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4766CF5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368097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4CA8DFA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5BDB74C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供应商</w:t>
      </w:r>
      <w:r>
        <w:rPr>
          <w:rFonts w:hint="eastAsia" w:ascii="宋体" w:hAnsi="宋体" w:eastAsia="宋体" w:cs="宋体"/>
          <w:b/>
          <w:snapToGrid w:val="0"/>
          <w:color w:val="auto"/>
          <w:kern w:val="0"/>
          <w:sz w:val="24"/>
          <w:szCs w:val="24"/>
          <w:highlight w:val="none"/>
        </w:rPr>
        <w:t>投诉</w:t>
      </w:r>
    </w:p>
    <w:p w14:paraId="594FD0A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w:t>
      </w:r>
      <w:r>
        <w:rPr>
          <w:rFonts w:hint="eastAsia" w:ascii="宋体" w:hAnsi="宋体" w:cs="宋体"/>
          <w:snapToGrid w:val="0"/>
          <w:color w:val="auto"/>
          <w:kern w:val="0"/>
          <w:sz w:val="24"/>
          <w:szCs w:val="24"/>
          <w:highlight w:val="none"/>
          <w:lang w:val="en-US" w:eastAsia="zh-CN"/>
        </w:rPr>
        <w:t>七</w:t>
      </w:r>
      <w:r>
        <w:rPr>
          <w:rFonts w:hint="eastAsia" w:ascii="宋体" w:hAnsi="宋体" w:eastAsia="宋体" w:cs="宋体"/>
          <w:snapToGrid w:val="0"/>
          <w:color w:val="auto"/>
          <w:kern w:val="0"/>
          <w:sz w:val="24"/>
          <w:szCs w:val="24"/>
          <w:highlight w:val="none"/>
        </w:rPr>
        <w:t>个工作日内向同级政府采购监督管理部门提出投诉。</w:t>
      </w:r>
    </w:p>
    <w:p w14:paraId="4058294E">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采购结束</w:t>
      </w:r>
    </w:p>
    <w:p w14:paraId="6F9C6BB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38EB7884">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.2本项目的</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rPr>
        <w:t>（包括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w:t>
      </w:r>
      <w:r>
        <w:rPr>
          <w:rFonts w:hint="eastAsia" w:ascii="宋体" w:hAnsi="宋体" w:cs="宋体"/>
          <w:snapToGrid w:val="0"/>
          <w:color w:val="auto"/>
          <w:kern w:val="0"/>
          <w:sz w:val="24"/>
          <w:szCs w:val="24"/>
          <w:highlight w:val="none"/>
          <w:lang w:eastAsia="zh-CN"/>
        </w:rPr>
        <w:t>响应文件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201E43F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44" w:name="_Toc21366"/>
      <w:r>
        <w:rPr>
          <w:rFonts w:hint="eastAsia" w:ascii="宋体" w:hAnsi="宋体" w:eastAsia="宋体" w:cs="宋体"/>
          <w:b/>
          <w:bCs/>
          <w:color w:val="auto"/>
          <w:sz w:val="28"/>
          <w:szCs w:val="24"/>
          <w:highlight w:val="none"/>
        </w:rPr>
        <w:t>七、其他</w:t>
      </w:r>
      <w:bookmarkEnd w:id="44"/>
    </w:p>
    <w:p w14:paraId="41B1C35F">
      <w:pPr>
        <w:pStyle w:val="4"/>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解释权：本</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是参照《中华人民共和国政府采购法》、《中华人民共和国政府采购法实施条例》（中华人民共和国国务院令第658号）、《政府采购货物和服务招标投标管理办法》（中华人民共和国财政部令第87号）</w:t>
      </w:r>
      <w:r>
        <w:rPr>
          <w:rFonts w:hint="eastAsia" w:ascii="宋体" w:hAnsi="宋体" w:eastAsia="宋体" w:cs="宋体"/>
          <w:color w:val="auto"/>
          <w:sz w:val="24"/>
          <w:szCs w:val="24"/>
          <w:highlight w:val="none"/>
          <w:shd w:val="clear" w:color="auto" w:fill="auto"/>
          <w:lang w:eastAsia="zh-CN"/>
        </w:rPr>
        <w:t>《政府采购竞争性磋商采购方式管理暂行办法》</w:t>
      </w:r>
      <w:r>
        <w:rPr>
          <w:rFonts w:hint="eastAsia" w:ascii="宋体" w:hAnsi="宋体" w:eastAsia="宋体" w:cs="宋体"/>
          <w:color w:val="auto"/>
          <w:sz w:val="24"/>
          <w:szCs w:val="24"/>
          <w:highlight w:val="none"/>
        </w:rPr>
        <w:t>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63FC7D65">
      <w:pPr>
        <w:pStyle w:val="4"/>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6CBB366F">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w:t>
      </w:r>
      <w:r>
        <w:rPr>
          <w:rFonts w:hint="eastAsia" w:ascii="宋体" w:hAnsi="宋体" w:cs="宋体"/>
          <w:snapToGrid w:val="0"/>
          <w:color w:val="auto"/>
          <w:kern w:val="28"/>
          <w:sz w:val="24"/>
          <w:szCs w:val="24"/>
          <w:highlight w:val="none"/>
          <w:lang w:val="en-US" w:eastAsia="zh-CN" w:bidi="ar-SA"/>
        </w:rPr>
        <w:t>6</w:t>
      </w:r>
      <w:r>
        <w:rPr>
          <w:rFonts w:hint="eastAsia" w:ascii="宋体" w:hAnsi="宋体" w:eastAsia="宋体" w:cs="宋体"/>
          <w:snapToGrid w:val="0"/>
          <w:color w:val="auto"/>
          <w:kern w:val="28"/>
          <w:sz w:val="24"/>
          <w:szCs w:val="24"/>
          <w:highlight w:val="none"/>
          <w:lang w:val="en-US" w:eastAsia="zh-CN" w:bidi="ar-SA"/>
        </w:rPr>
        <w:t>.1电子交易平台发生故障而无法登录访问的；</w:t>
      </w:r>
    </w:p>
    <w:p w14:paraId="0E6AAA56">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w:t>
      </w:r>
      <w:r>
        <w:rPr>
          <w:rFonts w:hint="eastAsia" w:ascii="宋体" w:hAnsi="宋体" w:cs="宋体"/>
          <w:snapToGrid w:val="0"/>
          <w:color w:val="auto"/>
          <w:kern w:val="28"/>
          <w:sz w:val="24"/>
          <w:szCs w:val="24"/>
          <w:highlight w:val="none"/>
          <w:lang w:val="en-US" w:eastAsia="zh-CN" w:bidi="ar-SA"/>
        </w:rPr>
        <w:t>6</w:t>
      </w:r>
      <w:r>
        <w:rPr>
          <w:rFonts w:hint="eastAsia" w:ascii="宋体" w:hAnsi="宋体" w:eastAsia="宋体" w:cs="宋体"/>
          <w:snapToGrid w:val="0"/>
          <w:color w:val="auto"/>
          <w:kern w:val="28"/>
          <w:sz w:val="24"/>
          <w:szCs w:val="24"/>
          <w:highlight w:val="none"/>
          <w:lang w:val="en-US" w:eastAsia="zh-CN" w:bidi="ar-SA"/>
        </w:rPr>
        <w:t>.2电子交易平台应用或数据库出现错误，不能进行正常操作的；</w:t>
      </w:r>
    </w:p>
    <w:p w14:paraId="51851335">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w:t>
      </w:r>
      <w:r>
        <w:rPr>
          <w:rFonts w:hint="eastAsia" w:ascii="宋体" w:hAnsi="宋体" w:cs="宋体"/>
          <w:snapToGrid w:val="0"/>
          <w:color w:val="auto"/>
          <w:kern w:val="28"/>
          <w:sz w:val="24"/>
          <w:szCs w:val="24"/>
          <w:highlight w:val="none"/>
          <w:lang w:val="en-US" w:eastAsia="zh-CN" w:bidi="ar-SA"/>
        </w:rPr>
        <w:t>6</w:t>
      </w:r>
      <w:r>
        <w:rPr>
          <w:rFonts w:hint="eastAsia" w:ascii="宋体" w:hAnsi="宋体" w:eastAsia="宋体" w:cs="宋体"/>
          <w:snapToGrid w:val="0"/>
          <w:color w:val="auto"/>
          <w:kern w:val="28"/>
          <w:sz w:val="24"/>
          <w:szCs w:val="24"/>
          <w:highlight w:val="none"/>
          <w:lang w:val="en-US" w:eastAsia="zh-CN" w:bidi="ar-SA"/>
        </w:rPr>
        <w:t>.3电子交易平台发现严重安全漏洞，有潜在泄密危险的；</w:t>
      </w:r>
    </w:p>
    <w:p w14:paraId="5F40C782">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w:t>
      </w:r>
      <w:r>
        <w:rPr>
          <w:rFonts w:hint="eastAsia" w:ascii="宋体" w:hAnsi="宋体" w:cs="宋体"/>
          <w:snapToGrid w:val="0"/>
          <w:color w:val="auto"/>
          <w:kern w:val="28"/>
          <w:sz w:val="24"/>
          <w:szCs w:val="24"/>
          <w:highlight w:val="none"/>
          <w:lang w:val="en-US" w:eastAsia="zh-CN" w:bidi="ar-SA"/>
        </w:rPr>
        <w:t>6</w:t>
      </w:r>
      <w:r>
        <w:rPr>
          <w:rFonts w:hint="eastAsia" w:ascii="宋体" w:hAnsi="宋体" w:eastAsia="宋体" w:cs="宋体"/>
          <w:snapToGrid w:val="0"/>
          <w:color w:val="auto"/>
          <w:kern w:val="28"/>
          <w:sz w:val="24"/>
          <w:szCs w:val="24"/>
          <w:highlight w:val="none"/>
          <w:lang w:val="en-US" w:eastAsia="zh-CN" w:bidi="ar-SA"/>
        </w:rPr>
        <w:t>.4病毒发作导致不能进行正常操作的；</w:t>
      </w:r>
    </w:p>
    <w:p w14:paraId="4EF83223">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w:t>
      </w:r>
      <w:r>
        <w:rPr>
          <w:rFonts w:hint="eastAsia" w:ascii="宋体" w:hAnsi="宋体" w:cs="宋体"/>
          <w:snapToGrid w:val="0"/>
          <w:color w:val="auto"/>
          <w:kern w:val="28"/>
          <w:sz w:val="24"/>
          <w:szCs w:val="24"/>
          <w:highlight w:val="none"/>
          <w:lang w:val="en-US" w:eastAsia="zh-CN" w:bidi="ar-SA"/>
        </w:rPr>
        <w:t>6</w:t>
      </w:r>
      <w:r>
        <w:rPr>
          <w:rFonts w:hint="eastAsia" w:ascii="宋体" w:hAnsi="宋体" w:eastAsia="宋体" w:cs="宋体"/>
          <w:snapToGrid w:val="0"/>
          <w:color w:val="auto"/>
          <w:kern w:val="28"/>
          <w:sz w:val="24"/>
          <w:szCs w:val="24"/>
          <w:highlight w:val="none"/>
          <w:lang w:val="en-US" w:eastAsia="zh-CN" w:bidi="ar-SA"/>
        </w:rPr>
        <w:t>.5其他无法保证电子交易的公平、公正和安全的情况。</w:t>
      </w:r>
    </w:p>
    <w:p w14:paraId="4DBE0DBD">
      <w:pPr>
        <w:pStyle w:val="5"/>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335DB493">
      <w:pPr>
        <w:rPr>
          <w:rFonts w:hint="eastAsia" w:ascii="宋体" w:hAnsi="宋体" w:eastAsia="宋体" w:cs="宋体"/>
          <w:snapToGrid w:val="0"/>
          <w:color w:val="auto"/>
          <w:kern w:val="28"/>
          <w:sz w:val="24"/>
          <w:szCs w:val="24"/>
          <w:highlight w:val="none"/>
          <w:lang w:val="en-US" w:eastAsia="zh-CN" w:bidi="ar-SA"/>
        </w:rPr>
      </w:pPr>
    </w:p>
    <w:p w14:paraId="0231FEB3">
      <w:pPr>
        <w:pStyle w:val="6"/>
        <w:rPr>
          <w:rFonts w:hint="eastAsia" w:ascii="宋体" w:hAnsi="宋体" w:eastAsia="宋体" w:cs="宋体"/>
          <w:snapToGrid w:val="0"/>
          <w:color w:val="auto"/>
          <w:kern w:val="28"/>
          <w:sz w:val="24"/>
          <w:szCs w:val="24"/>
          <w:highlight w:val="none"/>
          <w:lang w:val="en-US" w:eastAsia="zh-CN" w:bidi="ar-SA"/>
        </w:rPr>
      </w:pPr>
    </w:p>
    <w:p w14:paraId="354F3677">
      <w:pPr>
        <w:pStyle w:val="7"/>
        <w:rPr>
          <w:rFonts w:hint="eastAsia" w:ascii="宋体" w:hAnsi="宋体" w:eastAsia="宋体" w:cs="宋体"/>
          <w:snapToGrid w:val="0"/>
          <w:color w:val="auto"/>
          <w:kern w:val="28"/>
          <w:sz w:val="24"/>
          <w:szCs w:val="24"/>
          <w:highlight w:val="none"/>
          <w:lang w:val="en-US" w:eastAsia="zh-CN" w:bidi="ar-SA"/>
        </w:rPr>
      </w:pPr>
    </w:p>
    <w:p w14:paraId="190F16FF">
      <w:pPr>
        <w:rPr>
          <w:rFonts w:hint="eastAsia" w:ascii="宋体" w:hAnsi="宋体" w:eastAsia="宋体" w:cs="宋体"/>
          <w:snapToGrid w:val="0"/>
          <w:color w:val="auto"/>
          <w:kern w:val="28"/>
          <w:sz w:val="24"/>
          <w:szCs w:val="24"/>
          <w:highlight w:val="none"/>
          <w:lang w:val="en-US" w:eastAsia="zh-CN" w:bidi="ar-SA"/>
        </w:rPr>
      </w:pPr>
    </w:p>
    <w:p w14:paraId="056273C4">
      <w:pPr>
        <w:pStyle w:val="19"/>
        <w:rPr>
          <w:rFonts w:hint="eastAsia" w:ascii="宋体" w:hAnsi="宋体" w:eastAsia="宋体" w:cs="宋体"/>
          <w:snapToGrid w:val="0"/>
          <w:color w:val="auto"/>
          <w:kern w:val="28"/>
          <w:sz w:val="24"/>
          <w:szCs w:val="24"/>
          <w:highlight w:val="none"/>
          <w:lang w:val="en-US" w:eastAsia="zh-CN" w:bidi="ar-SA"/>
        </w:rPr>
      </w:pPr>
    </w:p>
    <w:p w14:paraId="5AE0445C">
      <w:pPr>
        <w:pStyle w:val="19"/>
        <w:rPr>
          <w:rFonts w:hint="eastAsia" w:ascii="宋体" w:hAnsi="宋体" w:eastAsia="宋体" w:cs="宋体"/>
          <w:snapToGrid w:val="0"/>
          <w:color w:val="auto"/>
          <w:kern w:val="28"/>
          <w:sz w:val="24"/>
          <w:szCs w:val="24"/>
          <w:highlight w:val="none"/>
          <w:lang w:val="en-US" w:eastAsia="zh-CN" w:bidi="ar-SA"/>
        </w:rPr>
      </w:pPr>
    </w:p>
    <w:p w14:paraId="52462D4F">
      <w:pPr>
        <w:pStyle w:val="19"/>
        <w:rPr>
          <w:rFonts w:hint="eastAsia" w:ascii="宋体" w:hAnsi="宋体" w:eastAsia="宋体" w:cs="宋体"/>
          <w:snapToGrid w:val="0"/>
          <w:color w:val="auto"/>
          <w:kern w:val="28"/>
          <w:sz w:val="24"/>
          <w:szCs w:val="24"/>
          <w:highlight w:val="none"/>
          <w:lang w:val="en-US" w:eastAsia="zh-CN" w:bidi="ar-SA"/>
        </w:rPr>
      </w:pPr>
    </w:p>
    <w:p w14:paraId="07C34CDA">
      <w:pPr>
        <w:pStyle w:val="19"/>
        <w:rPr>
          <w:rFonts w:hint="eastAsia" w:ascii="宋体" w:hAnsi="宋体" w:eastAsia="宋体" w:cs="宋体"/>
          <w:snapToGrid w:val="0"/>
          <w:color w:val="auto"/>
          <w:kern w:val="28"/>
          <w:sz w:val="24"/>
          <w:szCs w:val="24"/>
          <w:highlight w:val="none"/>
          <w:lang w:val="en-US" w:eastAsia="zh-CN" w:bidi="ar-SA"/>
        </w:rPr>
      </w:pPr>
    </w:p>
    <w:p w14:paraId="05D42794">
      <w:pPr>
        <w:pStyle w:val="19"/>
        <w:rPr>
          <w:rFonts w:hint="eastAsia" w:ascii="宋体" w:hAnsi="宋体" w:eastAsia="宋体" w:cs="宋体"/>
          <w:snapToGrid w:val="0"/>
          <w:color w:val="auto"/>
          <w:kern w:val="28"/>
          <w:sz w:val="24"/>
          <w:szCs w:val="24"/>
          <w:highlight w:val="none"/>
          <w:lang w:val="en-US" w:eastAsia="zh-CN" w:bidi="ar-SA"/>
        </w:rPr>
      </w:pPr>
    </w:p>
    <w:p w14:paraId="7B430E19">
      <w:pPr>
        <w:pStyle w:val="19"/>
        <w:rPr>
          <w:rFonts w:hint="eastAsia" w:ascii="宋体" w:hAnsi="宋体" w:eastAsia="宋体" w:cs="宋体"/>
          <w:snapToGrid w:val="0"/>
          <w:color w:val="auto"/>
          <w:kern w:val="28"/>
          <w:sz w:val="24"/>
          <w:szCs w:val="24"/>
          <w:highlight w:val="none"/>
          <w:lang w:val="en-US" w:eastAsia="zh-CN" w:bidi="ar-SA"/>
        </w:rPr>
      </w:pPr>
    </w:p>
    <w:p w14:paraId="18FF0921">
      <w:pPr>
        <w:pStyle w:val="19"/>
        <w:rPr>
          <w:rFonts w:hint="eastAsia" w:ascii="宋体" w:hAnsi="宋体" w:eastAsia="宋体" w:cs="宋体"/>
          <w:snapToGrid w:val="0"/>
          <w:color w:val="auto"/>
          <w:kern w:val="28"/>
          <w:sz w:val="24"/>
          <w:szCs w:val="24"/>
          <w:highlight w:val="none"/>
          <w:lang w:val="en-US" w:eastAsia="zh-CN" w:bidi="ar-SA"/>
        </w:rPr>
      </w:pPr>
    </w:p>
    <w:p w14:paraId="76A68BBA">
      <w:pPr>
        <w:pStyle w:val="19"/>
        <w:rPr>
          <w:rFonts w:hint="eastAsia" w:ascii="宋体" w:hAnsi="宋体" w:eastAsia="宋体" w:cs="宋体"/>
          <w:snapToGrid w:val="0"/>
          <w:color w:val="auto"/>
          <w:kern w:val="28"/>
          <w:sz w:val="24"/>
          <w:szCs w:val="24"/>
          <w:highlight w:val="none"/>
          <w:lang w:val="en-US" w:eastAsia="zh-CN" w:bidi="ar-SA"/>
        </w:rPr>
      </w:pPr>
    </w:p>
    <w:p w14:paraId="72773213">
      <w:pPr>
        <w:pStyle w:val="19"/>
        <w:rPr>
          <w:rFonts w:hint="eastAsia" w:ascii="宋体" w:hAnsi="宋体" w:eastAsia="宋体" w:cs="宋体"/>
          <w:snapToGrid w:val="0"/>
          <w:color w:val="auto"/>
          <w:kern w:val="28"/>
          <w:sz w:val="24"/>
          <w:szCs w:val="24"/>
          <w:highlight w:val="none"/>
          <w:lang w:val="en-US" w:eastAsia="zh-CN" w:bidi="ar-SA"/>
        </w:rPr>
      </w:pPr>
    </w:p>
    <w:p w14:paraId="1BAAC875">
      <w:pPr>
        <w:pStyle w:val="19"/>
        <w:rPr>
          <w:rFonts w:hint="eastAsia" w:ascii="宋体" w:hAnsi="宋体" w:eastAsia="宋体" w:cs="宋体"/>
          <w:snapToGrid w:val="0"/>
          <w:color w:val="auto"/>
          <w:kern w:val="28"/>
          <w:sz w:val="24"/>
          <w:szCs w:val="24"/>
          <w:highlight w:val="none"/>
          <w:lang w:val="en-US" w:eastAsia="zh-CN" w:bidi="ar-SA"/>
        </w:rPr>
      </w:pPr>
    </w:p>
    <w:p w14:paraId="45693B01">
      <w:pPr>
        <w:pStyle w:val="19"/>
        <w:rPr>
          <w:rFonts w:hint="eastAsia" w:ascii="宋体" w:hAnsi="宋体" w:eastAsia="宋体" w:cs="宋体"/>
          <w:snapToGrid w:val="0"/>
          <w:color w:val="auto"/>
          <w:kern w:val="28"/>
          <w:sz w:val="24"/>
          <w:szCs w:val="24"/>
          <w:highlight w:val="none"/>
          <w:lang w:val="en-US" w:eastAsia="zh-CN" w:bidi="ar-SA"/>
        </w:rPr>
      </w:pPr>
    </w:p>
    <w:p w14:paraId="1F2C2510">
      <w:pPr>
        <w:pStyle w:val="19"/>
        <w:rPr>
          <w:rFonts w:hint="eastAsia" w:ascii="宋体" w:hAnsi="宋体" w:eastAsia="宋体" w:cs="宋体"/>
          <w:snapToGrid w:val="0"/>
          <w:color w:val="auto"/>
          <w:kern w:val="28"/>
          <w:sz w:val="24"/>
          <w:szCs w:val="24"/>
          <w:highlight w:val="none"/>
          <w:lang w:val="en-US" w:eastAsia="zh-CN" w:bidi="ar-SA"/>
        </w:rPr>
      </w:pPr>
    </w:p>
    <w:p w14:paraId="560CD856">
      <w:pPr>
        <w:pStyle w:val="19"/>
        <w:rPr>
          <w:rFonts w:hint="eastAsia" w:ascii="宋体" w:hAnsi="宋体" w:eastAsia="宋体" w:cs="宋体"/>
          <w:snapToGrid w:val="0"/>
          <w:color w:val="auto"/>
          <w:kern w:val="28"/>
          <w:sz w:val="24"/>
          <w:szCs w:val="24"/>
          <w:highlight w:val="none"/>
          <w:lang w:val="en-US" w:eastAsia="zh-CN" w:bidi="ar-SA"/>
        </w:rPr>
      </w:pPr>
    </w:p>
    <w:p w14:paraId="569E1C58">
      <w:pPr>
        <w:pStyle w:val="19"/>
        <w:rPr>
          <w:rFonts w:hint="eastAsia" w:ascii="宋体" w:hAnsi="宋体" w:eastAsia="宋体" w:cs="宋体"/>
          <w:snapToGrid w:val="0"/>
          <w:color w:val="auto"/>
          <w:kern w:val="28"/>
          <w:sz w:val="24"/>
          <w:szCs w:val="24"/>
          <w:highlight w:val="none"/>
          <w:lang w:val="en-US" w:eastAsia="zh-CN" w:bidi="ar-SA"/>
        </w:rPr>
      </w:pPr>
    </w:p>
    <w:p w14:paraId="5FF0EEB6">
      <w:pPr>
        <w:pStyle w:val="19"/>
        <w:rPr>
          <w:rFonts w:hint="eastAsia" w:ascii="宋体" w:hAnsi="宋体" w:eastAsia="宋体" w:cs="宋体"/>
          <w:snapToGrid w:val="0"/>
          <w:color w:val="auto"/>
          <w:kern w:val="28"/>
          <w:sz w:val="24"/>
          <w:szCs w:val="24"/>
          <w:highlight w:val="none"/>
          <w:lang w:val="en-US" w:eastAsia="zh-CN" w:bidi="ar-SA"/>
        </w:rPr>
      </w:pPr>
    </w:p>
    <w:p w14:paraId="52C9F1E3">
      <w:pPr>
        <w:pStyle w:val="19"/>
        <w:rPr>
          <w:rFonts w:hint="eastAsia" w:ascii="宋体" w:hAnsi="宋体" w:eastAsia="宋体" w:cs="宋体"/>
          <w:snapToGrid w:val="0"/>
          <w:color w:val="auto"/>
          <w:kern w:val="28"/>
          <w:sz w:val="24"/>
          <w:szCs w:val="24"/>
          <w:highlight w:val="none"/>
          <w:lang w:val="en-US" w:eastAsia="zh-CN" w:bidi="ar-SA"/>
        </w:rPr>
      </w:pPr>
    </w:p>
    <w:p w14:paraId="6F44D2F0">
      <w:pPr>
        <w:pStyle w:val="19"/>
        <w:rPr>
          <w:rFonts w:hint="eastAsia" w:ascii="宋体" w:hAnsi="宋体" w:eastAsia="宋体" w:cs="宋体"/>
          <w:snapToGrid w:val="0"/>
          <w:color w:val="auto"/>
          <w:kern w:val="28"/>
          <w:sz w:val="24"/>
          <w:szCs w:val="24"/>
          <w:highlight w:val="none"/>
          <w:lang w:val="en-US" w:eastAsia="zh-CN" w:bidi="ar-SA"/>
        </w:rPr>
      </w:pPr>
    </w:p>
    <w:p w14:paraId="24A38E69">
      <w:pPr>
        <w:pStyle w:val="19"/>
        <w:rPr>
          <w:rFonts w:hint="eastAsia" w:ascii="宋体" w:hAnsi="宋体" w:eastAsia="宋体" w:cs="宋体"/>
          <w:snapToGrid w:val="0"/>
          <w:color w:val="auto"/>
          <w:kern w:val="28"/>
          <w:sz w:val="24"/>
          <w:szCs w:val="24"/>
          <w:highlight w:val="none"/>
          <w:lang w:val="en-US" w:eastAsia="zh-CN" w:bidi="ar-SA"/>
        </w:rPr>
      </w:pPr>
    </w:p>
    <w:p w14:paraId="38B6A0DF">
      <w:pPr>
        <w:pStyle w:val="19"/>
        <w:rPr>
          <w:rFonts w:hint="eastAsia" w:ascii="宋体" w:hAnsi="宋体" w:eastAsia="宋体" w:cs="宋体"/>
          <w:snapToGrid w:val="0"/>
          <w:color w:val="auto"/>
          <w:kern w:val="28"/>
          <w:sz w:val="24"/>
          <w:szCs w:val="24"/>
          <w:highlight w:val="none"/>
          <w:lang w:val="en-US" w:eastAsia="zh-CN" w:bidi="ar-SA"/>
        </w:rPr>
      </w:pPr>
    </w:p>
    <w:p w14:paraId="1325DD8E">
      <w:pPr>
        <w:pStyle w:val="19"/>
        <w:rPr>
          <w:rFonts w:hint="eastAsia" w:ascii="宋体" w:hAnsi="宋体" w:eastAsia="宋体" w:cs="宋体"/>
          <w:snapToGrid w:val="0"/>
          <w:color w:val="auto"/>
          <w:kern w:val="28"/>
          <w:sz w:val="24"/>
          <w:szCs w:val="24"/>
          <w:highlight w:val="none"/>
          <w:lang w:val="en-US" w:eastAsia="zh-CN" w:bidi="ar-SA"/>
        </w:rPr>
      </w:pPr>
    </w:p>
    <w:p w14:paraId="04D086B8">
      <w:pPr>
        <w:pStyle w:val="19"/>
        <w:rPr>
          <w:rFonts w:hint="eastAsia" w:ascii="宋体" w:hAnsi="宋体" w:eastAsia="宋体" w:cs="宋体"/>
          <w:snapToGrid w:val="0"/>
          <w:color w:val="auto"/>
          <w:kern w:val="28"/>
          <w:sz w:val="24"/>
          <w:szCs w:val="24"/>
          <w:highlight w:val="none"/>
          <w:lang w:val="en-US" w:eastAsia="zh-CN" w:bidi="ar-SA"/>
        </w:rPr>
      </w:pPr>
    </w:p>
    <w:p w14:paraId="6D9C9D89">
      <w:pPr>
        <w:pStyle w:val="19"/>
        <w:rPr>
          <w:rFonts w:hint="eastAsia" w:ascii="宋体" w:hAnsi="宋体" w:eastAsia="宋体" w:cs="宋体"/>
          <w:snapToGrid w:val="0"/>
          <w:color w:val="auto"/>
          <w:kern w:val="28"/>
          <w:sz w:val="24"/>
          <w:szCs w:val="24"/>
          <w:highlight w:val="none"/>
          <w:lang w:val="en-US" w:eastAsia="zh-CN" w:bidi="ar-SA"/>
        </w:rPr>
      </w:pPr>
    </w:p>
    <w:p w14:paraId="7CFBF3E7">
      <w:pPr>
        <w:pStyle w:val="19"/>
        <w:rPr>
          <w:rFonts w:hint="eastAsia" w:ascii="宋体" w:hAnsi="宋体" w:eastAsia="宋体" w:cs="宋体"/>
          <w:snapToGrid w:val="0"/>
          <w:color w:val="auto"/>
          <w:kern w:val="28"/>
          <w:sz w:val="24"/>
          <w:szCs w:val="24"/>
          <w:highlight w:val="none"/>
          <w:lang w:val="en-US" w:eastAsia="zh-CN" w:bidi="ar-SA"/>
        </w:rPr>
      </w:pPr>
    </w:p>
    <w:p w14:paraId="5E51A858">
      <w:pPr>
        <w:pStyle w:val="19"/>
        <w:rPr>
          <w:rFonts w:hint="eastAsia" w:ascii="宋体" w:hAnsi="宋体" w:eastAsia="宋体" w:cs="宋体"/>
          <w:snapToGrid w:val="0"/>
          <w:color w:val="auto"/>
          <w:kern w:val="28"/>
          <w:sz w:val="24"/>
          <w:szCs w:val="24"/>
          <w:highlight w:val="none"/>
          <w:lang w:val="en-US" w:eastAsia="zh-CN" w:bidi="ar-SA"/>
        </w:rPr>
      </w:pPr>
    </w:p>
    <w:p w14:paraId="327D9AC1">
      <w:pPr>
        <w:pStyle w:val="19"/>
        <w:rPr>
          <w:rFonts w:hint="eastAsia" w:ascii="宋体" w:hAnsi="宋体" w:eastAsia="宋体" w:cs="宋体"/>
          <w:snapToGrid w:val="0"/>
          <w:color w:val="auto"/>
          <w:kern w:val="28"/>
          <w:sz w:val="24"/>
          <w:szCs w:val="24"/>
          <w:highlight w:val="none"/>
          <w:lang w:val="en-US" w:eastAsia="zh-CN" w:bidi="ar-SA"/>
        </w:rPr>
      </w:pPr>
    </w:p>
    <w:p w14:paraId="65F28443">
      <w:pPr>
        <w:pStyle w:val="19"/>
        <w:rPr>
          <w:rFonts w:hint="eastAsia" w:ascii="宋体" w:hAnsi="宋体" w:eastAsia="宋体" w:cs="宋体"/>
          <w:snapToGrid w:val="0"/>
          <w:color w:val="auto"/>
          <w:kern w:val="28"/>
          <w:sz w:val="24"/>
          <w:szCs w:val="24"/>
          <w:highlight w:val="none"/>
          <w:lang w:val="en-US" w:eastAsia="zh-CN" w:bidi="ar-SA"/>
        </w:rPr>
      </w:pPr>
    </w:p>
    <w:p w14:paraId="428A507A">
      <w:pPr>
        <w:pStyle w:val="19"/>
        <w:rPr>
          <w:rFonts w:hint="eastAsia" w:ascii="宋体" w:hAnsi="宋体" w:eastAsia="宋体" w:cs="宋体"/>
          <w:snapToGrid w:val="0"/>
          <w:color w:val="auto"/>
          <w:kern w:val="28"/>
          <w:sz w:val="24"/>
          <w:szCs w:val="24"/>
          <w:highlight w:val="none"/>
          <w:lang w:val="en-US" w:eastAsia="zh-CN" w:bidi="ar-SA"/>
        </w:rPr>
      </w:pPr>
    </w:p>
    <w:p w14:paraId="3E4A8BAB">
      <w:pPr>
        <w:pStyle w:val="3"/>
        <w:keepNext/>
        <w:keepLines/>
        <w:pageBreakBefore w:val="0"/>
        <w:widowControl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45" w:name="_Toc24091"/>
      <w:bookmarkStart w:id="46" w:name="_Toc27298"/>
      <w:r>
        <w:rPr>
          <w:rFonts w:hint="eastAsia" w:ascii="宋体" w:hAnsi="宋体" w:eastAsia="宋体" w:cs="宋体"/>
          <w:color w:val="auto"/>
          <w:sz w:val="28"/>
          <w:szCs w:val="28"/>
          <w:highlight w:val="none"/>
        </w:rPr>
        <w:t>采购内容及要求</w:t>
      </w:r>
      <w:bookmarkEnd w:id="45"/>
      <w:bookmarkEnd w:id="46"/>
    </w:p>
    <w:p w14:paraId="70BEB7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lang w:val="en-US" w:eastAsia="zh-CN" w:bidi="ar-SA"/>
        </w:rPr>
        <w:t>一、</w:t>
      </w:r>
      <w:r>
        <w:rPr>
          <w:rFonts w:hint="eastAsia" w:ascii="仿宋" w:hAnsi="仿宋" w:eastAsia="仿宋" w:cs="仿宋"/>
          <w:b/>
          <w:bCs/>
          <w:color w:val="auto"/>
          <w:sz w:val="28"/>
          <w:szCs w:val="28"/>
          <w:highlight w:val="none"/>
        </w:rPr>
        <w:t>采购项目背景</w:t>
      </w:r>
    </w:p>
    <w:p w14:paraId="5DB8E3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于</w:t>
      </w:r>
      <w:r>
        <w:rPr>
          <w:rFonts w:hint="eastAsia" w:ascii="仿宋" w:hAnsi="仿宋" w:eastAsia="仿宋" w:cs="仿宋"/>
          <w:color w:val="auto"/>
          <w:sz w:val="28"/>
          <w:szCs w:val="28"/>
          <w:highlight w:val="none"/>
          <w:lang w:val="en-US" w:eastAsia="zh-CN"/>
        </w:rPr>
        <w:t>2019年3月26日与杭州运河集团投资发展有限公司签订《关于引进悦榕度假村项目的招商协议》。由于杭州运河集团投资发展有限公司未按协议约定履行相关义务，构成违约。采购人拟向衢州仲裁委员会申请仲裁，根据协议</w:t>
      </w:r>
      <w:r>
        <w:rPr>
          <w:rFonts w:hint="eastAsia" w:ascii="仿宋" w:hAnsi="仿宋" w:eastAsia="仿宋" w:cs="仿宋"/>
          <w:color w:val="000000"/>
          <w:sz w:val="28"/>
          <w:szCs w:val="28"/>
          <w:highlight w:val="none"/>
          <w:lang w:val="en-US" w:eastAsia="zh-CN"/>
        </w:rPr>
        <w:t>约定依法追究杭州</w:t>
      </w:r>
      <w:r>
        <w:rPr>
          <w:rFonts w:hint="eastAsia" w:ascii="仿宋" w:hAnsi="仿宋" w:eastAsia="仿宋" w:cs="仿宋"/>
          <w:color w:val="auto"/>
          <w:sz w:val="28"/>
          <w:szCs w:val="28"/>
          <w:highlight w:val="none"/>
          <w:lang w:val="en-US" w:eastAsia="zh-CN"/>
        </w:rPr>
        <w:t>运河</w:t>
      </w:r>
      <w:r>
        <w:rPr>
          <w:rFonts w:hint="eastAsia" w:ascii="仿宋" w:hAnsi="仿宋" w:eastAsia="仿宋" w:cs="仿宋"/>
          <w:color w:val="000000"/>
          <w:sz w:val="28"/>
          <w:szCs w:val="28"/>
          <w:highlight w:val="none"/>
          <w:lang w:val="en-US" w:eastAsia="zh-CN"/>
        </w:rPr>
        <w:t>集团投资发展有限公司、衢州</w:t>
      </w:r>
      <w:r>
        <w:rPr>
          <w:rFonts w:hint="eastAsia" w:ascii="仿宋" w:hAnsi="仿宋" w:eastAsia="仿宋" w:cs="仿宋"/>
          <w:color w:val="auto"/>
          <w:sz w:val="28"/>
          <w:szCs w:val="28"/>
          <w:highlight w:val="none"/>
          <w:lang w:val="en-US" w:eastAsia="zh-CN"/>
        </w:rPr>
        <w:t>半岛</w:t>
      </w:r>
      <w:r>
        <w:rPr>
          <w:rFonts w:hint="eastAsia" w:ascii="仿宋" w:hAnsi="仿宋" w:eastAsia="仿宋" w:cs="仿宋"/>
          <w:color w:val="000000"/>
          <w:sz w:val="28"/>
          <w:szCs w:val="28"/>
          <w:highlight w:val="none"/>
          <w:lang w:val="en-US" w:eastAsia="zh-CN"/>
        </w:rPr>
        <w:t>置业有限公司的违约责任，</w:t>
      </w:r>
      <w:r>
        <w:rPr>
          <w:rFonts w:hint="eastAsia" w:ascii="仿宋" w:hAnsi="仿宋" w:eastAsia="仿宋" w:cs="仿宋"/>
          <w:color w:val="000000" w:themeColor="text1"/>
          <w:sz w:val="28"/>
          <w:szCs w:val="28"/>
          <w:highlight w:val="none"/>
          <w:lang w:val="en-US" w:eastAsia="zh-CN"/>
          <w14:textFill>
            <w14:solidFill>
              <w14:schemeClr w14:val="tx1"/>
            </w14:solidFill>
          </w14:textFill>
        </w:rPr>
        <w:t>涉案标的金额约为4.2亿元。</w:t>
      </w:r>
    </w:p>
    <w:p w14:paraId="2D899B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kern w:val="2"/>
          <w:sz w:val="28"/>
          <w:szCs w:val="28"/>
          <w:highlight w:val="none"/>
          <w:lang w:val="en-US" w:eastAsia="zh-CN" w:bidi="ar-SA"/>
        </w:rPr>
        <w:t>二、</w:t>
      </w:r>
      <w:r>
        <w:rPr>
          <w:rFonts w:hint="eastAsia" w:ascii="仿宋" w:hAnsi="仿宋" w:eastAsia="仿宋" w:cs="仿宋"/>
          <w:b/>
          <w:bCs/>
          <w:color w:val="000000"/>
          <w:sz w:val="28"/>
          <w:szCs w:val="28"/>
          <w:highlight w:val="none"/>
        </w:rPr>
        <w:t>服务</w:t>
      </w:r>
      <w:r>
        <w:rPr>
          <w:rFonts w:hint="eastAsia" w:ascii="仿宋" w:hAnsi="仿宋" w:eastAsia="仿宋" w:cs="仿宋"/>
          <w:b/>
          <w:bCs/>
          <w:color w:val="000000"/>
          <w:sz w:val="28"/>
          <w:szCs w:val="28"/>
          <w:highlight w:val="none"/>
          <w:lang w:val="en-US" w:eastAsia="zh-CN"/>
        </w:rPr>
        <w:t>内容</w:t>
      </w:r>
    </w:p>
    <w:p w14:paraId="03D5C2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lang w:val="en-US" w:eastAsia="zh-CN"/>
        </w:rPr>
        <w:t>接受采购人委托，为采购人与杭州</w:t>
      </w:r>
      <w:r>
        <w:rPr>
          <w:rFonts w:hint="eastAsia" w:ascii="仿宋" w:hAnsi="仿宋" w:eastAsia="仿宋" w:cs="仿宋"/>
          <w:color w:val="auto"/>
          <w:sz w:val="28"/>
          <w:szCs w:val="28"/>
          <w:highlight w:val="none"/>
          <w:lang w:val="en-US" w:eastAsia="zh-CN"/>
        </w:rPr>
        <w:t>运河</w:t>
      </w:r>
      <w:r>
        <w:rPr>
          <w:rFonts w:hint="eastAsia" w:ascii="仿宋" w:hAnsi="仿宋" w:eastAsia="仿宋" w:cs="仿宋"/>
          <w:color w:val="000000"/>
          <w:sz w:val="28"/>
          <w:szCs w:val="28"/>
          <w:highlight w:val="none"/>
          <w:lang w:val="en-US" w:eastAsia="zh-CN"/>
        </w:rPr>
        <w:t>集团投资发展有限公司、衢州</w:t>
      </w:r>
      <w:r>
        <w:rPr>
          <w:rFonts w:hint="eastAsia" w:ascii="仿宋" w:hAnsi="仿宋" w:eastAsia="仿宋" w:cs="仿宋"/>
          <w:color w:val="auto"/>
          <w:sz w:val="28"/>
          <w:szCs w:val="28"/>
          <w:highlight w:val="none"/>
          <w:lang w:val="en-US" w:eastAsia="zh-CN"/>
        </w:rPr>
        <w:t>半岛</w:t>
      </w:r>
      <w:r>
        <w:rPr>
          <w:rFonts w:hint="eastAsia" w:ascii="仿宋" w:hAnsi="仿宋" w:eastAsia="仿宋" w:cs="仿宋"/>
          <w:color w:val="000000"/>
          <w:sz w:val="28"/>
          <w:szCs w:val="28"/>
          <w:highlight w:val="none"/>
          <w:lang w:val="en-US" w:eastAsia="zh-CN"/>
        </w:rPr>
        <w:t>置业有限公司合同纠纷仲裁案件准备仲裁资料，</w:t>
      </w:r>
      <w:r>
        <w:rPr>
          <w:rFonts w:hint="eastAsia" w:ascii="仿宋" w:hAnsi="仿宋" w:eastAsia="仿宋" w:cs="仿宋"/>
          <w:color w:val="000000"/>
          <w:spacing w:val="10"/>
          <w:sz w:val="28"/>
          <w:szCs w:val="28"/>
          <w:highlight w:val="none"/>
          <w:lang w:val="en-US" w:eastAsia="zh-CN"/>
        </w:rPr>
        <w:t>提供法律意见，起草和审查相关法律文书，</w:t>
      </w:r>
      <w:r>
        <w:rPr>
          <w:rFonts w:hint="eastAsia" w:ascii="仿宋" w:hAnsi="仿宋" w:eastAsia="仿宋" w:cs="仿宋"/>
          <w:color w:val="000000"/>
          <w:sz w:val="28"/>
          <w:szCs w:val="28"/>
          <w:highlight w:val="none"/>
          <w:lang w:val="en-US" w:eastAsia="zh-CN"/>
        </w:rPr>
        <w:t>代为申请仲裁，代为调解、和解，代收法律文书，全程参与仲裁案件审理，</w:t>
      </w:r>
      <w:r>
        <w:rPr>
          <w:rFonts w:hint="eastAsia" w:ascii="仿宋" w:hAnsi="仿宋" w:eastAsia="仿宋" w:cs="仿宋"/>
          <w:color w:val="000000"/>
          <w:spacing w:val="10"/>
          <w:sz w:val="28"/>
          <w:szCs w:val="28"/>
          <w:highlight w:val="none"/>
          <w:lang w:val="en-US" w:eastAsia="zh-CN"/>
        </w:rPr>
        <w:t>提供仲裁事项专项法律服务，全权处理相关纠纷。</w:t>
      </w:r>
    </w:p>
    <w:p w14:paraId="0AC0D9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jc w:val="both"/>
        <w:textAlignment w:val="auto"/>
        <w:outlineLvl w:val="9"/>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三、服务要求</w:t>
      </w:r>
    </w:p>
    <w:p w14:paraId="77D40E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（1）在项目实施期间，项目服务团队不少于4人（包含项目负责人），项目负责人执业年限不少于5年，除项目负责人以外的人员执业年限不少于3年。</w:t>
      </w:r>
    </w:p>
    <w:p w14:paraId="116984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（2）项目团队中需安排1名专人与采购人沟通联系，7*24小时保持电话畅通，及时响应，随叫随到。</w:t>
      </w:r>
    </w:p>
    <w:p w14:paraId="440353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（3）定期向采购人报告工作进度。</w:t>
      </w:r>
    </w:p>
    <w:p w14:paraId="0299DF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（4）中标供应商应在完成本合同约定事项后向采购人提交法律服务工作报告，工作报告的主要内容应包括：法律服务事项、服务时间、发现的法律问题及提出的建议等。</w:t>
      </w:r>
    </w:p>
    <w:p w14:paraId="17EF20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jc w:val="both"/>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四、服务期限</w:t>
      </w:r>
    </w:p>
    <w:p w14:paraId="79F921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default"/>
          <w:b w:val="0"/>
          <w:bCs w:val="0"/>
          <w:lang w:val="en-US" w:eastAsia="zh-CN"/>
        </w:rPr>
      </w:pPr>
      <w:r>
        <w:rPr>
          <w:rFonts w:hint="eastAsia" w:ascii="仿宋" w:hAnsi="仿宋" w:eastAsia="仿宋" w:cs="仿宋"/>
          <w:b w:val="0"/>
          <w:bCs w:val="0"/>
          <w:color w:val="000000"/>
          <w:kern w:val="2"/>
          <w:sz w:val="28"/>
          <w:szCs w:val="28"/>
          <w:lang w:val="en-US" w:eastAsia="zh-CN" w:bidi="ar-SA"/>
        </w:rPr>
        <w:t>自合同签订之日起至仲裁执行结束为止。</w:t>
      </w:r>
    </w:p>
    <w:p w14:paraId="0F981E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jc w:val="both"/>
        <w:textAlignment w:val="auto"/>
        <w:outlineLvl w:val="9"/>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五、项目履约保证金</w:t>
      </w:r>
    </w:p>
    <w:p w14:paraId="25168B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outlineLvl w:val="9"/>
        <w:rPr>
          <w:rFonts w:hint="default"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不收取。</w:t>
      </w:r>
    </w:p>
    <w:p w14:paraId="593A0D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2" w:firstLineChars="200"/>
        <w:jc w:val="both"/>
        <w:textAlignment w:val="auto"/>
        <w:outlineLvl w:val="9"/>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kern w:val="2"/>
          <w:sz w:val="28"/>
          <w:szCs w:val="28"/>
          <w:lang w:val="en-US" w:eastAsia="zh-CN" w:bidi="ar-SA"/>
        </w:rPr>
        <w:t>六、</w:t>
      </w:r>
      <w:r>
        <w:rPr>
          <w:rFonts w:hint="eastAsia" w:ascii="仿宋" w:hAnsi="仿宋" w:eastAsia="仿宋" w:cs="仿宋"/>
          <w:b/>
          <w:bCs/>
          <w:color w:val="000000"/>
          <w:sz w:val="28"/>
          <w:szCs w:val="28"/>
          <w:highlight w:val="none"/>
          <w:lang w:val="en-US" w:eastAsia="zh-CN"/>
        </w:rPr>
        <w:t>商务条款</w:t>
      </w:r>
    </w:p>
    <w:p w14:paraId="5B66DA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1、合同履约期限：自合同签订之日起至仲裁执行结束为止。</w:t>
      </w:r>
    </w:p>
    <w:p w14:paraId="03D183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2、支付方式：</w:t>
      </w:r>
    </w:p>
    <w:p w14:paraId="04C43D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（1）合同签订生效并具备实施条件后，采购人支付合同价款的10%作为预付款；仲裁案件第一次开庭前支付合同价款的50%；仲裁执行结束移交全部工作资料后一次性付清剩余合同款项。</w:t>
      </w:r>
    </w:p>
    <w:p w14:paraId="6B2841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但如出现以下情形时，按下列方式付款：    </w:t>
      </w:r>
    </w:p>
    <w:p w14:paraId="1D82AB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供应商中标后，如采购人不启动仲裁程序的，则采购人按合同价款的3%向中标供应商支付律师服务费，余款不再支付。在合同履行过程中，如采购人提交仲裁申请，但在仲裁庭组庭前撤回仲裁申请的，则采购人按合同价款的10%向中标供应商支付律师服务费，余款不再支付。如采购人提交仲裁申请，但在仲裁庭组庭后与杭州运河集团投资发展有限公司、衢州半岛置业有限公司自行达成和解协议，撤回仲裁申请的，则采购人按合同价款的60%向中标供应商支付律师服务费，余款不再支付。                                                                                                                                                                     </w:t>
      </w:r>
    </w:p>
    <w:p w14:paraId="544614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（2）采购人支付合同款项前，中标供应商应按采购人要求提供正规等额发票，否则采购人有权暂缓支付合同款。</w:t>
      </w:r>
    </w:p>
    <w:p w14:paraId="365BCF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（3）采购人向中标供应商支付的合同价款已包括中标供应商提供服务所需的服务费、交通费、住宿费用、通讯费、资料费、复印费等所有费用开支。</w:t>
      </w:r>
    </w:p>
    <w:p w14:paraId="1B18EA28">
      <w:pPr>
        <w:pStyle w:val="19"/>
        <w:rPr>
          <w:rFonts w:hint="eastAsia" w:ascii="宋体" w:hAnsi="宋体" w:eastAsia="宋体" w:cs="宋体"/>
          <w:color w:val="auto"/>
          <w:kern w:val="0"/>
          <w:sz w:val="24"/>
          <w:szCs w:val="24"/>
          <w:highlight w:val="none"/>
          <w:lang w:val="en-US" w:eastAsia="zh-CN" w:bidi="ar-SA"/>
        </w:rPr>
      </w:pPr>
    </w:p>
    <w:p w14:paraId="7EE12C25">
      <w:pPr>
        <w:pStyle w:val="19"/>
        <w:rPr>
          <w:rFonts w:hint="eastAsia" w:ascii="宋体" w:hAnsi="宋体" w:eastAsia="宋体" w:cs="宋体"/>
          <w:color w:val="auto"/>
          <w:kern w:val="0"/>
          <w:sz w:val="24"/>
          <w:szCs w:val="24"/>
          <w:highlight w:val="none"/>
          <w:lang w:val="en-US" w:eastAsia="zh-CN" w:bidi="ar-SA"/>
        </w:rPr>
      </w:pPr>
    </w:p>
    <w:p w14:paraId="08753D2C">
      <w:pPr>
        <w:pStyle w:val="19"/>
        <w:rPr>
          <w:rFonts w:hint="eastAsia" w:ascii="宋体" w:hAnsi="宋体" w:eastAsia="宋体" w:cs="宋体"/>
          <w:color w:val="auto"/>
          <w:kern w:val="0"/>
          <w:sz w:val="24"/>
          <w:szCs w:val="24"/>
          <w:highlight w:val="none"/>
          <w:lang w:val="en-US" w:eastAsia="zh-CN" w:bidi="ar-SA"/>
        </w:rPr>
      </w:pPr>
    </w:p>
    <w:p w14:paraId="0BE54CD1">
      <w:pPr>
        <w:pStyle w:val="19"/>
        <w:rPr>
          <w:rFonts w:hint="eastAsia" w:ascii="宋体" w:hAnsi="宋体" w:eastAsia="宋体" w:cs="宋体"/>
          <w:color w:val="auto"/>
          <w:kern w:val="0"/>
          <w:sz w:val="24"/>
          <w:szCs w:val="24"/>
          <w:highlight w:val="none"/>
          <w:lang w:val="en-US" w:eastAsia="zh-CN" w:bidi="ar-SA"/>
        </w:rPr>
      </w:pPr>
    </w:p>
    <w:p w14:paraId="06DA86FF">
      <w:pPr>
        <w:pStyle w:val="19"/>
        <w:rPr>
          <w:rFonts w:hint="eastAsia" w:ascii="宋体" w:hAnsi="宋体" w:eastAsia="宋体" w:cs="宋体"/>
          <w:color w:val="auto"/>
          <w:kern w:val="0"/>
          <w:sz w:val="24"/>
          <w:szCs w:val="24"/>
          <w:highlight w:val="none"/>
          <w:lang w:val="en-US" w:eastAsia="zh-CN" w:bidi="ar-SA"/>
        </w:rPr>
      </w:pPr>
    </w:p>
    <w:p w14:paraId="59BBAB53">
      <w:pPr>
        <w:pStyle w:val="19"/>
        <w:rPr>
          <w:rFonts w:hint="eastAsia" w:ascii="宋体" w:hAnsi="宋体" w:eastAsia="宋体" w:cs="宋体"/>
          <w:color w:val="auto"/>
          <w:kern w:val="0"/>
          <w:sz w:val="24"/>
          <w:szCs w:val="24"/>
          <w:highlight w:val="none"/>
          <w:lang w:val="en-US" w:eastAsia="zh-CN" w:bidi="ar-SA"/>
        </w:rPr>
      </w:pPr>
    </w:p>
    <w:p w14:paraId="201D5FC9">
      <w:pPr>
        <w:pStyle w:val="19"/>
        <w:rPr>
          <w:rFonts w:hint="eastAsia" w:ascii="宋体" w:hAnsi="宋体" w:eastAsia="宋体" w:cs="宋体"/>
          <w:color w:val="auto"/>
          <w:kern w:val="0"/>
          <w:sz w:val="24"/>
          <w:szCs w:val="24"/>
          <w:highlight w:val="none"/>
          <w:lang w:val="en-US" w:eastAsia="zh-CN" w:bidi="ar-SA"/>
        </w:rPr>
      </w:pPr>
    </w:p>
    <w:p w14:paraId="282727B0">
      <w:pPr>
        <w:pStyle w:val="19"/>
        <w:rPr>
          <w:rFonts w:hint="eastAsia" w:ascii="宋体" w:hAnsi="宋体" w:eastAsia="宋体" w:cs="宋体"/>
          <w:color w:val="auto"/>
          <w:kern w:val="0"/>
          <w:sz w:val="24"/>
          <w:szCs w:val="24"/>
          <w:highlight w:val="none"/>
          <w:lang w:val="en-US" w:eastAsia="zh-CN" w:bidi="ar-SA"/>
        </w:rPr>
      </w:pPr>
    </w:p>
    <w:p w14:paraId="178C89A1">
      <w:pPr>
        <w:pStyle w:val="19"/>
        <w:rPr>
          <w:rFonts w:hint="eastAsia" w:ascii="宋体" w:hAnsi="宋体" w:eastAsia="宋体" w:cs="宋体"/>
          <w:color w:val="auto"/>
          <w:kern w:val="0"/>
          <w:sz w:val="24"/>
          <w:szCs w:val="24"/>
          <w:highlight w:val="none"/>
          <w:lang w:val="en-US" w:eastAsia="zh-CN" w:bidi="ar-SA"/>
        </w:rPr>
      </w:pPr>
    </w:p>
    <w:p w14:paraId="4AE800E2">
      <w:pPr>
        <w:pStyle w:val="19"/>
        <w:rPr>
          <w:rFonts w:hint="eastAsia" w:ascii="宋体" w:hAnsi="宋体" w:eastAsia="宋体" w:cs="宋体"/>
          <w:color w:val="auto"/>
          <w:kern w:val="0"/>
          <w:sz w:val="24"/>
          <w:szCs w:val="24"/>
          <w:highlight w:val="none"/>
          <w:lang w:val="en-US" w:eastAsia="zh-CN" w:bidi="ar-SA"/>
        </w:rPr>
      </w:pPr>
    </w:p>
    <w:p w14:paraId="55A37BDD">
      <w:pPr>
        <w:pStyle w:val="19"/>
        <w:rPr>
          <w:rFonts w:hint="eastAsia" w:ascii="宋体" w:hAnsi="宋体" w:eastAsia="宋体" w:cs="宋体"/>
          <w:color w:val="auto"/>
          <w:kern w:val="0"/>
          <w:sz w:val="24"/>
          <w:szCs w:val="24"/>
          <w:highlight w:val="none"/>
          <w:lang w:val="en-US" w:eastAsia="zh-CN" w:bidi="ar-SA"/>
        </w:rPr>
      </w:pPr>
    </w:p>
    <w:p w14:paraId="179F02A8">
      <w:pPr>
        <w:pStyle w:val="19"/>
        <w:rPr>
          <w:rFonts w:hint="eastAsia" w:ascii="宋体" w:hAnsi="宋体" w:eastAsia="宋体" w:cs="宋体"/>
          <w:color w:val="auto"/>
          <w:kern w:val="0"/>
          <w:sz w:val="24"/>
          <w:szCs w:val="24"/>
          <w:highlight w:val="none"/>
          <w:lang w:val="en-US" w:eastAsia="zh-CN" w:bidi="ar-SA"/>
        </w:rPr>
      </w:pPr>
    </w:p>
    <w:p w14:paraId="22F7F795">
      <w:pPr>
        <w:pStyle w:val="19"/>
        <w:rPr>
          <w:rFonts w:hint="eastAsia" w:ascii="宋体" w:hAnsi="宋体" w:eastAsia="宋体" w:cs="宋体"/>
          <w:color w:val="auto"/>
          <w:kern w:val="0"/>
          <w:sz w:val="24"/>
          <w:szCs w:val="24"/>
          <w:highlight w:val="none"/>
          <w:lang w:val="en-US" w:eastAsia="zh-CN" w:bidi="ar-SA"/>
        </w:rPr>
      </w:pPr>
    </w:p>
    <w:p w14:paraId="688EC7B4">
      <w:pPr>
        <w:pStyle w:val="7"/>
        <w:rPr>
          <w:rFonts w:hint="eastAsia" w:ascii="宋体" w:hAnsi="宋体" w:eastAsia="宋体" w:cs="宋体"/>
          <w:color w:val="auto"/>
          <w:kern w:val="0"/>
          <w:sz w:val="24"/>
          <w:szCs w:val="24"/>
          <w:highlight w:val="none"/>
          <w:lang w:val="en-US" w:eastAsia="zh-CN" w:bidi="ar-SA"/>
        </w:rPr>
      </w:pPr>
    </w:p>
    <w:p w14:paraId="7EB9E5B3">
      <w:pPr>
        <w:bidi w:val="0"/>
        <w:rPr>
          <w:rFonts w:hint="eastAsia"/>
          <w:highlight w:val="none"/>
          <w:lang w:val="en-US" w:eastAsia="zh-CN"/>
        </w:rPr>
      </w:pPr>
    </w:p>
    <w:p w14:paraId="22C15A02">
      <w:pPr>
        <w:bidi w:val="0"/>
        <w:rPr>
          <w:rFonts w:hint="eastAsia"/>
          <w:highlight w:val="none"/>
          <w:lang w:val="en-US" w:eastAsia="zh-CN"/>
        </w:rPr>
      </w:pPr>
    </w:p>
    <w:p w14:paraId="39A1A1EB">
      <w:pPr>
        <w:bidi w:val="0"/>
        <w:rPr>
          <w:rFonts w:hint="eastAsia"/>
          <w:highlight w:val="none"/>
          <w:lang w:val="en-US" w:eastAsia="zh-CN"/>
        </w:rPr>
      </w:pPr>
    </w:p>
    <w:p w14:paraId="568D2401">
      <w:pPr>
        <w:bidi w:val="0"/>
        <w:rPr>
          <w:rFonts w:hint="eastAsia"/>
          <w:highlight w:val="none"/>
          <w:lang w:val="en-US" w:eastAsia="zh-CN"/>
        </w:rPr>
      </w:pPr>
    </w:p>
    <w:p w14:paraId="092CF7EE">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7" w:name="_Toc9656"/>
      <w:bookmarkStart w:id="48" w:name="_Toc17072"/>
      <w:r>
        <w:rPr>
          <w:rFonts w:hint="eastAsia" w:ascii="宋体" w:hAnsi="宋体" w:eastAsia="宋体" w:cs="宋体"/>
          <w:color w:val="auto"/>
          <w:sz w:val="28"/>
          <w:szCs w:val="28"/>
          <w:highlight w:val="none"/>
          <w:lang w:val="en-US" w:eastAsia="zh-CN"/>
        </w:rPr>
        <w:t>第四章 合同主要条款</w:t>
      </w:r>
      <w:bookmarkEnd w:id="47"/>
      <w:bookmarkEnd w:id="48"/>
    </w:p>
    <w:p w14:paraId="07159F27">
      <w:pPr>
        <w:spacing w:line="360" w:lineRule="auto"/>
        <w:rPr>
          <w:rFonts w:hint="eastAsia" w:ascii="仿宋" w:hAnsi="仿宋" w:eastAsia="仿宋" w:cs="仿宋"/>
          <w:color w:val="auto"/>
          <w:sz w:val="24"/>
          <w:highlight w:val="none"/>
        </w:rPr>
      </w:pPr>
    </w:p>
    <w:p w14:paraId="55DAEF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FD09D53">
      <w:pPr>
        <w:spacing w:line="360" w:lineRule="auto"/>
        <w:rPr>
          <w:rFonts w:hint="eastAsia" w:ascii="仿宋" w:hAnsi="仿宋" w:eastAsia="仿宋" w:cs="仿宋"/>
          <w:color w:val="auto"/>
          <w:sz w:val="24"/>
          <w:highlight w:val="none"/>
          <w:u w:val="single"/>
        </w:rPr>
      </w:pPr>
    </w:p>
    <w:p w14:paraId="03205119">
      <w:pPr>
        <w:pStyle w:val="2"/>
        <w:rPr>
          <w:rFonts w:hint="eastAsia"/>
        </w:rPr>
      </w:pPr>
    </w:p>
    <w:p w14:paraId="5E0B2A17">
      <w:pPr>
        <w:pStyle w:val="40"/>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B8222EB">
      <w:pPr>
        <w:spacing w:line="360" w:lineRule="auto"/>
        <w:ind w:left="218" w:leftChars="104" w:firstLine="198" w:firstLineChars="87"/>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（本合同为合同样稿，最终稿由</w:t>
      </w:r>
      <w:r>
        <w:rPr>
          <w:rFonts w:hint="eastAsia" w:ascii="仿宋" w:hAnsi="仿宋" w:eastAsia="仿宋" w:cs="仿宋"/>
          <w:color w:val="auto"/>
          <w:spacing w:val="-6"/>
          <w:sz w:val="24"/>
          <w:highlight w:val="none"/>
          <w:lang w:eastAsia="zh-CN"/>
        </w:rPr>
        <w:t>各</w:t>
      </w:r>
      <w:r>
        <w:rPr>
          <w:rFonts w:hint="eastAsia" w:ascii="仿宋" w:hAnsi="仿宋" w:eastAsia="仿宋" w:cs="仿宋"/>
          <w:color w:val="auto"/>
          <w:spacing w:val="-6"/>
          <w:sz w:val="24"/>
          <w:highlight w:val="none"/>
        </w:rPr>
        <w:t>方协商后确定，合同实质性内容不得更改）</w:t>
      </w:r>
    </w:p>
    <w:p w14:paraId="2E3657AB">
      <w:pPr>
        <w:pStyle w:val="40"/>
        <w:ind w:left="0" w:leftChars="0" w:firstLine="0" w:firstLineChars="0"/>
        <w:rPr>
          <w:rFonts w:hint="eastAsia" w:ascii="仿宋" w:hAnsi="仿宋" w:eastAsia="仿宋" w:cs="仿宋"/>
          <w:color w:val="auto"/>
          <w:szCs w:val="24"/>
          <w:highlight w:val="none"/>
        </w:rPr>
      </w:pPr>
    </w:p>
    <w:p w14:paraId="126F3E8E">
      <w:pPr>
        <w:pStyle w:val="5"/>
        <w:rPr>
          <w:rFonts w:hint="eastAsia"/>
        </w:rPr>
      </w:pPr>
    </w:p>
    <w:p w14:paraId="577A3B15">
      <w:pPr>
        <w:spacing w:before="120" w:line="360" w:lineRule="auto"/>
        <w:rPr>
          <w:rFonts w:hint="eastAsia" w:ascii="仿宋" w:hAnsi="仿宋" w:eastAsia="仿宋" w:cs="仿宋"/>
          <w:color w:val="auto"/>
          <w:sz w:val="24"/>
          <w:highlight w:val="none"/>
        </w:rPr>
      </w:pPr>
    </w:p>
    <w:p w14:paraId="42FF599A">
      <w:pPr>
        <w:spacing w:before="120" w:line="360" w:lineRule="auto"/>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14:paraId="0BF4A7BF">
      <w:pPr>
        <w:spacing w:line="360" w:lineRule="auto"/>
        <w:rPr>
          <w:rFonts w:hint="eastAsia" w:ascii="仿宋" w:hAnsi="仿宋" w:eastAsia="仿宋" w:cs="仿宋"/>
          <w:color w:val="auto"/>
          <w:sz w:val="28"/>
          <w:szCs w:val="28"/>
          <w:highlight w:val="none"/>
        </w:rPr>
      </w:pPr>
    </w:p>
    <w:p w14:paraId="4FF09BAB">
      <w:pPr>
        <w:spacing w:before="120" w:line="360" w:lineRule="auto"/>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u w:val="single"/>
        </w:rPr>
        <w:t xml:space="preserve">                                             </w:t>
      </w:r>
    </w:p>
    <w:p w14:paraId="50B50D09">
      <w:pPr>
        <w:spacing w:before="120" w:line="360" w:lineRule="auto"/>
        <w:rPr>
          <w:rFonts w:hint="eastAsia" w:ascii="仿宋" w:hAnsi="仿宋" w:eastAsia="仿宋" w:cs="仿宋"/>
          <w:color w:val="auto"/>
          <w:sz w:val="28"/>
          <w:szCs w:val="28"/>
          <w:highlight w:val="none"/>
        </w:rPr>
      </w:pPr>
    </w:p>
    <w:p w14:paraId="2F650375">
      <w:pPr>
        <w:spacing w:before="120" w:line="360" w:lineRule="auto"/>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u w:val="single"/>
        </w:rPr>
        <w:t xml:space="preserve">                                             </w:t>
      </w:r>
    </w:p>
    <w:p w14:paraId="000625FB">
      <w:pPr>
        <w:pStyle w:val="18"/>
        <w:ind w:firstLine="1120" w:firstLineChars="400"/>
        <w:jc w:val="both"/>
        <w:rPr>
          <w:rFonts w:hint="eastAsia" w:ascii="仿宋" w:hAnsi="仿宋" w:eastAsia="仿宋" w:cs="仿宋"/>
          <w:b w:val="0"/>
          <w:color w:val="auto"/>
          <w:kern w:val="2"/>
          <w:sz w:val="28"/>
          <w:szCs w:val="28"/>
          <w:highlight w:val="none"/>
          <w:lang w:val="en-US" w:eastAsia="zh-CN" w:bidi="ar-SA"/>
        </w:rPr>
      </w:pPr>
    </w:p>
    <w:p w14:paraId="5BCFD5C0">
      <w:pPr>
        <w:pStyle w:val="18"/>
        <w:ind w:firstLine="1120" w:firstLineChars="400"/>
        <w:jc w:val="both"/>
        <w:rPr>
          <w:rFonts w:hint="eastAsia" w:ascii="仿宋" w:hAnsi="仿宋" w:eastAsia="仿宋" w:cs="仿宋"/>
          <w:b w:val="0"/>
          <w:color w:val="auto"/>
          <w:kern w:val="2"/>
          <w:sz w:val="28"/>
          <w:szCs w:val="28"/>
          <w:highlight w:val="none"/>
          <w:lang w:val="en-US" w:eastAsia="zh-CN" w:bidi="ar-SA"/>
        </w:rPr>
      </w:pPr>
    </w:p>
    <w:p w14:paraId="72CEC771">
      <w:pPr>
        <w:spacing w:before="120"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订</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u w:val="single"/>
        </w:rPr>
        <w:t xml:space="preserve">                                             </w:t>
      </w:r>
    </w:p>
    <w:p w14:paraId="4E3C3CD7">
      <w:pPr>
        <w:spacing w:before="120" w:line="360" w:lineRule="auto"/>
        <w:rPr>
          <w:rFonts w:hint="eastAsia" w:ascii="仿宋" w:hAnsi="仿宋" w:eastAsia="仿宋" w:cs="仿宋"/>
          <w:color w:val="auto"/>
          <w:sz w:val="28"/>
          <w:szCs w:val="28"/>
          <w:highlight w:val="none"/>
        </w:rPr>
      </w:pPr>
    </w:p>
    <w:p w14:paraId="48C00452">
      <w:pPr>
        <w:spacing w:before="120"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CC5BDE5">
      <w:pPr>
        <w:widowControl/>
        <w:spacing w:line="360" w:lineRule="auto"/>
        <w:jc w:val="center"/>
        <w:rPr>
          <w:rFonts w:hint="eastAsia" w:ascii="仿宋" w:hAnsi="仿宋" w:eastAsia="仿宋" w:cs="仿宋"/>
          <w:b/>
          <w:color w:val="auto"/>
          <w:w w:val="101"/>
          <w:kern w:val="0"/>
          <w:sz w:val="36"/>
          <w:szCs w:val="36"/>
          <w:lang w:eastAsia="zh-CN"/>
        </w:rPr>
      </w:pPr>
      <w:r>
        <w:rPr>
          <w:rFonts w:hint="eastAsia" w:ascii="仿宋" w:hAnsi="仿宋" w:eastAsia="仿宋" w:cs="仿宋"/>
          <w:b/>
          <w:color w:val="auto"/>
          <w:sz w:val="24"/>
          <w:highlight w:val="yellow"/>
        </w:rPr>
        <w:br w:type="page"/>
      </w:r>
      <w:r>
        <w:rPr>
          <w:rFonts w:hint="eastAsia" w:ascii="仿宋" w:hAnsi="仿宋" w:eastAsia="仿宋" w:cs="仿宋"/>
          <w:b/>
          <w:color w:val="auto"/>
          <w:w w:val="101"/>
          <w:kern w:val="0"/>
          <w:sz w:val="36"/>
          <w:szCs w:val="36"/>
          <w:lang w:eastAsia="zh-CN"/>
        </w:rPr>
        <w:t>衢州鹿鸣半岛酒店综合体项目仲裁事项</w:t>
      </w:r>
    </w:p>
    <w:p w14:paraId="475393AC">
      <w:pPr>
        <w:widowControl/>
        <w:spacing w:line="360" w:lineRule="auto"/>
        <w:jc w:val="center"/>
        <w:rPr>
          <w:rFonts w:hint="eastAsia" w:ascii="仿宋" w:hAnsi="仿宋" w:eastAsia="仿宋" w:cs="仿宋"/>
          <w:b/>
          <w:color w:val="auto"/>
          <w:w w:val="101"/>
          <w:kern w:val="0"/>
          <w:sz w:val="36"/>
          <w:szCs w:val="36"/>
        </w:rPr>
      </w:pPr>
      <w:r>
        <w:rPr>
          <w:rFonts w:hint="eastAsia" w:ascii="仿宋" w:hAnsi="仿宋" w:eastAsia="仿宋" w:cs="仿宋"/>
          <w:b/>
          <w:color w:val="auto"/>
          <w:w w:val="101"/>
          <w:kern w:val="0"/>
          <w:sz w:val="36"/>
          <w:szCs w:val="36"/>
          <w:lang w:eastAsia="zh-CN"/>
        </w:rPr>
        <w:t>专项</w:t>
      </w:r>
      <w:r>
        <w:rPr>
          <w:rFonts w:hint="eastAsia" w:ascii="仿宋" w:hAnsi="仿宋" w:eastAsia="仿宋" w:cs="仿宋"/>
          <w:b/>
          <w:color w:val="auto"/>
          <w:w w:val="101"/>
          <w:kern w:val="0"/>
          <w:sz w:val="36"/>
          <w:szCs w:val="36"/>
          <w:lang w:val="en-US" w:eastAsia="zh-CN"/>
        </w:rPr>
        <w:t>法律</w:t>
      </w:r>
      <w:r>
        <w:rPr>
          <w:rFonts w:hint="eastAsia" w:ascii="仿宋" w:hAnsi="仿宋" w:eastAsia="仿宋" w:cs="仿宋"/>
          <w:b/>
          <w:color w:val="auto"/>
          <w:w w:val="101"/>
          <w:kern w:val="0"/>
          <w:sz w:val="36"/>
          <w:szCs w:val="36"/>
          <w:lang w:eastAsia="zh-CN"/>
        </w:rPr>
        <w:t>服务</w:t>
      </w:r>
      <w:r>
        <w:rPr>
          <w:rFonts w:hint="eastAsia" w:ascii="仿宋" w:hAnsi="仿宋" w:eastAsia="仿宋" w:cs="仿宋"/>
          <w:b/>
          <w:color w:val="auto"/>
          <w:w w:val="101"/>
          <w:kern w:val="0"/>
          <w:sz w:val="36"/>
          <w:szCs w:val="36"/>
        </w:rPr>
        <w:t>合同</w:t>
      </w:r>
    </w:p>
    <w:p w14:paraId="5CF711F6">
      <w:pPr>
        <w:pStyle w:val="19"/>
        <w:rPr>
          <w:rFonts w:hint="eastAsia"/>
        </w:rPr>
      </w:pPr>
    </w:p>
    <w:p w14:paraId="75BA91DD">
      <w:pPr>
        <w:spacing w:line="42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聘请方： </w:t>
      </w:r>
      <w:r>
        <w:rPr>
          <w:rFonts w:hint="eastAsia" w:ascii="仿宋" w:hAnsi="仿宋" w:eastAsia="仿宋" w:cs="仿宋"/>
          <w:b/>
          <w:bCs/>
          <w:color w:val="auto"/>
          <w:sz w:val="24"/>
          <w:lang w:eastAsia="zh-CN"/>
        </w:rPr>
        <w:t>衢州智慧新城管理委员会</w:t>
      </w:r>
      <w:r>
        <w:rPr>
          <w:rFonts w:hint="eastAsia" w:ascii="仿宋" w:hAnsi="仿宋" w:eastAsia="仿宋" w:cs="仿宋"/>
          <w:b/>
          <w:bCs/>
          <w:color w:val="auto"/>
          <w:sz w:val="24"/>
        </w:rPr>
        <w:t xml:space="preserve">                  （以下简称“甲方”）      </w:t>
      </w:r>
    </w:p>
    <w:p w14:paraId="36F5A820">
      <w:pPr>
        <w:spacing w:line="420" w:lineRule="exact"/>
        <w:rPr>
          <w:rFonts w:hint="eastAsia" w:ascii="仿宋" w:hAnsi="仿宋" w:eastAsia="仿宋" w:cs="仿宋"/>
          <w:b/>
          <w:bCs/>
          <w:color w:val="auto"/>
          <w:sz w:val="24"/>
        </w:rPr>
      </w:pPr>
      <w:r>
        <w:rPr>
          <w:rFonts w:hint="eastAsia" w:ascii="仿宋" w:hAnsi="仿宋" w:eastAsia="仿宋" w:cs="仿宋"/>
          <w:b/>
          <w:bCs/>
          <w:color w:val="auto"/>
          <w:sz w:val="24"/>
        </w:rPr>
        <w:t xml:space="preserve">受聘方： </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 xml:space="preserve">                （以下简称“乙方”）</w:t>
      </w:r>
    </w:p>
    <w:p w14:paraId="13059047">
      <w:pP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鉴于甲方拟聘请乙方为其提供专项法律服务，且乙方同意接受甲方聘请，根据《中华人民共和国律师法》、《中华人民共和国</w:t>
      </w:r>
      <w:r>
        <w:rPr>
          <w:rFonts w:hint="eastAsia" w:ascii="仿宋" w:hAnsi="仿宋" w:eastAsia="仿宋" w:cs="仿宋"/>
          <w:color w:val="auto"/>
          <w:sz w:val="24"/>
          <w:lang w:eastAsia="zh-CN"/>
        </w:rPr>
        <w:t>民</w:t>
      </w:r>
      <w:r>
        <w:rPr>
          <w:rFonts w:hint="eastAsia" w:ascii="仿宋" w:hAnsi="仿宋" w:eastAsia="仿宋" w:cs="仿宋"/>
          <w:color w:val="auto"/>
          <w:sz w:val="24"/>
        </w:rPr>
        <w:t>法</w:t>
      </w:r>
      <w:r>
        <w:rPr>
          <w:rFonts w:hint="eastAsia" w:ascii="仿宋" w:hAnsi="仿宋" w:eastAsia="仿宋" w:cs="仿宋"/>
          <w:color w:val="auto"/>
          <w:sz w:val="24"/>
          <w:lang w:eastAsia="zh-CN"/>
        </w:rPr>
        <w:t>典</w:t>
      </w:r>
      <w:r>
        <w:rPr>
          <w:rFonts w:hint="eastAsia" w:ascii="仿宋" w:hAnsi="仿宋" w:eastAsia="仿宋" w:cs="仿宋"/>
          <w:color w:val="auto"/>
          <w:sz w:val="24"/>
        </w:rPr>
        <w:t>》等有关法律、法规和规章的规定，双方经协商一致，订立本合同。</w:t>
      </w:r>
    </w:p>
    <w:p w14:paraId="7F5D3746">
      <w:pP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法律服务范围</w:t>
      </w:r>
    </w:p>
    <w:p w14:paraId="0A7E49EC">
      <w:pPr>
        <w:numPr>
          <w:ilvl w:val="0"/>
          <w:numId w:val="0"/>
        </w:numPr>
        <w:spacing w:line="490" w:lineRule="exact"/>
        <w:ind w:firstLine="480" w:firstLineChars="200"/>
        <w:outlineLvl w:val="9"/>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甲方</w:t>
      </w:r>
      <w:r>
        <w:rPr>
          <w:rFonts w:hint="eastAsia" w:ascii="仿宋" w:hAnsi="仿宋" w:eastAsia="仿宋" w:cs="仿宋"/>
          <w:color w:val="auto"/>
          <w:sz w:val="24"/>
          <w:szCs w:val="20"/>
          <w:highlight w:val="none"/>
          <w:lang w:eastAsia="zh-CN"/>
        </w:rPr>
        <w:t>于</w:t>
      </w:r>
      <w:r>
        <w:rPr>
          <w:rFonts w:hint="eastAsia" w:ascii="仿宋" w:hAnsi="仿宋" w:eastAsia="仿宋" w:cs="仿宋"/>
          <w:color w:val="auto"/>
          <w:sz w:val="24"/>
          <w:szCs w:val="20"/>
          <w:highlight w:val="none"/>
          <w:lang w:val="en-US" w:eastAsia="zh-CN"/>
        </w:rPr>
        <w:t>2019年3月26日与杭州运河集团投资发展有限公司签订《关于引进悦榕度假村项目的招商协议》。由于杭州运河集团投资发展有限公司未按协议约定履行相关义务，构成违约。甲方拟向衢州仲裁委员会申请仲裁，根据协议约定依法追究杭州运河集团投资发展有限公司、衢州半岛置业有限公司的违约责任。</w:t>
      </w:r>
    </w:p>
    <w:p w14:paraId="56CA3B5C">
      <w:pPr>
        <w:numPr>
          <w:ilvl w:val="0"/>
          <w:numId w:val="0"/>
        </w:numPr>
        <w:spacing w:line="490" w:lineRule="exact"/>
        <w:ind w:firstLine="480" w:firstLineChars="200"/>
        <w:jc w:val="left"/>
        <w:outlineLvl w:val="9"/>
        <w:rPr>
          <w:rFonts w:hint="eastAsia" w:ascii="仿宋" w:hAnsi="仿宋" w:eastAsia="仿宋" w:cs="仿宋"/>
          <w:b w:val="0"/>
          <w:color w:val="auto"/>
          <w:sz w:val="24"/>
          <w:szCs w:val="20"/>
          <w:highlight w:val="none"/>
        </w:rPr>
      </w:pPr>
      <w:r>
        <w:rPr>
          <w:rFonts w:hint="eastAsia" w:ascii="仿宋" w:hAnsi="仿宋" w:eastAsia="仿宋" w:cs="仿宋"/>
          <w:color w:val="auto"/>
          <w:sz w:val="24"/>
          <w:szCs w:val="20"/>
          <w:highlight w:val="none"/>
          <w:lang w:val="en-US" w:eastAsia="zh-CN"/>
        </w:rPr>
        <w:t>乙方接受甲方委托，为甲方与杭州运河集团投资发展有限公司、衢州半岛置业有限公司合同纠纷仲裁案件准备仲裁资料，</w:t>
      </w:r>
      <w:r>
        <w:rPr>
          <w:rFonts w:hint="eastAsia" w:ascii="仿宋" w:hAnsi="仿宋" w:eastAsia="仿宋" w:cs="仿宋"/>
          <w:color w:val="auto"/>
          <w:spacing w:val="0"/>
          <w:sz w:val="24"/>
          <w:szCs w:val="20"/>
          <w:highlight w:val="none"/>
          <w:lang w:val="en-US" w:eastAsia="zh-CN"/>
        </w:rPr>
        <w:t>提供法律意见，起草和审查相关法律文书，</w:t>
      </w:r>
      <w:r>
        <w:rPr>
          <w:rFonts w:hint="eastAsia" w:ascii="仿宋" w:hAnsi="仿宋" w:eastAsia="仿宋" w:cs="仿宋"/>
          <w:color w:val="auto"/>
          <w:sz w:val="24"/>
          <w:szCs w:val="20"/>
          <w:highlight w:val="none"/>
          <w:lang w:val="en-US" w:eastAsia="zh-CN"/>
        </w:rPr>
        <w:t>代为申请仲裁，代为调解、和解，代收法律文书，全程参与仲裁案件审理，</w:t>
      </w:r>
      <w:r>
        <w:rPr>
          <w:rFonts w:hint="eastAsia" w:ascii="仿宋" w:hAnsi="仿宋" w:eastAsia="仿宋" w:cs="仿宋"/>
          <w:color w:val="auto"/>
          <w:spacing w:val="0"/>
          <w:sz w:val="24"/>
          <w:szCs w:val="20"/>
          <w:highlight w:val="none"/>
          <w:lang w:val="en-US" w:eastAsia="zh-CN"/>
        </w:rPr>
        <w:t>提供仲裁事项专项法律服务，全权处理相关纠纷。</w:t>
      </w:r>
    </w:p>
    <w:p w14:paraId="16F56A22">
      <w:pP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服务方式</w:t>
      </w:r>
    </w:p>
    <w:p w14:paraId="25F70875">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rPr>
        <w:t xml:space="preserve">    2.1 乙方应选派专业的律师团队为甲方提供服务，必要时调动全所的力量履行服务职责。</w:t>
      </w:r>
      <w:r>
        <w:rPr>
          <w:rFonts w:hint="eastAsia" w:ascii="仿宋" w:hAnsi="仿宋" w:eastAsia="仿宋" w:cs="仿宋"/>
          <w:color w:val="auto"/>
          <w:sz w:val="24"/>
          <w:highlight w:val="none"/>
        </w:rPr>
        <w:t>乙方服务团队主要名单如下：</w:t>
      </w: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92"/>
        <w:gridCol w:w="3501"/>
        <w:gridCol w:w="1462"/>
        <w:gridCol w:w="1605"/>
        <w:gridCol w:w="1085"/>
      </w:tblGrid>
      <w:tr w14:paraId="728ACB7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2" w:type="dxa"/>
            <w:noWrap w:val="0"/>
            <w:vAlign w:val="center"/>
          </w:tcPr>
          <w:p w14:paraId="2A10E263">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292" w:type="dxa"/>
            <w:noWrap w:val="0"/>
            <w:vAlign w:val="center"/>
          </w:tcPr>
          <w:p w14:paraId="38BD51E8">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3501" w:type="dxa"/>
            <w:noWrap w:val="0"/>
            <w:vAlign w:val="center"/>
          </w:tcPr>
          <w:p w14:paraId="0DFD73B1">
            <w:pPr>
              <w:autoSpaceDE w:val="0"/>
              <w:autoSpaceDN w:val="0"/>
              <w:adjustRightInd w:val="0"/>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职称或执业资格</w:t>
            </w:r>
            <w:r>
              <w:rPr>
                <w:rFonts w:hint="eastAsia" w:ascii="仿宋" w:hAnsi="仿宋" w:eastAsia="仿宋" w:cs="仿宋"/>
                <w:color w:val="auto"/>
                <w:kern w:val="0"/>
                <w:sz w:val="24"/>
                <w:szCs w:val="24"/>
                <w:lang w:eastAsia="zh-CN"/>
              </w:rPr>
              <w:t>证书</w:t>
            </w:r>
          </w:p>
        </w:tc>
        <w:tc>
          <w:tcPr>
            <w:tcW w:w="1462" w:type="dxa"/>
            <w:noWrap w:val="0"/>
            <w:vAlign w:val="center"/>
          </w:tcPr>
          <w:p w14:paraId="725B1DC9">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工作年限</w:t>
            </w:r>
          </w:p>
        </w:tc>
        <w:tc>
          <w:tcPr>
            <w:tcW w:w="1605" w:type="dxa"/>
            <w:noWrap w:val="0"/>
            <w:vAlign w:val="center"/>
          </w:tcPr>
          <w:p w14:paraId="152CC9CC">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在本项目中拟担任职务</w:t>
            </w:r>
          </w:p>
        </w:tc>
        <w:tc>
          <w:tcPr>
            <w:tcW w:w="1085" w:type="dxa"/>
            <w:noWrap w:val="0"/>
            <w:vAlign w:val="center"/>
          </w:tcPr>
          <w:p w14:paraId="4048FC7D">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2CE999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72" w:type="dxa"/>
            <w:noWrap w:val="0"/>
            <w:vAlign w:val="center"/>
          </w:tcPr>
          <w:p w14:paraId="4D14E839">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92" w:type="dxa"/>
            <w:noWrap w:val="0"/>
            <w:vAlign w:val="center"/>
          </w:tcPr>
          <w:p w14:paraId="76F13889">
            <w:pPr>
              <w:autoSpaceDE w:val="0"/>
              <w:autoSpaceDN w:val="0"/>
              <w:adjustRightInd w:val="0"/>
              <w:spacing w:line="500" w:lineRule="exact"/>
              <w:rPr>
                <w:rFonts w:hint="eastAsia" w:ascii="仿宋" w:hAnsi="仿宋" w:eastAsia="仿宋" w:cs="仿宋"/>
                <w:color w:val="auto"/>
                <w:kern w:val="0"/>
                <w:sz w:val="24"/>
                <w:szCs w:val="24"/>
              </w:rPr>
            </w:pPr>
          </w:p>
        </w:tc>
        <w:tc>
          <w:tcPr>
            <w:tcW w:w="3501" w:type="dxa"/>
            <w:noWrap w:val="0"/>
            <w:vAlign w:val="center"/>
          </w:tcPr>
          <w:p w14:paraId="1CC23AB4">
            <w:pPr>
              <w:autoSpaceDE w:val="0"/>
              <w:autoSpaceDN w:val="0"/>
              <w:adjustRightInd w:val="0"/>
              <w:spacing w:line="500" w:lineRule="exact"/>
              <w:rPr>
                <w:rFonts w:hint="eastAsia" w:ascii="仿宋" w:hAnsi="仿宋" w:eastAsia="仿宋" w:cs="仿宋"/>
                <w:color w:val="auto"/>
                <w:kern w:val="0"/>
                <w:sz w:val="24"/>
                <w:szCs w:val="24"/>
              </w:rPr>
            </w:pPr>
          </w:p>
        </w:tc>
        <w:tc>
          <w:tcPr>
            <w:tcW w:w="1462" w:type="dxa"/>
            <w:noWrap w:val="0"/>
            <w:vAlign w:val="center"/>
          </w:tcPr>
          <w:p w14:paraId="2372B9B4">
            <w:pPr>
              <w:autoSpaceDE w:val="0"/>
              <w:autoSpaceDN w:val="0"/>
              <w:adjustRightInd w:val="0"/>
              <w:spacing w:line="500" w:lineRule="exact"/>
              <w:rPr>
                <w:rFonts w:hint="eastAsia" w:ascii="仿宋" w:hAnsi="仿宋" w:eastAsia="仿宋" w:cs="仿宋"/>
                <w:color w:val="auto"/>
                <w:kern w:val="0"/>
                <w:sz w:val="24"/>
                <w:szCs w:val="24"/>
              </w:rPr>
            </w:pPr>
          </w:p>
        </w:tc>
        <w:tc>
          <w:tcPr>
            <w:tcW w:w="1605" w:type="dxa"/>
            <w:noWrap w:val="0"/>
            <w:vAlign w:val="center"/>
          </w:tcPr>
          <w:p w14:paraId="660DB86A">
            <w:pPr>
              <w:autoSpaceDE w:val="0"/>
              <w:autoSpaceDN w:val="0"/>
              <w:adjustRightInd w:val="0"/>
              <w:spacing w:line="500" w:lineRule="exact"/>
              <w:rPr>
                <w:rFonts w:hint="eastAsia" w:ascii="仿宋" w:hAnsi="仿宋" w:eastAsia="仿宋" w:cs="仿宋"/>
                <w:color w:val="auto"/>
                <w:kern w:val="0"/>
                <w:sz w:val="24"/>
                <w:szCs w:val="24"/>
              </w:rPr>
            </w:pPr>
          </w:p>
        </w:tc>
        <w:tc>
          <w:tcPr>
            <w:tcW w:w="1085" w:type="dxa"/>
            <w:noWrap w:val="0"/>
            <w:vAlign w:val="center"/>
          </w:tcPr>
          <w:p w14:paraId="10D11DA9">
            <w:pPr>
              <w:autoSpaceDE w:val="0"/>
              <w:autoSpaceDN w:val="0"/>
              <w:adjustRightInd w:val="0"/>
              <w:spacing w:line="500" w:lineRule="exact"/>
              <w:rPr>
                <w:rFonts w:hint="eastAsia" w:ascii="仿宋" w:hAnsi="仿宋" w:eastAsia="仿宋" w:cs="仿宋"/>
                <w:color w:val="auto"/>
                <w:kern w:val="0"/>
                <w:sz w:val="24"/>
                <w:szCs w:val="24"/>
              </w:rPr>
            </w:pPr>
          </w:p>
        </w:tc>
      </w:tr>
      <w:tr w14:paraId="2EF9EA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noWrap w:val="0"/>
            <w:vAlign w:val="center"/>
          </w:tcPr>
          <w:p w14:paraId="3A2989FB">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92" w:type="dxa"/>
            <w:noWrap w:val="0"/>
            <w:vAlign w:val="center"/>
          </w:tcPr>
          <w:p w14:paraId="2BF985C7">
            <w:pPr>
              <w:autoSpaceDE w:val="0"/>
              <w:autoSpaceDN w:val="0"/>
              <w:adjustRightInd w:val="0"/>
              <w:spacing w:line="500" w:lineRule="exact"/>
              <w:rPr>
                <w:rFonts w:hint="eastAsia" w:ascii="仿宋" w:hAnsi="仿宋" w:eastAsia="仿宋" w:cs="仿宋"/>
                <w:color w:val="auto"/>
                <w:kern w:val="0"/>
                <w:sz w:val="24"/>
                <w:szCs w:val="24"/>
              </w:rPr>
            </w:pPr>
          </w:p>
        </w:tc>
        <w:tc>
          <w:tcPr>
            <w:tcW w:w="3501" w:type="dxa"/>
            <w:noWrap w:val="0"/>
            <w:vAlign w:val="center"/>
          </w:tcPr>
          <w:p w14:paraId="7F8DEE19">
            <w:pPr>
              <w:autoSpaceDE w:val="0"/>
              <w:autoSpaceDN w:val="0"/>
              <w:adjustRightInd w:val="0"/>
              <w:spacing w:line="500" w:lineRule="exact"/>
              <w:rPr>
                <w:rFonts w:hint="eastAsia" w:ascii="仿宋" w:hAnsi="仿宋" w:eastAsia="仿宋" w:cs="仿宋"/>
                <w:color w:val="auto"/>
                <w:kern w:val="0"/>
                <w:sz w:val="24"/>
                <w:szCs w:val="24"/>
              </w:rPr>
            </w:pPr>
          </w:p>
        </w:tc>
        <w:tc>
          <w:tcPr>
            <w:tcW w:w="1462" w:type="dxa"/>
            <w:noWrap w:val="0"/>
            <w:vAlign w:val="center"/>
          </w:tcPr>
          <w:p w14:paraId="459DE28C">
            <w:pPr>
              <w:autoSpaceDE w:val="0"/>
              <w:autoSpaceDN w:val="0"/>
              <w:adjustRightInd w:val="0"/>
              <w:spacing w:line="500" w:lineRule="exact"/>
              <w:rPr>
                <w:rFonts w:hint="eastAsia" w:ascii="仿宋" w:hAnsi="仿宋" w:eastAsia="仿宋" w:cs="仿宋"/>
                <w:color w:val="auto"/>
                <w:kern w:val="0"/>
                <w:sz w:val="24"/>
                <w:szCs w:val="24"/>
              </w:rPr>
            </w:pPr>
          </w:p>
        </w:tc>
        <w:tc>
          <w:tcPr>
            <w:tcW w:w="1605" w:type="dxa"/>
            <w:noWrap w:val="0"/>
            <w:vAlign w:val="center"/>
          </w:tcPr>
          <w:p w14:paraId="2DC5B4E2">
            <w:pPr>
              <w:autoSpaceDE w:val="0"/>
              <w:autoSpaceDN w:val="0"/>
              <w:adjustRightInd w:val="0"/>
              <w:spacing w:line="500" w:lineRule="exact"/>
              <w:rPr>
                <w:rFonts w:hint="eastAsia" w:ascii="仿宋" w:hAnsi="仿宋" w:eastAsia="仿宋" w:cs="仿宋"/>
                <w:color w:val="auto"/>
                <w:kern w:val="0"/>
                <w:sz w:val="24"/>
                <w:szCs w:val="24"/>
              </w:rPr>
            </w:pPr>
          </w:p>
        </w:tc>
        <w:tc>
          <w:tcPr>
            <w:tcW w:w="1085" w:type="dxa"/>
            <w:noWrap w:val="0"/>
            <w:vAlign w:val="center"/>
          </w:tcPr>
          <w:p w14:paraId="72C2D78B">
            <w:pPr>
              <w:autoSpaceDE w:val="0"/>
              <w:autoSpaceDN w:val="0"/>
              <w:adjustRightInd w:val="0"/>
              <w:spacing w:line="500" w:lineRule="exact"/>
              <w:rPr>
                <w:rFonts w:hint="eastAsia" w:ascii="仿宋" w:hAnsi="仿宋" w:eastAsia="仿宋" w:cs="仿宋"/>
                <w:color w:val="auto"/>
                <w:kern w:val="0"/>
                <w:sz w:val="24"/>
                <w:szCs w:val="24"/>
              </w:rPr>
            </w:pPr>
          </w:p>
        </w:tc>
      </w:tr>
      <w:tr w14:paraId="726A7FE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72" w:type="dxa"/>
            <w:noWrap w:val="0"/>
            <w:vAlign w:val="center"/>
          </w:tcPr>
          <w:p w14:paraId="359DEFBE">
            <w:pPr>
              <w:autoSpaceDE w:val="0"/>
              <w:autoSpaceDN w:val="0"/>
              <w:adjustRightInd w:val="0"/>
              <w:spacing w:line="5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92" w:type="dxa"/>
            <w:noWrap w:val="0"/>
            <w:vAlign w:val="center"/>
          </w:tcPr>
          <w:p w14:paraId="34716DA3">
            <w:pPr>
              <w:autoSpaceDE w:val="0"/>
              <w:autoSpaceDN w:val="0"/>
              <w:adjustRightInd w:val="0"/>
              <w:spacing w:line="500" w:lineRule="exact"/>
              <w:rPr>
                <w:rFonts w:hint="eastAsia" w:ascii="仿宋" w:hAnsi="仿宋" w:eastAsia="仿宋" w:cs="仿宋"/>
                <w:color w:val="auto"/>
                <w:kern w:val="0"/>
                <w:sz w:val="24"/>
                <w:szCs w:val="24"/>
              </w:rPr>
            </w:pPr>
          </w:p>
        </w:tc>
        <w:tc>
          <w:tcPr>
            <w:tcW w:w="3501" w:type="dxa"/>
            <w:noWrap w:val="0"/>
            <w:vAlign w:val="center"/>
          </w:tcPr>
          <w:p w14:paraId="2ADE707A">
            <w:pPr>
              <w:autoSpaceDE w:val="0"/>
              <w:autoSpaceDN w:val="0"/>
              <w:adjustRightInd w:val="0"/>
              <w:spacing w:line="500" w:lineRule="exact"/>
              <w:rPr>
                <w:rFonts w:hint="eastAsia" w:ascii="仿宋" w:hAnsi="仿宋" w:eastAsia="仿宋" w:cs="仿宋"/>
                <w:color w:val="auto"/>
                <w:kern w:val="0"/>
                <w:sz w:val="24"/>
                <w:szCs w:val="24"/>
              </w:rPr>
            </w:pPr>
          </w:p>
        </w:tc>
        <w:tc>
          <w:tcPr>
            <w:tcW w:w="1462" w:type="dxa"/>
            <w:noWrap w:val="0"/>
            <w:vAlign w:val="center"/>
          </w:tcPr>
          <w:p w14:paraId="3F9A3E94">
            <w:pPr>
              <w:autoSpaceDE w:val="0"/>
              <w:autoSpaceDN w:val="0"/>
              <w:adjustRightInd w:val="0"/>
              <w:spacing w:line="500" w:lineRule="exact"/>
              <w:rPr>
                <w:rFonts w:hint="eastAsia" w:ascii="仿宋" w:hAnsi="仿宋" w:eastAsia="仿宋" w:cs="仿宋"/>
                <w:color w:val="auto"/>
                <w:kern w:val="0"/>
                <w:sz w:val="24"/>
                <w:szCs w:val="24"/>
              </w:rPr>
            </w:pPr>
          </w:p>
        </w:tc>
        <w:tc>
          <w:tcPr>
            <w:tcW w:w="1605" w:type="dxa"/>
            <w:noWrap w:val="0"/>
            <w:vAlign w:val="center"/>
          </w:tcPr>
          <w:p w14:paraId="2A18F45C">
            <w:pPr>
              <w:autoSpaceDE w:val="0"/>
              <w:autoSpaceDN w:val="0"/>
              <w:adjustRightInd w:val="0"/>
              <w:spacing w:line="500" w:lineRule="exact"/>
              <w:rPr>
                <w:rFonts w:hint="eastAsia" w:ascii="仿宋" w:hAnsi="仿宋" w:eastAsia="仿宋" w:cs="仿宋"/>
                <w:color w:val="auto"/>
                <w:kern w:val="0"/>
                <w:sz w:val="24"/>
                <w:szCs w:val="24"/>
              </w:rPr>
            </w:pPr>
          </w:p>
        </w:tc>
        <w:tc>
          <w:tcPr>
            <w:tcW w:w="1085" w:type="dxa"/>
            <w:noWrap w:val="0"/>
            <w:vAlign w:val="center"/>
          </w:tcPr>
          <w:p w14:paraId="3D76A228">
            <w:pPr>
              <w:autoSpaceDE w:val="0"/>
              <w:autoSpaceDN w:val="0"/>
              <w:adjustRightInd w:val="0"/>
              <w:spacing w:line="500" w:lineRule="exact"/>
              <w:rPr>
                <w:rFonts w:hint="eastAsia" w:ascii="仿宋" w:hAnsi="仿宋" w:eastAsia="仿宋" w:cs="仿宋"/>
                <w:color w:val="auto"/>
                <w:kern w:val="0"/>
                <w:sz w:val="24"/>
                <w:szCs w:val="24"/>
              </w:rPr>
            </w:pPr>
          </w:p>
        </w:tc>
      </w:tr>
      <w:tr w14:paraId="1819D57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72" w:type="dxa"/>
            <w:noWrap w:val="0"/>
            <w:vAlign w:val="center"/>
          </w:tcPr>
          <w:p w14:paraId="13930BC3">
            <w:pPr>
              <w:autoSpaceDE w:val="0"/>
              <w:autoSpaceDN w:val="0"/>
              <w:adjustRightInd w:val="0"/>
              <w:spacing w:line="5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92" w:type="dxa"/>
            <w:noWrap w:val="0"/>
            <w:vAlign w:val="center"/>
          </w:tcPr>
          <w:p w14:paraId="6E4E7A14">
            <w:pPr>
              <w:autoSpaceDE w:val="0"/>
              <w:autoSpaceDN w:val="0"/>
              <w:adjustRightInd w:val="0"/>
              <w:spacing w:line="500" w:lineRule="exact"/>
              <w:rPr>
                <w:rFonts w:hint="eastAsia" w:ascii="仿宋" w:hAnsi="仿宋" w:eastAsia="仿宋" w:cs="仿宋"/>
                <w:color w:val="auto"/>
                <w:kern w:val="0"/>
                <w:sz w:val="24"/>
                <w:szCs w:val="24"/>
              </w:rPr>
            </w:pPr>
          </w:p>
        </w:tc>
        <w:tc>
          <w:tcPr>
            <w:tcW w:w="3501" w:type="dxa"/>
            <w:noWrap w:val="0"/>
            <w:vAlign w:val="center"/>
          </w:tcPr>
          <w:p w14:paraId="2AD0AFE4">
            <w:pPr>
              <w:autoSpaceDE w:val="0"/>
              <w:autoSpaceDN w:val="0"/>
              <w:adjustRightInd w:val="0"/>
              <w:spacing w:line="500" w:lineRule="exact"/>
              <w:rPr>
                <w:rFonts w:hint="eastAsia" w:ascii="仿宋" w:hAnsi="仿宋" w:eastAsia="仿宋" w:cs="仿宋"/>
                <w:color w:val="auto"/>
                <w:kern w:val="0"/>
                <w:sz w:val="24"/>
                <w:szCs w:val="24"/>
              </w:rPr>
            </w:pPr>
          </w:p>
        </w:tc>
        <w:tc>
          <w:tcPr>
            <w:tcW w:w="1462" w:type="dxa"/>
            <w:noWrap w:val="0"/>
            <w:vAlign w:val="center"/>
          </w:tcPr>
          <w:p w14:paraId="0959F258">
            <w:pPr>
              <w:autoSpaceDE w:val="0"/>
              <w:autoSpaceDN w:val="0"/>
              <w:adjustRightInd w:val="0"/>
              <w:spacing w:line="500" w:lineRule="exact"/>
              <w:rPr>
                <w:rFonts w:hint="eastAsia" w:ascii="仿宋" w:hAnsi="仿宋" w:eastAsia="仿宋" w:cs="仿宋"/>
                <w:color w:val="auto"/>
                <w:kern w:val="0"/>
                <w:sz w:val="24"/>
                <w:szCs w:val="24"/>
              </w:rPr>
            </w:pPr>
          </w:p>
        </w:tc>
        <w:tc>
          <w:tcPr>
            <w:tcW w:w="1605" w:type="dxa"/>
            <w:noWrap w:val="0"/>
            <w:vAlign w:val="center"/>
          </w:tcPr>
          <w:p w14:paraId="0E51A7E2">
            <w:pPr>
              <w:autoSpaceDE w:val="0"/>
              <w:autoSpaceDN w:val="0"/>
              <w:adjustRightInd w:val="0"/>
              <w:spacing w:line="500" w:lineRule="exact"/>
              <w:rPr>
                <w:rFonts w:hint="eastAsia" w:ascii="仿宋" w:hAnsi="仿宋" w:eastAsia="仿宋" w:cs="仿宋"/>
                <w:color w:val="auto"/>
                <w:kern w:val="0"/>
                <w:sz w:val="24"/>
                <w:szCs w:val="24"/>
              </w:rPr>
            </w:pPr>
          </w:p>
        </w:tc>
        <w:tc>
          <w:tcPr>
            <w:tcW w:w="1085" w:type="dxa"/>
            <w:noWrap w:val="0"/>
            <w:vAlign w:val="center"/>
          </w:tcPr>
          <w:p w14:paraId="3D3C33C7">
            <w:pPr>
              <w:autoSpaceDE w:val="0"/>
              <w:autoSpaceDN w:val="0"/>
              <w:adjustRightInd w:val="0"/>
              <w:spacing w:line="500" w:lineRule="exact"/>
              <w:rPr>
                <w:rFonts w:hint="eastAsia" w:ascii="仿宋" w:hAnsi="仿宋" w:eastAsia="仿宋" w:cs="仿宋"/>
                <w:color w:val="auto"/>
                <w:kern w:val="0"/>
                <w:sz w:val="24"/>
                <w:szCs w:val="24"/>
              </w:rPr>
            </w:pPr>
          </w:p>
        </w:tc>
      </w:tr>
      <w:tr w14:paraId="35BDAB6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72" w:type="dxa"/>
            <w:noWrap w:val="0"/>
            <w:vAlign w:val="center"/>
          </w:tcPr>
          <w:p w14:paraId="0705E4F5">
            <w:pPr>
              <w:autoSpaceDE w:val="0"/>
              <w:autoSpaceDN w:val="0"/>
              <w:adjustRightInd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1292" w:type="dxa"/>
            <w:noWrap w:val="0"/>
            <w:vAlign w:val="center"/>
          </w:tcPr>
          <w:p w14:paraId="3EB21C10">
            <w:pPr>
              <w:autoSpaceDE w:val="0"/>
              <w:autoSpaceDN w:val="0"/>
              <w:adjustRightInd w:val="0"/>
              <w:spacing w:line="500" w:lineRule="exact"/>
              <w:rPr>
                <w:rFonts w:hint="eastAsia" w:ascii="仿宋" w:hAnsi="仿宋" w:eastAsia="仿宋" w:cs="仿宋"/>
                <w:color w:val="auto"/>
                <w:kern w:val="0"/>
                <w:sz w:val="24"/>
                <w:szCs w:val="24"/>
              </w:rPr>
            </w:pPr>
          </w:p>
        </w:tc>
        <w:tc>
          <w:tcPr>
            <w:tcW w:w="3501" w:type="dxa"/>
            <w:noWrap w:val="0"/>
            <w:vAlign w:val="center"/>
          </w:tcPr>
          <w:p w14:paraId="6F4800C3">
            <w:pPr>
              <w:autoSpaceDE w:val="0"/>
              <w:autoSpaceDN w:val="0"/>
              <w:adjustRightInd w:val="0"/>
              <w:spacing w:line="500" w:lineRule="exact"/>
              <w:rPr>
                <w:rFonts w:hint="eastAsia" w:ascii="仿宋" w:hAnsi="仿宋" w:eastAsia="仿宋" w:cs="仿宋"/>
                <w:color w:val="auto"/>
                <w:kern w:val="0"/>
                <w:sz w:val="24"/>
                <w:szCs w:val="24"/>
              </w:rPr>
            </w:pPr>
          </w:p>
        </w:tc>
        <w:tc>
          <w:tcPr>
            <w:tcW w:w="1462" w:type="dxa"/>
            <w:noWrap w:val="0"/>
            <w:vAlign w:val="center"/>
          </w:tcPr>
          <w:p w14:paraId="44C304BF">
            <w:pPr>
              <w:autoSpaceDE w:val="0"/>
              <w:autoSpaceDN w:val="0"/>
              <w:adjustRightInd w:val="0"/>
              <w:spacing w:line="500" w:lineRule="exact"/>
              <w:rPr>
                <w:rFonts w:hint="eastAsia" w:ascii="仿宋" w:hAnsi="仿宋" w:eastAsia="仿宋" w:cs="仿宋"/>
                <w:color w:val="auto"/>
                <w:kern w:val="0"/>
                <w:sz w:val="24"/>
                <w:szCs w:val="24"/>
              </w:rPr>
            </w:pPr>
          </w:p>
        </w:tc>
        <w:tc>
          <w:tcPr>
            <w:tcW w:w="1605" w:type="dxa"/>
            <w:noWrap w:val="0"/>
            <w:vAlign w:val="center"/>
          </w:tcPr>
          <w:p w14:paraId="4B310A4B">
            <w:pPr>
              <w:autoSpaceDE w:val="0"/>
              <w:autoSpaceDN w:val="0"/>
              <w:adjustRightInd w:val="0"/>
              <w:spacing w:line="500" w:lineRule="exact"/>
              <w:rPr>
                <w:rFonts w:hint="eastAsia" w:ascii="仿宋" w:hAnsi="仿宋" w:eastAsia="仿宋" w:cs="仿宋"/>
                <w:color w:val="auto"/>
                <w:kern w:val="0"/>
                <w:sz w:val="24"/>
                <w:szCs w:val="24"/>
              </w:rPr>
            </w:pPr>
          </w:p>
        </w:tc>
        <w:tc>
          <w:tcPr>
            <w:tcW w:w="1085" w:type="dxa"/>
            <w:noWrap w:val="0"/>
            <w:vAlign w:val="center"/>
          </w:tcPr>
          <w:p w14:paraId="78C23371">
            <w:pPr>
              <w:autoSpaceDE w:val="0"/>
              <w:autoSpaceDN w:val="0"/>
              <w:adjustRightInd w:val="0"/>
              <w:spacing w:line="500" w:lineRule="exact"/>
              <w:rPr>
                <w:rFonts w:hint="eastAsia" w:ascii="仿宋" w:hAnsi="仿宋" w:eastAsia="仿宋" w:cs="仿宋"/>
                <w:color w:val="auto"/>
                <w:kern w:val="0"/>
                <w:sz w:val="24"/>
                <w:szCs w:val="24"/>
              </w:rPr>
            </w:pPr>
          </w:p>
        </w:tc>
      </w:tr>
    </w:tbl>
    <w:p w14:paraId="7E5EEF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在本合同履行期间，若乙方服务团队成员</w:t>
      </w:r>
      <w:r>
        <w:rPr>
          <w:rFonts w:hint="eastAsia" w:ascii="仿宋" w:hAnsi="仿宋" w:eastAsia="仿宋" w:cs="仿宋"/>
          <w:color w:val="auto"/>
          <w:sz w:val="24"/>
        </w:rPr>
        <w:t>因辞职、生病、回避原因无法继续或暂时不能承办合同约定事务时，乙方应立即告知甲方。经甲方同意的，乙方可另行指派</w:t>
      </w:r>
      <w:r>
        <w:rPr>
          <w:rFonts w:hint="eastAsia" w:ascii="仿宋" w:hAnsi="仿宋" w:eastAsia="仿宋" w:cs="仿宋"/>
          <w:color w:val="auto"/>
          <w:sz w:val="24"/>
          <w:lang w:eastAsia="zh-CN"/>
        </w:rPr>
        <w:t>同等资格条件的</w:t>
      </w:r>
      <w:r>
        <w:rPr>
          <w:rFonts w:hint="eastAsia" w:ascii="仿宋" w:hAnsi="仿宋" w:eastAsia="仿宋" w:cs="仿宋"/>
          <w:color w:val="auto"/>
          <w:sz w:val="24"/>
        </w:rPr>
        <w:t>律师接替。</w:t>
      </w:r>
    </w:p>
    <w:p w14:paraId="15356A0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 xml:space="preserve">3. </w:t>
      </w:r>
      <w:r>
        <w:rPr>
          <w:rFonts w:hint="eastAsia" w:ascii="仿宋" w:hAnsi="仿宋" w:eastAsia="仿宋" w:cs="仿宋"/>
          <w:b/>
          <w:bCs/>
          <w:color w:val="auto"/>
          <w:sz w:val="24"/>
          <w:lang w:eastAsia="zh-CN"/>
        </w:rPr>
        <w:t>合同履行</w:t>
      </w:r>
      <w:r>
        <w:rPr>
          <w:rFonts w:hint="eastAsia" w:ascii="仿宋" w:hAnsi="仿宋" w:eastAsia="仿宋" w:cs="仿宋"/>
          <w:b/>
          <w:bCs/>
          <w:color w:val="auto"/>
          <w:sz w:val="24"/>
        </w:rPr>
        <w:t>期限</w:t>
      </w:r>
    </w:p>
    <w:p w14:paraId="045FCF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自合同签订之日起至仲裁执行结束为止。</w:t>
      </w:r>
    </w:p>
    <w:p w14:paraId="5220FB3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 xml:space="preserve">4. </w:t>
      </w:r>
      <w:r>
        <w:rPr>
          <w:rFonts w:hint="eastAsia" w:ascii="仿宋" w:hAnsi="仿宋" w:eastAsia="仿宋" w:cs="仿宋"/>
          <w:b/>
          <w:bCs/>
          <w:color w:val="auto"/>
          <w:sz w:val="24"/>
          <w:lang w:val="en-US" w:eastAsia="zh-CN"/>
        </w:rPr>
        <w:t>合同总价</w:t>
      </w:r>
    </w:p>
    <w:p w14:paraId="049684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hint="eastAsia" w:ascii="仿宋" w:hAnsi="仿宋" w:eastAsia="仿宋" w:cs="仿宋"/>
          <w:color w:val="auto"/>
          <w:sz w:val="24"/>
          <w:highlight w:val="none"/>
          <w:lang w:val="en-US" w:eastAsia="zh-CN"/>
        </w:rPr>
        <w:t>本合同金额为：</w:t>
      </w: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 ）（含税）。</w:t>
      </w:r>
    </w:p>
    <w:p w14:paraId="49A3F5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 支付方式</w:t>
      </w:r>
    </w:p>
    <w:p w14:paraId="08F056F8">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合同签订生效并具备实施条件后，甲方支付合同价款的10%作为预付款；仲裁案件第一</w:t>
      </w:r>
    </w:p>
    <w:p w14:paraId="4D2C550B">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次开庭前支付合同价款的50%；仲裁执行结束移交全部工作资料后一次性付清剩余合同款项。但如出现以下情形，按下列方式付款：    </w:t>
      </w:r>
    </w:p>
    <w:p w14:paraId="5046F7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乙方中标后，如甲方不启动仲裁程序的，则甲方按本合同价款的3%向乙方支付律师服务费，余款不再支付。本合同履行过程中，如甲方提交仲裁申请，但在仲裁庭组庭前撤回仲裁申请的，则甲方按本合同价款的10%向乙方支付律师服务费，余款不再支付。如甲方提交仲裁申请，但在仲裁庭组庭后与</w:t>
      </w:r>
      <w:r>
        <w:rPr>
          <w:rFonts w:hint="eastAsia" w:ascii="仿宋" w:hAnsi="仿宋" w:eastAsia="仿宋" w:cs="仿宋"/>
          <w:color w:val="000000" w:themeColor="text1"/>
          <w:sz w:val="24"/>
          <w:szCs w:val="20"/>
          <w:highlight w:val="none"/>
          <w:lang w:val="en-US" w:eastAsia="zh-CN"/>
          <w14:textFill>
            <w14:solidFill>
              <w14:schemeClr w14:val="tx1"/>
            </w14:solidFill>
          </w14:textFill>
        </w:rPr>
        <w:t>杭州运河集团投资发展有限公司、衢州半岛置业有限公司</w:t>
      </w:r>
      <w:r>
        <w:rPr>
          <w:rFonts w:hint="eastAsia" w:ascii="仿宋" w:hAnsi="仿宋" w:eastAsia="仿宋" w:cs="仿宋"/>
          <w:color w:val="000000" w:themeColor="text1"/>
          <w:sz w:val="24"/>
          <w:highlight w:val="none"/>
          <w:lang w:val="en-US" w:eastAsia="zh-CN"/>
          <w14:textFill>
            <w14:solidFill>
              <w14:schemeClr w14:val="tx1"/>
            </w14:solidFill>
          </w14:textFill>
        </w:rPr>
        <w:t>自行达成和解协议，撤回仲裁申请的，则甲方按本合同价款的60%向乙方支付律师服务费，余款不再支付</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A23E0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 甲方支付</w:t>
      </w:r>
      <w:r>
        <w:rPr>
          <w:rFonts w:hint="eastAsia" w:ascii="仿宋" w:hAnsi="仿宋" w:eastAsia="仿宋" w:cs="仿宋"/>
          <w:color w:val="auto"/>
          <w:sz w:val="24"/>
          <w:highlight w:val="none"/>
          <w:lang w:val="en-US" w:eastAsia="zh-CN"/>
        </w:rPr>
        <w:t>合同款项</w:t>
      </w:r>
      <w:r>
        <w:rPr>
          <w:rFonts w:hint="eastAsia" w:ascii="仿宋" w:hAnsi="仿宋" w:eastAsia="仿宋" w:cs="仿宋"/>
          <w:color w:val="auto"/>
          <w:sz w:val="24"/>
          <w:highlight w:val="none"/>
        </w:rPr>
        <w:t>前，乙方应按甲方要求提供正规等额发票，否则甲方有权暂缓支付</w:t>
      </w:r>
      <w:r>
        <w:rPr>
          <w:rFonts w:hint="eastAsia" w:ascii="仿宋" w:hAnsi="仿宋" w:eastAsia="仿宋" w:cs="仿宋"/>
          <w:color w:val="auto"/>
          <w:sz w:val="24"/>
          <w:highlight w:val="none"/>
          <w:lang w:val="en-US" w:eastAsia="zh-CN"/>
        </w:rPr>
        <w:t>合同款</w:t>
      </w:r>
      <w:r>
        <w:rPr>
          <w:rFonts w:hint="eastAsia" w:ascii="仿宋" w:hAnsi="仿宋" w:eastAsia="仿宋" w:cs="仿宋"/>
          <w:color w:val="auto"/>
          <w:sz w:val="24"/>
          <w:highlight w:val="none"/>
        </w:rPr>
        <w:t>。</w:t>
      </w:r>
    </w:p>
    <w:p w14:paraId="5F0DE6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 甲方向乙方支付的</w:t>
      </w:r>
      <w:r>
        <w:rPr>
          <w:rFonts w:hint="eastAsia" w:ascii="仿宋" w:hAnsi="仿宋" w:eastAsia="仿宋" w:cs="仿宋"/>
          <w:color w:val="auto"/>
          <w:sz w:val="24"/>
          <w:highlight w:val="none"/>
          <w:lang w:val="en-US" w:eastAsia="zh-CN"/>
        </w:rPr>
        <w:t>合同价款</w:t>
      </w:r>
      <w:r>
        <w:rPr>
          <w:rFonts w:hint="eastAsia" w:ascii="仿宋" w:hAnsi="仿宋" w:eastAsia="仿宋" w:cs="仿宋"/>
          <w:color w:val="auto"/>
          <w:sz w:val="24"/>
          <w:highlight w:val="none"/>
        </w:rPr>
        <w:t>已包括乙方提供服务所需的</w:t>
      </w:r>
      <w:r>
        <w:rPr>
          <w:rFonts w:hint="eastAsia" w:ascii="仿宋" w:hAnsi="仿宋" w:eastAsia="仿宋" w:cs="仿宋"/>
          <w:color w:val="auto"/>
          <w:sz w:val="24"/>
          <w:highlight w:val="none"/>
          <w:lang w:eastAsia="zh-CN"/>
        </w:rPr>
        <w:t>服务费、</w:t>
      </w:r>
      <w:r>
        <w:rPr>
          <w:rFonts w:hint="eastAsia" w:ascii="仿宋" w:hAnsi="仿宋" w:eastAsia="仿宋" w:cs="仿宋"/>
          <w:color w:val="auto"/>
          <w:sz w:val="24"/>
          <w:highlight w:val="none"/>
        </w:rPr>
        <w:t>交通费、住宿费用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通讯费、</w:t>
      </w:r>
      <w:r>
        <w:rPr>
          <w:rFonts w:hint="eastAsia" w:ascii="仿宋" w:hAnsi="仿宋" w:eastAsia="仿宋" w:cs="仿宋"/>
          <w:color w:val="auto"/>
          <w:sz w:val="24"/>
          <w:highlight w:val="none"/>
          <w:lang w:val="en-US" w:eastAsia="zh-CN"/>
        </w:rPr>
        <w:t>资料费、</w:t>
      </w:r>
      <w:r>
        <w:rPr>
          <w:rFonts w:hint="eastAsia" w:ascii="仿宋" w:hAnsi="仿宋" w:eastAsia="仿宋" w:cs="仿宋"/>
          <w:color w:val="auto"/>
          <w:sz w:val="24"/>
          <w:highlight w:val="none"/>
        </w:rPr>
        <w:t>复印费等</w:t>
      </w:r>
      <w:r>
        <w:rPr>
          <w:rFonts w:hint="eastAsia" w:ascii="仿宋" w:hAnsi="仿宋" w:eastAsia="仿宋" w:cs="仿宋"/>
          <w:color w:val="auto"/>
          <w:sz w:val="24"/>
          <w:highlight w:val="none"/>
          <w:lang w:eastAsia="zh-CN"/>
        </w:rPr>
        <w:t>所有</w:t>
      </w:r>
      <w:r>
        <w:rPr>
          <w:rFonts w:hint="eastAsia" w:ascii="仿宋" w:hAnsi="仿宋" w:eastAsia="仿宋" w:cs="仿宋"/>
          <w:color w:val="auto"/>
          <w:sz w:val="24"/>
          <w:highlight w:val="none"/>
        </w:rPr>
        <w:t>费用开支。</w:t>
      </w:r>
    </w:p>
    <w:p w14:paraId="7E4E94F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5.工作报告</w:t>
      </w:r>
    </w:p>
    <w:p w14:paraId="0268F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乙方应在完成本合同约定事项后向甲方提交法律服务工作报告，工作报告的主要内容应包括：法律服务事项、服务时间、发现的法律问题及提出的建议。</w:t>
      </w:r>
    </w:p>
    <w:p w14:paraId="140C17C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6. 乙方承诺</w:t>
      </w:r>
    </w:p>
    <w:p w14:paraId="5C8E5C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6.1乙方及其律师必须遵守职业道德和执业纪律；</w:t>
      </w:r>
    </w:p>
    <w:p w14:paraId="07B693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6.2乙方及其律师应当本着高效、勤勉、尽责的原则，应甲方要求及时提供法律服务，依法维护甲方利益；</w:t>
      </w:r>
    </w:p>
    <w:p w14:paraId="6E994F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6.3 乙方应确保所有提交文件的合法性、合规性；</w:t>
      </w:r>
    </w:p>
    <w:p w14:paraId="7580A3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6.4 乙方在提供法律服务期间，应保持与甲方的良好沟通和联系，根据甲方意见及时调整工作安排，提高服务质量。乙方及其律师变更联系方式的，应当及时通知甲方；</w:t>
      </w:r>
    </w:p>
    <w:p w14:paraId="51FDE5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6.5 乙方及其律师不得超越甲方授权行事；</w:t>
      </w:r>
    </w:p>
    <w:p w14:paraId="648DFE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6.6 乙方应指派具有相关经验和专长的律师办理本合同事项，对于重大、疑难事务，应组建项目团队集体分工合作办理；</w:t>
      </w:r>
    </w:p>
    <w:p w14:paraId="4518CC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    6.7乙方接受甲方委托办理本合同范围之外的法律事务时，给予最大限度优惠；</w:t>
      </w:r>
    </w:p>
    <w:p w14:paraId="24F6E7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6.8乙方对甲方业务应当单独建档，应当保存完整的工作记录，对涉及甲方的原始证据、法律文件和财物应当妥善保管；</w:t>
      </w:r>
    </w:p>
    <w:p w14:paraId="0C7516D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7.甲方的支持</w:t>
      </w:r>
    </w:p>
    <w:p w14:paraId="3C8EAA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7.1 甲方应如实提供与本合同服务事项有关的资料并说明有关情况；如服务事项有关情况和事实发生变化，应及时告知乙方及其律师；</w:t>
      </w:r>
    </w:p>
    <w:p w14:paraId="102CCC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7.2 甲方应指定专人负责与乙方联系，协调各部门向乙方发出的工作指令；如变更联系信息，应当及时通知乙方及其律师；</w:t>
      </w:r>
    </w:p>
    <w:p w14:paraId="7B3EAE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7.3 甲方应提前合理的时间向乙方发出明确的工作指令；</w:t>
      </w:r>
    </w:p>
    <w:p w14:paraId="627C88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7.4 甲方不应向乙方及其律师提出与法律以及律师职业道德和执业纪律的规定相冲突的服务要求；</w:t>
      </w:r>
    </w:p>
    <w:p w14:paraId="5C7A7C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7.5 甲方不应与乙方律师另行签订任何服务合同，不应私自聘用乙方律师。</w:t>
      </w:r>
    </w:p>
    <w:p w14:paraId="307ADB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7.6 甲方应及时反馈意见，对乙方律师提供的服务进行考核与评价。</w:t>
      </w:r>
    </w:p>
    <w:p w14:paraId="44B229B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8. 知识产权</w:t>
      </w:r>
    </w:p>
    <w:p w14:paraId="2BD176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8.1 甲、乙双方均应保护对方的知识产权。未经对方同意，任何一方均不得擅自修改、复制或向第三人转让因履行本合同而自对方处取得的资料及文件（包括合同、协议及其他文件）或将其用于本合同以外的目的。</w:t>
      </w:r>
    </w:p>
    <w:p w14:paraId="29B260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8.2乙方及其律师在任何出版物（含各类内部资料和内部出版物）出版或发表任何与甲方经营管理活动相关的文章或在公开场合发表相关言论时，应事先征得甲方同意。</w:t>
      </w:r>
    </w:p>
    <w:p w14:paraId="783F3C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8.3本条约定在本合同终止后仍然继续有效，且不受合同解除、终止或无效的影响。</w:t>
      </w:r>
    </w:p>
    <w:p w14:paraId="61412E0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9.保密</w:t>
      </w:r>
    </w:p>
    <w:p w14:paraId="2DF5BC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9.1乙方及其律师应对在合同执行过程中了解到的涉及到甲方商业秘密的文件资料以及其他尚未公开的有关信息承担保密义务，并采取相应的保密措施。乙方应承担的保密义务包括但不限于：</w:t>
      </w:r>
    </w:p>
    <w:p w14:paraId="182ED4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9.1.1 未经甲方书面同意，不得将上述商业秘密、文件资料和信息披露给任何第三人；</w:t>
      </w:r>
    </w:p>
    <w:p w14:paraId="0A858D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9.1.2 不得将上述商业秘密、文件资料和信息用于本合同以外的其他目的；</w:t>
      </w:r>
    </w:p>
    <w:p w14:paraId="7885FF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9.1.3 在本合同终止或解除后或按甲方要求，及时将上述文件资料和信息返还甲方，或按甲方要求作适当处理。</w:t>
      </w:r>
    </w:p>
    <w:p w14:paraId="0A4126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9.2 上述保密义务的期限至相关商业秘密、文件资料或信息正式向社会公开之日或甲方书面解除乙方此合同项下保密义务之日止。</w:t>
      </w:r>
    </w:p>
    <w:p w14:paraId="7C071C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9.3乙方违反保密义务的，应承担一切法律责任并赔偿甲方因此遭受的全部损失。</w:t>
      </w:r>
    </w:p>
    <w:p w14:paraId="160B7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9.4本条约定在本合同终止后仍然继续有效，且不受合同解除、终止或无效的影响。</w:t>
      </w:r>
    </w:p>
    <w:p w14:paraId="1AD0508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10. 利益冲突禁止</w:t>
      </w:r>
    </w:p>
    <w:p w14:paraId="451A1B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10.1乙方应该将已经发生或者正在发生的、为与甲方有利益冲突的第三方当事人提供法律服务的情况及时、如实告知甲方，甲方有权选择签订合同、继续履行合同或解除合同。未经甲方许可，乙方不得为该第三方当事人提供任何法律服务。</w:t>
      </w:r>
    </w:p>
    <w:p w14:paraId="214CDB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10.2 乙方律师在为甲方提供法律服务期间，不得为甲方员工个人提供任何不利于甲方的咨询意见。</w:t>
      </w:r>
    </w:p>
    <w:p w14:paraId="0D6A452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11.违约责任</w:t>
      </w:r>
    </w:p>
    <w:p w14:paraId="7C0CB7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11.1 乙方及其律师出现下列行为的，甲方有权解除合同并拒绝支付律师服务费；已经支付的，甲方有权要求全部退还。给甲方造成损害或损失的，乙方应予以赔偿：</w:t>
      </w:r>
    </w:p>
    <w:p w14:paraId="7E5A2D3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11.1.1 违反第8条、第9条或第10条的规定；</w:t>
      </w:r>
    </w:p>
    <w:p w14:paraId="4E4D436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 xml:space="preserve"> 11.1.2 无故终止提供法律服务；</w:t>
      </w:r>
    </w:p>
    <w:p w14:paraId="3203E5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11.1.3 发生其他严重失职行为。</w:t>
      </w:r>
    </w:p>
    <w:p w14:paraId="598895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甲方未按照本合同第4条约定的期限和金额支付律师服务费的，应就逾期部分向乙方支付按照中国人民银行规定的同期贷款基准利率计算的逾期付款违约金。</w:t>
      </w:r>
    </w:p>
    <w:p w14:paraId="4CA24A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12. 适用法律</w:t>
      </w:r>
    </w:p>
    <w:p w14:paraId="049AC1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本合同的订立、解释、履行及争议解决，均适用中华人民共和国法律。</w:t>
      </w:r>
    </w:p>
    <w:p w14:paraId="2645D23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13. 争议解决</w:t>
      </w:r>
    </w:p>
    <w:p w14:paraId="41D8FB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13.1 因合同及合同有关事项发生的争议，双方应本着诚实信用原则，通过友好协商解决。经协商仍无法达成一致的，按以下第</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w:t>
      </w:r>
      <w:r>
        <w:rPr>
          <w:rFonts w:hint="eastAsia" w:ascii="仿宋" w:hAnsi="仿宋" w:eastAsia="仿宋" w:cs="仿宋"/>
          <w:color w:val="auto"/>
          <w:sz w:val="24"/>
        </w:rPr>
        <w:t>种方式处理：</w:t>
      </w:r>
    </w:p>
    <w:p w14:paraId="5FCFA00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（1）仲裁：提交_</w:t>
      </w:r>
      <w:r>
        <w:rPr>
          <w:rFonts w:hint="eastAsia" w:ascii="仿宋" w:hAnsi="仿宋" w:eastAsia="仿宋" w:cs="仿宋"/>
          <w:color w:val="auto"/>
          <w:sz w:val="24"/>
          <w:u w:val="single"/>
          <w:lang w:eastAsia="zh-CN"/>
        </w:rPr>
        <w:t>衢州</w:t>
      </w:r>
      <w:r>
        <w:rPr>
          <w:rFonts w:hint="eastAsia" w:ascii="仿宋" w:hAnsi="仿宋" w:eastAsia="仿宋" w:cs="仿宋"/>
          <w:color w:val="auto"/>
          <w:sz w:val="24"/>
        </w:rPr>
        <w:t>_仲裁，按照申请仲裁时该仲裁机构有效的仲裁规则</w:t>
      </w:r>
      <w:r>
        <w:rPr>
          <w:rStyle w:val="24"/>
          <w:rFonts w:hint="eastAsia" w:ascii="仿宋" w:hAnsi="仿宋" w:eastAsia="仿宋" w:cs="仿宋"/>
          <w:color w:val="auto"/>
          <w:sz w:val="24"/>
        </w:rPr>
        <w:footnoteReference w:id="0"/>
      </w:r>
      <w:r>
        <w:rPr>
          <w:rFonts w:hint="eastAsia" w:ascii="仿宋" w:hAnsi="仿宋" w:eastAsia="仿宋" w:cs="仿宋"/>
          <w:color w:val="auto"/>
          <w:sz w:val="24"/>
        </w:rPr>
        <w:t>进行仲裁。仲裁裁决是终局的，对双方均有约束力。</w:t>
      </w:r>
    </w:p>
    <w:p w14:paraId="7BA420B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（2）诉讼：向</w:t>
      </w:r>
      <w:r>
        <w:rPr>
          <w:rFonts w:hint="eastAsia" w:ascii="仿宋" w:hAnsi="仿宋" w:eastAsia="仿宋" w:cs="仿宋"/>
          <w:color w:val="auto"/>
          <w:sz w:val="24"/>
          <w:u w:val="single"/>
        </w:rPr>
        <w:t xml:space="preserve">  甲方  </w:t>
      </w:r>
      <w:r>
        <w:rPr>
          <w:rFonts w:hint="eastAsia" w:ascii="仿宋" w:hAnsi="仿宋" w:eastAsia="仿宋" w:cs="仿宋"/>
          <w:color w:val="auto"/>
          <w:sz w:val="24"/>
        </w:rPr>
        <w:t>所在地人民法院提起诉讼。</w:t>
      </w:r>
    </w:p>
    <w:p w14:paraId="192E6D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13.2在争议解决期间，合同中未涉及争议部分的条款仍须履行。</w:t>
      </w:r>
    </w:p>
    <w:p w14:paraId="7F9C1D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14. 合同生效</w:t>
      </w:r>
    </w:p>
    <w:p w14:paraId="3B66C5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本合同经双方</w:t>
      </w:r>
      <w:r>
        <w:rPr>
          <w:rFonts w:hint="eastAsia" w:ascii="仿宋" w:hAnsi="仿宋" w:eastAsia="仿宋" w:cs="仿宋"/>
          <w:color w:val="auto"/>
          <w:sz w:val="24"/>
          <w:lang w:eastAsia="zh-CN"/>
        </w:rPr>
        <w:t>负责人</w:t>
      </w:r>
      <w:r>
        <w:rPr>
          <w:rFonts w:hint="eastAsia" w:ascii="仿宋" w:hAnsi="仿宋" w:eastAsia="仿宋" w:cs="仿宋"/>
          <w:color w:val="auto"/>
          <w:sz w:val="24"/>
        </w:rPr>
        <w:t>（负责人）或其授权代表签署并加盖双方公章或合同专用章之日起生效。合同签订日期以最后一方签署并加盖公章或合同专用章的日期为准。</w:t>
      </w:r>
    </w:p>
    <w:p w14:paraId="48AAE4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15. 联系方式</w:t>
      </w:r>
    </w:p>
    <w:p w14:paraId="6EE205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甲乙双方在合同签署页载明的联系电话、电子信箱、传真，是双方履行本合同约定的联系方式，如有变更应及时通知对方。</w:t>
      </w:r>
    </w:p>
    <w:p w14:paraId="0152DCD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16. 份数</w:t>
      </w:r>
    </w:p>
    <w:p w14:paraId="600F6C49">
      <w:pPr>
        <w:spacing w:line="40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rPr>
        <w:t>本合同一式</w:t>
      </w:r>
      <w:r>
        <w:rPr>
          <w:rFonts w:hint="eastAsia" w:ascii="仿宋" w:hAnsi="仿宋" w:eastAsia="仿宋" w:cs="仿宋"/>
          <w:color w:val="auto"/>
          <w:sz w:val="24"/>
          <w:u w:val="single"/>
        </w:rPr>
        <w:t xml:space="preserve"> 四 </w:t>
      </w:r>
      <w:r>
        <w:rPr>
          <w:rFonts w:hint="eastAsia" w:ascii="仿宋" w:hAnsi="仿宋" w:eastAsia="仿宋" w:cs="仿宋"/>
          <w:color w:val="auto"/>
          <w:sz w:val="24"/>
        </w:rPr>
        <w:t>份，甲、乙双方各执</w:t>
      </w:r>
      <w:r>
        <w:rPr>
          <w:rFonts w:hint="eastAsia" w:ascii="仿宋" w:hAnsi="仿宋" w:eastAsia="仿宋" w:cs="仿宋"/>
          <w:color w:val="auto"/>
          <w:sz w:val="24"/>
          <w:u w:val="single"/>
        </w:rPr>
        <w:t xml:space="preserve"> 二 </w:t>
      </w:r>
      <w:r>
        <w:rPr>
          <w:rFonts w:hint="eastAsia" w:ascii="仿宋" w:hAnsi="仿宋" w:eastAsia="仿宋" w:cs="仿宋"/>
          <w:color w:val="auto"/>
          <w:sz w:val="24"/>
        </w:rPr>
        <w:t>份，具有同等效力。</w:t>
      </w:r>
    </w:p>
    <w:p w14:paraId="3080CD5B">
      <w:pPr>
        <w:spacing w:line="520" w:lineRule="exact"/>
        <w:rPr>
          <w:rFonts w:hint="eastAsia" w:ascii="仿宋" w:hAnsi="仿宋" w:eastAsia="仿宋" w:cs="仿宋"/>
          <w:b/>
          <w:bCs/>
          <w:color w:val="auto"/>
          <w:sz w:val="24"/>
        </w:rPr>
      </w:pPr>
      <w:r>
        <w:rPr>
          <w:rFonts w:hint="eastAsia" w:ascii="仿宋" w:hAnsi="仿宋" w:eastAsia="仿宋" w:cs="仿宋"/>
          <w:b/>
          <w:bCs/>
          <w:color w:val="auto"/>
          <w:sz w:val="24"/>
        </w:rPr>
        <w:t>甲方（盖章）：</w:t>
      </w:r>
      <w:r>
        <w:rPr>
          <w:rFonts w:hint="eastAsia" w:ascii="仿宋" w:hAnsi="仿宋" w:eastAsia="仿宋" w:cs="仿宋"/>
          <w:b/>
          <w:bCs/>
          <w:color w:val="auto"/>
          <w:sz w:val="24"/>
          <w:lang w:eastAsia="zh-CN"/>
        </w:rPr>
        <w:t>衢州智慧新城管理委员会</w:t>
      </w:r>
      <w:r>
        <w:rPr>
          <w:rFonts w:hint="eastAsia" w:ascii="仿宋" w:hAnsi="仿宋" w:eastAsia="仿宋" w:cs="仿宋"/>
          <w:b/>
          <w:bCs/>
          <w:color w:val="auto"/>
          <w:sz w:val="24"/>
        </w:rPr>
        <w:t xml:space="preserve">  </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乙方（盖章）：</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 xml:space="preserve">           </w:t>
      </w:r>
    </w:p>
    <w:p w14:paraId="5532B7D4">
      <w:pPr>
        <w:spacing w:line="520" w:lineRule="exact"/>
        <w:rPr>
          <w:rFonts w:hint="eastAsia" w:ascii="仿宋" w:hAnsi="仿宋" w:eastAsia="仿宋" w:cs="仿宋"/>
          <w:b/>
          <w:bCs/>
          <w:color w:val="auto"/>
          <w:sz w:val="24"/>
        </w:rPr>
      </w:pPr>
      <w:r>
        <w:rPr>
          <w:rFonts w:hint="eastAsia" w:ascii="仿宋" w:hAnsi="仿宋" w:eastAsia="仿宋" w:cs="仿宋"/>
          <w:b/>
          <w:bCs/>
          <w:color w:val="auto"/>
          <w:sz w:val="24"/>
        </w:rPr>
        <w:t>代表（签名）：                              代表（签名）：</w:t>
      </w:r>
    </w:p>
    <w:p w14:paraId="079DF570">
      <w:pPr>
        <w:spacing w:line="52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rPr>
        <w:t>地址：</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地址：</w:t>
      </w:r>
      <w:r>
        <w:rPr>
          <w:rFonts w:hint="eastAsia" w:ascii="仿宋" w:hAnsi="仿宋" w:eastAsia="仿宋" w:cs="仿宋"/>
          <w:b/>
          <w:bCs/>
          <w:color w:val="auto"/>
          <w:sz w:val="24"/>
          <w:lang w:val="en-US" w:eastAsia="zh-CN"/>
        </w:rPr>
        <w:t xml:space="preserve"> </w:t>
      </w:r>
    </w:p>
    <w:p w14:paraId="2D7B6D85">
      <w:pPr>
        <w:spacing w:line="52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rPr>
        <w:t xml:space="preserve">联系人：                           </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rPr>
        <w:t xml:space="preserve">    联系人：</w:t>
      </w:r>
      <w:r>
        <w:rPr>
          <w:rFonts w:hint="eastAsia" w:ascii="仿宋" w:hAnsi="仿宋" w:eastAsia="仿宋" w:cs="仿宋"/>
          <w:b/>
          <w:bCs/>
          <w:color w:val="auto"/>
          <w:sz w:val="24"/>
          <w:lang w:val="en-US" w:eastAsia="zh-CN"/>
        </w:rPr>
        <w:t xml:space="preserve"> </w:t>
      </w:r>
    </w:p>
    <w:p w14:paraId="2CE4F1D1">
      <w:pPr>
        <w:spacing w:line="520" w:lineRule="exact"/>
        <w:rPr>
          <w:rFonts w:hint="eastAsia" w:ascii="仿宋" w:hAnsi="仿宋" w:eastAsia="仿宋" w:cs="仿宋"/>
          <w:b/>
          <w:bCs/>
          <w:color w:val="auto"/>
          <w:sz w:val="24"/>
        </w:rPr>
      </w:pPr>
      <w:r>
        <w:rPr>
          <w:rFonts w:hint="eastAsia" w:ascii="仿宋" w:hAnsi="仿宋" w:eastAsia="仿宋" w:cs="仿宋"/>
          <w:b/>
          <w:bCs/>
          <w:color w:val="auto"/>
          <w:sz w:val="24"/>
        </w:rPr>
        <w:t>联系电话：                                  联系电话：</w:t>
      </w:r>
    </w:p>
    <w:p w14:paraId="54F95B21">
      <w:pPr>
        <w:spacing w:line="520" w:lineRule="exact"/>
        <w:rPr>
          <w:rFonts w:hint="eastAsia" w:ascii="仿宋" w:hAnsi="仿宋" w:eastAsia="仿宋" w:cs="仿宋"/>
          <w:b/>
          <w:bCs/>
          <w:color w:val="auto"/>
          <w:sz w:val="24"/>
        </w:rPr>
      </w:pPr>
      <w:r>
        <w:rPr>
          <w:rFonts w:hint="eastAsia" w:ascii="仿宋" w:hAnsi="仿宋" w:eastAsia="仿宋" w:cs="仿宋"/>
          <w:b/>
          <w:bCs/>
          <w:color w:val="auto"/>
          <w:sz w:val="24"/>
        </w:rPr>
        <w:t>开户银行：                                  开户银行：</w:t>
      </w:r>
    </w:p>
    <w:p w14:paraId="54A4EE80">
      <w:pPr>
        <w:spacing w:line="520" w:lineRule="exact"/>
        <w:rPr>
          <w:rFonts w:hint="eastAsia" w:ascii="仿宋" w:hAnsi="仿宋" w:eastAsia="仿宋" w:cs="仿宋"/>
          <w:b/>
          <w:bCs/>
          <w:color w:val="auto"/>
          <w:sz w:val="24"/>
        </w:rPr>
      </w:pPr>
      <w:r>
        <w:rPr>
          <w:rFonts w:hint="eastAsia" w:ascii="仿宋" w:hAnsi="仿宋" w:eastAsia="仿宋" w:cs="仿宋"/>
          <w:b/>
          <w:bCs/>
          <w:color w:val="auto"/>
          <w:sz w:val="24"/>
        </w:rPr>
        <w:t>银行帐号：                                  银行帐号：</w:t>
      </w:r>
    </w:p>
    <w:p w14:paraId="62CC1AE8">
      <w:pPr>
        <w:spacing w:line="520" w:lineRule="exact"/>
        <w:rPr>
          <w:rFonts w:hint="eastAsia"/>
        </w:rPr>
      </w:pPr>
      <w:r>
        <w:rPr>
          <w:rFonts w:hint="eastAsia" w:ascii="仿宋" w:hAnsi="仿宋" w:eastAsia="仿宋" w:cs="仿宋"/>
          <w:b/>
          <w:bCs/>
          <w:color w:val="auto"/>
          <w:sz w:val="24"/>
        </w:rPr>
        <w:t>统一社会信用代码：                          统一社会信用代码：</w:t>
      </w:r>
    </w:p>
    <w:p w14:paraId="299425C3">
      <w:pPr>
        <w:snapToGrid/>
        <w:spacing w:line="520" w:lineRule="exact"/>
        <w:jc w:val="left"/>
        <w:outlineLvl w:val="9"/>
        <w:rPr>
          <w:rFonts w:hint="eastAsia" w:ascii="仿宋" w:hAnsi="仿宋" w:eastAsia="仿宋" w:cs="仿宋"/>
          <w:b/>
          <w:bCs/>
          <w:color w:val="auto"/>
          <w:sz w:val="24"/>
        </w:rPr>
      </w:pPr>
      <w:r>
        <w:rPr>
          <w:rFonts w:hint="eastAsia" w:ascii="仿宋" w:hAnsi="仿宋" w:eastAsia="仿宋" w:cs="仿宋"/>
          <w:b/>
          <w:bCs/>
          <w:color w:val="auto"/>
          <w:sz w:val="24"/>
        </w:rPr>
        <w:t>签订时间：    年    月    日                签订时间：    年    月    日</w:t>
      </w:r>
    </w:p>
    <w:p w14:paraId="4E72D661">
      <w:pPr>
        <w:rPr>
          <w:rFonts w:hint="eastAsia" w:ascii="宋体" w:hAnsi="宋体" w:eastAsia="宋体" w:cs="宋体"/>
          <w:color w:val="auto"/>
          <w:highlight w:val="none"/>
          <w:lang w:eastAsia="zh-CN"/>
        </w:rPr>
      </w:pPr>
    </w:p>
    <w:p w14:paraId="7FDA5676">
      <w:pPr>
        <w:pStyle w:val="3"/>
        <w:keepNext/>
        <w:keepLines/>
        <w:pageBreakBefore w:val="0"/>
        <w:widowControl w:val="0"/>
        <w:numPr>
          <w:ilvl w:val="0"/>
          <w:numId w:val="5"/>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5592"/>
      <w:bookmarkStart w:id="50" w:name="_Toc23864"/>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54697530">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2F5EA8E5">
      <w:pPr>
        <w:spacing w:before="60" w:after="60"/>
        <w:rPr>
          <w:rFonts w:hint="eastAsia" w:ascii="宋体" w:hAnsi="宋体" w:eastAsia="宋体" w:cs="宋体"/>
          <w:b/>
          <w:bCs/>
          <w:color w:val="auto"/>
          <w:sz w:val="24"/>
          <w:highlight w:val="none"/>
          <w:lang w:val="en-US" w:eastAsia="zh-CN"/>
        </w:rPr>
      </w:pPr>
    </w:p>
    <w:p w14:paraId="02AEEAC3">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617E68C0">
      <w:pPr>
        <w:snapToGrid w:val="0"/>
        <w:spacing w:line="360" w:lineRule="auto"/>
        <w:jc w:val="center"/>
        <w:rPr>
          <w:rFonts w:hint="eastAsia" w:ascii="宋体" w:hAnsi="宋体" w:eastAsia="宋体" w:cs="宋体"/>
          <w:b/>
          <w:bCs/>
          <w:color w:val="auto"/>
          <w:sz w:val="22"/>
          <w:szCs w:val="22"/>
          <w:highlight w:val="none"/>
        </w:rPr>
      </w:pPr>
    </w:p>
    <w:p w14:paraId="51A642B5">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5773D005">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12529317">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0547281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0D0D5DF6">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13A110EB">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664027A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2EF50A6F">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2C68180E">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50AC412C">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1F88C24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3DD0261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0D476567">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3AE86593">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2B1EC4CE">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2、律师事务所及专职律师参加此项采购活动前三年内，因违法执业或不规范执业受到行业主管部门行政处罚及处分。</w:t>
      </w:r>
    </w:p>
    <w:p w14:paraId="436AC5C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3659210B">
      <w:pPr>
        <w:pStyle w:val="19"/>
        <w:rPr>
          <w:rFonts w:hint="eastAsia"/>
          <w:lang w:val="en-US" w:eastAsia="zh-CN"/>
        </w:rPr>
      </w:pPr>
    </w:p>
    <w:p w14:paraId="6E54AF02">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03E36E26">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2A13C0D6">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080B1B21">
      <w:pPr>
        <w:pStyle w:val="19"/>
        <w:rPr>
          <w:rFonts w:hint="eastAsia"/>
        </w:rPr>
      </w:pPr>
    </w:p>
    <w:p w14:paraId="41958C9A">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15ED915F">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具有政府司法部门颁发律师事务所执业许可证的法律服务机构，提供证书扫描件。</w:t>
      </w:r>
    </w:p>
    <w:p w14:paraId="51C898DB">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14:paraId="1AFA9CDB">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74631F9">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28B0802">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6DD64FBC">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1C3F83B2">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32C55764">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6B745D5">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57BE7E0D">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51B2BCCE">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E6F9A76">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56AB533">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62C18C8">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54D30B2">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7759E5C3">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851ED8F">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B3B1B86">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19C956F">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806925E">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E68669C">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5164D02">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96148C4">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0AD7E16">
      <w:pPr>
        <w:bidi w:val="0"/>
        <w:rPr>
          <w:rFonts w:hint="eastAsia" w:ascii="宋体" w:hAnsi="宋体" w:eastAsia="宋体" w:cs="宋体"/>
          <w:b/>
          <w:kern w:val="0"/>
          <w:sz w:val="24"/>
          <w:szCs w:val="24"/>
          <w:highlight w:val="none"/>
        </w:rPr>
      </w:pPr>
      <w:r>
        <w:rPr>
          <w:rFonts w:hint="eastAsia" w:ascii="宋体" w:hAnsi="宋体" w:eastAsia="宋体" w:cs="宋体"/>
          <w:b/>
          <w:snapToGrid/>
          <w:kern w:val="0"/>
          <w:sz w:val="24"/>
          <w:szCs w:val="24"/>
          <w:highlight w:val="none"/>
          <w:lang w:val="zh-CN" w:eastAsia="zh-CN" w:bidi="ar-SA"/>
        </w:rPr>
        <w:sym w:font="Wingdings" w:char="00FE"/>
      </w:r>
      <w:r>
        <w:rPr>
          <w:rFonts w:hint="eastAsia" w:ascii="宋体" w:hAnsi="宋体" w:eastAsia="宋体" w:cs="宋体"/>
          <w:b/>
          <w:snapToGrid/>
          <w:kern w:val="0"/>
          <w:sz w:val="24"/>
          <w:szCs w:val="24"/>
          <w:highlight w:val="none"/>
          <w:lang w:val="en-US" w:eastAsia="zh-CN" w:bidi="ar-SA"/>
        </w:rPr>
        <w:t>3</w:t>
      </w:r>
      <w:r>
        <w:rPr>
          <w:rFonts w:hint="eastAsia" w:ascii="宋体" w:hAnsi="宋体" w:eastAsia="宋体" w:cs="宋体"/>
          <w:b/>
          <w:kern w:val="0"/>
          <w:sz w:val="24"/>
          <w:szCs w:val="24"/>
          <w:highlight w:val="none"/>
        </w:rPr>
        <w:t>、本项目的特定资格要求</w:t>
      </w:r>
    </w:p>
    <w:p w14:paraId="68BEFCCB">
      <w:pPr>
        <w:bidi w:val="0"/>
        <w:rPr>
          <w:rFonts w:hint="eastAsia"/>
          <w:highlight w:val="none"/>
        </w:rPr>
      </w:pPr>
    </w:p>
    <w:p w14:paraId="3AB94192">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项目负责人须</w:t>
      </w:r>
      <w:r>
        <w:rPr>
          <w:rFonts w:hint="eastAsia" w:ascii="宋体" w:hAnsi="宋体" w:eastAsia="宋体" w:cs="宋体"/>
          <w:sz w:val="24"/>
          <w:szCs w:val="24"/>
          <w:highlight w:val="none"/>
          <w:lang w:val="en-US" w:eastAsia="zh-CN"/>
        </w:rPr>
        <w:t>具有律师执业证书</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执业</w:t>
      </w:r>
      <w:r>
        <w:rPr>
          <w:rFonts w:hint="eastAsia" w:ascii="宋体" w:hAnsi="宋体" w:eastAsia="宋体" w:cs="宋体"/>
          <w:sz w:val="24"/>
          <w:szCs w:val="24"/>
          <w:highlight w:val="none"/>
          <w:lang w:eastAsia="zh-CN"/>
        </w:rPr>
        <w:t>证</w:t>
      </w:r>
      <w:r>
        <w:rPr>
          <w:rFonts w:hint="eastAsia" w:ascii="宋体" w:hAnsi="宋体" w:eastAsia="宋体" w:cs="宋体"/>
          <w:sz w:val="24"/>
          <w:szCs w:val="24"/>
          <w:highlight w:val="none"/>
          <w:lang w:val="en-US" w:eastAsia="zh-CN"/>
        </w:rPr>
        <w:t>书扫描件；</w:t>
      </w:r>
    </w:p>
    <w:p w14:paraId="04A59829">
      <w:pPr>
        <w:bidi w:val="0"/>
        <w:rPr>
          <w:rFonts w:hint="eastAsia"/>
          <w:highlight w:val="none"/>
        </w:rPr>
      </w:pPr>
    </w:p>
    <w:p w14:paraId="2392772B">
      <w:pPr>
        <w:bidi w:val="0"/>
        <w:rPr>
          <w:rFonts w:hint="eastAsia"/>
          <w:highlight w:val="none"/>
        </w:rPr>
      </w:pPr>
    </w:p>
    <w:p w14:paraId="29696371">
      <w:pPr>
        <w:bidi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4、提供未被“信用中国”（www.creditchina.gov.cn)、中国政府采购网（www.ccgp.gov.cn）列入失信被执行人、重大税收违法案件当事人名单、政府采购严重违法失信行为记录名单查询结果</w:t>
      </w:r>
    </w:p>
    <w:p w14:paraId="111CEA1B">
      <w:pPr>
        <w:bidi w:val="0"/>
        <w:rPr>
          <w:rFonts w:hint="eastAsia" w:ascii="宋体" w:hAnsi="宋体" w:eastAsia="宋体" w:cs="宋体"/>
          <w:sz w:val="24"/>
          <w:szCs w:val="24"/>
          <w:highlight w:val="none"/>
        </w:rPr>
      </w:pPr>
    </w:p>
    <w:p w14:paraId="7EC15768">
      <w:pPr>
        <w:pStyle w:val="7"/>
        <w:rPr>
          <w:rFonts w:hint="eastAsia" w:ascii="宋体" w:hAnsi="宋体" w:eastAsia="宋体" w:cs="宋体"/>
          <w:sz w:val="24"/>
          <w:szCs w:val="24"/>
          <w:highlight w:val="none"/>
        </w:rPr>
      </w:pPr>
    </w:p>
    <w:p w14:paraId="69A4D0D6">
      <w:pPr>
        <w:rPr>
          <w:rFonts w:hint="eastAsia"/>
          <w:highlight w:val="none"/>
        </w:rPr>
      </w:pPr>
    </w:p>
    <w:p w14:paraId="3141451A">
      <w:pPr>
        <w:pStyle w:val="7"/>
        <w:rPr>
          <w:rFonts w:hint="eastAsia"/>
          <w:highlight w:val="none"/>
        </w:rPr>
      </w:pPr>
    </w:p>
    <w:p w14:paraId="5492E609">
      <w:pPr>
        <w:rPr>
          <w:rFonts w:hint="eastAsia"/>
          <w:highlight w:val="none"/>
        </w:rPr>
      </w:pPr>
    </w:p>
    <w:p w14:paraId="249C1416">
      <w:pPr>
        <w:pStyle w:val="7"/>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napToGrid w:val="0"/>
          <w:color w:val="auto"/>
          <w:kern w:val="0"/>
          <w:sz w:val="24"/>
          <w:szCs w:val="24"/>
          <w:highlight w:val="none"/>
        </w:rPr>
        <w:t>供应商</w:t>
      </w:r>
      <w:r>
        <w:rPr>
          <w:rFonts w:hint="eastAsia" w:ascii="宋体" w:hAnsi="宋体" w:eastAsia="宋体" w:cs="宋体"/>
          <w:b/>
          <w:bCs/>
          <w:color w:val="auto"/>
          <w:sz w:val="24"/>
          <w:szCs w:val="24"/>
          <w:highlight w:val="none"/>
          <w:lang w:val="en-US" w:eastAsia="zh-CN"/>
        </w:rPr>
        <w:t>认为需要在资格审查文件里说明的其他材料（如有）</w:t>
      </w:r>
      <w:r>
        <w:rPr>
          <w:rFonts w:hint="eastAsia" w:ascii="宋体" w:hAnsi="宋体" w:eastAsia="宋体" w:cs="宋体"/>
          <w:b/>
          <w:bCs/>
          <w:color w:val="auto"/>
          <w:kern w:val="2"/>
          <w:sz w:val="24"/>
          <w:szCs w:val="24"/>
          <w:highlight w:val="none"/>
          <w:lang w:val="en-US" w:eastAsia="zh-CN" w:bidi="ar-SA"/>
        </w:rPr>
        <w:t>格式自拟</w:t>
      </w:r>
    </w:p>
    <w:p w14:paraId="3F060177">
      <w:pPr>
        <w:rPr>
          <w:rFonts w:hint="eastAsia"/>
          <w:highlight w:val="none"/>
        </w:rPr>
      </w:pPr>
    </w:p>
    <w:p w14:paraId="1F564F8C">
      <w:pPr>
        <w:pStyle w:val="7"/>
        <w:rPr>
          <w:rFonts w:hint="eastAsia"/>
          <w:highlight w:val="none"/>
        </w:rPr>
      </w:pPr>
    </w:p>
    <w:p w14:paraId="6BFBC7A7">
      <w:pPr>
        <w:rPr>
          <w:rFonts w:hint="eastAsia"/>
          <w:highlight w:val="none"/>
        </w:rPr>
      </w:pPr>
    </w:p>
    <w:p w14:paraId="7553FB35">
      <w:pPr>
        <w:pStyle w:val="7"/>
        <w:rPr>
          <w:rFonts w:hint="eastAsia"/>
          <w:highlight w:val="none"/>
        </w:rPr>
      </w:pPr>
    </w:p>
    <w:p w14:paraId="04F9D658">
      <w:pPr>
        <w:rPr>
          <w:rFonts w:hint="eastAsia"/>
          <w:highlight w:val="none"/>
        </w:rPr>
      </w:pPr>
    </w:p>
    <w:p w14:paraId="172CE2CF">
      <w:pPr>
        <w:pStyle w:val="7"/>
        <w:rPr>
          <w:rFonts w:hint="eastAsia"/>
          <w:highlight w:val="none"/>
        </w:rPr>
      </w:pPr>
    </w:p>
    <w:p w14:paraId="5F554097">
      <w:pPr>
        <w:rPr>
          <w:rFonts w:hint="eastAsia"/>
          <w:highlight w:val="none"/>
        </w:rPr>
      </w:pPr>
    </w:p>
    <w:p w14:paraId="32E02785">
      <w:pPr>
        <w:pStyle w:val="7"/>
        <w:rPr>
          <w:rFonts w:hint="eastAsia"/>
          <w:highlight w:val="none"/>
        </w:rPr>
      </w:pPr>
    </w:p>
    <w:p w14:paraId="019FE137">
      <w:pPr>
        <w:rPr>
          <w:rFonts w:hint="eastAsia"/>
          <w:highlight w:val="none"/>
        </w:rPr>
      </w:pPr>
    </w:p>
    <w:p w14:paraId="443371D3">
      <w:pPr>
        <w:pStyle w:val="7"/>
        <w:rPr>
          <w:rFonts w:hint="eastAsia"/>
          <w:highlight w:val="none"/>
        </w:rPr>
      </w:pPr>
    </w:p>
    <w:p w14:paraId="1DE1E1EE">
      <w:pPr>
        <w:rPr>
          <w:rFonts w:hint="eastAsia"/>
          <w:highlight w:val="none"/>
        </w:rPr>
      </w:pPr>
    </w:p>
    <w:p w14:paraId="2D57730E">
      <w:pPr>
        <w:pStyle w:val="7"/>
        <w:rPr>
          <w:rFonts w:hint="eastAsia"/>
          <w:highlight w:val="none"/>
        </w:rPr>
      </w:pPr>
    </w:p>
    <w:p w14:paraId="6A8C0C40">
      <w:pPr>
        <w:rPr>
          <w:rFonts w:hint="eastAsia"/>
          <w:highlight w:val="none"/>
        </w:rPr>
      </w:pPr>
    </w:p>
    <w:p w14:paraId="3F9F846E">
      <w:pPr>
        <w:pStyle w:val="7"/>
        <w:rPr>
          <w:rFonts w:hint="eastAsia"/>
          <w:highlight w:val="none"/>
        </w:rPr>
      </w:pPr>
    </w:p>
    <w:p w14:paraId="788ACB6E">
      <w:pPr>
        <w:rPr>
          <w:rFonts w:hint="eastAsia"/>
          <w:highlight w:val="none"/>
        </w:rPr>
      </w:pPr>
    </w:p>
    <w:p w14:paraId="2493767C">
      <w:pPr>
        <w:pStyle w:val="7"/>
        <w:rPr>
          <w:rFonts w:hint="eastAsia"/>
          <w:highlight w:val="none"/>
        </w:rPr>
      </w:pPr>
    </w:p>
    <w:p w14:paraId="2FD0D627">
      <w:pPr>
        <w:rPr>
          <w:rFonts w:hint="eastAsia"/>
          <w:highlight w:val="none"/>
        </w:rPr>
      </w:pPr>
    </w:p>
    <w:p w14:paraId="1BF1D478">
      <w:pPr>
        <w:pStyle w:val="7"/>
        <w:rPr>
          <w:rFonts w:hint="eastAsia"/>
          <w:highlight w:val="none"/>
        </w:rPr>
      </w:pPr>
    </w:p>
    <w:p w14:paraId="28C8C072">
      <w:pPr>
        <w:rPr>
          <w:rFonts w:hint="eastAsia"/>
          <w:highlight w:val="none"/>
        </w:rPr>
      </w:pPr>
    </w:p>
    <w:p w14:paraId="7B941643">
      <w:pPr>
        <w:pStyle w:val="7"/>
        <w:rPr>
          <w:rFonts w:hint="eastAsia"/>
          <w:highlight w:val="none"/>
        </w:rPr>
      </w:pPr>
    </w:p>
    <w:p w14:paraId="4347F551">
      <w:pPr>
        <w:rPr>
          <w:rFonts w:hint="eastAsia"/>
          <w:highlight w:val="none"/>
        </w:rPr>
      </w:pPr>
    </w:p>
    <w:p w14:paraId="55AE84FB">
      <w:pPr>
        <w:pStyle w:val="19"/>
        <w:rPr>
          <w:rFonts w:hint="eastAsia"/>
          <w:highlight w:val="none"/>
        </w:rPr>
      </w:pPr>
    </w:p>
    <w:p w14:paraId="2C06741B">
      <w:pPr>
        <w:pStyle w:val="19"/>
        <w:rPr>
          <w:rFonts w:hint="eastAsia"/>
          <w:highlight w:val="none"/>
        </w:rPr>
      </w:pPr>
    </w:p>
    <w:p w14:paraId="3A84193C">
      <w:pPr>
        <w:pStyle w:val="19"/>
        <w:rPr>
          <w:rFonts w:hint="eastAsia"/>
          <w:highlight w:val="none"/>
        </w:rPr>
      </w:pPr>
    </w:p>
    <w:p w14:paraId="31A1F73C">
      <w:pPr>
        <w:rPr>
          <w:rFonts w:hint="eastAsia"/>
          <w:highlight w:val="none"/>
        </w:rPr>
      </w:pPr>
    </w:p>
    <w:p w14:paraId="744815DF">
      <w:pPr>
        <w:rPr>
          <w:rFonts w:hint="eastAsia"/>
          <w:highlight w:val="none"/>
        </w:rPr>
      </w:pPr>
    </w:p>
    <w:p w14:paraId="0EEFB2A3">
      <w:pPr>
        <w:pStyle w:val="19"/>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商务技术文件</w:t>
      </w:r>
    </w:p>
    <w:p w14:paraId="30EB976F">
      <w:pPr>
        <w:autoSpaceDE w:val="0"/>
        <w:autoSpaceDN w:val="0"/>
        <w:adjustRightInd w:val="0"/>
        <w:spacing w:line="400" w:lineRule="exact"/>
        <w:jc w:val="center"/>
        <w:rPr>
          <w:rFonts w:hint="eastAsia" w:hAnsi="宋体"/>
          <w:bCs/>
          <w:sz w:val="30"/>
          <w:szCs w:val="30"/>
          <w:highlight w:val="none"/>
          <w:lang w:val="zh-CN"/>
        </w:rPr>
      </w:pPr>
    </w:p>
    <w:p w14:paraId="184E2E9A">
      <w:pPr>
        <w:autoSpaceDE w:val="0"/>
        <w:autoSpaceDN w:val="0"/>
        <w:adjustRightInd w:val="0"/>
        <w:spacing w:line="400" w:lineRule="exact"/>
        <w:jc w:val="center"/>
        <w:rPr>
          <w:rFonts w:hint="eastAsia" w:hAnsi="宋体"/>
          <w:bCs/>
          <w:sz w:val="30"/>
          <w:szCs w:val="30"/>
          <w:highlight w:val="none"/>
          <w:lang w:val="zh-CN"/>
        </w:rPr>
      </w:pPr>
    </w:p>
    <w:p w14:paraId="2A58ED77">
      <w:pPr>
        <w:pStyle w:val="19"/>
        <w:rPr>
          <w:rFonts w:hint="eastAsia" w:hAnsi="宋体"/>
          <w:bCs/>
          <w:sz w:val="30"/>
          <w:szCs w:val="30"/>
          <w:highlight w:val="none"/>
          <w:lang w:val="zh-CN"/>
        </w:rPr>
      </w:pPr>
    </w:p>
    <w:p w14:paraId="6859531C">
      <w:pPr>
        <w:snapToGrid w:val="0"/>
        <w:spacing w:line="520" w:lineRule="exact"/>
        <w:jc w:val="center"/>
        <w:rPr>
          <w:rFonts w:hint="eastAsia" w:ascii="仿宋" w:hAnsi="仿宋" w:eastAsia="仿宋" w:cs="仿宋"/>
          <w:color w:val="auto"/>
          <w:sz w:val="44"/>
          <w:szCs w:val="44"/>
        </w:rPr>
      </w:pPr>
      <w:bookmarkStart w:id="51" w:name="_Toc357410801"/>
      <w:r>
        <w:rPr>
          <w:rFonts w:hint="eastAsia" w:ascii="仿宋" w:hAnsi="仿宋" w:eastAsia="仿宋" w:cs="仿宋"/>
          <w:color w:val="auto"/>
          <w:sz w:val="44"/>
          <w:szCs w:val="44"/>
        </w:rPr>
        <w:t>（</w:t>
      </w:r>
      <w:r>
        <w:rPr>
          <w:rFonts w:hint="eastAsia" w:ascii="仿宋" w:hAnsi="仿宋" w:eastAsia="仿宋" w:cs="仿宋"/>
          <w:color w:val="auto"/>
          <w:sz w:val="44"/>
          <w:szCs w:val="44"/>
          <w:lang w:eastAsia="zh-CN"/>
        </w:rPr>
        <w:t>商务技术</w:t>
      </w:r>
      <w:r>
        <w:rPr>
          <w:rFonts w:hint="eastAsia" w:ascii="仿宋" w:hAnsi="仿宋" w:eastAsia="仿宋" w:cs="仿宋"/>
          <w:color w:val="auto"/>
          <w:sz w:val="44"/>
          <w:szCs w:val="44"/>
        </w:rPr>
        <w:t>文件、报价文件）</w:t>
      </w:r>
      <w:bookmarkEnd w:id="51"/>
    </w:p>
    <w:p w14:paraId="58786A35">
      <w:pPr>
        <w:snapToGrid w:val="0"/>
        <w:spacing w:line="520" w:lineRule="exact"/>
        <w:ind w:firstLine="1962" w:firstLineChars="698"/>
        <w:rPr>
          <w:rFonts w:hint="eastAsia" w:ascii="仿宋" w:hAnsi="仿宋" w:eastAsia="仿宋" w:cs="仿宋"/>
          <w:b/>
          <w:color w:val="auto"/>
          <w:sz w:val="28"/>
          <w:szCs w:val="28"/>
        </w:rPr>
      </w:pPr>
    </w:p>
    <w:p w14:paraId="53CF4DEF">
      <w:pPr>
        <w:snapToGrid w:val="0"/>
        <w:spacing w:line="600" w:lineRule="exact"/>
        <w:rPr>
          <w:rFonts w:hint="eastAsia" w:ascii="仿宋" w:hAnsi="仿宋" w:eastAsia="仿宋" w:cs="仿宋"/>
          <w:color w:val="auto"/>
          <w:sz w:val="28"/>
          <w:szCs w:val="28"/>
        </w:rPr>
      </w:pPr>
      <w:bookmarkStart w:id="52" w:name="_Toc357410802"/>
    </w:p>
    <w:p w14:paraId="17B31BC5">
      <w:pPr>
        <w:pStyle w:val="19"/>
        <w:rPr>
          <w:rFonts w:hint="eastAsia" w:ascii="仿宋" w:hAnsi="仿宋" w:eastAsia="仿宋" w:cs="仿宋"/>
          <w:color w:val="auto"/>
          <w:sz w:val="28"/>
          <w:szCs w:val="28"/>
        </w:rPr>
      </w:pPr>
    </w:p>
    <w:p w14:paraId="5C3F29B8">
      <w:pPr>
        <w:pStyle w:val="19"/>
        <w:rPr>
          <w:rFonts w:hint="eastAsia" w:ascii="仿宋" w:hAnsi="仿宋" w:eastAsia="仿宋" w:cs="仿宋"/>
          <w:color w:val="auto"/>
          <w:sz w:val="28"/>
          <w:szCs w:val="28"/>
        </w:rPr>
      </w:pPr>
    </w:p>
    <w:p w14:paraId="1519A848">
      <w:pPr>
        <w:pStyle w:val="19"/>
        <w:rPr>
          <w:rFonts w:hint="eastAsia" w:ascii="仿宋" w:hAnsi="仿宋" w:eastAsia="仿宋" w:cs="仿宋"/>
          <w:color w:val="auto"/>
          <w:sz w:val="28"/>
          <w:szCs w:val="28"/>
        </w:rPr>
      </w:pPr>
    </w:p>
    <w:p w14:paraId="5CB9B959">
      <w:pPr>
        <w:snapToGrid w:val="0"/>
        <w:spacing w:line="600" w:lineRule="exact"/>
        <w:rPr>
          <w:rFonts w:hint="eastAsia" w:ascii="仿宋" w:hAnsi="仿宋" w:eastAsia="仿宋" w:cs="仿宋"/>
          <w:color w:val="auto"/>
          <w:sz w:val="28"/>
          <w:szCs w:val="28"/>
        </w:rPr>
      </w:pPr>
    </w:p>
    <w:p w14:paraId="61D0C909">
      <w:pPr>
        <w:snapToGrid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项目名称：</w:t>
      </w:r>
      <w:bookmarkEnd w:id="52"/>
      <w:r>
        <w:rPr>
          <w:rFonts w:hint="eastAsia" w:ascii="仿宋" w:hAnsi="仿宋" w:eastAsia="仿宋" w:cs="仿宋"/>
          <w:color w:val="auto"/>
          <w:sz w:val="28"/>
          <w:szCs w:val="28"/>
          <w:u w:val="single"/>
        </w:rPr>
        <w:t xml:space="preserve">                                                </w:t>
      </w:r>
    </w:p>
    <w:p w14:paraId="0EBC9EA0">
      <w:pPr>
        <w:snapToGrid w:val="0"/>
        <w:spacing w:line="600" w:lineRule="exact"/>
        <w:rPr>
          <w:rFonts w:hint="eastAsia" w:ascii="仿宋" w:hAnsi="仿宋" w:eastAsia="仿宋" w:cs="仿宋"/>
          <w:color w:val="auto"/>
          <w:sz w:val="28"/>
          <w:szCs w:val="28"/>
        </w:rPr>
      </w:pPr>
      <w:bookmarkStart w:id="53" w:name="_Toc357410803"/>
    </w:p>
    <w:p w14:paraId="18DA8522">
      <w:pPr>
        <w:snapToGrid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bookmarkEnd w:id="53"/>
      <w:r>
        <w:rPr>
          <w:rFonts w:hint="eastAsia" w:ascii="仿宋" w:hAnsi="仿宋" w:eastAsia="仿宋" w:cs="仿宋"/>
          <w:color w:val="auto"/>
          <w:sz w:val="28"/>
          <w:szCs w:val="28"/>
          <w:u w:val="single"/>
        </w:rPr>
        <w:t xml:space="preserve">                                                </w:t>
      </w:r>
    </w:p>
    <w:p w14:paraId="6042EF47">
      <w:pPr>
        <w:snapToGrid w:val="0"/>
        <w:spacing w:line="600" w:lineRule="exact"/>
        <w:rPr>
          <w:rFonts w:hint="eastAsia" w:ascii="仿宋" w:hAnsi="仿宋" w:eastAsia="仿宋" w:cs="仿宋"/>
          <w:color w:val="auto"/>
          <w:sz w:val="28"/>
          <w:szCs w:val="28"/>
        </w:rPr>
      </w:pPr>
      <w:bookmarkStart w:id="54" w:name="_Toc357410804"/>
    </w:p>
    <w:p w14:paraId="658A724D">
      <w:pPr>
        <w:snapToGrid w:val="0"/>
        <w:spacing w:line="6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（盖章或电子签章）</w:t>
      </w:r>
      <w:bookmarkEnd w:id="54"/>
    </w:p>
    <w:p w14:paraId="07C8B5FA">
      <w:pPr>
        <w:pStyle w:val="19"/>
        <w:rPr>
          <w:rFonts w:hint="eastAsia"/>
        </w:rPr>
      </w:pPr>
    </w:p>
    <w:p w14:paraId="03A53767">
      <w:pPr>
        <w:snapToGrid w:val="0"/>
        <w:spacing w:line="600" w:lineRule="exact"/>
        <w:rPr>
          <w:rFonts w:hint="eastAsia" w:ascii="仿宋" w:hAnsi="仿宋" w:eastAsia="仿宋" w:cs="仿宋"/>
          <w:color w:val="auto"/>
          <w:sz w:val="28"/>
          <w:szCs w:val="28"/>
          <w:u w:val="single"/>
        </w:rPr>
      </w:pPr>
      <w:bookmarkStart w:id="55" w:name="_Toc357410805"/>
      <w:r>
        <w:rPr>
          <w:rFonts w:hint="eastAsia" w:ascii="仿宋" w:hAnsi="仿宋" w:eastAsia="仿宋" w:cs="仿宋"/>
          <w:color w:val="auto"/>
          <w:sz w:val="28"/>
          <w:szCs w:val="28"/>
          <w:u w:val="none"/>
          <w:lang w:eastAsia="zh-CN"/>
        </w:rPr>
        <w:t>法定代表人或其授权代表：</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（签字或盖章或电子签章）</w:t>
      </w:r>
    </w:p>
    <w:p w14:paraId="26686807">
      <w:pPr>
        <w:pStyle w:val="19"/>
        <w:rPr>
          <w:rFonts w:hint="eastAsia"/>
        </w:rPr>
      </w:pPr>
    </w:p>
    <w:p w14:paraId="7682627F">
      <w:pPr>
        <w:snapToGrid w:val="0"/>
        <w:spacing w:line="600" w:lineRule="exac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p>
    <w:p w14:paraId="02F84A05">
      <w:pPr>
        <w:snapToGrid w:val="0"/>
        <w:spacing w:line="600" w:lineRule="exact"/>
        <w:rPr>
          <w:rFonts w:hint="eastAsia" w:ascii="仿宋" w:hAnsi="仿宋" w:eastAsia="仿宋" w:cs="仿宋"/>
          <w:color w:val="auto"/>
          <w:sz w:val="28"/>
          <w:szCs w:val="28"/>
        </w:rPr>
      </w:pPr>
    </w:p>
    <w:p w14:paraId="3A32587F">
      <w:pPr>
        <w:pStyle w:val="19"/>
        <w:rPr>
          <w:rFonts w:hint="eastAsia"/>
        </w:rPr>
      </w:pPr>
    </w:p>
    <w:p w14:paraId="2F6E1E08">
      <w:pPr>
        <w:snapToGrid w:val="0"/>
        <w:spacing w:line="600" w:lineRule="exact"/>
        <w:ind w:firstLine="2800" w:firstLineChars="1000"/>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bookmarkEnd w:id="55"/>
      <w:r>
        <w:rPr>
          <w:rFonts w:hint="eastAsia" w:ascii="仿宋" w:hAnsi="仿宋" w:eastAsia="仿宋" w:cs="仿宋"/>
          <w:color w:val="auto"/>
          <w:sz w:val="28"/>
          <w:szCs w:val="28"/>
        </w:rPr>
        <w:t xml:space="preserve">        </w:t>
      </w:r>
    </w:p>
    <w:p w14:paraId="3AED14B3">
      <w:pPr>
        <w:snapToGrid w:val="0"/>
        <w:spacing w:line="520" w:lineRule="exact"/>
        <w:rPr>
          <w:rFonts w:hint="eastAsia" w:ascii="仿宋" w:hAnsi="仿宋" w:eastAsia="仿宋" w:cs="仿宋"/>
          <w:color w:val="auto"/>
          <w:sz w:val="28"/>
          <w:szCs w:val="28"/>
        </w:rPr>
      </w:pPr>
    </w:p>
    <w:p w14:paraId="6A42098A">
      <w:pPr>
        <w:snapToGrid w:val="0"/>
        <w:spacing w:line="520" w:lineRule="exact"/>
        <w:rPr>
          <w:rFonts w:hint="eastAsia" w:ascii="仿宋" w:hAnsi="仿宋" w:eastAsia="仿宋" w:cs="仿宋"/>
          <w:color w:val="auto"/>
          <w:sz w:val="28"/>
          <w:szCs w:val="28"/>
        </w:rPr>
      </w:pPr>
    </w:p>
    <w:p w14:paraId="58C56206">
      <w:pPr>
        <w:pStyle w:val="19"/>
        <w:rPr>
          <w:rFonts w:hint="eastAsia"/>
        </w:rPr>
      </w:pPr>
    </w:p>
    <w:p w14:paraId="7F902DFD">
      <w:pPr>
        <w:bidi w:val="0"/>
        <w:rPr>
          <w:rFonts w:hint="eastAsia"/>
          <w:highlight w:val="none"/>
          <w:lang w:val="en-US" w:eastAsia="zh-CN"/>
        </w:rPr>
      </w:pPr>
    </w:p>
    <w:p w14:paraId="6827B978">
      <w:pPr>
        <w:autoSpaceDE w:val="0"/>
        <w:autoSpaceDN w:val="0"/>
        <w:adjustRightInd w:val="0"/>
        <w:spacing w:line="380" w:lineRule="exact"/>
        <w:jc w:val="center"/>
        <w:rPr>
          <w:b/>
          <w:bCs/>
          <w:sz w:val="32"/>
          <w:szCs w:val="32"/>
          <w:highlight w:val="none"/>
          <w:lang w:val="zh-CN"/>
        </w:rPr>
      </w:pPr>
      <w:r>
        <w:rPr>
          <w:rFonts w:hint="eastAsia"/>
          <w:b/>
          <w:bCs/>
          <w:sz w:val="32"/>
          <w:szCs w:val="32"/>
          <w:highlight w:val="none"/>
          <w:lang w:val="zh-CN"/>
        </w:rPr>
        <w:t>自评表</w:t>
      </w:r>
    </w:p>
    <w:p w14:paraId="4FE007AB">
      <w:pPr>
        <w:autoSpaceDE w:val="0"/>
        <w:autoSpaceDN w:val="0"/>
        <w:adjustRightInd w:val="0"/>
        <w:spacing w:line="380" w:lineRule="exact"/>
        <w:jc w:val="center"/>
        <w:rPr>
          <w:b/>
          <w:bCs/>
          <w:sz w:val="32"/>
          <w:szCs w:val="32"/>
          <w:highlight w:val="none"/>
          <w:lang w:val="zh-CN"/>
        </w:rPr>
      </w:pPr>
    </w:p>
    <w:p w14:paraId="3CD8DF0A">
      <w:pPr>
        <w:autoSpaceDE w:val="0"/>
        <w:autoSpaceDN w:val="0"/>
        <w:adjustRightInd w:val="0"/>
        <w:spacing w:line="380" w:lineRule="exact"/>
        <w:jc w:val="left"/>
        <w:rPr>
          <w:rFonts w:hAnsi="宋体" w:cs="宋体"/>
          <w:bCs/>
          <w:sz w:val="21"/>
          <w:szCs w:val="21"/>
          <w:highlight w:val="none"/>
        </w:rPr>
      </w:pPr>
    </w:p>
    <w:p w14:paraId="593AD226">
      <w:pPr>
        <w:autoSpaceDE w:val="0"/>
        <w:autoSpaceDN w:val="0"/>
        <w:adjustRightInd w:val="0"/>
        <w:spacing w:line="380" w:lineRule="exact"/>
        <w:jc w:val="left"/>
        <w:rPr>
          <w:rFonts w:hAnsi="宋体" w:cs="宋体"/>
          <w:bCs/>
          <w:sz w:val="21"/>
          <w:szCs w:val="21"/>
          <w:highlight w:val="none"/>
        </w:rPr>
      </w:pPr>
      <w:r>
        <w:rPr>
          <w:rFonts w:hint="eastAsia" w:hAnsi="宋体" w:cs="宋体"/>
          <w:bCs/>
          <w:sz w:val="21"/>
          <w:szCs w:val="21"/>
          <w:highlight w:val="none"/>
        </w:rPr>
        <w:t>项目名称：</w:t>
      </w:r>
    </w:p>
    <w:p w14:paraId="43556914">
      <w:pPr>
        <w:autoSpaceDE w:val="0"/>
        <w:autoSpaceDN w:val="0"/>
        <w:adjustRightInd w:val="0"/>
        <w:spacing w:line="380" w:lineRule="exact"/>
        <w:jc w:val="center"/>
        <w:rPr>
          <w:b/>
          <w:bCs/>
          <w:sz w:val="32"/>
          <w:szCs w:val="32"/>
          <w:highlight w:val="none"/>
          <w:lang w:val="zh-CN"/>
        </w:rPr>
      </w:pPr>
    </w:p>
    <w:tbl>
      <w:tblPr>
        <w:tblStyle w:val="20"/>
        <w:tblW w:w="0" w:type="auto"/>
        <w:tblInd w:w="-136"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50"/>
        <w:gridCol w:w="1380"/>
        <w:gridCol w:w="4839"/>
        <w:gridCol w:w="1075"/>
        <w:gridCol w:w="864"/>
        <w:gridCol w:w="850"/>
      </w:tblGrid>
      <w:tr w14:paraId="40D9816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14:paraId="4089DEF7">
            <w:pPr>
              <w:autoSpaceDE w:val="0"/>
              <w:autoSpaceDN w:val="0"/>
              <w:adjustRightInd w:val="0"/>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AC147E4">
            <w:pPr>
              <w:autoSpaceDE w:val="0"/>
              <w:autoSpaceDN w:val="0"/>
              <w:adjustRightInd w:val="0"/>
              <w:spacing w:line="500" w:lineRule="exact"/>
              <w:ind w:firstLine="120" w:firstLineChars="5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评审内容</w:t>
            </w:r>
          </w:p>
        </w:tc>
        <w:tc>
          <w:tcPr>
            <w:tcW w:w="4839" w:type="dxa"/>
            <w:tcBorders>
              <w:top w:val="single" w:color="auto" w:sz="4" w:space="0"/>
              <w:left w:val="single" w:color="auto" w:sz="4" w:space="0"/>
              <w:bottom w:val="single" w:color="auto" w:sz="4" w:space="0"/>
              <w:right w:val="single" w:color="auto" w:sz="4" w:space="0"/>
            </w:tcBorders>
            <w:noWrap w:val="0"/>
            <w:vAlign w:val="center"/>
          </w:tcPr>
          <w:p w14:paraId="4DEFE027">
            <w:pPr>
              <w:widowControl/>
              <w:spacing w:line="5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评分标准</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FDA9895">
            <w:pPr>
              <w:autoSpaceDE w:val="0"/>
              <w:autoSpaceDN w:val="0"/>
              <w:adjustRightInd w:val="0"/>
              <w:spacing w:line="500" w:lineRule="exact"/>
              <w:ind w:left="-101" w:leftChars="-48" w:right="-113" w:rightChars="-54"/>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74F0C19">
            <w:pPr>
              <w:autoSpaceDE w:val="0"/>
              <w:autoSpaceDN w:val="0"/>
              <w:adjustRightInd w:val="0"/>
              <w:spacing w:line="500" w:lineRule="exact"/>
              <w:ind w:left="-101" w:leftChars="-48" w:right="-113" w:rightChars="-54"/>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自评分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551A96">
            <w:pPr>
              <w:autoSpaceDE w:val="0"/>
              <w:autoSpaceDN w:val="0"/>
              <w:adjustRightInd w:val="0"/>
              <w:spacing w:line="500" w:lineRule="exact"/>
              <w:ind w:left="-101" w:leftChars="-48" w:right="-113" w:rightChars="-54"/>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资料所在页码</w:t>
            </w:r>
          </w:p>
        </w:tc>
      </w:tr>
      <w:tr w14:paraId="735A936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14:paraId="4765BB1B">
            <w:pPr>
              <w:autoSpaceDE w:val="0"/>
              <w:autoSpaceDN w:val="0"/>
              <w:adjustRightIn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80" w:type="dxa"/>
            <w:tcBorders>
              <w:top w:val="single" w:color="auto" w:sz="4" w:space="0"/>
              <w:left w:val="single" w:color="auto" w:sz="4" w:space="0"/>
              <w:right w:val="single" w:color="auto" w:sz="4" w:space="0"/>
            </w:tcBorders>
            <w:noWrap w:val="0"/>
            <w:vAlign w:val="center"/>
          </w:tcPr>
          <w:p w14:paraId="42DAF46D">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right w:val="single" w:color="auto" w:sz="4" w:space="0"/>
            </w:tcBorders>
            <w:noWrap w:val="0"/>
            <w:vAlign w:val="center"/>
          </w:tcPr>
          <w:p w14:paraId="1742DD6A">
            <w:pPr>
              <w:widowControl/>
              <w:spacing w:line="500" w:lineRule="exact"/>
              <w:jc w:val="left"/>
              <w:rPr>
                <w:rFonts w:hint="eastAsia" w:ascii="仿宋" w:hAnsi="仿宋" w:eastAsia="仿宋" w:cs="仿宋"/>
                <w:color w:val="auto"/>
                <w:sz w:val="28"/>
                <w:szCs w:val="28"/>
              </w:rPr>
            </w:pPr>
          </w:p>
        </w:tc>
        <w:tc>
          <w:tcPr>
            <w:tcW w:w="1075" w:type="dxa"/>
            <w:tcBorders>
              <w:top w:val="single" w:color="auto" w:sz="4" w:space="0"/>
              <w:left w:val="single" w:color="auto" w:sz="4" w:space="0"/>
              <w:right w:val="single" w:color="auto" w:sz="4" w:space="0"/>
            </w:tcBorders>
            <w:noWrap w:val="0"/>
            <w:vAlign w:val="center"/>
          </w:tcPr>
          <w:p w14:paraId="0F65FF31">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66760F9">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F86CE6">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r>
      <w:tr w14:paraId="5EBF9F6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50" w:type="dxa"/>
            <w:tcBorders>
              <w:top w:val="single" w:color="auto" w:sz="4" w:space="0"/>
              <w:left w:val="single" w:color="auto" w:sz="4" w:space="0"/>
              <w:right w:val="single" w:color="auto" w:sz="4" w:space="0"/>
            </w:tcBorders>
            <w:noWrap w:val="0"/>
            <w:vAlign w:val="center"/>
          </w:tcPr>
          <w:p w14:paraId="4432A827">
            <w:pPr>
              <w:autoSpaceDE w:val="0"/>
              <w:autoSpaceDN w:val="0"/>
              <w:adjustRightIn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80" w:type="dxa"/>
            <w:tcBorders>
              <w:top w:val="single" w:color="auto" w:sz="4" w:space="0"/>
              <w:left w:val="single" w:color="auto" w:sz="4" w:space="0"/>
              <w:right w:val="single" w:color="auto" w:sz="4" w:space="0"/>
            </w:tcBorders>
            <w:noWrap w:val="0"/>
            <w:vAlign w:val="center"/>
          </w:tcPr>
          <w:p w14:paraId="76A35425">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right w:val="single" w:color="auto" w:sz="4" w:space="0"/>
            </w:tcBorders>
            <w:noWrap w:val="0"/>
            <w:vAlign w:val="center"/>
          </w:tcPr>
          <w:p w14:paraId="4605FB0E">
            <w:pPr>
              <w:widowControl/>
              <w:snapToGrid w:val="0"/>
              <w:spacing w:line="500" w:lineRule="exact"/>
              <w:rPr>
                <w:rFonts w:hint="eastAsia" w:ascii="仿宋" w:hAnsi="仿宋" w:eastAsia="仿宋" w:cs="仿宋"/>
                <w:color w:val="auto"/>
                <w:sz w:val="28"/>
                <w:szCs w:val="28"/>
              </w:rPr>
            </w:pPr>
          </w:p>
        </w:tc>
        <w:tc>
          <w:tcPr>
            <w:tcW w:w="1075" w:type="dxa"/>
            <w:tcBorders>
              <w:top w:val="single" w:color="auto" w:sz="4" w:space="0"/>
              <w:left w:val="single" w:color="auto" w:sz="4" w:space="0"/>
              <w:right w:val="single" w:color="auto" w:sz="4" w:space="0"/>
            </w:tcBorders>
            <w:noWrap w:val="0"/>
            <w:vAlign w:val="center"/>
          </w:tcPr>
          <w:p w14:paraId="17133028">
            <w:pPr>
              <w:autoSpaceDE w:val="0"/>
              <w:autoSpaceDN w:val="0"/>
              <w:adjustRightInd w:val="0"/>
              <w:snapToGrid w:val="0"/>
              <w:spacing w:line="500" w:lineRule="exact"/>
              <w:ind w:left="-94" w:leftChars="-45" w:right="-122" w:rightChars="-58"/>
              <w:jc w:val="center"/>
              <w:rPr>
                <w:rFonts w:hint="eastAsia" w:ascii="仿宋" w:hAnsi="仿宋" w:eastAsia="仿宋" w:cs="仿宋"/>
                <w:color w:val="auto"/>
                <w:kern w:val="0"/>
                <w:sz w:val="28"/>
                <w:szCs w:val="28"/>
              </w:rPr>
            </w:pPr>
          </w:p>
        </w:tc>
        <w:tc>
          <w:tcPr>
            <w:tcW w:w="864" w:type="dxa"/>
            <w:tcBorders>
              <w:top w:val="single" w:color="auto" w:sz="4" w:space="0"/>
              <w:left w:val="single" w:color="auto" w:sz="4" w:space="0"/>
              <w:right w:val="single" w:color="auto" w:sz="4" w:space="0"/>
            </w:tcBorders>
            <w:noWrap w:val="0"/>
            <w:vAlign w:val="center"/>
          </w:tcPr>
          <w:p w14:paraId="4D826D80">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50" w:type="dxa"/>
            <w:tcBorders>
              <w:top w:val="single" w:color="auto" w:sz="4" w:space="0"/>
              <w:left w:val="single" w:color="auto" w:sz="4" w:space="0"/>
              <w:right w:val="single" w:color="auto" w:sz="4" w:space="0"/>
            </w:tcBorders>
            <w:noWrap w:val="0"/>
            <w:vAlign w:val="center"/>
          </w:tcPr>
          <w:p w14:paraId="0283DD27">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r>
      <w:tr w14:paraId="1F399D9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right w:val="single" w:color="auto" w:sz="4" w:space="0"/>
            </w:tcBorders>
            <w:noWrap w:val="0"/>
            <w:vAlign w:val="center"/>
          </w:tcPr>
          <w:p w14:paraId="652E268F">
            <w:pPr>
              <w:autoSpaceDE w:val="0"/>
              <w:autoSpaceDN w:val="0"/>
              <w:adjustRightInd w:val="0"/>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117937B">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bottom w:val="single" w:color="auto" w:sz="4" w:space="0"/>
              <w:right w:val="single" w:color="auto" w:sz="4" w:space="0"/>
            </w:tcBorders>
            <w:noWrap w:val="0"/>
            <w:vAlign w:val="center"/>
          </w:tcPr>
          <w:p w14:paraId="6FA84F47">
            <w:pPr>
              <w:wordWrap w:val="0"/>
              <w:snapToGrid w:val="0"/>
              <w:spacing w:line="500" w:lineRule="exact"/>
              <w:rPr>
                <w:rFonts w:hint="eastAsia" w:ascii="仿宋" w:hAnsi="仿宋" w:eastAsia="仿宋" w:cs="仿宋"/>
                <w:color w:val="auto"/>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260CE77">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64" w:type="dxa"/>
            <w:tcBorders>
              <w:top w:val="single" w:color="auto" w:sz="4" w:space="0"/>
              <w:left w:val="single" w:color="auto" w:sz="4" w:space="0"/>
              <w:right w:val="single" w:color="auto" w:sz="4" w:space="0"/>
            </w:tcBorders>
            <w:noWrap w:val="0"/>
            <w:vAlign w:val="center"/>
          </w:tcPr>
          <w:p w14:paraId="238450D6">
            <w:pPr>
              <w:widowControl/>
              <w:snapToGrid w:val="0"/>
              <w:spacing w:line="500" w:lineRule="exact"/>
              <w:ind w:left="-136" w:leftChars="-65" w:right="-164" w:rightChars="-78" w:firstLine="140" w:firstLineChars="50"/>
              <w:jc w:val="center"/>
              <w:rPr>
                <w:rFonts w:hint="eastAsia" w:ascii="仿宋" w:hAnsi="仿宋" w:eastAsia="仿宋" w:cs="仿宋"/>
                <w:color w:val="auto"/>
                <w:sz w:val="28"/>
                <w:szCs w:val="28"/>
              </w:rPr>
            </w:pPr>
          </w:p>
        </w:tc>
        <w:tc>
          <w:tcPr>
            <w:tcW w:w="850" w:type="dxa"/>
            <w:tcBorders>
              <w:top w:val="single" w:color="auto" w:sz="4" w:space="0"/>
              <w:left w:val="single" w:color="auto" w:sz="4" w:space="0"/>
              <w:right w:val="single" w:color="auto" w:sz="4" w:space="0"/>
            </w:tcBorders>
            <w:noWrap w:val="0"/>
            <w:vAlign w:val="center"/>
          </w:tcPr>
          <w:p w14:paraId="1E1F1B66">
            <w:pPr>
              <w:widowControl/>
              <w:snapToGrid w:val="0"/>
              <w:spacing w:line="500" w:lineRule="exact"/>
              <w:ind w:left="-136" w:leftChars="-65" w:right="-164" w:rightChars="-78" w:firstLine="140" w:firstLineChars="50"/>
              <w:jc w:val="center"/>
              <w:rPr>
                <w:rFonts w:hint="eastAsia" w:ascii="仿宋" w:hAnsi="仿宋" w:eastAsia="仿宋" w:cs="仿宋"/>
                <w:color w:val="auto"/>
                <w:sz w:val="28"/>
                <w:szCs w:val="28"/>
              </w:rPr>
            </w:pPr>
          </w:p>
        </w:tc>
      </w:tr>
      <w:tr w14:paraId="6B57C97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14:paraId="0D2C8B63">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AA4CFB7">
            <w:pPr>
              <w:autoSpaceDE w:val="0"/>
              <w:autoSpaceDN w:val="0"/>
              <w:adjustRightInd w:val="0"/>
              <w:spacing w:line="500" w:lineRule="exact"/>
              <w:jc w:val="center"/>
              <w:rPr>
                <w:rFonts w:hint="eastAsia" w:ascii="仿宋" w:hAnsi="仿宋" w:eastAsia="仿宋" w:cs="仿宋"/>
                <w:color w:val="auto"/>
                <w:sz w:val="28"/>
                <w:szCs w:val="28"/>
              </w:rPr>
            </w:pPr>
          </w:p>
        </w:tc>
        <w:tc>
          <w:tcPr>
            <w:tcW w:w="4839" w:type="dxa"/>
            <w:tcBorders>
              <w:top w:val="single" w:color="auto" w:sz="4" w:space="0"/>
              <w:left w:val="single" w:color="auto" w:sz="4" w:space="0"/>
              <w:right w:val="single" w:color="auto" w:sz="4" w:space="0"/>
            </w:tcBorders>
            <w:noWrap w:val="0"/>
            <w:vAlign w:val="center"/>
          </w:tcPr>
          <w:p w14:paraId="53DE118F">
            <w:pPr>
              <w:widowControl/>
              <w:snapToGrid w:val="0"/>
              <w:spacing w:line="500" w:lineRule="exact"/>
              <w:rPr>
                <w:rFonts w:hint="eastAsia" w:ascii="仿宋" w:hAnsi="仿宋" w:eastAsia="仿宋" w:cs="仿宋"/>
                <w:color w:val="auto"/>
                <w:kern w:val="0"/>
                <w:sz w:val="28"/>
                <w:szCs w:val="28"/>
              </w:rPr>
            </w:pPr>
          </w:p>
        </w:tc>
        <w:tc>
          <w:tcPr>
            <w:tcW w:w="1075" w:type="dxa"/>
            <w:tcBorders>
              <w:top w:val="single" w:color="auto" w:sz="4" w:space="0"/>
              <w:left w:val="single" w:color="auto" w:sz="4" w:space="0"/>
              <w:right w:val="single" w:color="auto" w:sz="4" w:space="0"/>
            </w:tcBorders>
            <w:noWrap w:val="0"/>
            <w:vAlign w:val="center"/>
          </w:tcPr>
          <w:p w14:paraId="175D37D0">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7D7FA80">
            <w:pPr>
              <w:spacing w:line="500" w:lineRule="exact"/>
              <w:ind w:left="-101" w:leftChars="-48" w:right="-113" w:rightChars="-54"/>
              <w:jc w:val="center"/>
              <w:rPr>
                <w:rFonts w:hint="eastAsia" w:ascii="仿宋" w:hAnsi="仿宋" w:eastAsia="仿宋" w:cs="仿宋"/>
                <w:color w:val="auto"/>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08F66F7">
            <w:pPr>
              <w:spacing w:line="500" w:lineRule="exact"/>
              <w:ind w:left="-101" w:leftChars="-48" w:right="-113" w:rightChars="-54"/>
              <w:jc w:val="center"/>
              <w:rPr>
                <w:rFonts w:hint="eastAsia" w:ascii="仿宋" w:hAnsi="仿宋" w:eastAsia="仿宋" w:cs="仿宋"/>
                <w:color w:val="auto"/>
                <w:sz w:val="28"/>
                <w:szCs w:val="28"/>
              </w:rPr>
            </w:pPr>
          </w:p>
        </w:tc>
      </w:tr>
      <w:tr w14:paraId="6D718BF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50" w:type="dxa"/>
            <w:tcBorders>
              <w:top w:val="single" w:color="auto" w:sz="4" w:space="0"/>
              <w:left w:val="single" w:color="auto" w:sz="4" w:space="0"/>
              <w:right w:val="single" w:color="auto" w:sz="4" w:space="0"/>
            </w:tcBorders>
            <w:noWrap w:val="0"/>
            <w:vAlign w:val="center"/>
          </w:tcPr>
          <w:p w14:paraId="4226BC2E">
            <w:pPr>
              <w:widowControl/>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119CE20">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right w:val="single" w:color="auto" w:sz="4" w:space="0"/>
            </w:tcBorders>
            <w:noWrap w:val="0"/>
            <w:vAlign w:val="center"/>
          </w:tcPr>
          <w:p w14:paraId="6CD4E1F3">
            <w:pPr>
              <w:widowControl/>
              <w:snapToGrid w:val="0"/>
              <w:spacing w:line="500" w:lineRule="exact"/>
              <w:rPr>
                <w:rFonts w:hint="eastAsia" w:ascii="仿宋" w:hAnsi="仿宋" w:eastAsia="仿宋" w:cs="仿宋"/>
                <w:color w:val="auto"/>
                <w:kern w:val="0"/>
                <w:sz w:val="28"/>
                <w:szCs w:val="28"/>
              </w:rPr>
            </w:pPr>
          </w:p>
        </w:tc>
        <w:tc>
          <w:tcPr>
            <w:tcW w:w="1075" w:type="dxa"/>
            <w:tcBorders>
              <w:top w:val="single" w:color="auto" w:sz="4" w:space="0"/>
              <w:left w:val="single" w:color="auto" w:sz="4" w:space="0"/>
              <w:right w:val="single" w:color="auto" w:sz="4" w:space="0"/>
            </w:tcBorders>
            <w:noWrap w:val="0"/>
            <w:vAlign w:val="center"/>
          </w:tcPr>
          <w:p w14:paraId="35F21B33">
            <w:pPr>
              <w:autoSpaceDE w:val="0"/>
              <w:autoSpaceDN w:val="0"/>
              <w:adjustRightInd w:val="0"/>
              <w:spacing w:line="500" w:lineRule="exact"/>
              <w:ind w:left="-101" w:leftChars="-48" w:right="-113" w:rightChars="-54"/>
              <w:jc w:val="center"/>
              <w:rPr>
                <w:rFonts w:hint="eastAsia" w:ascii="仿宋" w:hAnsi="仿宋" w:eastAsia="仿宋" w:cs="仿宋"/>
                <w:color w:val="auto"/>
                <w:sz w:val="28"/>
                <w:szCs w:val="28"/>
              </w:rPr>
            </w:pPr>
          </w:p>
        </w:tc>
        <w:tc>
          <w:tcPr>
            <w:tcW w:w="864" w:type="dxa"/>
            <w:tcBorders>
              <w:top w:val="single" w:color="auto" w:sz="4" w:space="0"/>
              <w:left w:val="single" w:color="auto" w:sz="4" w:space="0"/>
              <w:right w:val="single" w:color="auto" w:sz="4" w:space="0"/>
            </w:tcBorders>
            <w:noWrap w:val="0"/>
            <w:vAlign w:val="center"/>
          </w:tcPr>
          <w:p w14:paraId="706C5279">
            <w:pPr>
              <w:widowControl/>
              <w:spacing w:line="500" w:lineRule="exact"/>
              <w:jc w:val="center"/>
              <w:rPr>
                <w:rFonts w:hint="eastAsia" w:ascii="仿宋" w:hAnsi="仿宋" w:eastAsia="仿宋" w:cs="仿宋"/>
                <w:color w:val="auto"/>
                <w:kern w:val="0"/>
                <w:sz w:val="28"/>
                <w:szCs w:val="28"/>
              </w:rPr>
            </w:pPr>
          </w:p>
        </w:tc>
        <w:tc>
          <w:tcPr>
            <w:tcW w:w="850" w:type="dxa"/>
            <w:tcBorders>
              <w:top w:val="single" w:color="auto" w:sz="4" w:space="0"/>
              <w:left w:val="single" w:color="auto" w:sz="4" w:space="0"/>
              <w:right w:val="single" w:color="auto" w:sz="4" w:space="0"/>
            </w:tcBorders>
            <w:noWrap w:val="0"/>
            <w:vAlign w:val="center"/>
          </w:tcPr>
          <w:p w14:paraId="1DFAF323">
            <w:pPr>
              <w:widowControl/>
              <w:spacing w:line="500" w:lineRule="exact"/>
              <w:jc w:val="center"/>
              <w:rPr>
                <w:rFonts w:hint="eastAsia" w:ascii="仿宋" w:hAnsi="仿宋" w:eastAsia="仿宋" w:cs="仿宋"/>
                <w:color w:val="auto"/>
                <w:kern w:val="0"/>
                <w:sz w:val="28"/>
                <w:szCs w:val="28"/>
              </w:rPr>
            </w:pPr>
          </w:p>
        </w:tc>
      </w:tr>
      <w:tr w14:paraId="6FE9B25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right w:val="single" w:color="auto" w:sz="4" w:space="0"/>
            </w:tcBorders>
            <w:noWrap w:val="0"/>
            <w:vAlign w:val="center"/>
          </w:tcPr>
          <w:p w14:paraId="028B2FDD">
            <w:pPr>
              <w:snapToGrid w:val="0"/>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375512">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right w:val="single" w:color="auto" w:sz="4" w:space="0"/>
            </w:tcBorders>
            <w:noWrap w:val="0"/>
            <w:vAlign w:val="center"/>
          </w:tcPr>
          <w:p w14:paraId="0D361809">
            <w:pPr>
              <w:widowControl/>
              <w:snapToGrid w:val="0"/>
              <w:spacing w:line="500" w:lineRule="exact"/>
              <w:rPr>
                <w:rFonts w:hint="eastAsia" w:ascii="仿宋" w:hAnsi="仿宋" w:eastAsia="仿宋" w:cs="仿宋"/>
                <w:color w:val="auto"/>
                <w:kern w:val="0"/>
                <w:sz w:val="28"/>
                <w:szCs w:val="28"/>
              </w:rPr>
            </w:pPr>
          </w:p>
        </w:tc>
        <w:tc>
          <w:tcPr>
            <w:tcW w:w="1075" w:type="dxa"/>
            <w:tcBorders>
              <w:top w:val="single" w:color="auto" w:sz="4" w:space="0"/>
              <w:left w:val="single" w:color="auto" w:sz="4" w:space="0"/>
              <w:right w:val="single" w:color="auto" w:sz="4" w:space="0"/>
            </w:tcBorders>
            <w:noWrap w:val="0"/>
            <w:vAlign w:val="center"/>
          </w:tcPr>
          <w:p w14:paraId="5FEC18BD">
            <w:pPr>
              <w:autoSpaceDE w:val="0"/>
              <w:autoSpaceDN w:val="0"/>
              <w:adjustRightInd w:val="0"/>
              <w:snapToGrid w:val="0"/>
              <w:spacing w:line="500" w:lineRule="exact"/>
              <w:ind w:left="-94" w:leftChars="-45" w:right="-122" w:rightChars="-58"/>
              <w:jc w:val="center"/>
              <w:rPr>
                <w:rFonts w:hint="eastAsia" w:ascii="仿宋" w:hAnsi="仿宋" w:eastAsia="仿宋" w:cs="仿宋"/>
                <w:color w:val="auto"/>
                <w:kern w:val="0"/>
                <w:sz w:val="28"/>
                <w:szCs w:val="28"/>
              </w:rPr>
            </w:pPr>
          </w:p>
        </w:tc>
        <w:tc>
          <w:tcPr>
            <w:tcW w:w="864" w:type="dxa"/>
            <w:tcBorders>
              <w:top w:val="single" w:color="auto" w:sz="4" w:space="0"/>
              <w:left w:val="single" w:color="auto" w:sz="4" w:space="0"/>
              <w:right w:val="single" w:color="auto" w:sz="4" w:space="0"/>
            </w:tcBorders>
            <w:noWrap w:val="0"/>
            <w:vAlign w:val="center"/>
          </w:tcPr>
          <w:p w14:paraId="4BF4DA21">
            <w:pPr>
              <w:snapToGrid w:val="0"/>
              <w:spacing w:line="500" w:lineRule="exact"/>
              <w:ind w:left="-136" w:leftChars="-65" w:right="-164" w:rightChars="-78"/>
              <w:jc w:val="center"/>
              <w:rPr>
                <w:rFonts w:hint="eastAsia" w:ascii="仿宋" w:hAnsi="仿宋" w:eastAsia="仿宋" w:cs="仿宋"/>
                <w:color w:val="auto"/>
                <w:sz w:val="28"/>
                <w:szCs w:val="28"/>
              </w:rPr>
            </w:pPr>
          </w:p>
        </w:tc>
        <w:tc>
          <w:tcPr>
            <w:tcW w:w="850" w:type="dxa"/>
            <w:tcBorders>
              <w:top w:val="single" w:color="auto" w:sz="4" w:space="0"/>
              <w:left w:val="single" w:color="auto" w:sz="4" w:space="0"/>
              <w:right w:val="single" w:color="auto" w:sz="4" w:space="0"/>
            </w:tcBorders>
            <w:noWrap w:val="0"/>
            <w:vAlign w:val="center"/>
          </w:tcPr>
          <w:p w14:paraId="365C87EA">
            <w:pPr>
              <w:snapToGrid w:val="0"/>
              <w:spacing w:line="500" w:lineRule="exact"/>
              <w:ind w:left="-136" w:leftChars="-65" w:right="-164" w:rightChars="-78"/>
              <w:jc w:val="center"/>
              <w:rPr>
                <w:rFonts w:hint="eastAsia" w:ascii="仿宋" w:hAnsi="仿宋" w:eastAsia="仿宋" w:cs="仿宋"/>
                <w:color w:val="auto"/>
                <w:sz w:val="28"/>
                <w:szCs w:val="28"/>
              </w:rPr>
            </w:pPr>
          </w:p>
        </w:tc>
      </w:tr>
      <w:tr w14:paraId="7B2E99F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right w:val="single" w:color="auto" w:sz="4" w:space="0"/>
            </w:tcBorders>
            <w:noWrap w:val="0"/>
            <w:vAlign w:val="center"/>
          </w:tcPr>
          <w:p w14:paraId="7D9E57F1">
            <w:pPr>
              <w:snapToGrid w:val="0"/>
              <w:spacing w:line="5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C32311B">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bottom w:val="single" w:color="auto" w:sz="4" w:space="0"/>
              <w:right w:val="single" w:color="auto" w:sz="4" w:space="0"/>
            </w:tcBorders>
            <w:noWrap w:val="0"/>
            <w:vAlign w:val="center"/>
          </w:tcPr>
          <w:p w14:paraId="79114EC8">
            <w:pPr>
              <w:widowControl/>
              <w:snapToGrid w:val="0"/>
              <w:spacing w:line="500" w:lineRule="exact"/>
              <w:rPr>
                <w:rFonts w:hint="eastAsia" w:ascii="仿宋" w:hAnsi="仿宋" w:eastAsia="仿宋" w:cs="仿宋"/>
                <w:color w:val="auto"/>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44522E1">
            <w:pPr>
              <w:autoSpaceDE w:val="0"/>
              <w:autoSpaceDN w:val="0"/>
              <w:adjustRightInd w:val="0"/>
              <w:snapToGrid w:val="0"/>
              <w:spacing w:line="500" w:lineRule="exact"/>
              <w:ind w:left="-94" w:leftChars="-45" w:right="-122" w:rightChars="-58"/>
              <w:jc w:val="center"/>
              <w:rPr>
                <w:rFonts w:hint="eastAsia" w:ascii="仿宋" w:hAnsi="仿宋" w:eastAsia="仿宋" w:cs="仿宋"/>
                <w:color w:val="auto"/>
                <w:kern w:val="0"/>
                <w:sz w:val="28"/>
                <w:szCs w:val="28"/>
              </w:rPr>
            </w:pPr>
          </w:p>
        </w:tc>
        <w:tc>
          <w:tcPr>
            <w:tcW w:w="864" w:type="dxa"/>
            <w:tcBorders>
              <w:top w:val="single" w:color="auto" w:sz="4" w:space="0"/>
              <w:left w:val="single" w:color="auto" w:sz="4" w:space="0"/>
              <w:right w:val="single" w:color="auto" w:sz="4" w:space="0"/>
            </w:tcBorders>
            <w:noWrap w:val="0"/>
            <w:vAlign w:val="center"/>
          </w:tcPr>
          <w:p w14:paraId="396F3D1A">
            <w:pPr>
              <w:snapToGrid w:val="0"/>
              <w:spacing w:line="500" w:lineRule="exact"/>
              <w:ind w:left="-136" w:leftChars="-65" w:right="-164" w:rightChars="-78"/>
              <w:jc w:val="center"/>
              <w:rPr>
                <w:rFonts w:hint="eastAsia" w:ascii="仿宋" w:hAnsi="仿宋" w:eastAsia="仿宋" w:cs="仿宋"/>
                <w:color w:val="auto"/>
                <w:sz w:val="28"/>
                <w:szCs w:val="28"/>
              </w:rPr>
            </w:pPr>
          </w:p>
        </w:tc>
        <w:tc>
          <w:tcPr>
            <w:tcW w:w="850" w:type="dxa"/>
            <w:tcBorders>
              <w:top w:val="single" w:color="auto" w:sz="4" w:space="0"/>
              <w:left w:val="single" w:color="auto" w:sz="4" w:space="0"/>
              <w:right w:val="single" w:color="auto" w:sz="4" w:space="0"/>
            </w:tcBorders>
            <w:noWrap w:val="0"/>
            <w:vAlign w:val="center"/>
          </w:tcPr>
          <w:p w14:paraId="4C19413D">
            <w:pPr>
              <w:snapToGrid w:val="0"/>
              <w:spacing w:line="500" w:lineRule="exact"/>
              <w:ind w:left="-136" w:leftChars="-65" w:right="-164" w:rightChars="-78"/>
              <w:jc w:val="center"/>
              <w:rPr>
                <w:rFonts w:hint="eastAsia" w:ascii="仿宋" w:hAnsi="仿宋" w:eastAsia="仿宋" w:cs="仿宋"/>
                <w:color w:val="auto"/>
                <w:sz w:val="28"/>
                <w:szCs w:val="28"/>
              </w:rPr>
            </w:pPr>
          </w:p>
        </w:tc>
      </w:tr>
      <w:tr w14:paraId="30AEC77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14:paraId="6306EA0B">
            <w:pPr>
              <w:autoSpaceDE w:val="0"/>
              <w:autoSpaceDN w:val="0"/>
              <w:adjustRightInd w:val="0"/>
              <w:snapToGrid w:val="0"/>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4690FA3">
            <w:pPr>
              <w:autoSpaceDE w:val="0"/>
              <w:autoSpaceDN w:val="0"/>
              <w:adjustRightInd w:val="0"/>
              <w:spacing w:line="500" w:lineRule="exact"/>
              <w:jc w:val="center"/>
              <w:rPr>
                <w:rFonts w:hint="eastAsia" w:ascii="仿宋" w:hAnsi="仿宋" w:eastAsia="仿宋" w:cs="仿宋"/>
                <w:color w:val="auto"/>
                <w:sz w:val="28"/>
                <w:szCs w:val="28"/>
              </w:rPr>
            </w:pPr>
          </w:p>
        </w:tc>
        <w:tc>
          <w:tcPr>
            <w:tcW w:w="4839" w:type="dxa"/>
            <w:tcBorders>
              <w:top w:val="single" w:color="auto" w:sz="4" w:space="0"/>
              <w:left w:val="single" w:color="auto" w:sz="4" w:space="0"/>
              <w:bottom w:val="single" w:color="auto" w:sz="4" w:space="0"/>
              <w:right w:val="single" w:color="auto" w:sz="4" w:space="0"/>
            </w:tcBorders>
            <w:noWrap w:val="0"/>
            <w:vAlign w:val="center"/>
          </w:tcPr>
          <w:p w14:paraId="627731A8">
            <w:pPr>
              <w:widowControl/>
              <w:snapToGrid w:val="0"/>
              <w:spacing w:line="500" w:lineRule="exact"/>
              <w:rPr>
                <w:rFonts w:hint="eastAsia" w:ascii="仿宋" w:hAnsi="仿宋" w:eastAsia="仿宋" w:cs="仿宋"/>
                <w:color w:val="auto"/>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3EB8798">
            <w:pPr>
              <w:autoSpaceDE w:val="0"/>
              <w:autoSpaceDN w:val="0"/>
              <w:adjustRightInd w:val="0"/>
              <w:snapToGrid w:val="0"/>
              <w:spacing w:line="500" w:lineRule="exact"/>
              <w:ind w:left="-94" w:leftChars="-45" w:right="-122" w:rightChars="-58"/>
              <w:jc w:val="center"/>
              <w:rPr>
                <w:rFonts w:hint="eastAsia" w:ascii="仿宋" w:hAnsi="仿宋" w:eastAsia="仿宋" w:cs="仿宋"/>
                <w:color w:val="auto"/>
                <w:kern w:val="0"/>
                <w:sz w:val="28"/>
                <w:szCs w:val="2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8F50C85">
            <w:pPr>
              <w:autoSpaceDE w:val="0"/>
              <w:autoSpaceDN w:val="0"/>
              <w:adjustRightInd w:val="0"/>
              <w:snapToGrid w:val="0"/>
              <w:spacing w:line="500" w:lineRule="exact"/>
              <w:ind w:left="-101" w:leftChars="-48" w:right="-113" w:rightChars="-54"/>
              <w:jc w:val="center"/>
              <w:rPr>
                <w:rFonts w:hint="eastAsia" w:ascii="仿宋" w:hAnsi="仿宋" w:eastAsia="仿宋" w:cs="仿宋"/>
                <w:color w:val="auto"/>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CE2599F">
            <w:pPr>
              <w:autoSpaceDE w:val="0"/>
              <w:autoSpaceDN w:val="0"/>
              <w:adjustRightInd w:val="0"/>
              <w:snapToGrid w:val="0"/>
              <w:spacing w:line="500" w:lineRule="exact"/>
              <w:ind w:left="-101" w:leftChars="-48" w:right="-113" w:rightChars="-54"/>
              <w:jc w:val="center"/>
              <w:rPr>
                <w:rFonts w:hint="eastAsia" w:ascii="仿宋" w:hAnsi="仿宋" w:eastAsia="仿宋" w:cs="仿宋"/>
                <w:color w:val="auto"/>
                <w:sz w:val="28"/>
                <w:szCs w:val="28"/>
              </w:rPr>
            </w:pPr>
          </w:p>
        </w:tc>
      </w:tr>
      <w:tr w14:paraId="6FC8649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14:paraId="5027B283">
            <w:pPr>
              <w:autoSpaceDE w:val="0"/>
              <w:autoSpaceDN w:val="0"/>
              <w:adjustRightInd w:val="0"/>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0F32695">
            <w:pPr>
              <w:autoSpaceDE w:val="0"/>
              <w:autoSpaceDN w:val="0"/>
              <w:adjustRightInd w:val="0"/>
              <w:spacing w:line="500" w:lineRule="exact"/>
              <w:ind w:firstLine="140" w:firstLineChars="50"/>
              <w:jc w:val="center"/>
              <w:rPr>
                <w:rFonts w:hint="eastAsia" w:ascii="仿宋" w:hAnsi="仿宋" w:eastAsia="仿宋" w:cs="仿宋"/>
                <w:color w:val="auto"/>
                <w:sz w:val="28"/>
                <w:szCs w:val="28"/>
              </w:rPr>
            </w:pPr>
          </w:p>
        </w:tc>
        <w:tc>
          <w:tcPr>
            <w:tcW w:w="4839" w:type="dxa"/>
            <w:tcBorders>
              <w:top w:val="single" w:color="auto" w:sz="4" w:space="0"/>
              <w:left w:val="single" w:color="auto" w:sz="4" w:space="0"/>
              <w:bottom w:val="single" w:color="auto" w:sz="4" w:space="0"/>
              <w:right w:val="single" w:color="auto" w:sz="4" w:space="0"/>
            </w:tcBorders>
            <w:noWrap w:val="0"/>
            <w:vAlign w:val="center"/>
          </w:tcPr>
          <w:p w14:paraId="0240359B">
            <w:pPr>
              <w:widowControl/>
              <w:snapToGrid w:val="0"/>
              <w:spacing w:line="500" w:lineRule="exact"/>
              <w:rPr>
                <w:rFonts w:hint="eastAsia" w:ascii="仿宋" w:hAnsi="仿宋" w:eastAsia="仿宋" w:cs="仿宋"/>
                <w:color w:val="auto"/>
                <w:sz w:val="28"/>
                <w:szCs w:val="28"/>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5725899">
            <w:pPr>
              <w:autoSpaceDE w:val="0"/>
              <w:autoSpaceDN w:val="0"/>
              <w:adjustRightInd w:val="0"/>
              <w:snapToGrid w:val="0"/>
              <w:spacing w:line="500" w:lineRule="exact"/>
              <w:ind w:left="-94" w:leftChars="-45" w:right="-122" w:rightChars="-58"/>
              <w:jc w:val="center"/>
              <w:rPr>
                <w:rFonts w:hint="eastAsia" w:ascii="仿宋" w:hAnsi="仿宋" w:eastAsia="仿宋" w:cs="仿宋"/>
                <w:color w:val="auto"/>
                <w:kern w:val="0"/>
                <w:sz w:val="28"/>
                <w:szCs w:val="28"/>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535405E">
            <w:pPr>
              <w:widowControl/>
              <w:spacing w:line="500" w:lineRule="exact"/>
              <w:ind w:left="-102" w:leftChars="-49" w:right="-113" w:rightChars="-54" w:hanging="1"/>
              <w:jc w:val="center"/>
              <w:rPr>
                <w:rFonts w:hint="eastAsia" w:ascii="仿宋" w:hAnsi="仿宋" w:eastAsia="仿宋" w:cs="仿宋"/>
                <w:color w:val="auto"/>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4D2DA2">
            <w:pPr>
              <w:widowControl/>
              <w:spacing w:line="500" w:lineRule="exact"/>
              <w:ind w:left="-102" w:leftChars="-49" w:right="-113" w:rightChars="-54" w:hanging="1"/>
              <w:jc w:val="center"/>
              <w:rPr>
                <w:rFonts w:hint="eastAsia" w:ascii="仿宋" w:hAnsi="仿宋" w:eastAsia="仿宋" w:cs="仿宋"/>
                <w:color w:val="auto"/>
                <w:sz w:val="28"/>
                <w:szCs w:val="28"/>
              </w:rPr>
            </w:pPr>
          </w:p>
        </w:tc>
      </w:tr>
    </w:tbl>
    <w:p w14:paraId="65E0E2E7">
      <w:pPr>
        <w:autoSpaceDE w:val="0"/>
        <w:autoSpaceDN w:val="0"/>
        <w:adjustRightInd w:val="0"/>
        <w:spacing w:line="400" w:lineRule="exact"/>
        <w:rPr>
          <w:rFonts w:hAnsi="宋体"/>
          <w:b/>
          <w:sz w:val="24"/>
          <w:highlight w:val="none"/>
        </w:rPr>
      </w:pPr>
      <w:r>
        <w:rPr>
          <w:rFonts w:hAnsi="宋体"/>
          <w:b/>
          <w:sz w:val="24"/>
          <w:highlight w:val="none"/>
        </w:rPr>
        <w:t>注：按</w:t>
      </w:r>
      <w:r>
        <w:rPr>
          <w:rFonts w:hint="eastAsia" w:hAnsi="宋体"/>
          <w:b/>
          <w:sz w:val="24"/>
          <w:highlight w:val="none"/>
          <w:lang w:eastAsia="zh-CN"/>
        </w:rPr>
        <w:t>竞争性磋商文件评分</w:t>
      </w:r>
      <w:r>
        <w:rPr>
          <w:rFonts w:hAnsi="宋体"/>
          <w:b/>
          <w:sz w:val="24"/>
          <w:highlight w:val="none"/>
        </w:rPr>
        <w:t>办法评分项列入。</w:t>
      </w:r>
    </w:p>
    <w:p w14:paraId="22EC9290">
      <w:pPr>
        <w:autoSpaceDE w:val="0"/>
        <w:autoSpaceDN w:val="0"/>
        <w:adjustRightInd w:val="0"/>
        <w:spacing w:line="380" w:lineRule="exact"/>
        <w:rPr>
          <w:b/>
          <w:bCs/>
          <w:sz w:val="32"/>
          <w:szCs w:val="32"/>
          <w:highlight w:val="none"/>
        </w:rPr>
      </w:pPr>
    </w:p>
    <w:p w14:paraId="151C6051">
      <w:pPr>
        <w:autoSpaceDE w:val="0"/>
        <w:autoSpaceDN w:val="0"/>
        <w:adjustRightInd w:val="0"/>
        <w:spacing w:line="400" w:lineRule="exact"/>
        <w:rPr>
          <w:rFonts w:hAnsi="宋体"/>
          <w:sz w:val="24"/>
          <w:szCs w:val="24"/>
          <w:highlight w:val="none"/>
          <w:u w:val="single"/>
        </w:rPr>
      </w:pPr>
      <w:r>
        <w:rPr>
          <w:rFonts w:hint="eastAsia" w:hAnsi="宋体"/>
          <w:sz w:val="24"/>
          <w:highlight w:val="none"/>
          <w:lang w:eastAsia="zh-CN"/>
        </w:rPr>
        <w:t>供应商</w:t>
      </w:r>
      <w:r>
        <w:rPr>
          <w:rFonts w:hint="eastAsia" w:hAnsi="宋体"/>
          <w:sz w:val="24"/>
          <w:highlight w:val="none"/>
        </w:rPr>
        <w:t>全称（盖章或电子签章）：</w:t>
      </w:r>
    </w:p>
    <w:p w14:paraId="49035DB1">
      <w:pPr>
        <w:snapToGrid w:val="0"/>
        <w:spacing w:line="400" w:lineRule="exact"/>
        <w:rPr>
          <w:rFonts w:hAnsi="宋体"/>
          <w:sz w:val="24"/>
          <w:szCs w:val="24"/>
          <w:highlight w:val="none"/>
        </w:rPr>
      </w:pPr>
      <w:r>
        <w:rPr>
          <w:rFonts w:hint="eastAsia" w:hAnsi="宋体"/>
          <w:sz w:val="24"/>
          <w:szCs w:val="24"/>
          <w:highlight w:val="none"/>
          <w:lang w:eastAsia="zh-CN"/>
        </w:rPr>
        <w:t>法定代表人或其授权代表</w:t>
      </w:r>
      <w:r>
        <w:rPr>
          <w:rFonts w:hint="eastAsia" w:hAnsi="宋体"/>
          <w:sz w:val="24"/>
          <w:szCs w:val="24"/>
          <w:highlight w:val="none"/>
        </w:rPr>
        <w:t>（签字或盖章或电子签章）：</w:t>
      </w:r>
    </w:p>
    <w:p w14:paraId="26172044">
      <w:pPr>
        <w:adjustRightInd w:val="0"/>
        <w:spacing w:line="500" w:lineRule="exact"/>
        <w:textAlignment w:val="baseline"/>
        <w:rPr>
          <w:rFonts w:hAnsi="宋体"/>
          <w:sz w:val="24"/>
          <w:highlight w:val="none"/>
        </w:rPr>
      </w:pPr>
      <w:r>
        <w:rPr>
          <w:rFonts w:hint="eastAsia" w:hAnsi="宋体"/>
          <w:sz w:val="24"/>
          <w:highlight w:val="none"/>
        </w:rPr>
        <w:t xml:space="preserve">日    期：    </w:t>
      </w:r>
    </w:p>
    <w:p w14:paraId="32F6D560">
      <w:pPr>
        <w:autoSpaceDE w:val="0"/>
        <w:autoSpaceDN w:val="0"/>
        <w:adjustRightInd w:val="0"/>
        <w:spacing w:line="380" w:lineRule="exact"/>
        <w:rPr>
          <w:b/>
          <w:bCs/>
          <w:sz w:val="32"/>
          <w:szCs w:val="32"/>
          <w:highlight w:val="none"/>
        </w:rPr>
      </w:pPr>
    </w:p>
    <w:p w14:paraId="2D9FA4D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3AA6ABD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6E09F497">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40F4D28A">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08A74397">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9108A05">
      <w:pPr>
        <w:bidi w:val="0"/>
        <w:rPr>
          <w:rFonts w:hint="eastAsia"/>
          <w:highlight w:val="none"/>
        </w:rPr>
      </w:pPr>
    </w:p>
    <w:p w14:paraId="512D096B">
      <w:pPr>
        <w:pStyle w:val="19"/>
        <w:rPr>
          <w:rFonts w:hint="eastAsia"/>
          <w:highlight w:val="none"/>
        </w:rPr>
      </w:pPr>
    </w:p>
    <w:p w14:paraId="72DCA8C3">
      <w:pPr>
        <w:pStyle w:val="6"/>
        <w:rPr>
          <w:rFonts w:hint="eastAsia"/>
          <w:highlight w:val="none"/>
        </w:rPr>
      </w:pPr>
    </w:p>
    <w:p w14:paraId="55BF11F1">
      <w:pPr>
        <w:pStyle w:val="7"/>
        <w:rPr>
          <w:rFonts w:hint="eastAsia"/>
          <w:highlight w:val="none"/>
        </w:rPr>
      </w:pPr>
    </w:p>
    <w:p w14:paraId="66411E79">
      <w:pPr>
        <w:keepNext w:val="0"/>
        <w:keepLines w:val="0"/>
        <w:pageBreakBefore w:val="0"/>
        <w:kinsoku/>
        <w:topLinePunct w:val="0"/>
        <w:bidi w:val="0"/>
        <w:spacing w:after="0"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 商 响 应 函</w:t>
      </w:r>
    </w:p>
    <w:p w14:paraId="4008698F">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（采购人名称）</w:t>
      </w:r>
      <w:r>
        <w:rPr>
          <w:rFonts w:hint="eastAsia" w:ascii="宋体" w:hAnsi="宋体" w:eastAsia="宋体" w:cs="宋体"/>
          <w:color w:val="auto"/>
          <w:sz w:val="24"/>
          <w:szCs w:val="24"/>
          <w:highlight w:val="none"/>
          <w:u w:val="none"/>
          <w:lang w:val="en-US" w:eastAsia="zh-CN"/>
        </w:rPr>
        <w:t xml:space="preserve">  </w:t>
      </w:r>
    </w:p>
    <w:p w14:paraId="298B805D">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p>
    <w:p w14:paraId="4D6949F6">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）的磋商公告，我方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（供应商名称）作为供应商正式授权</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授权代表全名，职务）代表我方处理有关本磋商的一切事宜。</w:t>
      </w:r>
    </w:p>
    <w:p w14:paraId="33851BDA">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在此提交的磋商响应文件中，包括如下内容：</w:t>
      </w:r>
    </w:p>
    <w:p w14:paraId="50DDD0D7">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（—）政采云系统提交电子响应文件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6B3B8C22">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（二）介质存储的数据电文形式的备份电子响应文件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3D12C149">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我方己完全明白磋商文件的所有条款要求，并重申以下几点：</w:t>
      </w:r>
    </w:p>
    <w:p w14:paraId="46A0FD1E">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（一）本磋商响应文件的有效期自磋商截止日起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天内有效，如成交，有效期将延至合同终止日为止；</w:t>
      </w:r>
    </w:p>
    <w:p w14:paraId="725B238C">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（二）我方已详细研究了磋商文件的所有内容包括修改书（如有）和所有已提供的参考资料以及有关附件，我方完全理解并同意放弃在此方面提出含糊意见或误解的一切权力；</w:t>
      </w:r>
    </w:p>
    <w:p w14:paraId="4FADCAFC">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（三）我方明白并愿意在规定的开标时间之后，在磋商有效期内不得撤回磋商；</w:t>
      </w:r>
    </w:p>
    <w:p w14:paraId="19A81C93">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（四）我方同意提供按照贵方可能要求的与磋商有关的一切数据或资料；</w:t>
      </w:r>
    </w:p>
    <w:p w14:paraId="10DD3E30">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（五）我方理解贵方不一定接受最低报价。</w:t>
      </w:r>
    </w:p>
    <w:p w14:paraId="3EC9FD6D">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（六）我方如果成交，将保证履行磋商文件以及磋商文件修改书（如有）中的全部责任和义务，按质、按量、按期完成《合同书》中的全部任务。</w:t>
      </w:r>
    </w:p>
    <w:p w14:paraId="4F4BA9EA">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（七）所有与本磋商项目有关的函件请发往下列地址：</w:t>
      </w:r>
    </w:p>
    <w:p w14:paraId="320FDCBD">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电话 /  传真：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14:paraId="3D07F98F">
      <w:pPr>
        <w:keepNext w:val="0"/>
        <w:keepLines w:val="0"/>
        <w:pageBreakBefore w:val="0"/>
        <w:widowControl/>
        <w:kinsoku/>
        <w:wordWrap/>
        <w:overflowPunct/>
        <w:topLinePunct w:val="0"/>
        <w:bidi w:val="0"/>
        <w:adjustRightInd w:val="0"/>
        <w:snapToGrid/>
        <w:spacing w:line="360" w:lineRule="auto"/>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p>
    <w:p w14:paraId="1E513336">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auto"/>
          <w:sz w:val="24"/>
          <w:szCs w:val="24"/>
          <w:highlight w:val="none"/>
        </w:rPr>
      </w:pPr>
    </w:p>
    <w:p w14:paraId="305683DC">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14:paraId="4CA21094">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供应商名称:</w:t>
      </w:r>
      <w:r>
        <w:rPr>
          <w:rFonts w:hint="eastAsia" w:ascii="宋体" w:hAnsi="宋体" w:eastAsia="宋体" w:cs="宋体"/>
          <w:color w:val="auto"/>
          <w:sz w:val="24"/>
          <w:szCs w:val="24"/>
          <w:highlight w:val="none"/>
          <w:u w:val="none"/>
          <w:lang w:val="zh-CN"/>
        </w:rPr>
        <w:t xml:space="preserve">    </w:t>
      </w:r>
      <w:r>
        <w:rPr>
          <w:rFonts w:hint="eastAsia" w:ascii="宋体" w:hAnsi="宋体" w:cs="宋体"/>
          <w:color w:val="auto"/>
          <w:sz w:val="24"/>
          <w:szCs w:val="24"/>
          <w:highlight w:val="none"/>
        </w:rPr>
        <w:t>（盖章或电子签章）</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none"/>
        </w:rPr>
        <w:t xml:space="preserve">     </w:t>
      </w:r>
    </w:p>
    <w:p w14:paraId="666FEEC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法定代表人或被</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rPr>
        <w:t>代</w:t>
      </w:r>
      <w:r>
        <w:rPr>
          <w:rFonts w:hint="eastAsia" w:ascii="宋体" w:hAnsi="宋体" w:eastAsia="宋体" w:cs="宋体"/>
          <w:color w:val="auto"/>
          <w:sz w:val="24"/>
          <w:szCs w:val="24"/>
          <w:highlight w:val="none"/>
          <w:lang w:eastAsia="zh-CN"/>
        </w:rPr>
        <w:t>表</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 xml:space="preserve"> </w:t>
      </w:r>
      <w:r>
        <w:rPr>
          <w:rFonts w:hint="eastAsia" w:ascii="宋体" w:hAnsi="宋体" w:cs="宋体"/>
          <w:color w:val="auto"/>
          <w:sz w:val="24"/>
          <w:szCs w:val="24"/>
          <w:highlight w:val="none"/>
        </w:rPr>
        <w:t>（签字或盖章或电子签章）</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lang w:val="zh-CN"/>
        </w:rPr>
        <w:t xml:space="preserve">     </w:t>
      </w:r>
    </w:p>
    <w:p w14:paraId="411C3DE9">
      <w:pPr>
        <w:widowControl/>
        <w:adjustRightInd w:val="0"/>
        <w:spacing w:line="360" w:lineRule="auto"/>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lang w:val="zh-CN"/>
        </w:rPr>
        <w:t xml:space="preserve">    </w:t>
      </w:r>
    </w:p>
    <w:p w14:paraId="7D102286">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p>
    <w:p w14:paraId="67A61773">
      <w:pPr>
        <w:keepNext w:val="0"/>
        <w:keepLines w:val="0"/>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p>
    <w:p w14:paraId="5C9B86F3">
      <w:pPr>
        <w:pStyle w:val="19"/>
        <w:rPr>
          <w:rFonts w:hint="eastAsia"/>
        </w:rPr>
      </w:pPr>
    </w:p>
    <w:p w14:paraId="79B49A5C">
      <w:pPr>
        <w:rPr>
          <w:rFonts w:hint="eastAsia"/>
          <w:highlight w:val="none"/>
        </w:rPr>
      </w:pPr>
    </w:p>
    <w:p w14:paraId="484F1F2D">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法定代表人资格证明书</w:t>
      </w:r>
    </w:p>
    <w:p w14:paraId="58CA729C">
      <w:pPr>
        <w:pStyle w:val="19"/>
        <w:rPr>
          <w:rFonts w:hint="eastAsia" w:ascii="宋体" w:hAnsi="宋体" w:eastAsia="宋体" w:cs="宋体"/>
          <w:b/>
          <w:bCs/>
          <w:sz w:val="24"/>
          <w:szCs w:val="24"/>
          <w:highlight w:val="none"/>
        </w:rPr>
      </w:pPr>
    </w:p>
    <w:p w14:paraId="58979126">
      <w:pPr>
        <w:pStyle w:val="19"/>
        <w:rPr>
          <w:rFonts w:hint="eastAsia" w:ascii="宋体" w:hAnsi="宋体" w:eastAsia="宋体" w:cs="宋体"/>
          <w:b/>
          <w:bCs/>
          <w:sz w:val="24"/>
          <w:szCs w:val="24"/>
          <w:highlight w:val="none"/>
          <w:lang w:val="zh-CN"/>
        </w:rPr>
      </w:pPr>
    </w:p>
    <w:p w14:paraId="1018ED4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6A4E4B98">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0EE05338">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4AE1F4">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66C05B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15E6ECE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700F780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名称）的法定代表人。</w:t>
      </w:r>
    </w:p>
    <w:p w14:paraId="5436E0D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4B98780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05600406">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17F58CCD">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68E45796">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1FABEF92">
      <w:pPr>
        <w:pStyle w:val="33"/>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197A4030">
      <w:pPr>
        <w:pStyle w:val="33"/>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w:t>
      </w:r>
    </w:p>
    <w:tbl>
      <w:tblPr>
        <w:tblStyle w:val="20"/>
        <w:tblW w:w="8330" w:type="dxa"/>
        <w:tblInd w:w="0" w:type="dxa"/>
        <w:tblLayout w:type="fixed"/>
        <w:tblCellMar>
          <w:top w:w="0" w:type="dxa"/>
          <w:left w:w="108" w:type="dxa"/>
          <w:bottom w:w="0" w:type="dxa"/>
          <w:right w:w="108" w:type="dxa"/>
        </w:tblCellMar>
      </w:tblPr>
      <w:tblGrid>
        <w:gridCol w:w="4077"/>
        <w:gridCol w:w="4253"/>
      </w:tblGrid>
      <w:tr w14:paraId="79576DF0">
        <w:tblPrEx>
          <w:tblCellMar>
            <w:top w:w="0" w:type="dxa"/>
            <w:left w:w="108" w:type="dxa"/>
            <w:bottom w:w="0" w:type="dxa"/>
            <w:right w:w="108" w:type="dxa"/>
          </w:tblCellMar>
        </w:tblPrEx>
        <w:trPr>
          <w:trHeight w:val="2423" w:hRule="atLeast"/>
        </w:trPr>
        <w:tc>
          <w:tcPr>
            <w:tcW w:w="4077" w:type="dxa"/>
            <w:tcBorders>
              <w:top w:val="single" w:color="auto" w:sz="4" w:space="0"/>
              <w:left w:val="single" w:color="auto" w:sz="4" w:space="0"/>
              <w:bottom w:val="single" w:color="auto" w:sz="4" w:space="0"/>
              <w:right w:val="single" w:color="auto" w:sz="4" w:space="0"/>
            </w:tcBorders>
          </w:tcPr>
          <w:p w14:paraId="699785E6">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0E0FAD38">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6B1F7F75">
            <w:pPr>
              <w:pStyle w:val="33"/>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51CEAEC7">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5DF8E0D6">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7825F87F">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法定代表人身份证扫描件</w:t>
            </w:r>
          </w:p>
          <w:p w14:paraId="13208F9A">
            <w:pPr>
              <w:pStyle w:val="33"/>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3CA3AC69">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3571B610">
      <w:pPr>
        <w:rPr>
          <w:highlight w:val="none"/>
        </w:rPr>
      </w:pPr>
    </w:p>
    <w:p w14:paraId="51613C0B">
      <w:pPr>
        <w:pStyle w:val="33"/>
        <w:rPr>
          <w:highlight w:val="none"/>
        </w:rPr>
      </w:pPr>
    </w:p>
    <w:p w14:paraId="336C14A3">
      <w:pPr>
        <w:pageBreakBefore/>
        <w:adjustRightInd w:val="0"/>
        <w:spacing w:line="500" w:lineRule="exact"/>
        <w:jc w:val="center"/>
        <w:textAlignment w:val="baseline"/>
        <w:rPr>
          <w:rFonts w:ascii="宋体" w:hAnsi="宋体" w:cs="宋体"/>
          <w:b/>
          <w:bCs/>
          <w:sz w:val="24"/>
          <w:szCs w:val="24"/>
          <w:highlight w:val="none"/>
        </w:rPr>
      </w:pPr>
      <w:r>
        <w:rPr>
          <w:rFonts w:hint="eastAsia" w:ascii="宋体" w:hAnsi="宋体" w:cs="宋体"/>
          <w:b/>
          <w:bCs/>
          <w:sz w:val="24"/>
          <w:szCs w:val="24"/>
          <w:highlight w:val="none"/>
        </w:rPr>
        <w:t>法定代表人授权书</w:t>
      </w:r>
    </w:p>
    <w:p w14:paraId="2686E4BB">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cs="宋体"/>
          <w:sz w:val="24"/>
          <w:szCs w:val="24"/>
          <w:highlight w:val="none"/>
          <w:u w:val="single"/>
        </w:rPr>
      </w:pPr>
      <w:r>
        <w:rPr>
          <w:rFonts w:hint="eastAsia" w:ascii="宋体" w:hAnsi="宋体" w:cs="宋体"/>
          <w:sz w:val="24"/>
          <w:szCs w:val="24"/>
          <w:highlight w:val="none"/>
          <w:lang w:val="zh-CN"/>
        </w:rPr>
        <w:t>致：</w:t>
      </w:r>
      <w:r>
        <w:rPr>
          <w:rFonts w:hint="eastAsia" w:ascii="宋体" w:hAnsi="宋体" w:cs="宋体"/>
          <w:sz w:val="24"/>
          <w:szCs w:val="24"/>
          <w:highlight w:val="none"/>
          <w:u w:val="single"/>
        </w:rPr>
        <w:t xml:space="preserve">                 </w:t>
      </w:r>
    </w:p>
    <w:p w14:paraId="0BD666C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本授权委托书声明：我</w:t>
      </w:r>
      <w:r>
        <w:rPr>
          <w:rFonts w:hint="eastAsia" w:ascii="宋体" w:hAnsi="宋体" w:cs="宋体"/>
          <w:sz w:val="24"/>
          <w:szCs w:val="24"/>
          <w:highlight w:val="none"/>
          <w:u w:val="single"/>
          <w:lang w:val="zh-CN"/>
        </w:rPr>
        <w:t>（法定代表人姓名）</w:t>
      </w:r>
      <w:r>
        <w:rPr>
          <w:rFonts w:hint="eastAsia" w:ascii="宋体" w:hAnsi="宋体" w:cs="宋体"/>
          <w:sz w:val="24"/>
          <w:szCs w:val="24"/>
          <w:highlight w:val="none"/>
          <w:lang w:val="zh-CN"/>
        </w:rPr>
        <w:t>系</w:t>
      </w:r>
      <w:r>
        <w:rPr>
          <w:rFonts w:hint="eastAsia" w:ascii="宋体" w:hAnsi="宋体" w:cs="宋体"/>
          <w:sz w:val="24"/>
          <w:szCs w:val="24"/>
          <w:highlight w:val="none"/>
          <w:u w:val="single"/>
          <w:lang w:val="zh-CN"/>
        </w:rPr>
        <w:t>（投标人名称）</w:t>
      </w:r>
      <w:r>
        <w:rPr>
          <w:rFonts w:hint="eastAsia" w:ascii="宋体" w:hAnsi="宋体" w:cs="宋体"/>
          <w:sz w:val="24"/>
          <w:szCs w:val="24"/>
          <w:highlight w:val="none"/>
          <w:lang w:val="zh-CN"/>
        </w:rPr>
        <w:t>的法定代表人，现授权委托</w:t>
      </w:r>
      <w:r>
        <w:rPr>
          <w:rFonts w:hint="eastAsia" w:ascii="宋体" w:hAnsi="宋体" w:cs="宋体"/>
          <w:sz w:val="24"/>
          <w:szCs w:val="24"/>
          <w:highlight w:val="none"/>
          <w:u w:val="single"/>
          <w:lang w:val="zh-CN"/>
        </w:rPr>
        <w:t>（单位名称）</w:t>
      </w:r>
      <w:r>
        <w:rPr>
          <w:rFonts w:hint="eastAsia" w:ascii="宋体" w:hAnsi="宋体" w:cs="宋体"/>
          <w:sz w:val="24"/>
          <w:szCs w:val="24"/>
          <w:highlight w:val="none"/>
          <w:lang w:val="zh-CN"/>
        </w:rPr>
        <w:t>的</w:t>
      </w:r>
      <w:r>
        <w:rPr>
          <w:rFonts w:hint="eastAsia" w:ascii="宋体" w:hAnsi="宋体" w:cs="宋体"/>
          <w:sz w:val="24"/>
          <w:szCs w:val="24"/>
          <w:highlight w:val="none"/>
          <w:u w:val="single"/>
          <w:lang w:val="zh-CN"/>
        </w:rPr>
        <w:t>（授权代表姓名）</w:t>
      </w:r>
      <w:r>
        <w:rPr>
          <w:rFonts w:hint="eastAsia" w:ascii="宋体" w:hAnsi="宋体" w:cs="宋体"/>
          <w:sz w:val="24"/>
          <w:szCs w:val="24"/>
          <w:highlight w:val="none"/>
          <w:lang w:val="zh-CN"/>
        </w:rPr>
        <w:t>为我公司法定代表人授权代表，参加贵单位组织的</w:t>
      </w:r>
      <w:r>
        <w:rPr>
          <w:rFonts w:hint="eastAsia" w:ascii="宋体" w:hAnsi="宋体" w:cs="宋体"/>
          <w:sz w:val="24"/>
          <w:szCs w:val="24"/>
          <w:highlight w:val="none"/>
          <w:u w:val="single"/>
          <w:lang w:val="zh-CN"/>
        </w:rPr>
        <w:t xml:space="preserve"> （采购项目名称、项目编号）</w:t>
      </w:r>
      <w:r>
        <w:rPr>
          <w:rFonts w:hint="eastAsia" w:ascii="宋体" w:hAnsi="宋体" w:cs="宋体"/>
          <w:sz w:val="24"/>
          <w:szCs w:val="24"/>
          <w:highlight w:val="none"/>
          <w:lang w:val="zh-CN"/>
        </w:rPr>
        <w:t>项目采购，并代表我方全权处理本次采购活动中的一切事宜，并签署相关文件，我方对被授权人的签名事项负全部责任。</w:t>
      </w:r>
    </w:p>
    <w:p w14:paraId="0583AB6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在撤销授权的书面通知以前，本授权书一直有效。被授权人在授权书有效期内签署的所有文件不因授权的撤销而失效。</w:t>
      </w:r>
    </w:p>
    <w:p w14:paraId="3F2F0B5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授权代表无转授权，特此授权。</w:t>
      </w:r>
    </w:p>
    <w:p w14:paraId="2F0C74AD">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1B13373E">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法定代表人及授权代表人身份证扫描件</w:t>
      </w:r>
    </w:p>
    <w:p w14:paraId="77B7915A">
      <w:pPr>
        <w:pStyle w:val="25"/>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6BD3E97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授权代表（签字或盖章）：</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性别：</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年龄：</w:t>
      </w:r>
      <w:r>
        <w:rPr>
          <w:rFonts w:hint="eastAsia" w:ascii="宋体" w:hAnsi="宋体" w:cs="宋体"/>
          <w:sz w:val="24"/>
          <w:szCs w:val="24"/>
          <w:highlight w:val="none"/>
          <w:u w:val="single"/>
          <w:lang w:val="zh-CN"/>
        </w:rPr>
        <w:t xml:space="preserve">            </w:t>
      </w:r>
    </w:p>
    <w:p w14:paraId="12078D9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身份证号码：</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职务：</w:t>
      </w:r>
      <w:r>
        <w:rPr>
          <w:rFonts w:hint="eastAsia" w:ascii="宋体" w:hAnsi="宋体" w:cs="宋体"/>
          <w:sz w:val="24"/>
          <w:szCs w:val="24"/>
          <w:highlight w:val="none"/>
          <w:u w:val="single"/>
          <w:lang w:val="zh-CN"/>
        </w:rPr>
        <w:t xml:space="preserve">                        </w:t>
      </w:r>
    </w:p>
    <w:p w14:paraId="0CB332B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详细通讯地址：</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邮政编码：</w:t>
      </w:r>
      <w:r>
        <w:rPr>
          <w:rFonts w:hint="eastAsia" w:ascii="宋体" w:hAnsi="宋体" w:cs="宋体"/>
          <w:sz w:val="24"/>
          <w:szCs w:val="24"/>
          <w:highlight w:val="none"/>
          <w:u w:val="single"/>
          <w:lang w:val="zh-CN"/>
        </w:rPr>
        <w:t xml:space="preserve">                    </w:t>
      </w:r>
    </w:p>
    <w:p w14:paraId="4A4C63C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联系电话：</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传真： </w:t>
      </w:r>
      <w:r>
        <w:rPr>
          <w:rFonts w:hint="eastAsia" w:ascii="宋体" w:hAnsi="宋体" w:cs="宋体"/>
          <w:sz w:val="24"/>
          <w:szCs w:val="24"/>
          <w:highlight w:val="none"/>
          <w:u w:val="single"/>
          <w:lang w:val="zh-CN"/>
        </w:rPr>
        <w:t xml:space="preserve">                          </w:t>
      </w:r>
    </w:p>
    <w:p w14:paraId="42898E53">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szCs w:val="24"/>
          <w:highlight w:val="none"/>
        </w:rPr>
        <w:t>投标人全称（盖章）：</w:t>
      </w:r>
    </w:p>
    <w:p w14:paraId="751FB82C">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szCs w:val="24"/>
          <w:highlight w:val="none"/>
        </w:rPr>
        <w:t>法定代表人（盖章或签字）：</w:t>
      </w:r>
    </w:p>
    <w:p w14:paraId="08B6BAE0">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szCs w:val="24"/>
          <w:highlight w:val="none"/>
        </w:rPr>
        <w:t xml:space="preserve">日    期：  </w:t>
      </w:r>
    </w:p>
    <w:p w14:paraId="4BDE2C50">
      <w:pPr>
        <w:pStyle w:val="33"/>
        <w:spacing w:line="500" w:lineRule="exact"/>
        <w:rPr>
          <w:rFonts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20"/>
        <w:tblW w:w="8330" w:type="dxa"/>
        <w:tblInd w:w="0" w:type="dxa"/>
        <w:tblLayout w:type="fixed"/>
        <w:tblCellMar>
          <w:top w:w="0" w:type="dxa"/>
          <w:left w:w="108" w:type="dxa"/>
          <w:bottom w:w="0" w:type="dxa"/>
          <w:right w:w="108" w:type="dxa"/>
        </w:tblCellMar>
      </w:tblPr>
      <w:tblGrid>
        <w:gridCol w:w="4077"/>
        <w:gridCol w:w="4253"/>
      </w:tblGrid>
      <w:tr w14:paraId="2E0A6E7E">
        <w:tblPrEx>
          <w:tblCellMar>
            <w:top w:w="0" w:type="dxa"/>
            <w:left w:w="108" w:type="dxa"/>
            <w:bottom w:w="0" w:type="dxa"/>
            <w:right w:w="108" w:type="dxa"/>
          </w:tblCellMar>
        </w:tblPrEx>
        <w:trPr>
          <w:trHeight w:val="2287" w:hRule="atLeast"/>
        </w:trPr>
        <w:tc>
          <w:tcPr>
            <w:tcW w:w="4077" w:type="dxa"/>
            <w:tcBorders>
              <w:top w:val="single" w:color="auto" w:sz="4" w:space="0"/>
              <w:left w:val="single" w:color="auto" w:sz="4" w:space="0"/>
              <w:bottom w:val="single" w:color="auto" w:sz="4" w:space="0"/>
              <w:right w:val="single" w:color="auto" w:sz="4" w:space="0"/>
            </w:tcBorders>
          </w:tcPr>
          <w:p w14:paraId="04BABB40">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14:paraId="00ACF0CC">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14:paraId="0292BDA6">
            <w:pPr>
              <w:pStyle w:val="33"/>
              <w:spacing w:line="500" w:lineRule="exact"/>
              <w:ind w:firstLine="0"/>
              <w:jc w:val="center"/>
              <w:rPr>
                <w:rFonts w:ascii="宋体" w:hAnsi="宋体" w:eastAsia="宋体" w:cs="宋体"/>
                <w:szCs w:val="24"/>
                <w:highlight w:val="none"/>
              </w:rPr>
            </w:pPr>
            <w:r>
              <w:rPr>
                <w:rFonts w:hint="eastAsia" w:ascii="宋体" w:hAnsi="宋体" w:eastAsia="宋体" w:cs="宋体"/>
                <w:szCs w:val="24"/>
                <w:highlight w:val="none"/>
              </w:rPr>
              <w:t>（国徽面）</w:t>
            </w:r>
          </w:p>
          <w:p w14:paraId="64910889">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5A317A4B">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14:paraId="1076BD29">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14:paraId="26C4B3A0">
            <w:pPr>
              <w:pStyle w:val="33"/>
              <w:spacing w:line="500" w:lineRule="exact"/>
              <w:ind w:firstLine="0"/>
              <w:jc w:val="center"/>
              <w:rPr>
                <w:rFonts w:ascii="宋体" w:hAnsi="宋体" w:eastAsia="宋体" w:cs="宋体"/>
                <w:szCs w:val="24"/>
                <w:highlight w:val="none"/>
              </w:rPr>
            </w:pPr>
            <w:r>
              <w:rPr>
                <w:rFonts w:hint="eastAsia" w:ascii="宋体" w:hAnsi="宋体" w:eastAsia="宋体" w:cs="宋体"/>
                <w:szCs w:val="24"/>
                <w:highlight w:val="none"/>
              </w:rPr>
              <w:t>（头像面）</w:t>
            </w:r>
          </w:p>
          <w:p w14:paraId="1AAE1DE0">
            <w:pPr>
              <w:widowControl/>
              <w:tabs>
                <w:tab w:val="right" w:leader="dot" w:pos="8295"/>
              </w:tabs>
              <w:snapToGrid w:val="0"/>
              <w:spacing w:line="500" w:lineRule="exact"/>
              <w:ind w:left="5250" w:firstLine="480"/>
              <w:rPr>
                <w:rFonts w:ascii="宋体" w:hAnsi="宋体" w:cs="宋体"/>
                <w:kern w:val="0"/>
                <w:sz w:val="24"/>
                <w:szCs w:val="24"/>
                <w:highlight w:val="none"/>
              </w:rPr>
            </w:pPr>
          </w:p>
        </w:tc>
      </w:tr>
    </w:tbl>
    <w:p w14:paraId="4E201C10">
      <w:pPr>
        <w:pStyle w:val="33"/>
        <w:spacing w:line="500" w:lineRule="exact"/>
        <w:rPr>
          <w:rFonts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20"/>
        <w:tblW w:w="8330" w:type="dxa"/>
        <w:tblInd w:w="0" w:type="dxa"/>
        <w:tblLayout w:type="fixed"/>
        <w:tblCellMar>
          <w:top w:w="0" w:type="dxa"/>
          <w:left w:w="108" w:type="dxa"/>
          <w:bottom w:w="0" w:type="dxa"/>
          <w:right w:w="108" w:type="dxa"/>
        </w:tblCellMar>
      </w:tblPr>
      <w:tblGrid>
        <w:gridCol w:w="4077"/>
        <w:gridCol w:w="4253"/>
      </w:tblGrid>
      <w:tr w14:paraId="6AEAAACE">
        <w:tblPrEx>
          <w:tblCellMar>
            <w:top w:w="0" w:type="dxa"/>
            <w:left w:w="108" w:type="dxa"/>
            <w:bottom w:w="0" w:type="dxa"/>
            <w:right w:w="108" w:type="dxa"/>
          </w:tblCellMar>
        </w:tblPrEx>
        <w:trPr>
          <w:trHeight w:val="2353" w:hRule="atLeast"/>
        </w:trPr>
        <w:tc>
          <w:tcPr>
            <w:tcW w:w="4077" w:type="dxa"/>
            <w:tcBorders>
              <w:top w:val="single" w:color="auto" w:sz="4" w:space="0"/>
              <w:left w:val="single" w:color="auto" w:sz="4" w:space="0"/>
              <w:bottom w:val="single" w:color="auto" w:sz="4" w:space="0"/>
              <w:right w:val="single" w:color="auto" w:sz="4" w:space="0"/>
            </w:tcBorders>
          </w:tcPr>
          <w:p w14:paraId="1427FF82">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14:paraId="09BA7904">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授权代表人身份证扫描件</w:t>
            </w:r>
          </w:p>
          <w:p w14:paraId="7697BAC6">
            <w:pPr>
              <w:pStyle w:val="33"/>
              <w:spacing w:line="500" w:lineRule="exact"/>
              <w:ind w:firstLine="0"/>
              <w:jc w:val="center"/>
              <w:rPr>
                <w:rFonts w:ascii="宋体" w:hAnsi="宋体" w:eastAsia="宋体" w:cs="宋体"/>
                <w:kern w:val="0"/>
                <w:szCs w:val="24"/>
                <w:highlight w:val="none"/>
              </w:rPr>
            </w:pPr>
            <w:r>
              <w:rPr>
                <w:rFonts w:hint="eastAsia" w:ascii="宋体" w:hAnsi="宋体" w:eastAsia="宋体" w:cs="宋体"/>
                <w:kern w:val="0"/>
                <w:szCs w:val="24"/>
                <w:highlight w:val="none"/>
              </w:rPr>
              <w:t>（国徽面）</w:t>
            </w:r>
          </w:p>
          <w:p w14:paraId="5DF77C6B">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3CFEE173">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14:paraId="488BDF80">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授权代表人身份证扫描件</w:t>
            </w:r>
          </w:p>
          <w:p w14:paraId="77A6ACAB">
            <w:pPr>
              <w:pStyle w:val="33"/>
              <w:spacing w:line="500" w:lineRule="exact"/>
              <w:ind w:firstLine="0"/>
              <w:jc w:val="center"/>
              <w:rPr>
                <w:rFonts w:ascii="宋体" w:hAnsi="宋体" w:eastAsia="宋体" w:cs="宋体"/>
                <w:kern w:val="0"/>
                <w:szCs w:val="24"/>
                <w:highlight w:val="none"/>
              </w:rPr>
            </w:pPr>
            <w:r>
              <w:rPr>
                <w:rFonts w:hint="eastAsia" w:ascii="宋体" w:hAnsi="宋体" w:eastAsia="宋体" w:cs="宋体"/>
                <w:kern w:val="0"/>
                <w:szCs w:val="24"/>
                <w:highlight w:val="none"/>
              </w:rPr>
              <w:t>（头像面）</w:t>
            </w:r>
          </w:p>
          <w:p w14:paraId="280D2BCE">
            <w:pPr>
              <w:widowControl/>
              <w:tabs>
                <w:tab w:val="right" w:leader="dot" w:pos="8295"/>
              </w:tabs>
              <w:snapToGrid w:val="0"/>
              <w:spacing w:line="500" w:lineRule="exact"/>
              <w:ind w:left="5250" w:firstLine="480"/>
              <w:rPr>
                <w:rFonts w:ascii="宋体" w:hAnsi="宋体" w:cs="宋体"/>
                <w:kern w:val="0"/>
                <w:sz w:val="24"/>
                <w:szCs w:val="24"/>
                <w:highlight w:val="none"/>
              </w:rPr>
            </w:pPr>
          </w:p>
        </w:tc>
      </w:tr>
    </w:tbl>
    <w:p w14:paraId="40CAD7E8">
      <w:pPr>
        <w:pStyle w:val="36"/>
        <w:ind w:left="0" w:leftChars="0" w:firstLine="0" w:firstLineChars="0"/>
        <w:rPr>
          <w:rFonts w:hint="eastAsia"/>
          <w:highlight w:val="none"/>
          <w:lang w:val="en-US" w:eastAsia="zh-CN"/>
        </w:rPr>
      </w:pPr>
    </w:p>
    <w:p w14:paraId="7A97A038">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76881461">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20"/>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7096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466E46A">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C8C7E2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86710A5">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05D0815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02EF02E">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4CAA03A">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39F9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76683B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6126BF99">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06441C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3C72D9C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AFFF15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4E4BE9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C698C1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79A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9D71D10">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4779D4F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29E5C00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6AE95C0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BFFCCC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01BCBB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2B24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B9352E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6342090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3081C3E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7FF0C3A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2FB589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33282A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19C2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860D4FD">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2690865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41FCDD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0194FC5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2A6702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F891B6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7F040D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0162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E922FF6">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651B944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0C311A1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6F756F7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4DBC2E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43FBB9A">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3FF3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96A8DED">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7515565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049C7E6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026C2E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F815D9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E5B8B99">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597415A9">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0D44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41EA83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6991CA8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76302420">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0F7EA76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0B55DD7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14:paraId="7FFDE8E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0598893">
      <w:pPr>
        <w:rPr>
          <w:rFonts w:hint="eastAsia"/>
          <w:lang w:val="en-US" w:eastAsia="zh-CN"/>
        </w:rPr>
      </w:pPr>
    </w:p>
    <w:p w14:paraId="2A708300">
      <w:pPr>
        <w:pStyle w:val="19"/>
        <w:rPr>
          <w:rFonts w:hint="eastAsia"/>
          <w:lang w:val="en-US" w:eastAsia="zh-CN"/>
        </w:rPr>
      </w:pPr>
    </w:p>
    <w:p w14:paraId="65ED3919">
      <w:pPr>
        <w:pStyle w:val="19"/>
        <w:rPr>
          <w:rFonts w:hint="eastAsia"/>
          <w:lang w:val="en-US" w:eastAsia="zh-CN"/>
        </w:rPr>
      </w:pPr>
    </w:p>
    <w:p w14:paraId="7EB61192">
      <w:pPr>
        <w:pStyle w:val="19"/>
        <w:rPr>
          <w:rFonts w:hint="eastAsia"/>
          <w:lang w:val="en-US" w:eastAsia="zh-CN"/>
        </w:rPr>
      </w:pPr>
    </w:p>
    <w:p w14:paraId="289FC362">
      <w:pPr>
        <w:pStyle w:val="19"/>
        <w:rPr>
          <w:rFonts w:hint="eastAsia"/>
          <w:lang w:val="en-US" w:eastAsia="zh-CN"/>
        </w:rPr>
      </w:pPr>
    </w:p>
    <w:p w14:paraId="252CA32E">
      <w:pPr>
        <w:pStyle w:val="19"/>
        <w:rPr>
          <w:rFonts w:hint="eastAsia"/>
          <w:lang w:val="en-US" w:eastAsia="zh-CN"/>
        </w:rPr>
      </w:pPr>
    </w:p>
    <w:p w14:paraId="1038299D">
      <w:pPr>
        <w:pStyle w:val="8"/>
        <w:tabs>
          <w:tab w:val="right" w:leader="dot" w:pos="9061"/>
        </w:tabs>
        <w:spacing w:line="360" w:lineRule="auto"/>
        <w:ind w:left="0" w:leftChars="0"/>
        <w:jc w:val="center"/>
        <w:outlineLvl w:val="0"/>
        <w:rPr>
          <w:rFonts w:hint="default" w:ascii="宋体" w:hAnsi="宋体" w:cs="宋体"/>
          <w:b/>
          <w:bCs/>
          <w:color w:val="auto"/>
          <w:kern w:val="0"/>
          <w:sz w:val="30"/>
          <w:szCs w:val="30"/>
          <w:highlight w:val="none"/>
          <w:lang w:val="en-US"/>
        </w:rPr>
      </w:pPr>
      <w:r>
        <w:rPr>
          <w:rFonts w:hint="eastAsia" w:ascii="宋体" w:hAnsi="宋体" w:cs="宋体"/>
          <w:b/>
          <w:bCs/>
          <w:color w:val="auto"/>
          <w:kern w:val="0"/>
          <w:sz w:val="30"/>
          <w:szCs w:val="30"/>
          <w:highlight w:val="none"/>
          <w:lang w:eastAsia="zh-CN"/>
        </w:rPr>
        <w:t>业绩</w:t>
      </w:r>
      <w:r>
        <w:rPr>
          <w:rFonts w:hint="eastAsia" w:ascii="宋体" w:hAnsi="宋体" w:cs="宋体"/>
          <w:b/>
          <w:bCs/>
          <w:color w:val="auto"/>
          <w:kern w:val="0"/>
          <w:sz w:val="30"/>
          <w:szCs w:val="30"/>
          <w:highlight w:val="none"/>
          <w:lang w:val="en-US" w:eastAsia="zh-CN"/>
        </w:rPr>
        <w:t>汇总表</w:t>
      </w:r>
    </w:p>
    <w:p w14:paraId="1CF2C5C5">
      <w:pPr>
        <w:spacing w:line="440" w:lineRule="exac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项目名称:                                                               项目编号：                   </w:t>
      </w:r>
    </w:p>
    <w:tbl>
      <w:tblPr>
        <w:tblStyle w:val="2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550"/>
        <w:gridCol w:w="2370"/>
        <w:gridCol w:w="1185"/>
        <w:gridCol w:w="1245"/>
        <w:gridCol w:w="1380"/>
        <w:gridCol w:w="1380"/>
      </w:tblGrid>
      <w:tr w14:paraId="45C8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noWrap w:val="0"/>
            <w:vAlign w:val="center"/>
          </w:tcPr>
          <w:p w14:paraId="5D12E92F">
            <w:pPr>
              <w:spacing w:line="440" w:lineRule="exact"/>
              <w:jc w:val="center"/>
              <w:outlineLvl w:val="2"/>
              <w:rPr>
                <w:rFonts w:hint="eastAsia" w:ascii="宋体" w:hAnsi="宋体" w:cs="宋体"/>
                <w:color w:val="000000"/>
                <w:sz w:val="21"/>
                <w:szCs w:val="21"/>
                <w:highlight w:val="none"/>
                <w:lang w:eastAsia="zh-CN"/>
              </w:rPr>
            </w:pPr>
            <w:bookmarkStart w:id="56" w:name="_Toc8079"/>
            <w:r>
              <w:rPr>
                <w:rFonts w:hint="eastAsia" w:ascii="宋体" w:hAnsi="宋体" w:cs="宋体"/>
                <w:color w:val="000000"/>
                <w:sz w:val="21"/>
                <w:szCs w:val="21"/>
                <w:highlight w:val="none"/>
                <w:lang w:eastAsia="zh-CN"/>
              </w:rPr>
              <w:t>序号</w:t>
            </w:r>
            <w:bookmarkEnd w:id="56"/>
          </w:p>
        </w:tc>
        <w:tc>
          <w:tcPr>
            <w:tcW w:w="1550" w:type="dxa"/>
            <w:noWrap w:val="0"/>
            <w:vAlign w:val="center"/>
          </w:tcPr>
          <w:p w14:paraId="21873648">
            <w:pPr>
              <w:spacing w:line="440" w:lineRule="exact"/>
              <w:jc w:val="center"/>
              <w:outlineLvl w:val="2"/>
              <w:rPr>
                <w:rFonts w:hint="eastAsia" w:ascii="宋体" w:hAnsi="宋体" w:cs="宋体"/>
                <w:color w:val="000000"/>
                <w:sz w:val="21"/>
                <w:szCs w:val="21"/>
                <w:highlight w:val="none"/>
                <w:lang w:eastAsia="zh-CN"/>
              </w:rPr>
            </w:pPr>
            <w:bookmarkStart w:id="57" w:name="_Toc32703"/>
            <w:r>
              <w:rPr>
                <w:rFonts w:hint="eastAsia" w:ascii="宋体" w:hAnsi="宋体" w:cs="宋体"/>
                <w:color w:val="000000"/>
                <w:sz w:val="21"/>
                <w:szCs w:val="21"/>
                <w:highlight w:val="none"/>
                <w:lang w:eastAsia="zh-CN"/>
              </w:rPr>
              <w:t>采购单位名称</w:t>
            </w:r>
            <w:bookmarkEnd w:id="57"/>
          </w:p>
        </w:tc>
        <w:tc>
          <w:tcPr>
            <w:tcW w:w="2370" w:type="dxa"/>
            <w:noWrap w:val="0"/>
            <w:vAlign w:val="center"/>
          </w:tcPr>
          <w:p w14:paraId="16B02D29">
            <w:pPr>
              <w:spacing w:line="440" w:lineRule="exact"/>
              <w:jc w:val="center"/>
              <w:outlineLvl w:val="2"/>
              <w:rPr>
                <w:rFonts w:hint="default" w:ascii="宋体" w:hAnsi="宋体" w:cs="宋体"/>
                <w:color w:val="000000"/>
                <w:sz w:val="21"/>
                <w:szCs w:val="21"/>
                <w:highlight w:val="none"/>
                <w:lang w:val="en-US" w:eastAsia="zh-CN"/>
              </w:rPr>
            </w:pPr>
            <w:bookmarkStart w:id="58" w:name="_Toc22025"/>
            <w:r>
              <w:rPr>
                <w:rFonts w:hint="eastAsia" w:ascii="宋体" w:hAnsi="宋体" w:cs="宋体"/>
                <w:color w:val="000000"/>
                <w:sz w:val="21"/>
                <w:szCs w:val="21"/>
                <w:highlight w:val="none"/>
                <w:lang w:eastAsia="zh-CN"/>
              </w:rPr>
              <w:t>项目名称</w:t>
            </w:r>
            <w:bookmarkEnd w:id="58"/>
            <w:r>
              <w:rPr>
                <w:rFonts w:hint="eastAsia" w:ascii="宋体" w:hAnsi="宋体" w:cs="宋体"/>
                <w:color w:val="000000"/>
                <w:sz w:val="21"/>
                <w:szCs w:val="21"/>
                <w:highlight w:val="none"/>
                <w:lang w:val="en-US" w:eastAsia="zh-CN"/>
              </w:rPr>
              <w:t>/案由</w:t>
            </w:r>
          </w:p>
        </w:tc>
        <w:tc>
          <w:tcPr>
            <w:tcW w:w="1185" w:type="dxa"/>
            <w:noWrap w:val="0"/>
            <w:vAlign w:val="center"/>
          </w:tcPr>
          <w:p w14:paraId="1C36D735">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裁判</w:t>
            </w:r>
            <w:r>
              <w:rPr>
                <w:rFonts w:hint="eastAsia" w:ascii="宋体" w:hAnsi="宋体" w:cs="宋体"/>
                <w:color w:val="000000"/>
                <w:sz w:val="21"/>
                <w:szCs w:val="21"/>
                <w:highlight w:val="none"/>
                <w:lang w:eastAsia="zh-CN"/>
              </w:rPr>
              <w:t>时间</w:t>
            </w:r>
          </w:p>
        </w:tc>
        <w:tc>
          <w:tcPr>
            <w:tcW w:w="1245" w:type="dxa"/>
            <w:noWrap w:val="0"/>
            <w:vAlign w:val="center"/>
          </w:tcPr>
          <w:p w14:paraId="7DC5760F">
            <w:pPr>
              <w:spacing w:line="440" w:lineRule="exact"/>
              <w:jc w:val="center"/>
              <w:outlineLvl w:val="2"/>
              <w:rPr>
                <w:rFonts w:hint="eastAsia" w:ascii="宋体" w:hAnsi="宋体" w:cs="宋体"/>
                <w:color w:val="000000"/>
                <w:sz w:val="21"/>
                <w:szCs w:val="21"/>
                <w:highlight w:val="none"/>
                <w:lang w:eastAsia="zh-CN"/>
              </w:rPr>
            </w:pPr>
            <w:bookmarkStart w:id="59" w:name="_Toc28957"/>
            <w:r>
              <w:rPr>
                <w:rFonts w:hint="eastAsia" w:ascii="宋体" w:hAnsi="宋体" w:cs="宋体"/>
                <w:color w:val="000000"/>
                <w:sz w:val="21"/>
                <w:szCs w:val="21"/>
                <w:highlight w:val="none"/>
                <w:lang w:val="en-US" w:eastAsia="zh-CN"/>
              </w:rPr>
              <w:t>涉案</w:t>
            </w:r>
            <w:r>
              <w:rPr>
                <w:rFonts w:hint="eastAsia" w:ascii="宋体" w:hAnsi="宋体" w:cs="宋体"/>
                <w:color w:val="000000"/>
                <w:sz w:val="21"/>
                <w:szCs w:val="21"/>
                <w:highlight w:val="none"/>
                <w:lang w:eastAsia="zh-CN"/>
              </w:rPr>
              <w:t>金额（万元）</w:t>
            </w:r>
            <w:bookmarkEnd w:id="59"/>
          </w:p>
        </w:tc>
        <w:tc>
          <w:tcPr>
            <w:tcW w:w="1380" w:type="dxa"/>
            <w:noWrap w:val="0"/>
            <w:vAlign w:val="center"/>
          </w:tcPr>
          <w:p w14:paraId="4D5DFA47">
            <w:pPr>
              <w:spacing w:line="440" w:lineRule="exact"/>
              <w:jc w:val="center"/>
              <w:outlineLvl w:val="2"/>
              <w:rPr>
                <w:rFonts w:hint="eastAsia" w:ascii="宋体" w:hAnsi="宋体" w:cs="宋体"/>
                <w:color w:val="000000"/>
                <w:sz w:val="21"/>
                <w:szCs w:val="21"/>
                <w:highlight w:val="none"/>
                <w:lang w:eastAsia="zh-CN"/>
              </w:rPr>
            </w:pPr>
            <w:bookmarkStart w:id="60" w:name="_Toc24083"/>
            <w:r>
              <w:rPr>
                <w:rFonts w:hint="eastAsia" w:ascii="宋体" w:hAnsi="宋体" w:cs="宋体"/>
                <w:color w:val="000000"/>
                <w:sz w:val="21"/>
                <w:szCs w:val="21"/>
                <w:highlight w:val="none"/>
                <w:lang w:eastAsia="zh-CN"/>
              </w:rPr>
              <w:t>采购单位联系人及联系电话</w:t>
            </w:r>
            <w:bookmarkEnd w:id="60"/>
          </w:p>
        </w:tc>
        <w:tc>
          <w:tcPr>
            <w:tcW w:w="1380" w:type="dxa"/>
            <w:noWrap w:val="0"/>
            <w:vAlign w:val="center"/>
          </w:tcPr>
          <w:p w14:paraId="352C3038">
            <w:pPr>
              <w:spacing w:line="440" w:lineRule="exact"/>
              <w:jc w:val="center"/>
              <w:outlineLvl w:val="2"/>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服务类型</w:t>
            </w:r>
          </w:p>
        </w:tc>
      </w:tr>
      <w:tr w14:paraId="3078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7E97349F">
            <w:pPr>
              <w:spacing w:line="440" w:lineRule="exact"/>
              <w:jc w:val="center"/>
              <w:outlineLvl w:val="2"/>
              <w:rPr>
                <w:rFonts w:hint="eastAsia" w:ascii="宋体" w:hAnsi="宋体" w:cs="宋体"/>
                <w:color w:val="000000"/>
                <w:sz w:val="21"/>
                <w:szCs w:val="21"/>
                <w:highlight w:val="none"/>
                <w:lang w:eastAsia="zh-CN"/>
              </w:rPr>
            </w:pPr>
            <w:bookmarkStart w:id="61" w:name="_Toc28243"/>
            <w:r>
              <w:rPr>
                <w:rFonts w:hint="eastAsia" w:ascii="宋体" w:hAnsi="宋体" w:cs="宋体"/>
                <w:color w:val="000000"/>
                <w:sz w:val="21"/>
                <w:szCs w:val="21"/>
                <w:highlight w:val="none"/>
                <w:lang w:eastAsia="zh-CN"/>
              </w:rPr>
              <w:t>1</w:t>
            </w:r>
            <w:bookmarkEnd w:id="61"/>
          </w:p>
        </w:tc>
        <w:tc>
          <w:tcPr>
            <w:tcW w:w="1550" w:type="dxa"/>
            <w:noWrap w:val="0"/>
            <w:vAlign w:val="center"/>
          </w:tcPr>
          <w:p w14:paraId="1F3D598D">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59EE8F3D">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3EBF9C96">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67E72C4A">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2E989E48">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661DB9B2">
            <w:pPr>
              <w:spacing w:line="440" w:lineRule="exact"/>
              <w:jc w:val="center"/>
              <w:outlineLvl w:val="9"/>
              <w:rPr>
                <w:rFonts w:hint="eastAsia" w:ascii="宋体" w:hAnsi="宋体" w:cs="宋体"/>
                <w:color w:val="000000"/>
                <w:sz w:val="21"/>
                <w:szCs w:val="21"/>
                <w:highlight w:val="none"/>
                <w:lang w:eastAsia="zh-CN"/>
              </w:rPr>
            </w:pPr>
          </w:p>
        </w:tc>
      </w:tr>
      <w:tr w14:paraId="66BB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3FFD693B">
            <w:pPr>
              <w:spacing w:line="440" w:lineRule="exact"/>
              <w:jc w:val="center"/>
              <w:outlineLvl w:val="2"/>
              <w:rPr>
                <w:rFonts w:hint="eastAsia" w:ascii="宋体" w:hAnsi="宋体" w:cs="宋体"/>
                <w:color w:val="000000"/>
                <w:sz w:val="21"/>
                <w:szCs w:val="21"/>
                <w:highlight w:val="none"/>
                <w:lang w:eastAsia="zh-CN"/>
              </w:rPr>
            </w:pPr>
            <w:bookmarkStart w:id="62" w:name="_Toc11099"/>
            <w:r>
              <w:rPr>
                <w:rFonts w:hint="eastAsia" w:ascii="宋体" w:hAnsi="宋体" w:cs="宋体"/>
                <w:color w:val="000000"/>
                <w:sz w:val="21"/>
                <w:szCs w:val="21"/>
                <w:highlight w:val="none"/>
                <w:lang w:eastAsia="zh-CN"/>
              </w:rPr>
              <w:t>2</w:t>
            </w:r>
            <w:bookmarkEnd w:id="62"/>
          </w:p>
        </w:tc>
        <w:tc>
          <w:tcPr>
            <w:tcW w:w="1550" w:type="dxa"/>
            <w:noWrap w:val="0"/>
            <w:vAlign w:val="center"/>
          </w:tcPr>
          <w:p w14:paraId="69853184">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6B9F2887">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0C2E46AC">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7A078567">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7A04A85E">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208116FF">
            <w:pPr>
              <w:spacing w:line="440" w:lineRule="exact"/>
              <w:jc w:val="center"/>
              <w:outlineLvl w:val="9"/>
              <w:rPr>
                <w:rFonts w:hint="eastAsia" w:ascii="宋体" w:hAnsi="宋体" w:cs="宋体"/>
                <w:color w:val="000000"/>
                <w:sz w:val="21"/>
                <w:szCs w:val="21"/>
                <w:highlight w:val="none"/>
                <w:lang w:eastAsia="zh-CN"/>
              </w:rPr>
            </w:pPr>
          </w:p>
        </w:tc>
      </w:tr>
      <w:tr w14:paraId="12DF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650B5FAE">
            <w:pPr>
              <w:spacing w:line="440" w:lineRule="exact"/>
              <w:jc w:val="center"/>
              <w:outlineLvl w:val="2"/>
              <w:rPr>
                <w:rFonts w:hint="eastAsia" w:ascii="宋体" w:hAnsi="宋体" w:cs="宋体"/>
                <w:color w:val="000000"/>
                <w:sz w:val="21"/>
                <w:szCs w:val="21"/>
                <w:highlight w:val="none"/>
                <w:lang w:eastAsia="zh-CN"/>
              </w:rPr>
            </w:pPr>
            <w:bookmarkStart w:id="63" w:name="_Toc4447"/>
            <w:r>
              <w:rPr>
                <w:rFonts w:hint="eastAsia" w:ascii="宋体" w:hAnsi="宋体" w:cs="宋体"/>
                <w:color w:val="000000"/>
                <w:sz w:val="21"/>
                <w:szCs w:val="21"/>
                <w:highlight w:val="none"/>
                <w:lang w:eastAsia="zh-CN"/>
              </w:rPr>
              <w:t>3</w:t>
            </w:r>
            <w:bookmarkEnd w:id="63"/>
          </w:p>
        </w:tc>
        <w:tc>
          <w:tcPr>
            <w:tcW w:w="1550" w:type="dxa"/>
            <w:noWrap w:val="0"/>
            <w:vAlign w:val="center"/>
          </w:tcPr>
          <w:p w14:paraId="323D675C">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65F6B98D">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5FE59149">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707CF8E8">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296BB2DA">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698FD3FC">
            <w:pPr>
              <w:spacing w:line="440" w:lineRule="exact"/>
              <w:jc w:val="center"/>
              <w:outlineLvl w:val="9"/>
              <w:rPr>
                <w:rFonts w:hint="eastAsia" w:ascii="宋体" w:hAnsi="宋体" w:cs="宋体"/>
                <w:color w:val="000000"/>
                <w:sz w:val="21"/>
                <w:szCs w:val="21"/>
                <w:highlight w:val="none"/>
                <w:lang w:eastAsia="zh-CN"/>
              </w:rPr>
            </w:pPr>
          </w:p>
        </w:tc>
      </w:tr>
      <w:tr w14:paraId="1420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5A5BE688">
            <w:pPr>
              <w:spacing w:line="440" w:lineRule="exact"/>
              <w:jc w:val="center"/>
              <w:outlineLvl w:val="2"/>
              <w:rPr>
                <w:rFonts w:hint="eastAsia" w:ascii="宋体" w:hAnsi="宋体" w:cs="宋体"/>
                <w:color w:val="000000"/>
                <w:sz w:val="21"/>
                <w:szCs w:val="21"/>
                <w:highlight w:val="none"/>
                <w:lang w:eastAsia="zh-CN"/>
              </w:rPr>
            </w:pPr>
            <w:bookmarkStart w:id="64" w:name="_Toc5297"/>
            <w:r>
              <w:rPr>
                <w:rFonts w:hint="eastAsia" w:ascii="宋体" w:hAnsi="宋体" w:cs="宋体"/>
                <w:color w:val="000000"/>
                <w:sz w:val="21"/>
                <w:szCs w:val="21"/>
                <w:highlight w:val="none"/>
                <w:lang w:eastAsia="zh-CN"/>
              </w:rPr>
              <w:t>4</w:t>
            </w:r>
            <w:bookmarkEnd w:id="64"/>
          </w:p>
        </w:tc>
        <w:tc>
          <w:tcPr>
            <w:tcW w:w="1550" w:type="dxa"/>
            <w:noWrap w:val="0"/>
            <w:vAlign w:val="center"/>
          </w:tcPr>
          <w:p w14:paraId="288B0828">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3C3D43D8">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1B6294B6">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46EC9865">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4E903911">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3A5BB17F">
            <w:pPr>
              <w:spacing w:line="440" w:lineRule="exact"/>
              <w:jc w:val="center"/>
              <w:outlineLvl w:val="9"/>
              <w:rPr>
                <w:rFonts w:hint="eastAsia" w:ascii="宋体" w:hAnsi="宋体" w:cs="宋体"/>
                <w:color w:val="000000"/>
                <w:sz w:val="21"/>
                <w:szCs w:val="21"/>
                <w:highlight w:val="none"/>
                <w:lang w:eastAsia="zh-CN"/>
              </w:rPr>
            </w:pPr>
          </w:p>
        </w:tc>
      </w:tr>
      <w:tr w14:paraId="311D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215D7DDC">
            <w:pPr>
              <w:spacing w:line="440" w:lineRule="exact"/>
              <w:jc w:val="center"/>
              <w:outlineLvl w:val="2"/>
              <w:rPr>
                <w:rFonts w:hint="eastAsia" w:ascii="宋体" w:hAnsi="宋体" w:cs="宋体"/>
                <w:color w:val="000000"/>
                <w:sz w:val="21"/>
                <w:szCs w:val="21"/>
                <w:highlight w:val="none"/>
                <w:lang w:eastAsia="zh-CN"/>
              </w:rPr>
            </w:pPr>
            <w:bookmarkStart w:id="65" w:name="_Toc1169"/>
            <w:r>
              <w:rPr>
                <w:rFonts w:hint="eastAsia" w:ascii="宋体" w:hAnsi="宋体" w:cs="宋体"/>
                <w:color w:val="000000"/>
                <w:sz w:val="21"/>
                <w:szCs w:val="21"/>
                <w:highlight w:val="none"/>
                <w:lang w:eastAsia="zh-CN"/>
              </w:rPr>
              <w:t>5</w:t>
            </w:r>
            <w:bookmarkEnd w:id="65"/>
          </w:p>
        </w:tc>
        <w:tc>
          <w:tcPr>
            <w:tcW w:w="1550" w:type="dxa"/>
            <w:noWrap w:val="0"/>
            <w:vAlign w:val="center"/>
          </w:tcPr>
          <w:p w14:paraId="64413CB8">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699D8316">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79BDC77A">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153B03E4">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6F59A492">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13650889">
            <w:pPr>
              <w:spacing w:line="440" w:lineRule="exact"/>
              <w:jc w:val="center"/>
              <w:outlineLvl w:val="9"/>
              <w:rPr>
                <w:rFonts w:hint="eastAsia" w:ascii="宋体" w:hAnsi="宋体" w:cs="宋体"/>
                <w:color w:val="000000"/>
                <w:sz w:val="21"/>
                <w:szCs w:val="21"/>
                <w:highlight w:val="none"/>
                <w:lang w:eastAsia="zh-CN"/>
              </w:rPr>
            </w:pPr>
          </w:p>
        </w:tc>
      </w:tr>
      <w:tr w14:paraId="0E93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613BEFC0">
            <w:pPr>
              <w:spacing w:line="440" w:lineRule="exact"/>
              <w:jc w:val="center"/>
              <w:outlineLvl w:val="2"/>
              <w:rPr>
                <w:rFonts w:hint="eastAsia" w:ascii="宋体" w:hAnsi="宋体" w:cs="宋体"/>
                <w:color w:val="000000"/>
                <w:sz w:val="21"/>
                <w:szCs w:val="21"/>
                <w:highlight w:val="none"/>
                <w:lang w:eastAsia="zh-CN"/>
              </w:rPr>
            </w:pPr>
            <w:bookmarkStart w:id="66" w:name="_Toc14747"/>
            <w:r>
              <w:rPr>
                <w:rFonts w:hint="eastAsia" w:ascii="宋体" w:hAnsi="宋体" w:cs="宋体"/>
                <w:color w:val="000000"/>
                <w:sz w:val="21"/>
                <w:szCs w:val="21"/>
                <w:highlight w:val="none"/>
                <w:lang w:eastAsia="zh-CN"/>
              </w:rPr>
              <w:t>6</w:t>
            </w:r>
            <w:bookmarkEnd w:id="66"/>
          </w:p>
        </w:tc>
        <w:tc>
          <w:tcPr>
            <w:tcW w:w="1550" w:type="dxa"/>
            <w:noWrap w:val="0"/>
            <w:vAlign w:val="center"/>
          </w:tcPr>
          <w:p w14:paraId="3F838076">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2682A16D">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3C3D4E64">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3A6BB16E">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7E142132">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6AB4AFA6">
            <w:pPr>
              <w:spacing w:line="440" w:lineRule="exact"/>
              <w:jc w:val="center"/>
              <w:outlineLvl w:val="9"/>
              <w:rPr>
                <w:rFonts w:hint="eastAsia" w:ascii="宋体" w:hAnsi="宋体" w:cs="宋体"/>
                <w:color w:val="000000"/>
                <w:sz w:val="21"/>
                <w:szCs w:val="21"/>
                <w:highlight w:val="none"/>
                <w:lang w:eastAsia="zh-CN"/>
              </w:rPr>
            </w:pPr>
          </w:p>
        </w:tc>
      </w:tr>
      <w:tr w14:paraId="2B62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017DF852">
            <w:pPr>
              <w:spacing w:line="440" w:lineRule="exact"/>
              <w:jc w:val="center"/>
              <w:outlineLvl w:val="2"/>
              <w:rPr>
                <w:rFonts w:hint="eastAsia" w:ascii="宋体" w:hAnsi="宋体" w:cs="宋体"/>
                <w:color w:val="000000"/>
                <w:sz w:val="21"/>
                <w:szCs w:val="21"/>
                <w:highlight w:val="none"/>
                <w:lang w:eastAsia="zh-CN"/>
              </w:rPr>
            </w:pPr>
            <w:bookmarkStart w:id="67" w:name="_Toc30187"/>
            <w:r>
              <w:rPr>
                <w:rFonts w:hint="eastAsia" w:ascii="宋体" w:hAnsi="宋体" w:cs="宋体"/>
                <w:color w:val="000000"/>
                <w:sz w:val="21"/>
                <w:szCs w:val="21"/>
                <w:highlight w:val="none"/>
                <w:lang w:eastAsia="zh-CN"/>
              </w:rPr>
              <w:t>…</w:t>
            </w:r>
            <w:bookmarkEnd w:id="67"/>
          </w:p>
        </w:tc>
        <w:tc>
          <w:tcPr>
            <w:tcW w:w="1550" w:type="dxa"/>
            <w:noWrap w:val="0"/>
            <w:vAlign w:val="center"/>
          </w:tcPr>
          <w:p w14:paraId="632D78C2">
            <w:pPr>
              <w:spacing w:line="440" w:lineRule="exact"/>
              <w:jc w:val="center"/>
              <w:outlineLvl w:val="9"/>
              <w:rPr>
                <w:rFonts w:hint="eastAsia" w:ascii="宋体" w:hAnsi="宋体" w:cs="宋体"/>
                <w:color w:val="000000"/>
                <w:sz w:val="21"/>
                <w:szCs w:val="21"/>
                <w:highlight w:val="none"/>
                <w:lang w:eastAsia="zh-CN"/>
              </w:rPr>
            </w:pPr>
          </w:p>
        </w:tc>
        <w:tc>
          <w:tcPr>
            <w:tcW w:w="2370" w:type="dxa"/>
            <w:noWrap w:val="0"/>
            <w:vAlign w:val="center"/>
          </w:tcPr>
          <w:p w14:paraId="48618471">
            <w:pPr>
              <w:spacing w:line="440" w:lineRule="exact"/>
              <w:jc w:val="center"/>
              <w:outlineLvl w:val="9"/>
              <w:rPr>
                <w:rFonts w:hint="eastAsia" w:ascii="宋体" w:hAnsi="宋体" w:cs="宋体"/>
                <w:color w:val="000000"/>
                <w:sz w:val="21"/>
                <w:szCs w:val="21"/>
                <w:highlight w:val="none"/>
                <w:lang w:eastAsia="zh-CN"/>
              </w:rPr>
            </w:pPr>
          </w:p>
        </w:tc>
        <w:tc>
          <w:tcPr>
            <w:tcW w:w="1185" w:type="dxa"/>
            <w:noWrap w:val="0"/>
            <w:vAlign w:val="center"/>
          </w:tcPr>
          <w:p w14:paraId="3D6DB616">
            <w:pPr>
              <w:spacing w:line="440" w:lineRule="exact"/>
              <w:jc w:val="center"/>
              <w:outlineLvl w:val="9"/>
              <w:rPr>
                <w:rFonts w:hint="eastAsia" w:ascii="宋体" w:hAnsi="宋体" w:cs="宋体"/>
                <w:color w:val="000000"/>
                <w:sz w:val="21"/>
                <w:szCs w:val="21"/>
                <w:highlight w:val="none"/>
                <w:lang w:eastAsia="zh-CN"/>
              </w:rPr>
            </w:pPr>
          </w:p>
        </w:tc>
        <w:tc>
          <w:tcPr>
            <w:tcW w:w="1245" w:type="dxa"/>
            <w:noWrap w:val="0"/>
            <w:vAlign w:val="center"/>
          </w:tcPr>
          <w:p w14:paraId="700005B1">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71356092">
            <w:pPr>
              <w:spacing w:line="440" w:lineRule="exact"/>
              <w:jc w:val="center"/>
              <w:outlineLvl w:val="9"/>
              <w:rPr>
                <w:rFonts w:hint="eastAsia" w:ascii="宋体" w:hAnsi="宋体" w:cs="宋体"/>
                <w:color w:val="000000"/>
                <w:sz w:val="21"/>
                <w:szCs w:val="21"/>
                <w:highlight w:val="none"/>
                <w:lang w:eastAsia="zh-CN"/>
              </w:rPr>
            </w:pPr>
          </w:p>
        </w:tc>
        <w:tc>
          <w:tcPr>
            <w:tcW w:w="1380" w:type="dxa"/>
            <w:noWrap w:val="0"/>
            <w:vAlign w:val="center"/>
          </w:tcPr>
          <w:p w14:paraId="54844133">
            <w:pPr>
              <w:spacing w:line="440" w:lineRule="exact"/>
              <w:jc w:val="center"/>
              <w:outlineLvl w:val="9"/>
              <w:rPr>
                <w:rFonts w:hint="eastAsia" w:ascii="宋体" w:hAnsi="宋体" w:cs="宋体"/>
                <w:color w:val="000000"/>
                <w:sz w:val="21"/>
                <w:szCs w:val="21"/>
                <w:highlight w:val="none"/>
                <w:lang w:eastAsia="zh-CN"/>
              </w:rPr>
            </w:pPr>
          </w:p>
        </w:tc>
      </w:tr>
    </w:tbl>
    <w:p w14:paraId="712FC69B">
      <w:pPr>
        <w:pStyle w:val="37"/>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eastAsia" w:ascii="宋体" w:hAnsi="宋体" w:eastAsia="宋体" w:cs="宋体"/>
          <w:b/>
          <w:bCs/>
          <w:color w:val="auto"/>
          <w:sz w:val="21"/>
          <w:szCs w:val="21"/>
          <w:highlight w:val="none"/>
          <w:lang w:val="en-US"/>
        </w:rPr>
      </w:pPr>
      <w:r>
        <w:rPr>
          <w:rFonts w:hint="eastAsia" w:asci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w:t>
      </w: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附件须提供法</w:t>
      </w:r>
      <w:r>
        <w:rPr>
          <w:rFonts w:hint="eastAsia" w:ascii="宋体" w:hAnsi="宋体" w:eastAsia="宋体" w:cs="宋体"/>
          <w:b/>
          <w:bCs/>
          <w:color w:val="000000"/>
          <w:sz w:val="21"/>
          <w:szCs w:val="21"/>
          <w:highlight w:val="none"/>
          <w:lang w:val="en-US" w:eastAsia="zh-CN"/>
        </w:rPr>
        <w:t>律服务合同及民事判决书（或仲裁裁决书）原件扫描件</w:t>
      </w:r>
      <w:r>
        <w:rPr>
          <w:rFonts w:hint="eastAsia" w:ascii="宋体" w:eastAsia="宋体" w:cs="宋体"/>
          <w:b/>
          <w:bCs/>
          <w:color w:val="000000"/>
          <w:sz w:val="21"/>
          <w:szCs w:val="21"/>
          <w:highlight w:val="none"/>
          <w:lang w:val="en-US" w:eastAsia="zh-CN"/>
        </w:rPr>
        <w:t>。</w:t>
      </w:r>
    </w:p>
    <w:p w14:paraId="6C6A5EF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 xml:space="preserve">在填写时，如本表格不适合投标人的实际情况，可根据本表格式自行划表填写。 </w:t>
      </w:r>
    </w:p>
    <w:p w14:paraId="30623F2B">
      <w:pPr>
        <w:keepNext w:val="0"/>
        <w:keepLines w:val="0"/>
        <w:kinsoku/>
        <w:wordWrap/>
        <w:overflowPunct/>
        <w:topLinePunct w:val="0"/>
        <w:autoSpaceDE w:val="0"/>
        <w:autoSpaceDN w:val="0"/>
        <w:bidi w:val="0"/>
        <w:adjustRightInd w:val="0"/>
        <w:spacing w:line="500" w:lineRule="exact"/>
        <w:ind w:firstLine="480" w:firstLineChars="200"/>
        <w:rPr>
          <w:rFonts w:hint="eastAsia" w:ascii="宋体" w:hAnsi="宋体" w:eastAsia="宋体" w:cs="宋体"/>
          <w:sz w:val="24"/>
          <w:szCs w:val="24"/>
          <w:highlight w:val="none"/>
          <w:lang w:val="zh-CN"/>
        </w:rPr>
      </w:pPr>
    </w:p>
    <w:p w14:paraId="5DAE80B7">
      <w:pPr>
        <w:pStyle w:val="19"/>
        <w:rPr>
          <w:rFonts w:hint="eastAsia"/>
          <w:lang w:val="zh-CN"/>
        </w:rPr>
      </w:pPr>
    </w:p>
    <w:p w14:paraId="2595BB09">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供应商</w:t>
      </w:r>
      <w:r>
        <w:rPr>
          <w:rFonts w:hint="eastAsia" w:ascii="宋体" w:hAnsi="宋体" w:eastAsia="宋体" w:cs="宋体"/>
          <w:sz w:val="24"/>
          <w:szCs w:val="24"/>
          <w:highlight w:val="none"/>
          <w:lang w:val="zh-CN"/>
        </w:rPr>
        <w:t>（盖章）：</w:t>
      </w:r>
    </w:p>
    <w:p w14:paraId="3594342D">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法定代表人或授权代表人（签字或盖章）：</w:t>
      </w:r>
    </w:p>
    <w:p w14:paraId="5085AF6B">
      <w:pPr>
        <w:keepNext w:val="0"/>
        <w:keepLines w:val="0"/>
        <w:kinsoku/>
        <w:wordWrap/>
        <w:overflowPunct/>
        <w:topLinePunct w:val="0"/>
        <w:autoSpaceDE w:val="0"/>
        <w:autoSpaceDN w:val="0"/>
        <w:bidi w:val="0"/>
        <w:adjustRightInd w:val="0"/>
        <w:spacing w:line="500" w:lineRule="exact"/>
        <w:ind w:firstLine="4080" w:firstLineChars="1700"/>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日期：      </w:t>
      </w:r>
    </w:p>
    <w:p w14:paraId="2525B4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128DB3AC">
      <w:pPr>
        <w:pStyle w:val="36"/>
        <w:rPr>
          <w:rFonts w:hint="eastAsia"/>
          <w:highlight w:val="none"/>
          <w:lang w:val="en-US" w:eastAsia="zh-CN"/>
        </w:rPr>
      </w:pPr>
    </w:p>
    <w:p w14:paraId="023C12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6606A086">
      <w:pPr>
        <w:pStyle w:val="19"/>
        <w:rPr>
          <w:rFonts w:hint="eastAsia"/>
          <w:lang w:val="en-US" w:eastAsia="zh-CN"/>
        </w:rPr>
      </w:pPr>
    </w:p>
    <w:p w14:paraId="29D686C5">
      <w:pPr>
        <w:pStyle w:val="19"/>
        <w:rPr>
          <w:rFonts w:hint="eastAsia"/>
          <w:lang w:val="en-US" w:eastAsia="zh-CN"/>
        </w:rPr>
      </w:pPr>
    </w:p>
    <w:p w14:paraId="7928DA69">
      <w:pPr>
        <w:pStyle w:val="36"/>
        <w:rPr>
          <w:rFonts w:hint="eastAsia" w:ascii="宋体" w:hAnsi="宋体" w:eastAsia="宋体" w:cs="宋体"/>
          <w:b/>
          <w:bCs/>
          <w:color w:val="auto"/>
          <w:kern w:val="0"/>
          <w:sz w:val="24"/>
          <w:szCs w:val="24"/>
          <w:highlight w:val="none"/>
          <w:lang w:val="en-US" w:eastAsia="zh-CN" w:bidi="ar-SA"/>
        </w:rPr>
      </w:pPr>
    </w:p>
    <w:p w14:paraId="12F4E980">
      <w:pPr>
        <w:rPr>
          <w:rFonts w:hint="eastAsia"/>
          <w:lang w:val="en-US" w:eastAsia="zh-CN"/>
        </w:rPr>
      </w:pPr>
    </w:p>
    <w:p w14:paraId="2E9D6DB9">
      <w:pPr>
        <w:rPr>
          <w:rFonts w:hint="eastAsia" w:ascii="宋体" w:hAnsi="宋体" w:eastAsia="宋体" w:cs="宋体"/>
          <w:b/>
          <w:bCs/>
          <w:color w:val="auto"/>
          <w:kern w:val="0"/>
          <w:sz w:val="24"/>
          <w:szCs w:val="24"/>
          <w:highlight w:val="none"/>
          <w:lang w:val="en-US" w:eastAsia="zh-CN" w:bidi="ar-SA"/>
        </w:rPr>
      </w:pPr>
    </w:p>
    <w:p w14:paraId="4F95675F">
      <w:pPr>
        <w:pStyle w:val="9"/>
        <w:adjustRightInd w:val="0"/>
        <w:snapToGrid w:val="0"/>
        <w:spacing w:line="360" w:lineRule="auto"/>
        <w:jc w:val="center"/>
        <w:outlineLvl w:val="1"/>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供应商情况表</w:t>
      </w:r>
    </w:p>
    <w:tbl>
      <w:tblPr>
        <w:tblStyle w:val="2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6AC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3DAE95E">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供应商名称</w:t>
            </w:r>
          </w:p>
        </w:tc>
        <w:tc>
          <w:tcPr>
            <w:tcW w:w="7647" w:type="dxa"/>
            <w:gridSpan w:val="5"/>
            <w:noWrap w:val="0"/>
            <w:vAlign w:val="center"/>
          </w:tcPr>
          <w:p w14:paraId="37484C4A">
            <w:pPr>
              <w:adjustRightInd w:val="0"/>
              <w:snapToGrid w:val="0"/>
              <w:spacing w:line="240" w:lineRule="auto"/>
              <w:jc w:val="center"/>
              <w:rPr>
                <w:rFonts w:hint="eastAsia" w:ascii="仿宋" w:hAnsi="仿宋" w:eastAsia="仿宋" w:cs="仿宋"/>
                <w:color w:val="000000"/>
                <w:kern w:val="0"/>
                <w:sz w:val="28"/>
                <w:szCs w:val="28"/>
                <w:lang w:val="zh-CN"/>
              </w:rPr>
            </w:pPr>
          </w:p>
        </w:tc>
      </w:tr>
      <w:tr w14:paraId="1BEB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AE3FEA4">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en-US" w:eastAsia="zh-CN"/>
              </w:rPr>
              <w:t>注册</w:t>
            </w:r>
            <w:r>
              <w:rPr>
                <w:rFonts w:hint="eastAsia" w:ascii="仿宋" w:hAnsi="仿宋" w:eastAsia="仿宋" w:cs="仿宋"/>
                <w:color w:val="000000"/>
                <w:kern w:val="0"/>
                <w:sz w:val="28"/>
                <w:szCs w:val="28"/>
                <w:lang w:val="zh-CN"/>
              </w:rPr>
              <w:t>地址</w:t>
            </w:r>
          </w:p>
        </w:tc>
        <w:tc>
          <w:tcPr>
            <w:tcW w:w="2809" w:type="dxa"/>
            <w:gridSpan w:val="2"/>
            <w:noWrap w:val="0"/>
            <w:vAlign w:val="center"/>
          </w:tcPr>
          <w:p w14:paraId="41A3C574">
            <w:pPr>
              <w:adjustRightInd w:val="0"/>
              <w:snapToGrid w:val="0"/>
              <w:spacing w:line="240" w:lineRule="auto"/>
              <w:jc w:val="center"/>
              <w:rPr>
                <w:rFonts w:hint="eastAsia" w:ascii="仿宋" w:hAnsi="仿宋" w:eastAsia="仿宋" w:cs="仿宋"/>
                <w:color w:val="000000"/>
                <w:kern w:val="0"/>
                <w:sz w:val="28"/>
                <w:szCs w:val="28"/>
                <w:lang w:val="zh-CN"/>
              </w:rPr>
            </w:pPr>
          </w:p>
        </w:tc>
        <w:tc>
          <w:tcPr>
            <w:tcW w:w="1786" w:type="dxa"/>
            <w:noWrap w:val="0"/>
            <w:vAlign w:val="center"/>
          </w:tcPr>
          <w:p w14:paraId="2856E3A4">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成立时间</w:t>
            </w:r>
          </w:p>
        </w:tc>
        <w:tc>
          <w:tcPr>
            <w:tcW w:w="3052" w:type="dxa"/>
            <w:gridSpan w:val="2"/>
            <w:noWrap w:val="0"/>
            <w:vAlign w:val="center"/>
          </w:tcPr>
          <w:p w14:paraId="1817E643">
            <w:pPr>
              <w:adjustRightInd w:val="0"/>
              <w:snapToGrid w:val="0"/>
              <w:spacing w:line="240" w:lineRule="auto"/>
              <w:jc w:val="center"/>
              <w:rPr>
                <w:rFonts w:hint="eastAsia" w:ascii="仿宋" w:hAnsi="仿宋" w:eastAsia="仿宋" w:cs="仿宋"/>
                <w:color w:val="000000"/>
                <w:kern w:val="0"/>
                <w:sz w:val="28"/>
                <w:szCs w:val="28"/>
                <w:lang w:val="zh-CN"/>
              </w:rPr>
            </w:pPr>
          </w:p>
        </w:tc>
      </w:tr>
      <w:tr w14:paraId="326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EADBB8F">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统一信用代码</w:t>
            </w:r>
          </w:p>
        </w:tc>
        <w:tc>
          <w:tcPr>
            <w:tcW w:w="2809" w:type="dxa"/>
            <w:gridSpan w:val="2"/>
            <w:noWrap w:val="0"/>
            <w:vAlign w:val="center"/>
          </w:tcPr>
          <w:p w14:paraId="7EC0B9C1">
            <w:pPr>
              <w:adjustRightInd w:val="0"/>
              <w:snapToGrid w:val="0"/>
              <w:spacing w:line="240" w:lineRule="auto"/>
              <w:jc w:val="center"/>
              <w:rPr>
                <w:rFonts w:hint="eastAsia" w:ascii="仿宋" w:hAnsi="仿宋" w:eastAsia="仿宋" w:cs="仿宋"/>
                <w:color w:val="000000"/>
                <w:kern w:val="0"/>
                <w:sz w:val="28"/>
                <w:szCs w:val="28"/>
                <w:lang w:val="zh-CN"/>
              </w:rPr>
            </w:pPr>
          </w:p>
        </w:tc>
        <w:tc>
          <w:tcPr>
            <w:tcW w:w="1786" w:type="dxa"/>
            <w:noWrap w:val="0"/>
            <w:vAlign w:val="center"/>
          </w:tcPr>
          <w:p w14:paraId="38230132">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注册资金</w:t>
            </w:r>
          </w:p>
        </w:tc>
        <w:tc>
          <w:tcPr>
            <w:tcW w:w="3052" w:type="dxa"/>
            <w:gridSpan w:val="2"/>
            <w:noWrap w:val="0"/>
            <w:vAlign w:val="center"/>
          </w:tcPr>
          <w:p w14:paraId="47EC230C">
            <w:pPr>
              <w:adjustRightInd w:val="0"/>
              <w:snapToGrid w:val="0"/>
              <w:spacing w:line="240" w:lineRule="auto"/>
              <w:jc w:val="center"/>
              <w:rPr>
                <w:rFonts w:hint="eastAsia" w:ascii="仿宋" w:hAnsi="仿宋" w:eastAsia="仿宋" w:cs="仿宋"/>
                <w:color w:val="000000"/>
                <w:kern w:val="0"/>
                <w:sz w:val="28"/>
                <w:szCs w:val="28"/>
                <w:lang w:val="zh-CN"/>
              </w:rPr>
            </w:pPr>
          </w:p>
        </w:tc>
      </w:tr>
      <w:tr w14:paraId="7B7F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0" w:type="dxa"/>
            <w:noWrap w:val="0"/>
            <w:vAlign w:val="center"/>
          </w:tcPr>
          <w:p w14:paraId="4B377E9D">
            <w:pPr>
              <w:adjustRightInd w:val="0"/>
              <w:snapToGrid w:val="0"/>
              <w:spacing w:line="24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企业荣誉</w:t>
            </w:r>
          </w:p>
        </w:tc>
        <w:tc>
          <w:tcPr>
            <w:tcW w:w="7647" w:type="dxa"/>
            <w:gridSpan w:val="5"/>
            <w:noWrap w:val="0"/>
            <w:vAlign w:val="center"/>
          </w:tcPr>
          <w:p w14:paraId="1E6E9CC7">
            <w:pPr>
              <w:adjustRightInd w:val="0"/>
              <w:snapToGrid w:val="0"/>
              <w:spacing w:line="240" w:lineRule="auto"/>
              <w:jc w:val="center"/>
              <w:rPr>
                <w:rFonts w:hint="eastAsia" w:ascii="仿宋" w:hAnsi="仿宋" w:eastAsia="仿宋" w:cs="仿宋"/>
                <w:color w:val="000000"/>
                <w:kern w:val="0"/>
                <w:sz w:val="28"/>
                <w:szCs w:val="28"/>
                <w:lang w:val="zh-CN"/>
              </w:rPr>
            </w:pPr>
          </w:p>
        </w:tc>
      </w:tr>
      <w:tr w14:paraId="0666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2B90E08">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投标联系人姓名</w:t>
            </w:r>
          </w:p>
        </w:tc>
        <w:tc>
          <w:tcPr>
            <w:tcW w:w="1936" w:type="dxa"/>
            <w:noWrap w:val="0"/>
            <w:vAlign w:val="center"/>
          </w:tcPr>
          <w:p w14:paraId="1C062C2F">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noWrap w:val="0"/>
            <w:vAlign w:val="center"/>
          </w:tcPr>
          <w:p w14:paraId="12C86841">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电话</w:t>
            </w:r>
          </w:p>
        </w:tc>
        <w:tc>
          <w:tcPr>
            <w:tcW w:w="1786" w:type="dxa"/>
            <w:noWrap w:val="0"/>
            <w:vAlign w:val="center"/>
          </w:tcPr>
          <w:p w14:paraId="554E9BCE">
            <w:pPr>
              <w:adjustRightInd w:val="0"/>
              <w:snapToGrid w:val="0"/>
              <w:spacing w:line="240" w:lineRule="auto"/>
              <w:jc w:val="center"/>
              <w:rPr>
                <w:rFonts w:hint="eastAsia" w:ascii="仿宋" w:hAnsi="仿宋" w:eastAsia="仿宋" w:cs="仿宋"/>
                <w:color w:val="000000"/>
                <w:kern w:val="0"/>
                <w:sz w:val="28"/>
                <w:szCs w:val="28"/>
                <w:lang w:val="zh-CN"/>
              </w:rPr>
            </w:pPr>
          </w:p>
        </w:tc>
        <w:tc>
          <w:tcPr>
            <w:tcW w:w="1200" w:type="dxa"/>
            <w:noWrap w:val="0"/>
            <w:vAlign w:val="center"/>
          </w:tcPr>
          <w:p w14:paraId="27F015C8">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手机</w:t>
            </w:r>
          </w:p>
        </w:tc>
        <w:tc>
          <w:tcPr>
            <w:tcW w:w="1852" w:type="dxa"/>
            <w:noWrap w:val="0"/>
            <w:vAlign w:val="center"/>
          </w:tcPr>
          <w:p w14:paraId="7BACD001">
            <w:pPr>
              <w:adjustRightInd w:val="0"/>
              <w:snapToGrid w:val="0"/>
              <w:spacing w:line="240" w:lineRule="auto"/>
              <w:jc w:val="center"/>
              <w:rPr>
                <w:rFonts w:hint="eastAsia" w:ascii="仿宋" w:hAnsi="仿宋" w:eastAsia="仿宋" w:cs="仿宋"/>
                <w:color w:val="000000"/>
                <w:kern w:val="0"/>
                <w:sz w:val="28"/>
                <w:szCs w:val="28"/>
                <w:lang w:val="zh-CN"/>
              </w:rPr>
            </w:pPr>
          </w:p>
        </w:tc>
      </w:tr>
      <w:tr w14:paraId="3B36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0D2CE42">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法定代表人姓名</w:t>
            </w:r>
          </w:p>
        </w:tc>
        <w:tc>
          <w:tcPr>
            <w:tcW w:w="1936" w:type="dxa"/>
            <w:noWrap w:val="0"/>
            <w:vAlign w:val="center"/>
          </w:tcPr>
          <w:p w14:paraId="3058B523">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noWrap w:val="0"/>
            <w:vAlign w:val="center"/>
          </w:tcPr>
          <w:p w14:paraId="0BA5B848">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电话</w:t>
            </w:r>
          </w:p>
        </w:tc>
        <w:tc>
          <w:tcPr>
            <w:tcW w:w="1786" w:type="dxa"/>
            <w:noWrap w:val="0"/>
            <w:vAlign w:val="center"/>
          </w:tcPr>
          <w:p w14:paraId="74576C37">
            <w:pPr>
              <w:adjustRightInd w:val="0"/>
              <w:snapToGrid w:val="0"/>
              <w:spacing w:line="240" w:lineRule="auto"/>
              <w:jc w:val="center"/>
              <w:rPr>
                <w:rFonts w:hint="eastAsia" w:ascii="仿宋" w:hAnsi="仿宋" w:eastAsia="仿宋" w:cs="仿宋"/>
                <w:color w:val="000000"/>
                <w:kern w:val="0"/>
                <w:sz w:val="28"/>
                <w:szCs w:val="28"/>
                <w:lang w:val="zh-CN"/>
              </w:rPr>
            </w:pPr>
          </w:p>
        </w:tc>
        <w:tc>
          <w:tcPr>
            <w:tcW w:w="1200" w:type="dxa"/>
            <w:noWrap w:val="0"/>
            <w:vAlign w:val="center"/>
          </w:tcPr>
          <w:p w14:paraId="368A39F4">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手机</w:t>
            </w:r>
          </w:p>
        </w:tc>
        <w:tc>
          <w:tcPr>
            <w:tcW w:w="1852" w:type="dxa"/>
            <w:noWrap w:val="0"/>
            <w:vAlign w:val="center"/>
          </w:tcPr>
          <w:p w14:paraId="38F5D3B7">
            <w:pPr>
              <w:adjustRightInd w:val="0"/>
              <w:snapToGrid w:val="0"/>
              <w:spacing w:line="240" w:lineRule="auto"/>
              <w:jc w:val="center"/>
              <w:rPr>
                <w:rFonts w:hint="eastAsia" w:ascii="仿宋" w:hAnsi="仿宋" w:eastAsia="仿宋" w:cs="仿宋"/>
                <w:color w:val="000000"/>
                <w:kern w:val="0"/>
                <w:sz w:val="28"/>
                <w:szCs w:val="28"/>
                <w:lang w:val="zh-CN"/>
              </w:rPr>
            </w:pPr>
          </w:p>
        </w:tc>
      </w:tr>
      <w:tr w14:paraId="37E2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295DBA6">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项目负责人姓名</w:t>
            </w:r>
          </w:p>
        </w:tc>
        <w:tc>
          <w:tcPr>
            <w:tcW w:w="1936" w:type="dxa"/>
            <w:noWrap w:val="0"/>
            <w:vAlign w:val="center"/>
          </w:tcPr>
          <w:p w14:paraId="78255869">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noWrap w:val="0"/>
            <w:vAlign w:val="center"/>
          </w:tcPr>
          <w:p w14:paraId="65A97814">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电话</w:t>
            </w:r>
          </w:p>
        </w:tc>
        <w:tc>
          <w:tcPr>
            <w:tcW w:w="1786" w:type="dxa"/>
            <w:noWrap w:val="0"/>
            <w:vAlign w:val="center"/>
          </w:tcPr>
          <w:p w14:paraId="5E636214">
            <w:pPr>
              <w:adjustRightInd w:val="0"/>
              <w:snapToGrid w:val="0"/>
              <w:spacing w:line="240" w:lineRule="auto"/>
              <w:jc w:val="center"/>
              <w:rPr>
                <w:rFonts w:hint="eastAsia" w:ascii="仿宋" w:hAnsi="仿宋" w:eastAsia="仿宋" w:cs="仿宋"/>
                <w:color w:val="000000"/>
                <w:kern w:val="0"/>
                <w:sz w:val="28"/>
                <w:szCs w:val="28"/>
                <w:lang w:val="zh-CN"/>
              </w:rPr>
            </w:pPr>
          </w:p>
        </w:tc>
        <w:tc>
          <w:tcPr>
            <w:tcW w:w="1200" w:type="dxa"/>
            <w:noWrap w:val="0"/>
            <w:vAlign w:val="center"/>
          </w:tcPr>
          <w:p w14:paraId="5CA2C20D">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技术</w:t>
            </w:r>
          </w:p>
          <w:p w14:paraId="518E1F97">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职称</w:t>
            </w:r>
          </w:p>
        </w:tc>
        <w:tc>
          <w:tcPr>
            <w:tcW w:w="1852" w:type="dxa"/>
            <w:noWrap w:val="0"/>
            <w:vAlign w:val="center"/>
          </w:tcPr>
          <w:p w14:paraId="01C387A4">
            <w:pPr>
              <w:adjustRightInd w:val="0"/>
              <w:snapToGrid w:val="0"/>
              <w:spacing w:line="240" w:lineRule="auto"/>
              <w:jc w:val="center"/>
              <w:rPr>
                <w:rFonts w:hint="eastAsia" w:ascii="仿宋" w:hAnsi="仿宋" w:eastAsia="仿宋" w:cs="仿宋"/>
                <w:color w:val="000000"/>
                <w:kern w:val="0"/>
                <w:sz w:val="28"/>
                <w:szCs w:val="28"/>
                <w:lang w:val="zh-CN"/>
              </w:rPr>
            </w:pPr>
          </w:p>
        </w:tc>
      </w:tr>
      <w:tr w14:paraId="1CBB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1F484E65">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员工总人数：</w:t>
            </w:r>
          </w:p>
        </w:tc>
        <w:tc>
          <w:tcPr>
            <w:tcW w:w="1936" w:type="dxa"/>
            <w:vMerge w:val="restart"/>
            <w:noWrap w:val="0"/>
            <w:vAlign w:val="center"/>
          </w:tcPr>
          <w:p w14:paraId="05EEF4D1">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vMerge w:val="restart"/>
            <w:noWrap w:val="0"/>
            <w:vAlign w:val="center"/>
          </w:tcPr>
          <w:p w14:paraId="02D2390F">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其中</w:t>
            </w:r>
          </w:p>
        </w:tc>
        <w:tc>
          <w:tcPr>
            <w:tcW w:w="1786" w:type="dxa"/>
            <w:noWrap w:val="0"/>
            <w:vAlign w:val="center"/>
          </w:tcPr>
          <w:p w14:paraId="3B5D1543">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高级职称</w:t>
            </w:r>
          </w:p>
        </w:tc>
        <w:tc>
          <w:tcPr>
            <w:tcW w:w="3052" w:type="dxa"/>
            <w:gridSpan w:val="2"/>
            <w:noWrap w:val="0"/>
            <w:vAlign w:val="center"/>
          </w:tcPr>
          <w:p w14:paraId="78CBCF42">
            <w:pPr>
              <w:adjustRightInd w:val="0"/>
              <w:snapToGrid w:val="0"/>
              <w:spacing w:line="240" w:lineRule="auto"/>
              <w:jc w:val="center"/>
              <w:rPr>
                <w:rFonts w:hint="eastAsia" w:ascii="仿宋" w:hAnsi="仿宋" w:eastAsia="仿宋" w:cs="仿宋"/>
                <w:color w:val="000000"/>
                <w:kern w:val="0"/>
                <w:sz w:val="28"/>
                <w:szCs w:val="28"/>
                <w:lang w:val="zh-CN"/>
              </w:rPr>
            </w:pPr>
          </w:p>
        </w:tc>
      </w:tr>
      <w:tr w14:paraId="221D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7EDB72B2">
            <w:pPr>
              <w:adjustRightInd w:val="0"/>
              <w:snapToGrid w:val="0"/>
              <w:spacing w:line="240" w:lineRule="auto"/>
              <w:jc w:val="center"/>
              <w:rPr>
                <w:rFonts w:hint="eastAsia" w:ascii="仿宋" w:hAnsi="仿宋" w:eastAsia="仿宋" w:cs="仿宋"/>
                <w:color w:val="000000"/>
                <w:kern w:val="0"/>
                <w:sz w:val="28"/>
                <w:szCs w:val="28"/>
                <w:lang w:val="zh-CN"/>
              </w:rPr>
            </w:pPr>
          </w:p>
        </w:tc>
        <w:tc>
          <w:tcPr>
            <w:tcW w:w="1936" w:type="dxa"/>
            <w:vMerge w:val="continue"/>
            <w:noWrap w:val="0"/>
            <w:vAlign w:val="center"/>
          </w:tcPr>
          <w:p w14:paraId="7BEC98EB">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vMerge w:val="continue"/>
            <w:noWrap w:val="0"/>
            <w:vAlign w:val="center"/>
          </w:tcPr>
          <w:p w14:paraId="17B6DF3E">
            <w:pPr>
              <w:adjustRightInd w:val="0"/>
              <w:snapToGrid w:val="0"/>
              <w:spacing w:line="240" w:lineRule="auto"/>
              <w:jc w:val="center"/>
              <w:rPr>
                <w:rFonts w:hint="eastAsia" w:ascii="仿宋" w:hAnsi="仿宋" w:eastAsia="仿宋" w:cs="仿宋"/>
                <w:color w:val="000000"/>
                <w:kern w:val="0"/>
                <w:sz w:val="28"/>
                <w:szCs w:val="28"/>
                <w:lang w:val="zh-CN"/>
              </w:rPr>
            </w:pPr>
          </w:p>
        </w:tc>
        <w:tc>
          <w:tcPr>
            <w:tcW w:w="1786" w:type="dxa"/>
            <w:noWrap w:val="0"/>
            <w:vAlign w:val="center"/>
          </w:tcPr>
          <w:p w14:paraId="52F0963D">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中级职称</w:t>
            </w:r>
          </w:p>
        </w:tc>
        <w:tc>
          <w:tcPr>
            <w:tcW w:w="3052" w:type="dxa"/>
            <w:gridSpan w:val="2"/>
            <w:noWrap w:val="0"/>
            <w:vAlign w:val="center"/>
          </w:tcPr>
          <w:p w14:paraId="29012D21">
            <w:pPr>
              <w:adjustRightInd w:val="0"/>
              <w:snapToGrid w:val="0"/>
              <w:spacing w:line="240" w:lineRule="auto"/>
              <w:jc w:val="center"/>
              <w:rPr>
                <w:rFonts w:hint="eastAsia" w:ascii="仿宋" w:hAnsi="仿宋" w:eastAsia="仿宋" w:cs="仿宋"/>
                <w:color w:val="000000"/>
                <w:kern w:val="0"/>
                <w:sz w:val="28"/>
                <w:szCs w:val="28"/>
                <w:lang w:val="zh-CN"/>
              </w:rPr>
            </w:pPr>
          </w:p>
        </w:tc>
      </w:tr>
      <w:tr w14:paraId="19BD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1F4B3285">
            <w:pPr>
              <w:adjustRightInd w:val="0"/>
              <w:snapToGrid w:val="0"/>
              <w:spacing w:line="240" w:lineRule="auto"/>
              <w:jc w:val="center"/>
              <w:rPr>
                <w:rFonts w:hint="eastAsia" w:ascii="仿宋" w:hAnsi="仿宋" w:eastAsia="仿宋" w:cs="仿宋"/>
                <w:color w:val="000000"/>
                <w:kern w:val="0"/>
                <w:sz w:val="28"/>
                <w:szCs w:val="28"/>
                <w:lang w:val="zh-CN"/>
              </w:rPr>
            </w:pPr>
          </w:p>
        </w:tc>
        <w:tc>
          <w:tcPr>
            <w:tcW w:w="1936" w:type="dxa"/>
            <w:vMerge w:val="continue"/>
            <w:noWrap w:val="0"/>
            <w:vAlign w:val="center"/>
          </w:tcPr>
          <w:p w14:paraId="4C2F30C2">
            <w:pPr>
              <w:adjustRightInd w:val="0"/>
              <w:snapToGrid w:val="0"/>
              <w:spacing w:line="240" w:lineRule="auto"/>
              <w:jc w:val="center"/>
              <w:rPr>
                <w:rFonts w:hint="eastAsia" w:ascii="仿宋" w:hAnsi="仿宋" w:eastAsia="仿宋" w:cs="仿宋"/>
                <w:color w:val="000000"/>
                <w:kern w:val="0"/>
                <w:sz w:val="28"/>
                <w:szCs w:val="28"/>
                <w:lang w:val="zh-CN"/>
              </w:rPr>
            </w:pPr>
          </w:p>
        </w:tc>
        <w:tc>
          <w:tcPr>
            <w:tcW w:w="873" w:type="dxa"/>
            <w:vMerge w:val="continue"/>
            <w:noWrap w:val="0"/>
            <w:vAlign w:val="center"/>
          </w:tcPr>
          <w:p w14:paraId="2CA15590">
            <w:pPr>
              <w:adjustRightInd w:val="0"/>
              <w:snapToGrid w:val="0"/>
              <w:spacing w:line="240" w:lineRule="auto"/>
              <w:jc w:val="center"/>
              <w:rPr>
                <w:rFonts w:hint="eastAsia" w:ascii="仿宋" w:hAnsi="仿宋" w:eastAsia="仿宋" w:cs="仿宋"/>
                <w:color w:val="000000"/>
                <w:kern w:val="0"/>
                <w:sz w:val="28"/>
                <w:szCs w:val="28"/>
                <w:lang w:val="zh-CN"/>
              </w:rPr>
            </w:pPr>
          </w:p>
        </w:tc>
        <w:tc>
          <w:tcPr>
            <w:tcW w:w="1786" w:type="dxa"/>
            <w:noWrap w:val="0"/>
            <w:vAlign w:val="center"/>
          </w:tcPr>
          <w:p w14:paraId="02AA88C7">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各类注册</w:t>
            </w:r>
          </w:p>
          <w:p w14:paraId="34BD3C1D">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人员</w:t>
            </w:r>
          </w:p>
        </w:tc>
        <w:tc>
          <w:tcPr>
            <w:tcW w:w="3052" w:type="dxa"/>
            <w:gridSpan w:val="2"/>
            <w:noWrap w:val="0"/>
            <w:vAlign w:val="center"/>
          </w:tcPr>
          <w:p w14:paraId="68AEBFF5">
            <w:pPr>
              <w:adjustRightInd w:val="0"/>
              <w:snapToGrid w:val="0"/>
              <w:spacing w:line="240" w:lineRule="auto"/>
              <w:jc w:val="center"/>
              <w:rPr>
                <w:rFonts w:hint="eastAsia" w:ascii="仿宋" w:hAnsi="仿宋" w:eastAsia="仿宋" w:cs="仿宋"/>
                <w:color w:val="000000"/>
                <w:kern w:val="0"/>
                <w:sz w:val="28"/>
                <w:szCs w:val="28"/>
                <w:lang w:val="zh-CN"/>
              </w:rPr>
            </w:pPr>
          </w:p>
        </w:tc>
      </w:tr>
      <w:tr w14:paraId="2EA0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A727D8F">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基本账户开户</w:t>
            </w:r>
          </w:p>
          <w:p w14:paraId="5D4B2EF2">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银行</w:t>
            </w:r>
          </w:p>
        </w:tc>
        <w:tc>
          <w:tcPr>
            <w:tcW w:w="7647" w:type="dxa"/>
            <w:gridSpan w:val="5"/>
            <w:noWrap w:val="0"/>
            <w:vAlign w:val="center"/>
          </w:tcPr>
          <w:p w14:paraId="1F1B70F3">
            <w:pPr>
              <w:adjustRightInd w:val="0"/>
              <w:snapToGrid w:val="0"/>
              <w:spacing w:line="240" w:lineRule="auto"/>
              <w:jc w:val="center"/>
              <w:rPr>
                <w:rFonts w:hint="eastAsia" w:ascii="仿宋" w:hAnsi="仿宋" w:eastAsia="仿宋" w:cs="仿宋"/>
                <w:color w:val="000000"/>
                <w:kern w:val="0"/>
                <w:sz w:val="28"/>
                <w:szCs w:val="28"/>
                <w:lang w:val="zh-CN"/>
              </w:rPr>
            </w:pPr>
          </w:p>
        </w:tc>
      </w:tr>
      <w:tr w14:paraId="4F6B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0" w:type="dxa"/>
            <w:noWrap w:val="0"/>
            <w:vAlign w:val="center"/>
          </w:tcPr>
          <w:p w14:paraId="6495FEF2">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基本账户账号</w:t>
            </w:r>
          </w:p>
        </w:tc>
        <w:tc>
          <w:tcPr>
            <w:tcW w:w="7647" w:type="dxa"/>
            <w:gridSpan w:val="5"/>
            <w:noWrap w:val="0"/>
            <w:vAlign w:val="center"/>
          </w:tcPr>
          <w:p w14:paraId="782FFA5B">
            <w:pPr>
              <w:adjustRightInd w:val="0"/>
              <w:snapToGrid w:val="0"/>
              <w:spacing w:line="240" w:lineRule="auto"/>
              <w:jc w:val="center"/>
              <w:rPr>
                <w:rFonts w:hint="eastAsia" w:ascii="仿宋" w:hAnsi="仿宋" w:eastAsia="仿宋" w:cs="仿宋"/>
                <w:color w:val="000000"/>
                <w:kern w:val="0"/>
                <w:sz w:val="28"/>
                <w:szCs w:val="28"/>
                <w:lang w:val="zh-CN"/>
              </w:rPr>
            </w:pPr>
          </w:p>
        </w:tc>
      </w:tr>
      <w:tr w14:paraId="75ED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32BCA226">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经营范围</w:t>
            </w:r>
          </w:p>
        </w:tc>
        <w:tc>
          <w:tcPr>
            <w:tcW w:w="7647" w:type="dxa"/>
            <w:gridSpan w:val="5"/>
            <w:noWrap w:val="0"/>
            <w:vAlign w:val="center"/>
          </w:tcPr>
          <w:p w14:paraId="618F94FC">
            <w:pPr>
              <w:adjustRightInd w:val="0"/>
              <w:snapToGrid w:val="0"/>
              <w:spacing w:line="240" w:lineRule="auto"/>
              <w:jc w:val="center"/>
              <w:rPr>
                <w:rFonts w:hint="eastAsia" w:ascii="仿宋" w:hAnsi="仿宋" w:eastAsia="仿宋" w:cs="仿宋"/>
                <w:color w:val="000000"/>
                <w:kern w:val="0"/>
                <w:sz w:val="28"/>
                <w:szCs w:val="28"/>
                <w:lang w:val="zh-CN"/>
              </w:rPr>
            </w:pPr>
          </w:p>
        </w:tc>
      </w:tr>
      <w:tr w14:paraId="5789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35A8E880">
            <w:pPr>
              <w:adjustRightInd w:val="0"/>
              <w:snapToGrid w:val="0"/>
              <w:spacing w:line="240" w:lineRule="auto"/>
              <w:jc w:val="center"/>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备注</w:t>
            </w:r>
          </w:p>
        </w:tc>
        <w:tc>
          <w:tcPr>
            <w:tcW w:w="7647" w:type="dxa"/>
            <w:gridSpan w:val="5"/>
            <w:noWrap w:val="0"/>
            <w:vAlign w:val="center"/>
          </w:tcPr>
          <w:p w14:paraId="5E5156AF">
            <w:pPr>
              <w:adjustRightInd w:val="0"/>
              <w:snapToGrid w:val="0"/>
              <w:spacing w:line="240" w:lineRule="auto"/>
              <w:jc w:val="center"/>
              <w:rPr>
                <w:rFonts w:hint="eastAsia" w:ascii="仿宋" w:hAnsi="仿宋" w:eastAsia="仿宋" w:cs="仿宋"/>
                <w:color w:val="000000"/>
                <w:kern w:val="0"/>
                <w:sz w:val="28"/>
                <w:szCs w:val="28"/>
                <w:lang w:val="zh-CN"/>
              </w:rPr>
            </w:pPr>
          </w:p>
        </w:tc>
      </w:tr>
    </w:tbl>
    <w:p w14:paraId="6866C7F7">
      <w:pPr>
        <w:adjustRightInd w:val="0"/>
        <w:snapToGrid w:val="0"/>
        <w:spacing w:before="120" w:beforeLines="50" w:line="360" w:lineRule="auto"/>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注：后附律师事务所执业许可证、</w:t>
      </w:r>
      <w:r>
        <w:rPr>
          <w:rFonts w:hint="eastAsia" w:ascii="仿宋" w:hAnsi="仿宋" w:eastAsia="仿宋" w:cs="仿宋"/>
          <w:b/>
          <w:bCs/>
          <w:color w:val="000000"/>
          <w:kern w:val="0"/>
          <w:sz w:val="28"/>
          <w:szCs w:val="28"/>
          <w:highlight w:val="none"/>
          <w:lang w:val="en-US" w:eastAsia="zh-CN"/>
        </w:rPr>
        <w:t>企业</w:t>
      </w:r>
      <w:r>
        <w:rPr>
          <w:rFonts w:hint="eastAsia" w:ascii="仿宋" w:hAnsi="仿宋" w:eastAsia="仿宋" w:cs="仿宋"/>
          <w:b/>
          <w:bCs/>
          <w:color w:val="000000"/>
          <w:sz w:val="28"/>
          <w:szCs w:val="28"/>
          <w:highlight w:val="none"/>
          <w:lang w:val="en-US" w:eastAsia="zh-CN"/>
        </w:rPr>
        <w:t>荣誉</w:t>
      </w:r>
      <w:r>
        <w:rPr>
          <w:rFonts w:hint="eastAsia" w:ascii="仿宋" w:hAnsi="仿宋" w:eastAsia="仿宋" w:cs="仿宋"/>
          <w:b/>
          <w:bCs/>
          <w:color w:val="000000"/>
          <w:sz w:val="28"/>
          <w:szCs w:val="28"/>
          <w:highlight w:val="none"/>
        </w:rPr>
        <w:t>等证明材料扫描件加盖公章。</w:t>
      </w:r>
    </w:p>
    <w:p w14:paraId="7D1E9F44">
      <w:pPr>
        <w:rPr>
          <w:rFonts w:hint="eastAsia"/>
          <w:highlight w:val="none"/>
          <w:lang w:val="en-US" w:eastAsia="zh-CN"/>
        </w:rPr>
      </w:pPr>
    </w:p>
    <w:p w14:paraId="5980D69F">
      <w:pPr>
        <w:pStyle w:val="19"/>
        <w:rPr>
          <w:rFonts w:hint="eastAsia"/>
          <w:highlight w:val="none"/>
          <w:lang w:val="en-US" w:eastAsia="zh-CN"/>
        </w:rPr>
      </w:pPr>
    </w:p>
    <w:p w14:paraId="115AAAED">
      <w:pPr>
        <w:pStyle w:val="19"/>
        <w:rPr>
          <w:rFonts w:hint="eastAsia"/>
          <w:highlight w:val="none"/>
          <w:lang w:val="en-US" w:eastAsia="zh-CN"/>
        </w:rPr>
      </w:pPr>
    </w:p>
    <w:p w14:paraId="37047C6F">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供应商（盖章）：</w:t>
      </w:r>
    </w:p>
    <w:p w14:paraId="7D9C10F4">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法定代表人或授权代表人（签字或盖章）：</w:t>
      </w:r>
    </w:p>
    <w:p w14:paraId="33583567">
      <w:pPr>
        <w:keepNext w:val="0"/>
        <w:keepLines w:val="0"/>
        <w:kinsoku/>
        <w:wordWrap/>
        <w:overflowPunct/>
        <w:topLinePunct w:val="0"/>
        <w:autoSpaceDE w:val="0"/>
        <w:autoSpaceDN w:val="0"/>
        <w:bidi w:val="0"/>
        <w:adjustRightInd w:val="0"/>
        <w:spacing w:line="500" w:lineRule="exact"/>
        <w:ind w:firstLine="4080" w:firstLineChars="1700"/>
        <w:jc w:val="both"/>
        <w:rPr>
          <w:rFonts w:hint="eastAsia"/>
          <w:highlight w:val="none"/>
          <w:lang w:val="en-US" w:eastAsia="zh-CN"/>
        </w:rPr>
      </w:pPr>
      <w:r>
        <w:rPr>
          <w:rFonts w:hint="eastAsia" w:ascii="宋体" w:hAnsi="宋体" w:eastAsia="宋体" w:cs="宋体"/>
          <w:sz w:val="24"/>
          <w:szCs w:val="24"/>
          <w:highlight w:val="none"/>
          <w:lang w:val="zh-CN" w:eastAsia="zh-CN"/>
        </w:rPr>
        <w:t>日期：</w:t>
      </w:r>
      <w:r>
        <w:rPr>
          <w:rFonts w:hint="eastAsia" w:ascii="宋体" w:hAnsi="宋体" w:eastAsia="宋体" w:cs="宋体"/>
          <w:sz w:val="24"/>
          <w:szCs w:val="24"/>
          <w:highlight w:val="none"/>
          <w:lang w:val="zh-CN"/>
        </w:rPr>
        <w:t xml:space="preserve">    </w:t>
      </w:r>
    </w:p>
    <w:p w14:paraId="4B747C13">
      <w:pPr>
        <w:pStyle w:val="19"/>
        <w:rPr>
          <w:rFonts w:hint="eastAsia"/>
          <w:highlight w:val="none"/>
          <w:lang w:val="en-US" w:eastAsia="zh-CN"/>
        </w:rPr>
      </w:pPr>
    </w:p>
    <w:p w14:paraId="15E88CC3">
      <w:pPr>
        <w:pStyle w:val="19"/>
        <w:rPr>
          <w:rFonts w:hint="eastAsia"/>
          <w:highlight w:val="none"/>
          <w:lang w:val="en-US" w:eastAsia="zh-CN"/>
        </w:rPr>
      </w:pPr>
    </w:p>
    <w:p w14:paraId="743EA719">
      <w:pPr>
        <w:jc w:val="center"/>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rPr>
        <w:t>项目组成员</w:t>
      </w:r>
      <w:r>
        <w:rPr>
          <w:rFonts w:hint="eastAsia" w:ascii="宋体" w:hAnsi="宋体" w:cs="宋体"/>
          <w:b/>
          <w:sz w:val="28"/>
          <w:szCs w:val="28"/>
          <w:highlight w:val="none"/>
          <w:lang w:val="en-US" w:eastAsia="zh-CN"/>
        </w:rPr>
        <w:t>汇总表</w:t>
      </w:r>
    </w:p>
    <w:p w14:paraId="53E49FDC">
      <w:pPr>
        <w:pStyle w:val="5"/>
        <w:rPr>
          <w:rFonts w:hint="eastAsia" w:ascii="宋体" w:hAnsi="宋体" w:eastAsia="宋体" w:cs="宋体"/>
          <w:highlight w:val="none"/>
        </w:rPr>
      </w:pPr>
    </w:p>
    <w:p w14:paraId="7E60BBBD">
      <w:pPr>
        <w:tabs>
          <w:tab w:val="left" w:pos="3165"/>
        </w:tabs>
        <w:rPr>
          <w:rFonts w:hint="eastAsia" w:ascii="宋体" w:hAnsi="宋体" w:eastAsia="宋体" w:cs="宋体"/>
          <w:bCs/>
          <w:szCs w:val="21"/>
          <w:highlight w:val="none"/>
        </w:rPr>
      </w:pPr>
      <w:r>
        <w:rPr>
          <w:rFonts w:hint="eastAsia" w:ascii="宋体" w:hAnsi="宋体" w:eastAsia="宋体" w:cs="宋体"/>
          <w:bCs/>
          <w:szCs w:val="21"/>
          <w:highlight w:val="none"/>
        </w:rPr>
        <w:t>项目编号：                                       项目名称：</w:t>
      </w:r>
    </w:p>
    <w:tbl>
      <w:tblPr>
        <w:tblStyle w:val="20"/>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156"/>
        <w:gridCol w:w="802"/>
        <w:gridCol w:w="803"/>
        <w:gridCol w:w="993"/>
        <w:gridCol w:w="1330"/>
        <w:gridCol w:w="1190"/>
        <w:gridCol w:w="1092"/>
        <w:gridCol w:w="1092"/>
        <w:gridCol w:w="1092"/>
      </w:tblGrid>
      <w:tr w14:paraId="0210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1" w:type="dxa"/>
            <w:noWrap w:val="0"/>
            <w:vAlign w:val="center"/>
          </w:tcPr>
          <w:p w14:paraId="5F63254D">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156" w:type="dxa"/>
            <w:noWrap w:val="0"/>
            <w:vAlign w:val="center"/>
          </w:tcPr>
          <w:p w14:paraId="506B35F3">
            <w:pPr>
              <w:jc w:val="center"/>
              <w:rPr>
                <w:rFonts w:hint="eastAsia" w:ascii="宋体" w:hAnsi="宋体" w:eastAsia="宋体" w:cs="宋体"/>
                <w:bCs/>
                <w:szCs w:val="21"/>
                <w:highlight w:val="none"/>
              </w:rPr>
            </w:pPr>
            <w:r>
              <w:rPr>
                <w:rFonts w:hint="eastAsia" w:ascii="宋体" w:hAnsi="宋体" w:eastAsia="宋体" w:cs="宋体"/>
                <w:bCs/>
                <w:szCs w:val="21"/>
                <w:highlight w:val="none"/>
              </w:rPr>
              <w:t>姓名</w:t>
            </w:r>
          </w:p>
        </w:tc>
        <w:tc>
          <w:tcPr>
            <w:tcW w:w="802" w:type="dxa"/>
            <w:noWrap w:val="0"/>
            <w:vAlign w:val="center"/>
          </w:tcPr>
          <w:p w14:paraId="1757C53F">
            <w:pPr>
              <w:jc w:val="center"/>
              <w:rPr>
                <w:rFonts w:hint="eastAsia" w:ascii="宋体" w:hAnsi="宋体" w:eastAsia="宋体" w:cs="宋体"/>
                <w:bCs/>
                <w:szCs w:val="21"/>
                <w:highlight w:val="none"/>
              </w:rPr>
            </w:pPr>
            <w:r>
              <w:rPr>
                <w:rFonts w:hint="eastAsia" w:ascii="宋体" w:hAnsi="宋体" w:eastAsia="宋体" w:cs="宋体"/>
                <w:bCs/>
                <w:szCs w:val="21"/>
                <w:highlight w:val="none"/>
              </w:rPr>
              <w:t>年龄</w:t>
            </w:r>
          </w:p>
        </w:tc>
        <w:tc>
          <w:tcPr>
            <w:tcW w:w="803" w:type="dxa"/>
            <w:noWrap w:val="0"/>
            <w:vAlign w:val="center"/>
          </w:tcPr>
          <w:p w14:paraId="7975088B">
            <w:pPr>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993" w:type="dxa"/>
            <w:noWrap w:val="0"/>
            <w:vAlign w:val="center"/>
          </w:tcPr>
          <w:p w14:paraId="07E41D38">
            <w:pPr>
              <w:jc w:val="center"/>
              <w:rPr>
                <w:rFonts w:hint="eastAsia" w:ascii="宋体" w:hAnsi="宋体" w:eastAsia="宋体" w:cs="宋体"/>
                <w:bCs/>
                <w:szCs w:val="21"/>
                <w:highlight w:val="none"/>
              </w:rPr>
            </w:pPr>
            <w:r>
              <w:rPr>
                <w:rFonts w:hint="eastAsia" w:ascii="宋体" w:hAnsi="宋体" w:eastAsia="宋体" w:cs="宋体"/>
                <w:bCs/>
                <w:szCs w:val="21"/>
                <w:highlight w:val="none"/>
              </w:rPr>
              <w:t>身份证</w:t>
            </w:r>
          </w:p>
          <w:p w14:paraId="5489A9AA">
            <w:pPr>
              <w:jc w:val="center"/>
              <w:rPr>
                <w:rFonts w:hint="eastAsia" w:ascii="宋体" w:hAnsi="宋体" w:eastAsia="宋体" w:cs="宋体"/>
                <w:bCs/>
                <w:szCs w:val="21"/>
                <w:highlight w:val="none"/>
              </w:rPr>
            </w:pPr>
            <w:r>
              <w:rPr>
                <w:rFonts w:hint="eastAsia" w:ascii="宋体" w:hAnsi="宋体" w:eastAsia="宋体" w:cs="宋体"/>
                <w:bCs/>
                <w:szCs w:val="21"/>
                <w:highlight w:val="none"/>
              </w:rPr>
              <w:t>号码</w:t>
            </w:r>
          </w:p>
        </w:tc>
        <w:tc>
          <w:tcPr>
            <w:tcW w:w="1330" w:type="dxa"/>
            <w:noWrap w:val="0"/>
            <w:vAlign w:val="center"/>
          </w:tcPr>
          <w:p w14:paraId="59C6AF67">
            <w:pPr>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职称</w:t>
            </w:r>
          </w:p>
        </w:tc>
        <w:tc>
          <w:tcPr>
            <w:tcW w:w="1190" w:type="dxa"/>
            <w:noWrap w:val="0"/>
            <w:vAlign w:val="center"/>
          </w:tcPr>
          <w:p w14:paraId="4024A8B4">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律师</w:t>
            </w:r>
            <w:r>
              <w:rPr>
                <w:rFonts w:hint="eastAsia" w:ascii="宋体" w:hAnsi="宋体" w:eastAsia="宋体" w:cs="宋体"/>
                <w:bCs/>
                <w:szCs w:val="21"/>
                <w:highlight w:val="none"/>
              </w:rPr>
              <w:t>执业</w:t>
            </w:r>
            <w:r>
              <w:rPr>
                <w:rFonts w:hint="eastAsia" w:ascii="宋体" w:hAnsi="宋体" w:eastAsia="宋体" w:cs="宋体"/>
                <w:bCs/>
                <w:szCs w:val="21"/>
                <w:highlight w:val="none"/>
                <w:lang w:eastAsia="zh-CN"/>
              </w:rPr>
              <w:t>证证书</w:t>
            </w:r>
          </w:p>
          <w:p w14:paraId="4BBA7F67">
            <w:pPr>
              <w:jc w:val="center"/>
              <w:rPr>
                <w:rFonts w:hint="eastAsia" w:ascii="宋体" w:hAnsi="宋体" w:eastAsia="宋体" w:cs="宋体"/>
                <w:bCs/>
                <w:szCs w:val="21"/>
                <w:highlight w:val="none"/>
              </w:rPr>
            </w:pPr>
            <w:r>
              <w:rPr>
                <w:rFonts w:hint="eastAsia" w:ascii="宋体" w:hAnsi="宋体" w:eastAsia="宋体" w:cs="宋体"/>
                <w:bCs/>
                <w:szCs w:val="21"/>
                <w:highlight w:val="none"/>
                <w:lang w:eastAsia="zh-CN"/>
              </w:rPr>
              <w:t>编号</w:t>
            </w:r>
          </w:p>
        </w:tc>
        <w:tc>
          <w:tcPr>
            <w:tcW w:w="1092" w:type="dxa"/>
            <w:noWrap w:val="0"/>
            <w:vAlign w:val="center"/>
          </w:tcPr>
          <w:p w14:paraId="7B16EC1B">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执业年限</w:t>
            </w:r>
          </w:p>
        </w:tc>
        <w:tc>
          <w:tcPr>
            <w:tcW w:w="1092" w:type="dxa"/>
            <w:noWrap w:val="0"/>
            <w:vAlign w:val="center"/>
          </w:tcPr>
          <w:p w14:paraId="757B00DB">
            <w:pPr>
              <w:jc w:val="center"/>
              <w:rPr>
                <w:rFonts w:hint="eastAsia" w:ascii="宋体" w:hAnsi="宋体" w:eastAsia="宋体" w:cs="宋体"/>
                <w:bCs/>
                <w:szCs w:val="21"/>
                <w:highlight w:val="none"/>
              </w:rPr>
            </w:pPr>
            <w:r>
              <w:rPr>
                <w:rFonts w:hint="eastAsia" w:ascii="宋体" w:hAnsi="宋体" w:cs="宋体"/>
                <w:bCs/>
                <w:szCs w:val="21"/>
                <w:highlight w:val="none"/>
                <w:lang w:val="en-US" w:eastAsia="zh-CN"/>
              </w:rPr>
              <w:t>在本项目中担任</w:t>
            </w:r>
            <w:r>
              <w:rPr>
                <w:rFonts w:hint="eastAsia" w:ascii="宋体" w:hAnsi="宋体" w:eastAsia="宋体" w:cs="宋体"/>
                <w:bCs/>
                <w:szCs w:val="21"/>
                <w:highlight w:val="none"/>
              </w:rPr>
              <w:t>职务</w:t>
            </w:r>
          </w:p>
        </w:tc>
        <w:tc>
          <w:tcPr>
            <w:tcW w:w="1092" w:type="dxa"/>
            <w:noWrap w:val="0"/>
            <w:vAlign w:val="center"/>
          </w:tcPr>
          <w:p w14:paraId="4C8991D0">
            <w:pPr>
              <w:jc w:val="center"/>
              <w:rPr>
                <w:rFonts w:hint="eastAsia" w:ascii="宋体" w:hAnsi="宋体" w:eastAsia="宋体" w:cs="宋体"/>
                <w:bCs/>
                <w:szCs w:val="21"/>
                <w:highlight w:val="none"/>
              </w:rPr>
            </w:pPr>
            <w:r>
              <w:rPr>
                <w:rFonts w:hint="eastAsia" w:ascii="宋体" w:hAnsi="宋体" w:eastAsia="宋体" w:cs="宋体"/>
                <w:bCs/>
                <w:szCs w:val="21"/>
                <w:highlight w:val="none"/>
              </w:rPr>
              <w:t>备注</w:t>
            </w:r>
          </w:p>
        </w:tc>
      </w:tr>
      <w:tr w14:paraId="607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71" w:type="dxa"/>
            <w:noWrap w:val="0"/>
            <w:vAlign w:val="top"/>
          </w:tcPr>
          <w:p w14:paraId="113F268C">
            <w:pPr>
              <w:rPr>
                <w:rFonts w:hint="eastAsia" w:ascii="宋体" w:hAnsi="宋体" w:eastAsia="宋体" w:cs="宋体"/>
                <w:bCs/>
                <w:szCs w:val="21"/>
                <w:highlight w:val="none"/>
              </w:rPr>
            </w:pPr>
          </w:p>
        </w:tc>
        <w:tc>
          <w:tcPr>
            <w:tcW w:w="1156" w:type="dxa"/>
            <w:noWrap w:val="0"/>
            <w:vAlign w:val="top"/>
          </w:tcPr>
          <w:p w14:paraId="39B8955C">
            <w:pPr>
              <w:rPr>
                <w:rFonts w:hint="eastAsia" w:ascii="宋体" w:hAnsi="宋体" w:eastAsia="宋体" w:cs="宋体"/>
                <w:bCs/>
                <w:szCs w:val="21"/>
                <w:highlight w:val="none"/>
              </w:rPr>
            </w:pPr>
          </w:p>
        </w:tc>
        <w:tc>
          <w:tcPr>
            <w:tcW w:w="802" w:type="dxa"/>
            <w:noWrap w:val="0"/>
            <w:vAlign w:val="top"/>
          </w:tcPr>
          <w:p w14:paraId="43C9FFEF">
            <w:pPr>
              <w:rPr>
                <w:rFonts w:hint="eastAsia" w:ascii="宋体" w:hAnsi="宋体" w:eastAsia="宋体" w:cs="宋体"/>
                <w:bCs/>
                <w:szCs w:val="21"/>
                <w:highlight w:val="none"/>
              </w:rPr>
            </w:pPr>
          </w:p>
        </w:tc>
        <w:tc>
          <w:tcPr>
            <w:tcW w:w="803" w:type="dxa"/>
            <w:noWrap w:val="0"/>
            <w:vAlign w:val="top"/>
          </w:tcPr>
          <w:p w14:paraId="1A4A6B4B">
            <w:pPr>
              <w:rPr>
                <w:rFonts w:hint="eastAsia" w:ascii="宋体" w:hAnsi="宋体" w:eastAsia="宋体" w:cs="宋体"/>
                <w:bCs/>
                <w:szCs w:val="21"/>
                <w:highlight w:val="none"/>
              </w:rPr>
            </w:pPr>
          </w:p>
        </w:tc>
        <w:tc>
          <w:tcPr>
            <w:tcW w:w="993" w:type="dxa"/>
            <w:noWrap w:val="0"/>
            <w:vAlign w:val="top"/>
          </w:tcPr>
          <w:p w14:paraId="1EE89EC9">
            <w:pPr>
              <w:rPr>
                <w:rFonts w:hint="eastAsia" w:ascii="宋体" w:hAnsi="宋体" w:eastAsia="宋体" w:cs="宋体"/>
                <w:bCs/>
                <w:szCs w:val="21"/>
                <w:highlight w:val="none"/>
              </w:rPr>
            </w:pPr>
          </w:p>
        </w:tc>
        <w:tc>
          <w:tcPr>
            <w:tcW w:w="1330" w:type="dxa"/>
            <w:noWrap w:val="0"/>
            <w:vAlign w:val="top"/>
          </w:tcPr>
          <w:p w14:paraId="011F2FED">
            <w:pPr>
              <w:rPr>
                <w:rFonts w:hint="eastAsia" w:ascii="宋体" w:hAnsi="宋体" w:eastAsia="宋体" w:cs="宋体"/>
                <w:bCs/>
                <w:szCs w:val="21"/>
                <w:highlight w:val="none"/>
              </w:rPr>
            </w:pPr>
          </w:p>
        </w:tc>
        <w:tc>
          <w:tcPr>
            <w:tcW w:w="1190" w:type="dxa"/>
            <w:noWrap w:val="0"/>
            <w:vAlign w:val="top"/>
          </w:tcPr>
          <w:p w14:paraId="07FAB933">
            <w:pPr>
              <w:rPr>
                <w:rFonts w:hint="eastAsia" w:ascii="宋体" w:hAnsi="宋体" w:eastAsia="宋体" w:cs="宋体"/>
                <w:bCs/>
                <w:szCs w:val="21"/>
                <w:highlight w:val="none"/>
              </w:rPr>
            </w:pPr>
          </w:p>
        </w:tc>
        <w:tc>
          <w:tcPr>
            <w:tcW w:w="1092" w:type="dxa"/>
            <w:noWrap w:val="0"/>
            <w:vAlign w:val="top"/>
          </w:tcPr>
          <w:p w14:paraId="2B4109BB">
            <w:pPr>
              <w:rPr>
                <w:rFonts w:hint="eastAsia" w:ascii="宋体" w:hAnsi="宋体" w:eastAsia="宋体" w:cs="宋体"/>
                <w:bCs/>
                <w:szCs w:val="21"/>
                <w:highlight w:val="none"/>
              </w:rPr>
            </w:pPr>
          </w:p>
        </w:tc>
        <w:tc>
          <w:tcPr>
            <w:tcW w:w="1092" w:type="dxa"/>
            <w:noWrap w:val="0"/>
            <w:vAlign w:val="top"/>
          </w:tcPr>
          <w:p w14:paraId="3BA79E3B">
            <w:pPr>
              <w:rPr>
                <w:rFonts w:hint="eastAsia" w:ascii="宋体" w:hAnsi="宋体" w:eastAsia="宋体" w:cs="宋体"/>
                <w:bCs/>
                <w:szCs w:val="21"/>
                <w:highlight w:val="none"/>
              </w:rPr>
            </w:pPr>
          </w:p>
        </w:tc>
        <w:tc>
          <w:tcPr>
            <w:tcW w:w="1092" w:type="dxa"/>
            <w:noWrap w:val="0"/>
            <w:vAlign w:val="top"/>
          </w:tcPr>
          <w:p w14:paraId="4FD6FD05">
            <w:pPr>
              <w:rPr>
                <w:rFonts w:hint="eastAsia" w:ascii="宋体" w:hAnsi="宋体" w:eastAsia="宋体" w:cs="宋体"/>
                <w:bCs/>
                <w:szCs w:val="21"/>
                <w:highlight w:val="none"/>
              </w:rPr>
            </w:pPr>
          </w:p>
        </w:tc>
      </w:tr>
      <w:tr w14:paraId="499C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71" w:type="dxa"/>
            <w:noWrap w:val="0"/>
            <w:vAlign w:val="top"/>
          </w:tcPr>
          <w:p w14:paraId="2EDBA282">
            <w:pPr>
              <w:rPr>
                <w:rFonts w:hint="eastAsia" w:ascii="宋体" w:hAnsi="宋体" w:eastAsia="宋体" w:cs="宋体"/>
                <w:bCs/>
                <w:szCs w:val="21"/>
                <w:highlight w:val="none"/>
              </w:rPr>
            </w:pPr>
          </w:p>
        </w:tc>
        <w:tc>
          <w:tcPr>
            <w:tcW w:w="1156" w:type="dxa"/>
            <w:noWrap w:val="0"/>
            <w:vAlign w:val="top"/>
          </w:tcPr>
          <w:p w14:paraId="12C44327">
            <w:pPr>
              <w:rPr>
                <w:rFonts w:hint="eastAsia" w:ascii="宋体" w:hAnsi="宋体" w:eastAsia="宋体" w:cs="宋体"/>
                <w:bCs/>
                <w:szCs w:val="21"/>
                <w:highlight w:val="none"/>
              </w:rPr>
            </w:pPr>
          </w:p>
        </w:tc>
        <w:tc>
          <w:tcPr>
            <w:tcW w:w="802" w:type="dxa"/>
            <w:noWrap w:val="0"/>
            <w:vAlign w:val="top"/>
          </w:tcPr>
          <w:p w14:paraId="248F5860">
            <w:pPr>
              <w:rPr>
                <w:rFonts w:hint="eastAsia" w:ascii="宋体" w:hAnsi="宋体" w:eastAsia="宋体" w:cs="宋体"/>
                <w:bCs/>
                <w:szCs w:val="21"/>
                <w:highlight w:val="none"/>
              </w:rPr>
            </w:pPr>
          </w:p>
        </w:tc>
        <w:tc>
          <w:tcPr>
            <w:tcW w:w="803" w:type="dxa"/>
            <w:noWrap w:val="0"/>
            <w:vAlign w:val="top"/>
          </w:tcPr>
          <w:p w14:paraId="2F6D1B35">
            <w:pPr>
              <w:rPr>
                <w:rFonts w:hint="eastAsia" w:ascii="宋体" w:hAnsi="宋体" w:eastAsia="宋体" w:cs="宋体"/>
                <w:bCs/>
                <w:szCs w:val="21"/>
                <w:highlight w:val="none"/>
              </w:rPr>
            </w:pPr>
          </w:p>
        </w:tc>
        <w:tc>
          <w:tcPr>
            <w:tcW w:w="993" w:type="dxa"/>
            <w:noWrap w:val="0"/>
            <w:vAlign w:val="top"/>
          </w:tcPr>
          <w:p w14:paraId="71D7F74B">
            <w:pPr>
              <w:rPr>
                <w:rFonts w:hint="eastAsia" w:ascii="宋体" w:hAnsi="宋体" w:eastAsia="宋体" w:cs="宋体"/>
                <w:bCs/>
                <w:szCs w:val="21"/>
                <w:highlight w:val="none"/>
              </w:rPr>
            </w:pPr>
          </w:p>
        </w:tc>
        <w:tc>
          <w:tcPr>
            <w:tcW w:w="1330" w:type="dxa"/>
            <w:noWrap w:val="0"/>
            <w:vAlign w:val="top"/>
          </w:tcPr>
          <w:p w14:paraId="70F0087D">
            <w:pPr>
              <w:rPr>
                <w:rFonts w:hint="default" w:ascii="宋体" w:hAnsi="宋体" w:eastAsia="宋体" w:cs="宋体"/>
                <w:bCs/>
                <w:szCs w:val="21"/>
                <w:highlight w:val="none"/>
                <w:lang w:val="en-US" w:eastAsia="zh-CN"/>
              </w:rPr>
            </w:pPr>
          </w:p>
        </w:tc>
        <w:tc>
          <w:tcPr>
            <w:tcW w:w="1190" w:type="dxa"/>
            <w:noWrap w:val="0"/>
            <w:vAlign w:val="top"/>
          </w:tcPr>
          <w:p w14:paraId="2AE31588">
            <w:pPr>
              <w:rPr>
                <w:rFonts w:hint="eastAsia" w:ascii="宋体" w:hAnsi="宋体" w:eastAsia="宋体" w:cs="宋体"/>
                <w:bCs/>
                <w:szCs w:val="21"/>
                <w:highlight w:val="none"/>
              </w:rPr>
            </w:pPr>
          </w:p>
        </w:tc>
        <w:tc>
          <w:tcPr>
            <w:tcW w:w="1092" w:type="dxa"/>
            <w:noWrap w:val="0"/>
            <w:vAlign w:val="top"/>
          </w:tcPr>
          <w:p w14:paraId="500BEB23">
            <w:pPr>
              <w:rPr>
                <w:rFonts w:hint="eastAsia" w:ascii="宋体" w:hAnsi="宋体" w:eastAsia="宋体" w:cs="宋体"/>
                <w:bCs/>
                <w:szCs w:val="21"/>
                <w:highlight w:val="none"/>
              </w:rPr>
            </w:pPr>
          </w:p>
        </w:tc>
        <w:tc>
          <w:tcPr>
            <w:tcW w:w="1092" w:type="dxa"/>
            <w:noWrap w:val="0"/>
            <w:vAlign w:val="top"/>
          </w:tcPr>
          <w:p w14:paraId="5D03FF98">
            <w:pPr>
              <w:rPr>
                <w:rFonts w:hint="eastAsia" w:ascii="宋体" w:hAnsi="宋体" w:eastAsia="宋体" w:cs="宋体"/>
                <w:bCs/>
                <w:szCs w:val="21"/>
                <w:highlight w:val="none"/>
              </w:rPr>
            </w:pPr>
          </w:p>
        </w:tc>
        <w:tc>
          <w:tcPr>
            <w:tcW w:w="1092" w:type="dxa"/>
            <w:noWrap w:val="0"/>
            <w:vAlign w:val="top"/>
          </w:tcPr>
          <w:p w14:paraId="08FF63FC">
            <w:pPr>
              <w:rPr>
                <w:rFonts w:hint="eastAsia" w:ascii="宋体" w:hAnsi="宋体" w:eastAsia="宋体" w:cs="宋体"/>
                <w:bCs/>
                <w:szCs w:val="21"/>
                <w:highlight w:val="none"/>
              </w:rPr>
            </w:pPr>
          </w:p>
        </w:tc>
      </w:tr>
      <w:tr w14:paraId="066E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71" w:type="dxa"/>
            <w:noWrap w:val="0"/>
            <w:vAlign w:val="top"/>
          </w:tcPr>
          <w:p w14:paraId="27ACDED4">
            <w:pPr>
              <w:rPr>
                <w:rFonts w:hint="eastAsia" w:ascii="宋体" w:hAnsi="宋体" w:eastAsia="宋体" w:cs="宋体"/>
                <w:bCs/>
                <w:szCs w:val="21"/>
                <w:highlight w:val="none"/>
              </w:rPr>
            </w:pPr>
          </w:p>
        </w:tc>
        <w:tc>
          <w:tcPr>
            <w:tcW w:w="1156" w:type="dxa"/>
            <w:noWrap w:val="0"/>
            <w:vAlign w:val="top"/>
          </w:tcPr>
          <w:p w14:paraId="7DCF1404">
            <w:pPr>
              <w:rPr>
                <w:rFonts w:hint="eastAsia" w:ascii="宋体" w:hAnsi="宋体" w:eastAsia="宋体" w:cs="宋体"/>
                <w:bCs/>
                <w:szCs w:val="21"/>
                <w:highlight w:val="none"/>
              </w:rPr>
            </w:pPr>
          </w:p>
        </w:tc>
        <w:tc>
          <w:tcPr>
            <w:tcW w:w="802" w:type="dxa"/>
            <w:noWrap w:val="0"/>
            <w:vAlign w:val="top"/>
          </w:tcPr>
          <w:p w14:paraId="252D7CCF">
            <w:pPr>
              <w:rPr>
                <w:rFonts w:hint="eastAsia" w:ascii="宋体" w:hAnsi="宋体" w:eastAsia="宋体" w:cs="宋体"/>
                <w:bCs/>
                <w:szCs w:val="21"/>
                <w:highlight w:val="none"/>
              </w:rPr>
            </w:pPr>
          </w:p>
        </w:tc>
        <w:tc>
          <w:tcPr>
            <w:tcW w:w="803" w:type="dxa"/>
            <w:noWrap w:val="0"/>
            <w:vAlign w:val="top"/>
          </w:tcPr>
          <w:p w14:paraId="076E2A27">
            <w:pPr>
              <w:rPr>
                <w:rFonts w:hint="eastAsia" w:ascii="宋体" w:hAnsi="宋体" w:eastAsia="宋体" w:cs="宋体"/>
                <w:bCs/>
                <w:szCs w:val="21"/>
                <w:highlight w:val="none"/>
              </w:rPr>
            </w:pPr>
          </w:p>
        </w:tc>
        <w:tc>
          <w:tcPr>
            <w:tcW w:w="993" w:type="dxa"/>
            <w:noWrap w:val="0"/>
            <w:vAlign w:val="top"/>
          </w:tcPr>
          <w:p w14:paraId="3380985D">
            <w:pPr>
              <w:rPr>
                <w:rFonts w:hint="eastAsia" w:ascii="宋体" w:hAnsi="宋体" w:eastAsia="宋体" w:cs="宋体"/>
                <w:bCs/>
                <w:szCs w:val="21"/>
                <w:highlight w:val="none"/>
              </w:rPr>
            </w:pPr>
          </w:p>
        </w:tc>
        <w:tc>
          <w:tcPr>
            <w:tcW w:w="1330" w:type="dxa"/>
            <w:noWrap w:val="0"/>
            <w:vAlign w:val="top"/>
          </w:tcPr>
          <w:p w14:paraId="0102ED53">
            <w:pPr>
              <w:rPr>
                <w:rFonts w:hint="eastAsia" w:ascii="宋体" w:hAnsi="宋体" w:eastAsia="宋体" w:cs="宋体"/>
                <w:bCs/>
                <w:szCs w:val="21"/>
                <w:highlight w:val="none"/>
              </w:rPr>
            </w:pPr>
          </w:p>
        </w:tc>
        <w:tc>
          <w:tcPr>
            <w:tcW w:w="1190" w:type="dxa"/>
            <w:noWrap w:val="0"/>
            <w:vAlign w:val="top"/>
          </w:tcPr>
          <w:p w14:paraId="4CCC0146">
            <w:pPr>
              <w:rPr>
                <w:rFonts w:hint="eastAsia" w:ascii="宋体" w:hAnsi="宋体" w:eastAsia="宋体" w:cs="宋体"/>
                <w:bCs/>
                <w:szCs w:val="21"/>
                <w:highlight w:val="none"/>
              </w:rPr>
            </w:pPr>
          </w:p>
        </w:tc>
        <w:tc>
          <w:tcPr>
            <w:tcW w:w="1092" w:type="dxa"/>
            <w:noWrap w:val="0"/>
            <w:vAlign w:val="top"/>
          </w:tcPr>
          <w:p w14:paraId="6FA6C3B3">
            <w:pPr>
              <w:rPr>
                <w:rFonts w:hint="eastAsia" w:ascii="宋体" w:hAnsi="宋体" w:eastAsia="宋体" w:cs="宋体"/>
                <w:bCs/>
                <w:szCs w:val="21"/>
                <w:highlight w:val="none"/>
              </w:rPr>
            </w:pPr>
          </w:p>
        </w:tc>
        <w:tc>
          <w:tcPr>
            <w:tcW w:w="1092" w:type="dxa"/>
            <w:noWrap w:val="0"/>
            <w:vAlign w:val="top"/>
          </w:tcPr>
          <w:p w14:paraId="6BB1C855">
            <w:pPr>
              <w:rPr>
                <w:rFonts w:hint="eastAsia" w:ascii="宋体" w:hAnsi="宋体" w:eastAsia="宋体" w:cs="宋体"/>
                <w:bCs/>
                <w:szCs w:val="21"/>
                <w:highlight w:val="none"/>
              </w:rPr>
            </w:pPr>
          </w:p>
        </w:tc>
        <w:tc>
          <w:tcPr>
            <w:tcW w:w="1092" w:type="dxa"/>
            <w:noWrap w:val="0"/>
            <w:vAlign w:val="top"/>
          </w:tcPr>
          <w:p w14:paraId="52116D8B">
            <w:pPr>
              <w:rPr>
                <w:rFonts w:hint="eastAsia" w:ascii="宋体" w:hAnsi="宋体" w:eastAsia="宋体" w:cs="宋体"/>
                <w:bCs/>
                <w:szCs w:val="21"/>
                <w:highlight w:val="none"/>
              </w:rPr>
            </w:pPr>
          </w:p>
        </w:tc>
      </w:tr>
      <w:tr w14:paraId="1693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71" w:type="dxa"/>
            <w:noWrap w:val="0"/>
            <w:vAlign w:val="top"/>
          </w:tcPr>
          <w:p w14:paraId="4078AF7D">
            <w:pPr>
              <w:rPr>
                <w:rFonts w:hint="eastAsia" w:ascii="宋体" w:hAnsi="宋体" w:eastAsia="宋体" w:cs="宋体"/>
                <w:bCs/>
                <w:szCs w:val="21"/>
                <w:highlight w:val="none"/>
              </w:rPr>
            </w:pPr>
          </w:p>
        </w:tc>
        <w:tc>
          <w:tcPr>
            <w:tcW w:w="1156" w:type="dxa"/>
            <w:noWrap w:val="0"/>
            <w:vAlign w:val="top"/>
          </w:tcPr>
          <w:p w14:paraId="2324AED4">
            <w:pPr>
              <w:rPr>
                <w:rFonts w:hint="eastAsia" w:ascii="宋体" w:hAnsi="宋体" w:eastAsia="宋体" w:cs="宋体"/>
                <w:bCs/>
                <w:szCs w:val="21"/>
                <w:highlight w:val="none"/>
              </w:rPr>
            </w:pPr>
          </w:p>
        </w:tc>
        <w:tc>
          <w:tcPr>
            <w:tcW w:w="802" w:type="dxa"/>
            <w:noWrap w:val="0"/>
            <w:vAlign w:val="top"/>
          </w:tcPr>
          <w:p w14:paraId="660FFCC5">
            <w:pPr>
              <w:rPr>
                <w:rFonts w:hint="eastAsia" w:ascii="宋体" w:hAnsi="宋体" w:eastAsia="宋体" w:cs="宋体"/>
                <w:bCs/>
                <w:szCs w:val="21"/>
                <w:highlight w:val="none"/>
              </w:rPr>
            </w:pPr>
          </w:p>
        </w:tc>
        <w:tc>
          <w:tcPr>
            <w:tcW w:w="803" w:type="dxa"/>
            <w:noWrap w:val="0"/>
            <w:vAlign w:val="top"/>
          </w:tcPr>
          <w:p w14:paraId="0B774D01">
            <w:pPr>
              <w:rPr>
                <w:rFonts w:hint="eastAsia" w:ascii="宋体" w:hAnsi="宋体" w:eastAsia="宋体" w:cs="宋体"/>
                <w:bCs/>
                <w:szCs w:val="21"/>
                <w:highlight w:val="none"/>
              </w:rPr>
            </w:pPr>
          </w:p>
        </w:tc>
        <w:tc>
          <w:tcPr>
            <w:tcW w:w="993" w:type="dxa"/>
            <w:noWrap w:val="0"/>
            <w:vAlign w:val="top"/>
          </w:tcPr>
          <w:p w14:paraId="51775CA5">
            <w:pPr>
              <w:rPr>
                <w:rFonts w:hint="eastAsia" w:ascii="宋体" w:hAnsi="宋体" w:eastAsia="宋体" w:cs="宋体"/>
                <w:bCs/>
                <w:szCs w:val="21"/>
                <w:highlight w:val="none"/>
              </w:rPr>
            </w:pPr>
          </w:p>
        </w:tc>
        <w:tc>
          <w:tcPr>
            <w:tcW w:w="1330" w:type="dxa"/>
            <w:noWrap w:val="0"/>
            <w:vAlign w:val="top"/>
          </w:tcPr>
          <w:p w14:paraId="3EB098BC">
            <w:pPr>
              <w:rPr>
                <w:rFonts w:hint="eastAsia" w:ascii="宋体" w:hAnsi="宋体" w:eastAsia="宋体" w:cs="宋体"/>
                <w:bCs/>
                <w:szCs w:val="21"/>
                <w:highlight w:val="none"/>
              </w:rPr>
            </w:pPr>
          </w:p>
        </w:tc>
        <w:tc>
          <w:tcPr>
            <w:tcW w:w="1190" w:type="dxa"/>
            <w:noWrap w:val="0"/>
            <w:vAlign w:val="top"/>
          </w:tcPr>
          <w:p w14:paraId="43F32BE3">
            <w:pPr>
              <w:rPr>
                <w:rFonts w:hint="eastAsia" w:ascii="宋体" w:hAnsi="宋体" w:eastAsia="宋体" w:cs="宋体"/>
                <w:bCs/>
                <w:szCs w:val="21"/>
                <w:highlight w:val="none"/>
              </w:rPr>
            </w:pPr>
          </w:p>
        </w:tc>
        <w:tc>
          <w:tcPr>
            <w:tcW w:w="1092" w:type="dxa"/>
            <w:noWrap w:val="0"/>
            <w:vAlign w:val="top"/>
          </w:tcPr>
          <w:p w14:paraId="7CBDEE6E">
            <w:pPr>
              <w:rPr>
                <w:rFonts w:hint="eastAsia" w:ascii="宋体" w:hAnsi="宋体" w:eastAsia="宋体" w:cs="宋体"/>
                <w:bCs/>
                <w:szCs w:val="21"/>
                <w:highlight w:val="none"/>
              </w:rPr>
            </w:pPr>
          </w:p>
        </w:tc>
        <w:tc>
          <w:tcPr>
            <w:tcW w:w="1092" w:type="dxa"/>
            <w:noWrap w:val="0"/>
            <w:vAlign w:val="top"/>
          </w:tcPr>
          <w:p w14:paraId="4615D2EC">
            <w:pPr>
              <w:rPr>
                <w:rFonts w:hint="eastAsia" w:ascii="宋体" w:hAnsi="宋体" w:eastAsia="宋体" w:cs="宋体"/>
                <w:bCs/>
                <w:szCs w:val="21"/>
                <w:highlight w:val="none"/>
              </w:rPr>
            </w:pPr>
          </w:p>
        </w:tc>
        <w:tc>
          <w:tcPr>
            <w:tcW w:w="1092" w:type="dxa"/>
            <w:noWrap w:val="0"/>
            <w:vAlign w:val="top"/>
          </w:tcPr>
          <w:p w14:paraId="571FDEE7">
            <w:pPr>
              <w:rPr>
                <w:rFonts w:hint="eastAsia" w:ascii="宋体" w:hAnsi="宋体" w:eastAsia="宋体" w:cs="宋体"/>
                <w:bCs/>
                <w:szCs w:val="21"/>
                <w:highlight w:val="none"/>
              </w:rPr>
            </w:pPr>
          </w:p>
        </w:tc>
      </w:tr>
      <w:tr w14:paraId="34D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71" w:type="dxa"/>
            <w:noWrap w:val="0"/>
            <w:vAlign w:val="top"/>
          </w:tcPr>
          <w:p w14:paraId="06EE4F7C">
            <w:pPr>
              <w:rPr>
                <w:rFonts w:hint="eastAsia" w:ascii="宋体" w:hAnsi="宋体" w:eastAsia="宋体" w:cs="宋体"/>
                <w:bCs/>
                <w:szCs w:val="21"/>
                <w:highlight w:val="none"/>
              </w:rPr>
            </w:pPr>
          </w:p>
        </w:tc>
        <w:tc>
          <w:tcPr>
            <w:tcW w:w="1156" w:type="dxa"/>
            <w:noWrap w:val="0"/>
            <w:vAlign w:val="top"/>
          </w:tcPr>
          <w:p w14:paraId="5C146F00">
            <w:pPr>
              <w:rPr>
                <w:rFonts w:hint="eastAsia" w:ascii="宋体" w:hAnsi="宋体" w:eastAsia="宋体" w:cs="宋体"/>
                <w:bCs/>
                <w:szCs w:val="21"/>
                <w:highlight w:val="none"/>
              </w:rPr>
            </w:pPr>
          </w:p>
        </w:tc>
        <w:tc>
          <w:tcPr>
            <w:tcW w:w="802" w:type="dxa"/>
            <w:noWrap w:val="0"/>
            <w:vAlign w:val="top"/>
          </w:tcPr>
          <w:p w14:paraId="66227CD9">
            <w:pPr>
              <w:rPr>
                <w:rFonts w:hint="eastAsia" w:ascii="宋体" w:hAnsi="宋体" w:eastAsia="宋体" w:cs="宋体"/>
                <w:bCs/>
                <w:szCs w:val="21"/>
                <w:highlight w:val="none"/>
              </w:rPr>
            </w:pPr>
          </w:p>
        </w:tc>
        <w:tc>
          <w:tcPr>
            <w:tcW w:w="803" w:type="dxa"/>
            <w:noWrap w:val="0"/>
            <w:vAlign w:val="top"/>
          </w:tcPr>
          <w:p w14:paraId="5DF9C19D">
            <w:pPr>
              <w:rPr>
                <w:rFonts w:hint="eastAsia" w:ascii="宋体" w:hAnsi="宋体" w:eastAsia="宋体" w:cs="宋体"/>
                <w:bCs/>
                <w:szCs w:val="21"/>
                <w:highlight w:val="none"/>
              </w:rPr>
            </w:pPr>
          </w:p>
        </w:tc>
        <w:tc>
          <w:tcPr>
            <w:tcW w:w="993" w:type="dxa"/>
            <w:noWrap w:val="0"/>
            <w:vAlign w:val="top"/>
          </w:tcPr>
          <w:p w14:paraId="16B966E5">
            <w:pPr>
              <w:rPr>
                <w:rFonts w:hint="eastAsia" w:ascii="宋体" w:hAnsi="宋体" w:eastAsia="宋体" w:cs="宋体"/>
                <w:bCs/>
                <w:szCs w:val="21"/>
                <w:highlight w:val="none"/>
              </w:rPr>
            </w:pPr>
          </w:p>
        </w:tc>
        <w:tc>
          <w:tcPr>
            <w:tcW w:w="1330" w:type="dxa"/>
            <w:noWrap w:val="0"/>
            <w:vAlign w:val="top"/>
          </w:tcPr>
          <w:p w14:paraId="17F056BA">
            <w:pPr>
              <w:rPr>
                <w:rFonts w:hint="eastAsia" w:ascii="宋体" w:hAnsi="宋体" w:eastAsia="宋体" w:cs="宋体"/>
                <w:bCs/>
                <w:szCs w:val="21"/>
                <w:highlight w:val="none"/>
              </w:rPr>
            </w:pPr>
          </w:p>
        </w:tc>
        <w:tc>
          <w:tcPr>
            <w:tcW w:w="1190" w:type="dxa"/>
            <w:noWrap w:val="0"/>
            <w:vAlign w:val="top"/>
          </w:tcPr>
          <w:p w14:paraId="0D2E894C">
            <w:pPr>
              <w:rPr>
                <w:rFonts w:hint="eastAsia" w:ascii="宋体" w:hAnsi="宋体" w:eastAsia="宋体" w:cs="宋体"/>
                <w:bCs/>
                <w:szCs w:val="21"/>
                <w:highlight w:val="none"/>
              </w:rPr>
            </w:pPr>
          </w:p>
        </w:tc>
        <w:tc>
          <w:tcPr>
            <w:tcW w:w="1092" w:type="dxa"/>
            <w:noWrap w:val="0"/>
            <w:vAlign w:val="top"/>
          </w:tcPr>
          <w:p w14:paraId="7E0C7A08">
            <w:pPr>
              <w:rPr>
                <w:rFonts w:hint="eastAsia" w:ascii="宋体" w:hAnsi="宋体" w:eastAsia="宋体" w:cs="宋体"/>
                <w:bCs/>
                <w:szCs w:val="21"/>
                <w:highlight w:val="none"/>
              </w:rPr>
            </w:pPr>
          </w:p>
        </w:tc>
        <w:tc>
          <w:tcPr>
            <w:tcW w:w="1092" w:type="dxa"/>
            <w:noWrap w:val="0"/>
            <w:vAlign w:val="top"/>
          </w:tcPr>
          <w:p w14:paraId="35283385">
            <w:pPr>
              <w:rPr>
                <w:rFonts w:hint="eastAsia" w:ascii="宋体" w:hAnsi="宋体" w:eastAsia="宋体" w:cs="宋体"/>
                <w:bCs/>
                <w:szCs w:val="21"/>
                <w:highlight w:val="none"/>
              </w:rPr>
            </w:pPr>
          </w:p>
        </w:tc>
        <w:tc>
          <w:tcPr>
            <w:tcW w:w="1092" w:type="dxa"/>
            <w:noWrap w:val="0"/>
            <w:vAlign w:val="top"/>
          </w:tcPr>
          <w:p w14:paraId="01C16BC7">
            <w:pPr>
              <w:rPr>
                <w:rFonts w:hint="eastAsia" w:ascii="宋体" w:hAnsi="宋体" w:eastAsia="宋体" w:cs="宋体"/>
                <w:bCs/>
                <w:szCs w:val="21"/>
                <w:highlight w:val="none"/>
              </w:rPr>
            </w:pPr>
          </w:p>
        </w:tc>
      </w:tr>
      <w:tr w14:paraId="5DC8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71" w:type="dxa"/>
            <w:noWrap w:val="0"/>
            <w:vAlign w:val="top"/>
          </w:tcPr>
          <w:p w14:paraId="48DAAFA5">
            <w:pPr>
              <w:rPr>
                <w:rFonts w:hint="eastAsia" w:ascii="宋体" w:hAnsi="宋体" w:eastAsia="宋体" w:cs="宋体"/>
                <w:bCs/>
                <w:szCs w:val="21"/>
                <w:highlight w:val="none"/>
              </w:rPr>
            </w:pPr>
          </w:p>
        </w:tc>
        <w:tc>
          <w:tcPr>
            <w:tcW w:w="1156" w:type="dxa"/>
            <w:noWrap w:val="0"/>
            <w:vAlign w:val="top"/>
          </w:tcPr>
          <w:p w14:paraId="224C46A2">
            <w:pPr>
              <w:rPr>
                <w:rFonts w:hint="eastAsia" w:ascii="宋体" w:hAnsi="宋体" w:eastAsia="宋体" w:cs="宋体"/>
                <w:bCs/>
                <w:szCs w:val="21"/>
                <w:highlight w:val="none"/>
              </w:rPr>
            </w:pPr>
          </w:p>
        </w:tc>
        <w:tc>
          <w:tcPr>
            <w:tcW w:w="802" w:type="dxa"/>
            <w:noWrap w:val="0"/>
            <w:vAlign w:val="top"/>
          </w:tcPr>
          <w:p w14:paraId="2DCC5CF3">
            <w:pPr>
              <w:rPr>
                <w:rFonts w:hint="eastAsia" w:ascii="宋体" w:hAnsi="宋体" w:eastAsia="宋体" w:cs="宋体"/>
                <w:bCs/>
                <w:szCs w:val="21"/>
                <w:highlight w:val="none"/>
              </w:rPr>
            </w:pPr>
          </w:p>
        </w:tc>
        <w:tc>
          <w:tcPr>
            <w:tcW w:w="803" w:type="dxa"/>
            <w:noWrap w:val="0"/>
            <w:vAlign w:val="top"/>
          </w:tcPr>
          <w:p w14:paraId="39E5BA5A">
            <w:pPr>
              <w:rPr>
                <w:rFonts w:hint="eastAsia" w:ascii="宋体" w:hAnsi="宋体" w:eastAsia="宋体" w:cs="宋体"/>
                <w:bCs/>
                <w:szCs w:val="21"/>
                <w:highlight w:val="none"/>
              </w:rPr>
            </w:pPr>
          </w:p>
        </w:tc>
        <w:tc>
          <w:tcPr>
            <w:tcW w:w="993" w:type="dxa"/>
            <w:noWrap w:val="0"/>
            <w:vAlign w:val="top"/>
          </w:tcPr>
          <w:p w14:paraId="36586566">
            <w:pPr>
              <w:rPr>
                <w:rFonts w:hint="eastAsia" w:ascii="宋体" w:hAnsi="宋体" w:eastAsia="宋体" w:cs="宋体"/>
                <w:bCs/>
                <w:szCs w:val="21"/>
                <w:highlight w:val="none"/>
              </w:rPr>
            </w:pPr>
          </w:p>
        </w:tc>
        <w:tc>
          <w:tcPr>
            <w:tcW w:w="1330" w:type="dxa"/>
            <w:noWrap w:val="0"/>
            <w:vAlign w:val="top"/>
          </w:tcPr>
          <w:p w14:paraId="1CDCBD78">
            <w:pPr>
              <w:rPr>
                <w:rFonts w:hint="eastAsia" w:ascii="宋体" w:hAnsi="宋体" w:eastAsia="宋体" w:cs="宋体"/>
                <w:bCs/>
                <w:szCs w:val="21"/>
                <w:highlight w:val="none"/>
              </w:rPr>
            </w:pPr>
          </w:p>
        </w:tc>
        <w:tc>
          <w:tcPr>
            <w:tcW w:w="1190" w:type="dxa"/>
            <w:noWrap w:val="0"/>
            <w:vAlign w:val="top"/>
          </w:tcPr>
          <w:p w14:paraId="6EC6F0EC">
            <w:pPr>
              <w:rPr>
                <w:rFonts w:hint="eastAsia" w:ascii="宋体" w:hAnsi="宋体" w:eastAsia="宋体" w:cs="宋体"/>
                <w:bCs/>
                <w:szCs w:val="21"/>
                <w:highlight w:val="none"/>
              </w:rPr>
            </w:pPr>
          </w:p>
        </w:tc>
        <w:tc>
          <w:tcPr>
            <w:tcW w:w="1092" w:type="dxa"/>
            <w:noWrap w:val="0"/>
            <w:vAlign w:val="top"/>
          </w:tcPr>
          <w:p w14:paraId="07B1D686">
            <w:pPr>
              <w:rPr>
                <w:rFonts w:hint="eastAsia" w:ascii="宋体" w:hAnsi="宋体" w:eastAsia="宋体" w:cs="宋体"/>
                <w:bCs/>
                <w:szCs w:val="21"/>
                <w:highlight w:val="none"/>
              </w:rPr>
            </w:pPr>
          </w:p>
        </w:tc>
        <w:tc>
          <w:tcPr>
            <w:tcW w:w="1092" w:type="dxa"/>
            <w:noWrap w:val="0"/>
            <w:vAlign w:val="top"/>
          </w:tcPr>
          <w:p w14:paraId="71488213">
            <w:pPr>
              <w:rPr>
                <w:rFonts w:hint="eastAsia" w:ascii="宋体" w:hAnsi="宋体" w:eastAsia="宋体" w:cs="宋体"/>
                <w:bCs/>
                <w:szCs w:val="21"/>
                <w:highlight w:val="none"/>
              </w:rPr>
            </w:pPr>
          </w:p>
        </w:tc>
        <w:tc>
          <w:tcPr>
            <w:tcW w:w="1092" w:type="dxa"/>
            <w:noWrap w:val="0"/>
            <w:vAlign w:val="top"/>
          </w:tcPr>
          <w:p w14:paraId="6808664F">
            <w:pPr>
              <w:rPr>
                <w:rFonts w:hint="eastAsia" w:ascii="宋体" w:hAnsi="宋体" w:eastAsia="宋体" w:cs="宋体"/>
                <w:bCs/>
                <w:szCs w:val="21"/>
                <w:highlight w:val="none"/>
              </w:rPr>
            </w:pPr>
          </w:p>
        </w:tc>
      </w:tr>
      <w:tr w14:paraId="4160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71" w:type="dxa"/>
            <w:noWrap w:val="0"/>
            <w:vAlign w:val="top"/>
          </w:tcPr>
          <w:p w14:paraId="4E4D6305">
            <w:pPr>
              <w:rPr>
                <w:rFonts w:hint="eastAsia" w:ascii="宋体" w:hAnsi="宋体" w:eastAsia="宋体" w:cs="宋体"/>
                <w:bCs/>
                <w:szCs w:val="21"/>
                <w:highlight w:val="none"/>
              </w:rPr>
            </w:pPr>
          </w:p>
        </w:tc>
        <w:tc>
          <w:tcPr>
            <w:tcW w:w="1156" w:type="dxa"/>
            <w:noWrap w:val="0"/>
            <w:vAlign w:val="top"/>
          </w:tcPr>
          <w:p w14:paraId="3D54D5C1">
            <w:pPr>
              <w:rPr>
                <w:rFonts w:hint="eastAsia" w:ascii="宋体" w:hAnsi="宋体" w:eastAsia="宋体" w:cs="宋体"/>
                <w:bCs/>
                <w:szCs w:val="21"/>
                <w:highlight w:val="none"/>
              </w:rPr>
            </w:pPr>
          </w:p>
        </w:tc>
        <w:tc>
          <w:tcPr>
            <w:tcW w:w="802" w:type="dxa"/>
            <w:noWrap w:val="0"/>
            <w:vAlign w:val="top"/>
          </w:tcPr>
          <w:p w14:paraId="57F2E927">
            <w:pPr>
              <w:rPr>
                <w:rFonts w:hint="eastAsia" w:ascii="宋体" w:hAnsi="宋体" w:eastAsia="宋体" w:cs="宋体"/>
                <w:bCs/>
                <w:szCs w:val="21"/>
                <w:highlight w:val="none"/>
              </w:rPr>
            </w:pPr>
          </w:p>
        </w:tc>
        <w:tc>
          <w:tcPr>
            <w:tcW w:w="803" w:type="dxa"/>
            <w:noWrap w:val="0"/>
            <w:vAlign w:val="top"/>
          </w:tcPr>
          <w:p w14:paraId="623D60AC">
            <w:pPr>
              <w:rPr>
                <w:rFonts w:hint="eastAsia" w:ascii="宋体" w:hAnsi="宋体" w:eastAsia="宋体" w:cs="宋体"/>
                <w:bCs/>
                <w:szCs w:val="21"/>
                <w:highlight w:val="none"/>
              </w:rPr>
            </w:pPr>
          </w:p>
        </w:tc>
        <w:tc>
          <w:tcPr>
            <w:tcW w:w="993" w:type="dxa"/>
            <w:noWrap w:val="0"/>
            <w:vAlign w:val="top"/>
          </w:tcPr>
          <w:p w14:paraId="31A7EDB0">
            <w:pPr>
              <w:rPr>
                <w:rFonts w:hint="eastAsia" w:ascii="宋体" w:hAnsi="宋体" w:eastAsia="宋体" w:cs="宋体"/>
                <w:bCs/>
                <w:szCs w:val="21"/>
                <w:highlight w:val="none"/>
              </w:rPr>
            </w:pPr>
          </w:p>
        </w:tc>
        <w:tc>
          <w:tcPr>
            <w:tcW w:w="1330" w:type="dxa"/>
            <w:noWrap w:val="0"/>
            <w:vAlign w:val="top"/>
          </w:tcPr>
          <w:p w14:paraId="715986BC">
            <w:pPr>
              <w:rPr>
                <w:rFonts w:hint="eastAsia" w:ascii="宋体" w:hAnsi="宋体" w:eastAsia="宋体" w:cs="宋体"/>
                <w:bCs/>
                <w:szCs w:val="21"/>
                <w:highlight w:val="none"/>
              </w:rPr>
            </w:pPr>
          </w:p>
        </w:tc>
        <w:tc>
          <w:tcPr>
            <w:tcW w:w="1190" w:type="dxa"/>
            <w:noWrap w:val="0"/>
            <w:vAlign w:val="top"/>
          </w:tcPr>
          <w:p w14:paraId="6D09D9F4">
            <w:pPr>
              <w:rPr>
                <w:rFonts w:hint="eastAsia" w:ascii="宋体" w:hAnsi="宋体" w:eastAsia="宋体" w:cs="宋体"/>
                <w:bCs/>
                <w:szCs w:val="21"/>
                <w:highlight w:val="none"/>
              </w:rPr>
            </w:pPr>
          </w:p>
        </w:tc>
        <w:tc>
          <w:tcPr>
            <w:tcW w:w="1092" w:type="dxa"/>
            <w:noWrap w:val="0"/>
            <w:vAlign w:val="top"/>
          </w:tcPr>
          <w:p w14:paraId="63D4BA34">
            <w:pPr>
              <w:rPr>
                <w:rFonts w:hint="eastAsia" w:ascii="宋体" w:hAnsi="宋体" w:eastAsia="宋体" w:cs="宋体"/>
                <w:bCs/>
                <w:szCs w:val="21"/>
                <w:highlight w:val="none"/>
              </w:rPr>
            </w:pPr>
          </w:p>
        </w:tc>
        <w:tc>
          <w:tcPr>
            <w:tcW w:w="1092" w:type="dxa"/>
            <w:noWrap w:val="0"/>
            <w:vAlign w:val="top"/>
          </w:tcPr>
          <w:p w14:paraId="186341AA">
            <w:pPr>
              <w:rPr>
                <w:rFonts w:hint="eastAsia" w:ascii="宋体" w:hAnsi="宋体" w:eastAsia="宋体" w:cs="宋体"/>
                <w:bCs/>
                <w:szCs w:val="21"/>
                <w:highlight w:val="none"/>
              </w:rPr>
            </w:pPr>
          </w:p>
        </w:tc>
        <w:tc>
          <w:tcPr>
            <w:tcW w:w="1092" w:type="dxa"/>
            <w:noWrap w:val="0"/>
            <w:vAlign w:val="top"/>
          </w:tcPr>
          <w:p w14:paraId="14DADE17">
            <w:pPr>
              <w:rPr>
                <w:rFonts w:hint="eastAsia" w:ascii="宋体" w:hAnsi="宋体" w:eastAsia="宋体" w:cs="宋体"/>
                <w:bCs/>
                <w:szCs w:val="21"/>
                <w:highlight w:val="none"/>
              </w:rPr>
            </w:pPr>
          </w:p>
        </w:tc>
      </w:tr>
      <w:tr w14:paraId="13AF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71" w:type="dxa"/>
            <w:noWrap w:val="0"/>
            <w:vAlign w:val="top"/>
          </w:tcPr>
          <w:p w14:paraId="1049D1F5">
            <w:pPr>
              <w:rPr>
                <w:rFonts w:hint="eastAsia" w:ascii="宋体" w:hAnsi="宋体" w:eastAsia="宋体" w:cs="宋体"/>
                <w:bCs/>
                <w:szCs w:val="21"/>
                <w:highlight w:val="none"/>
              </w:rPr>
            </w:pPr>
          </w:p>
        </w:tc>
        <w:tc>
          <w:tcPr>
            <w:tcW w:w="1156" w:type="dxa"/>
            <w:noWrap w:val="0"/>
            <w:vAlign w:val="top"/>
          </w:tcPr>
          <w:p w14:paraId="3DA1CB69">
            <w:pPr>
              <w:rPr>
                <w:rFonts w:hint="eastAsia" w:ascii="宋体" w:hAnsi="宋体" w:eastAsia="宋体" w:cs="宋体"/>
                <w:bCs/>
                <w:szCs w:val="21"/>
                <w:highlight w:val="none"/>
              </w:rPr>
            </w:pPr>
          </w:p>
        </w:tc>
        <w:tc>
          <w:tcPr>
            <w:tcW w:w="802" w:type="dxa"/>
            <w:noWrap w:val="0"/>
            <w:vAlign w:val="top"/>
          </w:tcPr>
          <w:p w14:paraId="5D011A1A">
            <w:pPr>
              <w:rPr>
                <w:rFonts w:hint="eastAsia" w:ascii="宋体" w:hAnsi="宋体" w:eastAsia="宋体" w:cs="宋体"/>
                <w:bCs/>
                <w:szCs w:val="21"/>
                <w:highlight w:val="none"/>
              </w:rPr>
            </w:pPr>
          </w:p>
        </w:tc>
        <w:tc>
          <w:tcPr>
            <w:tcW w:w="803" w:type="dxa"/>
            <w:noWrap w:val="0"/>
            <w:vAlign w:val="top"/>
          </w:tcPr>
          <w:p w14:paraId="3D192B65">
            <w:pPr>
              <w:rPr>
                <w:rFonts w:hint="eastAsia" w:ascii="宋体" w:hAnsi="宋体" w:eastAsia="宋体" w:cs="宋体"/>
                <w:bCs/>
                <w:szCs w:val="21"/>
                <w:highlight w:val="none"/>
              </w:rPr>
            </w:pPr>
          </w:p>
        </w:tc>
        <w:tc>
          <w:tcPr>
            <w:tcW w:w="993" w:type="dxa"/>
            <w:noWrap w:val="0"/>
            <w:vAlign w:val="top"/>
          </w:tcPr>
          <w:p w14:paraId="02D5172E">
            <w:pPr>
              <w:rPr>
                <w:rFonts w:hint="eastAsia" w:ascii="宋体" w:hAnsi="宋体" w:eastAsia="宋体" w:cs="宋体"/>
                <w:bCs/>
                <w:szCs w:val="21"/>
                <w:highlight w:val="none"/>
              </w:rPr>
            </w:pPr>
          </w:p>
        </w:tc>
        <w:tc>
          <w:tcPr>
            <w:tcW w:w="1330" w:type="dxa"/>
            <w:noWrap w:val="0"/>
            <w:vAlign w:val="top"/>
          </w:tcPr>
          <w:p w14:paraId="57C52901">
            <w:pPr>
              <w:rPr>
                <w:rFonts w:hint="eastAsia" w:ascii="宋体" w:hAnsi="宋体" w:eastAsia="宋体" w:cs="宋体"/>
                <w:bCs/>
                <w:szCs w:val="21"/>
                <w:highlight w:val="none"/>
              </w:rPr>
            </w:pPr>
          </w:p>
        </w:tc>
        <w:tc>
          <w:tcPr>
            <w:tcW w:w="1190" w:type="dxa"/>
            <w:noWrap w:val="0"/>
            <w:vAlign w:val="top"/>
          </w:tcPr>
          <w:p w14:paraId="248FEF6F">
            <w:pPr>
              <w:rPr>
                <w:rFonts w:hint="eastAsia" w:ascii="宋体" w:hAnsi="宋体" w:eastAsia="宋体" w:cs="宋体"/>
                <w:bCs/>
                <w:szCs w:val="21"/>
                <w:highlight w:val="none"/>
              </w:rPr>
            </w:pPr>
          </w:p>
        </w:tc>
        <w:tc>
          <w:tcPr>
            <w:tcW w:w="1092" w:type="dxa"/>
            <w:noWrap w:val="0"/>
            <w:vAlign w:val="top"/>
          </w:tcPr>
          <w:p w14:paraId="5DA9B3BD">
            <w:pPr>
              <w:rPr>
                <w:rFonts w:hint="eastAsia" w:ascii="宋体" w:hAnsi="宋体" w:eastAsia="宋体" w:cs="宋体"/>
                <w:bCs/>
                <w:szCs w:val="21"/>
                <w:highlight w:val="none"/>
              </w:rPr>
            </w:pPr>
          </w:p>
        </w:tc>
        <w:tc>
          <w:tcPr>
            <w:tcW w:w="1092" w:type="dxa"/>
            <w:noWrap w:val="0"/>
            <w:vAlign w:val="top"/>
          </w:tcPr>
          <w:p w14:paraId="02F27D35">
            <w:pPr>
              <w:rPr>
                <w:rFonts w:hint="eastAsia" w:ascii="宋体" w:hAnsi="宋体" w:eastAsia="宋体" w:cs="宋体"/>
                <w:bCs/>
                <w:szCs w:val="21"/>
                <w:highlight w:val="none"/>
              </w:rPr>
            </w:pPr>
          </w:p>
        </w:tc>
        <w:tc>
          <w:tcPr>
            <w:tcW w:w="1092" w:type="dxa"/>
            <w:noWrap w:val="0"/>
            <w:vAlign w:val="top"/>
          </w:tcPr>
          <w:p w14:paraId="15A62FE7">
            <w:pPr>
              <w:rPr>
                <w:rFonts w:hint="eastAsia" w:ascii="宋体" w:hAnsi="宋体" w:eastAsia="宋体" w:cs="宋体"/>
                <w:bCs/>
                <w:szCs w:val="21"/>
                <w:highlight w:val="none"/>
              </w:rPr>
            </w:pPr>
          </w:p>
        </w:tc>
      </w:tr>
    </w:tbl>
    <w:p w14:paraId="005B0EFB">
      <w:pPr>
        <w:autoSpaceDE w:val="0"/>
        <w:autoSpaceDN w:val="0"/>
        <w:adjustRightInd w:val="0"/>
        <w:spacing w:line="386" w:lineRule="exact"/>
        <w:jc w:val="left"/>
        <w:rPr>
          <w:rFonts w:hint="eastAsia" w:ascii="宋体" w:hAnsi="宋体" w:eastAsia="宋体" w:cs="宋体"/>
          <w:bCs/>
          <w:szCs w:val="21"/>
          <w:highlight w:val="none"/>
        </w:rPr>
      </w:pPr>
    </w:p>
    <w:p w14:paraId="50356D58">
      <w:pPr>
        <w:autoSpaceDE w:val="0"/>
        <w:autoSpaceDN w:val="0"/>
        <w:adjustRightInd w:val="0"/>
        <w:spacing w:line="386" w:lineRule="exact"/>
        <w:jc w:val="left"/>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rPr>
        <w:t>注：1、</w:t>
      </w:r>
      <w:r>
        <w:rPr>
          <w:rFonts w:hint="eastAsia" w:ascii="宋体" w:hAnsi="宋体" w:cs="宋体"/>
          <w:bCs/>
          <w:sz w:val="24"/>
          <w:szCs w:val="24"/>
          <w:highlight w:val="none"/>
          <w:lang w:val="en-US" w:eastAsia="zh-CN"/>
        </w:rPr>
        <w:t>根据评分标准</w:t>
      </w:r>
      <w:r>
        <w:rPr>
          <w:rFonts w:hint="eastAsia" w:ascii="宋体" w:hAnsi="宋体" w:eastAsia="宋体" w:cs="宋体"/>
          <w:bCs/>
          <w:sz w:val="24"/>
          <w:szCs w:val="24"/>
          <w:highlight w:val="none"/>
        </w:rPr>
        <w:t>提供上述人员资质、身份证</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业绩</w:t>
      </w:r>
      <w:r>
        <w:rPr>
          <w:rFonts w:hint="eastAsia" w:ascii="宋体" w:hAnsi="宋体" w:eastAsia="宋体" w:cs="宋体"/>
          <w:bCs/>
          <w:sz w:val="24"/>
          <w:szCs w:val="24"/>
          <w:highlight w:val="none"/>
        </w:rPr>
        <w:t>等证明材料</w:t>
      </w:r>
      <w:r>
        <w:rPr>
          <w:rFonts w:hint="eastAsia" w:ascii="宋体" w:hAnsi="宋体" w:eastAsia="宋体" w:cs="宋体"/>
          <w:b w:val="0"/>
          <w:bCs/>
          <w:sz w:val="24"/>
          <w:szCs w:val="24"/>
          <w:highlight w:val="none"/>
          <w:lang w:val="en-US" w:eastAsia="zh-CN"/>
        </w:rPr>
        <w:t>扫描件</w:t>
      </w:r>
      <w:r>
        <w:rPr>
          <w:rFonts w:hint="eastAsia" w:ascii="宋体" w:hAnsi="宋体" w:eastAsia="宋体" w:cs="宋体"/>
          <w:b w:val="0"/>
          <w:bCs/>
          <w:sz w:val="24"/>
          <w:szCs w:val="24"/>
          <w:highlight w:val="none"/>
        </w:rPr>
        <w:t>。</w:t>
      </w:r>
    </w:p>
    <w:p w14:paraId="471CF2FD">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2、表格不够用时可自行扩展。</w:t>
      </w:r>
    </w:p>
    <w:p w14:paraId="73F3785B">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3、以上内容必须是真实的，否则，一经查实，按相关规定处理。</w:t>
      </w:r>
    </w:p>
    <w:p w14:paraId="319F7668">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4、此表在不改变表式的情况下，可自行制作。</w:t>
      </w:r>
    </w:p>
    <w:p w14:paraId="490B8E9D">
      <w:pPr>
        <w:tabs>
          <w:tab w:val="left" w:pos="3165"/>
        </w:tabs>
        <w:rPr>
          <w:rFonts w:hint="eastAsia" w:ascii="宋体" w:hAnsi="宋体" w:eastAsia="宋体" w:cs="宋体"/>
          <w:bCs/>
          <w:sz w:val="24"/>
          <w:szCs w:val="24"/>
          <w:highlight w:val="none"/>
        </w:rPr>
      </w:pPr>
    </w:p>
    <w:p w14:paraId="2E83E835">
      <w:pPr>
        <w:pStyle w:val="19"/>
        <w:rPr>
          <w:rFonts w:hint="eastAsia" w:ascii="宋体" w:hAnsi="宋体" w:eastAsia="宋体" w:cs="宋体"/>
          <w:bCs/>
          <w:sz w:val="24"/>
          <w:szCs w:val="24"/>
          <w:highlight w:val="none"/>
        </w:rPr>
      </w:pPr>
    </w:p>
    <w:p w14:paraId="5D56C200">
      <w:pPr>
        <w:pStyle w:val="19"/>
        <w:rPr>
          <w:rFonts w:hint="eastAsia" w:ascii="宋体" w:hAnsi="宋体" w:eastAsia="宋体" w:cs="宋体"/>
          <w:bCs/>
          <w:sz w:val="24"/>
          <w:szCs w:val="24"/>
          <w:highlight w:val="none"/>
        </w:rPr>
      </w:pPr>
    </w:p>
    <w:p w14:paraId="772C70AF">
      <w:pPr>
        <w:tabs>
          <w:tab w:val="left" w:pos="3165"/>
        </w:tabs>
        <w:rPr>
          <w:rFonts w:hint="eastAsia" w:ascii="宋体" w:hAnsi="宋体" w:eastAsia="宋体" w:cs="宋体"/>
          <w:bCs/>
          <w:sz w:val="24"/>
          <w:szCs w:val="24"/>
          <w:highlight w:val="none"/>
        </w:rPr>
      </w:pPr>
    </w:p>
    <w:p w14:paraId="14F271D8">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供应商（盖章）：</w:t>
      </w:r>
    </w:p>
    <w:p w14:paraId="3F198B06">
      <w:pPr>
        <w:keepNext w:val="0"/>
        <w:keepLines w:val="0"/>
        <w:kinsoku/>
        <w:wordWrap/>
        <w:overflowPunct/>
        <w:topLinePunct w:val="0"/>
        <w:autoSpaceDE w:val="0"/>
        <w:autoSpaceDN w:val="0"/>
        <w:bidi w:val="0"/>
        <w:adjustRightInd w:val="0"/>
        <w:spacing w:line="500" w:lineRule="exact"/>
        <w:ind w:firstLine="480" w:firstLineChars="200"/>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法定代表人或授权代表人（签字或盖章）：</w:t>
      </w:r>
    </w:p>
    <w:p w14:paraId="2BB95357">
      <w:pPr>
        <w:keepNext w:val="0"/>
        <w:keepLines w:val="0"/>
        <w:kinsoku/>
        <w:wordWrap/>
        <w:overflowPunct/>
        <w:topLinePunct w:val="0"/>
        <w:autoSpaceDE w:val="0"/>
        <w:autoSpaceDN w:val="0"/>
        <w:bidi w:val="0"/>
        <w:adjustRightInd w:val="0"/>
        <w:spacing w:line="500" w:lineRule="exact"/>
        <w:ind w:firstLine="4080" w:firstLineChars="17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日期：</w:t>
      </w:r>
    </w:p>
    <w:p w14:paraId="0E9A1E9C">
      <w:pPr>
        <w:pStyle w:val="36"/>
        <w:rPr>
          <w:rFonts w:hint="eastAsia"/>
          <w:highlight w:val="none"/>
          <w:lang w:val="en-US" w:eastAsia="zh-CN"/>
        </w:rPr>
      </w:pPr>
    </w:p>
    <w:p w14:paraId="6B7DD8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0E47F559">
      <w:pPr>
        <w:pStyle w:val="18"/>
        <w:rPr>
          <w:rFonts w:hint="eastAsia" w:ascii="宋体" w:hAnsi="宋体" w:eastAsia="宋体" w:cs="宋体"/>
          <w:b/>
          <w:bCs/>
          <w:color w:val="auto"/>
          <w:kern w:val="0"/>
          <w:sz w:val="24"/>
          <w:szCs w:val="24"/>
          <w:highlight w:val="none"/>
          <w:lang w:val="en-US" w:eastAsia="zh-CN" w:bidi="ar-SA"/>
        </w:rPr>
      </w:pPr>
    </w:p>
    <w:p w14:paraId="1A8DE5BC">
      <w:pPr>
        <w:rPr>
          <w:rFonts w:hint="eastAsia" w:ascii="宋体" w:hAnsi="宋体" w:eastAsia="宋体" w:cs="宋体"/>
          <w:b/>
          <w:bCs/>
          <w:color w:val="auto"/>
          <w:kern w:val="0"/>
          <w:sz w:val="24"/>
          <w:szCs w:val="24"/>
          <w:highlight w:val="none"/>
          <w:lang w:val="en-US" w:eastAsia="zh-CN" w:bidi="ar-SA"/>
        </w:rPr>
      </w:pPr>
    </w:p>
    <w:p w14:paraId="1CB641C2">
      <w:pPr>
        <w:pStyle w:val="7"/>
        <w:rPr>
          <w:rFonts w:hint="eastAsia"/>
          <w:highlight w:val="none"/>
        </w:rPr>
      </w:pPr>
    </w:p>
    <w:p w14:paraId="67C500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6890E2C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7F133F2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认为需要在商务技术文件里说明的</w:t>
      </w:r>
      <w:r>
        <w:rPr>
          <w:rFonts w:hint="eastAsia" w:ascii="宋体" w:hAnsi="宋体" w:eastAsia="宋体" w:cs="宋体"/>
          <w:color w:val="auto"/>
          <w:sz w:val="24"/>
          <w:szCs w:val="24"/>
          <w:highlight w:val="none"/>
          <w:lang w:eastAsia="zh-CN"/>
        </w:rPr>
        <w:t>其他材料（</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格式自拟</w:t>
      </w:r>
    </w:p>
    <w:p w14:paraId="300036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0F473577">
      <w:pPr>
        <w:pStyle w:val="19"/>
        <w:ind w:left="0" w:leftChars="0" w:firstLine="0" w:firstLineChars="0"/>
        <w:rPr>
          <w:rFonts w:hint="eastAsia" w:ascii="宋体" w:hAnsi="宋体" w:eastAsia="宋体" w:cs="宋体"/>
          <w:color w:val="auto"/>
          <w:sz w:val="28"/>
          <w:szCs w:val="28"/>
          <w:highlight w:val="none"/>
        </w:rPr>
      </w:pPr>
    </w:p>
    <w:p w14:paraId="70048E39">
      <w:pPr>
        <w:pStyle w:val="19"/>
        <w:ind w:left="0" w:leftChars="0" w:firstLine="0" w:firstLineChars="0"/>
        <w:rPr>
          <w:rFonts w:hint="eastAsia" w:ascii="宋体" w:hAnsi="宋体" w:eastAsia="宋体" w:cs="宋体"/>
          <w:color w:val="auto"/>
          <w:sz w:val="28"/>
          <w:szCs w:val="28"/>
          <w:highlight w:val="none"/>
        </w:rPr>
      </w:pPr>
    </w:p>
    <w:p w14:paraId="3A7B6F4D">
      <w:pPr>
        <w:pStyle w:val="19"/>
        <w:ind w:left="0" w:leftChars="0" w:firstLine="0" w:firstLineChars="0"/>
        <w:rPr>
          <w:rFonts w:hint="eastAsia" w:ascii="宋体" w:hAnsi="宋体" w:eastAsia="宋体" w:cs="宋体"/>
          <w:color w:val="auto"/>
          <w:sz w:val="28"/>
          <w:szCs w:val="28"/>
          <w:highlight w:val="none"/>
        </w:rPr>
      </w:pPr>
    </w:p>
    <w:p w14:paraId="176C16AB">
      <w:pPr>
        <w:pStyle w:val="19"/>
        <w:ind w:left="0" w:leftChars="0" w:firstLine="0" w:firstLineChars="0"/>
        <w:rPr>
          <w:rFonts w:hint="eastAsia" w:ascii="宋体" w:hAnsi="宋体" w:eastAsia="宋体" w:cs="宋体"/>
          <w:color w:val="auto"/>
          <w:sz w:val="28"/>
          <w:szCs w:val="28"/>
          <w:highlight w:val="none"/>
        </w:rPr>
      </w:pPr>
    </w:p>
    <w:p w14:paraId="7F273D5B">
      <w:pPr>
        <w:pStyle w:val="19"/>
        <w:ind w:left="0" w:leftChars="0" w:firstLine="0" w:firstLineChars="0"/>
        <w:rPr>
          <w:rFonts w:hint="eastAsia" w:ascii="宋体" w:hAnsi="宋体" w:eastAsia="宋体" w:cs="宋体"/>
          <w:color w:val="auto"/>
          <w:sz w:val="28"/>
          <w:szCs w:val="28"/>
          <w:highlight w:val="none"/>
        </w:rPr>
      </w:pPr>
    </w:p>
    <w:p w14:paraId="266B7FF2">
      <w:pPr>
        <w:pStyle w:val="19"/>
        <w:ind w:left="0" w:leftChars="0" w:firstLine="0" w:firstLineChars="0"/>
        <w:rPr>
          <w:rFonts w:hint="eastAsia" w:ascii="宋体" w:hAnsi="宋体" w:eastAsia="宋体" w:cs="宋体"/>
          <w:color w:val="auto"/>
          <w:sz w:val="28"/>
          <w:szCs w:val="28"/>
          <w:highlight w:val="none"/>
        </w:rPr>
      </w:pPr>
    </w:p>
    <w:p w14:paraId="1BEE4AB4">
      <w:pPr>
        <w:pStyle w:val="19"/>
        <w:ind w:left="0" w:leftChars="0" w:firstLine="0" w:firstLineChars="0"/>
        <w:rPr>
          <w:rFonts w:hint="eastAsia" w:ascii="宋体" w:hAnsi="宋体" w:eastAsia="宋体" w:cs="宋体"/>
          <w:color w:val="auto"/>
          <w:sz w:val="28"/>
          <w:szCs w:val="28"/>
          <w:highlight w:val="none"/>
        </w:rPr>
      </w:pPr>
    </w:p>
    <w:p w14:paraId="2064B5C8">
      <w:pPr>
        <w:pStyle w:val="19"/>
        <w:ind w:left="0" w:leftChars="0" w:firstLine="0" w:firstLineChars="0"/>
        <w:rPr>
          <w:rFonts w:hint="eastAsia" w:ascii="宋体" w:hAnsi="宋体" w:eastAsia="宋体" w:cs="宋体"/>
          <w:color w:val="auto"/>
          <w:sz w:val="28"/>
          <w:szCs w:val="28"/>
          <w:highlight w:val="none"/>
        </w:rPr>
      </w:pPr>
    </w:p>
    <w:p w14:paraId="627298DE">
      <w:pPr>
        <w:pStyle w:val="19"/>
        <w:ind w:left="0" w:leftChars="0" w:firstLine="0" w:firstLineChars="0"/>
        <w:rPr>
          <w:rFonts w:hint="eastAsia" w:ascii="宋体" w:hAnsi="宋体" w:eastAsia="宋体" w:cs="宋体"/>
          <w:color w:val="auto"/>
          <w:sz w:val="28"/>
          <w:szCs w:val="28"/>
          <w:highlight w:val="none"/>
        </w:rPr>
      </w:pPr>
    </w:p>
    <w:p w14:paraId="7EBD4F6B">
      <w:pPr>
        <w:pStyle w:val="19"/>
        <w:ind w:left="0" w:leftChars="0" w:firstLine="0" w:firstLineChars="0"/>
        <w:rPr>
          <w:rFonts w:hint="eastAsia" w:ascii="宋体" w:hAnsi="宋体" w:eastAsia="宋体" w:cs="宋体"/>
          <w:color w:val="auto"/>
          <w:sz w:val="28"/>
          <w:szCs w:val="28"/>
          <w:highlight w:val="none"/>
        </w:rPr>
      </w:pPr>
    </w:p>
    <w:p w14:paraId="65990EC1">
      <w:pPr>
        <w:pStyle w:val="19"/>
        <w:ind w:left="0" w:leftChars="0" w:firstLine="0" w:firstLineChars="0"/>
        <w:rPr>
          <w:rFonts w:hint="eastAsia" w:ascii="宋体" w:hAnsi="宋体" w:eastAsia="宋体" w:cs="宋体"/>
          <w:color w:val="auto"/>
          <w:sz w:val="28"/>
          <w:szCs w:val="28"/>
          <w:highlight w:val="none"/>
        </w:rPr>
      </w:pPr>
    </w:p>
    <w:p w14:paraId="7EB54BC8">
      <w:pPr>
        <w:pStyle w:val="19"/>
        <w:ind w:left="0" w:leftChars="0" w:firstLine="0" w:firstLineChars="0"/>
        <w:rPr>
          <w:rFonts w:hint="eastAsia" w:ascii="宋体" w:hAnsi="宋体" w:eastAsia="宋体" w:cs="宋体"/>
          <w:color w:val="auto"/>
          <w:sz w:val="28"/>
          <w:szCs w:val="28"/>
          <w:highlight w:val="none"/>
        </w:rPr>
      </w:pPr>
    </w:p>
    <w:p w14:paraId="114849BC">
      <w:pPr>
        <w:pStyle w:val="19"/>
        <w:ind w:left="0" w:leftChars="0" w:firstLine="0" w:firstLineChars="0"/>
        <w:rPr>
          <w:rFonts w:hint="eastAsia" w:ascii="宋体" w:hAnsi="宋体" w:eastAsia="宋体" w:cs="宋体"/>
          <w:color w:val="auto"/>
          <w:sz w:val="28"/>
          <w:szCs w:val="28"/>
          <w:highlight w:val="none"/>
        </w:rPr>
      </w:pPr>
    </w:p>
    <w:p w14:paraId="2830533D">
      <w:pPr>
        <w:pStyle w:val="19"/>
        <w:ind w:left="0" w:leftChars="0" w:firstLine="0" w:firstLineChars="0"/>
        <w:rPr>
          <w:rFonts w:hint="eastAsia" w:ascii="宋体" w:hAnsi="宋体" w:eastAsia="宋体" w:cs="宋体"/>
          <w:color w:val="auto"/>
          <w:sz w:val="28"/>
          <w:szCs w:val="28"/>
          <w:highlight w:val="none"/>
        </w:rPr>
      </w:pPr>
    </w:p>
    <w:p w14:paraId="55B32017">
      <w:pPr>
        <w:pStyle w:val="7"/>
        <w:rPr>
          <w:rFonts w:hint="eastAsia" w:ascii="宋体" w:hAnsi="宋体" w:eastAsia="宋体" w:cs="宋体"/>
          <w:color w:val="auto"/>
          <w:sz w:val="28"/>
          <w:szCs w:val="28"/>
          <w:highlight w:val="none"/>
        </w:rPr>
      </w:pPr>
    </w:p>
    <w:p w14:paraId="42B3C430">
      <w:pPr>
        <w:rPr>
          <w:rFonts w:hint="eastAsia" w:ascii="宋体" w:hAnsi="宋体" w:eastAsia="宋体" w:cs="宋体"/>
          <w:color w:val="auto"/>
          <w:sz w:val="28"/>
          <w:szCs w:val="28"/>
          <w:highlight w:val="none"/>
        </w:rPr>
      </w:pPr>
    </w:p>
    <w:p w14:paraId="1B42C4D4">
      <w:pPr>
        <w:pStyle w:val="7"/>
        <w:ind w:left="0" w:leftChars="0" w:firstLine="0" w:firstLineChars="0"/>
        <w:rPr>
          <w:rFonts w:hint="eastAsia"/>
          <w:highlight w:val="none"/>
          <w:lang w:val="en-US" w:eastAsia="zh-CN"/>
        </w:rPr>
      </w:pPr>
      <w:bookmarkStart w:id="68" w:name="_Toc12318"/>
    </w:p>
    <w:p w14:paraId="74741022">
      <w:pPr>
        <w:rPr>
          <w:rFonts w:hint="eastAsia"/>
          <w:highlight w:val="none"/>
          <w:lang w:val="en-US" w:eastAsia="zh-CN"/>
        </w:rPr>
      </w:pPr>
    </w:p>
    <w:p w14:paraId="2CCB3F62">
      <w:pPr>
        <w:pStyle w:val="19"/>
        <w:rPr>
          <w:rFonts w:hint="eastAsia"/>
          <w:lang w:val="en-US" w:eastAsia="zh-CN"/>
        </w:rPr>
      </w:pPr>
    </w:p>
    <w:p w14:paraId="6903EC7C">
      <w:pPr>
        <w:rPr>
          <w:rFonts w:hint="eastAsia"/>
          <w:lang w:val="en-US" w:eastAsia="zh-CN"/>
        </w:rPr>
      </w:pPr>
    </w:p>
    <w:p w14:paraId="03D14F13">
      <w:pPr>
        <w:pStyle w:val="19"/>
        <w:ind w:left="0" w:leftChars="0" w:firstLine="0" w:firstLineChars="0"/>
        <w:rPr>
          <w:rFonts w:hint="eastAsia" w:ascii="宋体" w:hAnsi="宋体" w:eastAsia="宋体" w:cs="宋体"/>
          <w:b/>
          <w:color w:val="auto"/>
          <w:sz w:val="28"/>
          <w:szCs w:val="28"/>
          <w:highlight w:val="none"/>
          <w:lang w:val="en-US" w:eastAsia="zh-CN"/>
        </w:rPr>
      </w:pPr>
    </w:p>
    <w:p w14:paraId="364E47C0">
      <w:pPr>
        <w:pStyle w:val="19"/>
        <w:numPr>
          <w:ilvl w:val="0"/>
          <w:numId w:val="6"/>
        </w:numPr>
        <w:ind w:left="0" w:leftChars="0" w:firstLine="0" w:firstLineChars="0"/>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磋商</w:t>
      </w:r>
      <w:r>
        <w:rPr>
          <w:rFonts w:hint="eastAsia" w:ascii="宋体" w:hAnsi="宋体" w:eastAsia="宋体" w:cs="宋体"/>
          <w:b/>
          <w:color w:val="auto"/>
          <w:sz w:val="24"/>
          <w:szCs w:val="24"/>
          <w:highlight w:val="none"/>
          <w:lang w:val="en-US" w:eastAsia="zh-CN"/>
        </w:rPr>
        <w:t>报价文件</w:t>
      </w:r>
      <w:bookmarkEnd w:id="68"/>
      <w:r>
        <w:rPr>
          <w:rFonts w:hint="eastAsia" w:ascii="宋体" w:hAnsi="宋体" w:cs="宋体"/>
          <w:b/>
          <w:color w:val="auto"/>
          <w:sz w:val="24"/>
          <w:szCs w:val="24"/>
          <w:highlight w:val="none"/>
          <w:lang w:val="en-US" w:eastAsia="zh-CN"/>
        </w:rPr>
        <w:t>（初次）</w:t>
      </w:r>
    </w:p>
    <w:p w14:paraId="06513DF3">
      <w:pPr>
        <w:pStyle w:val="19"/>
        <w:numPr>
          <w:ilvl w:val="0"/>
          <w:numId w:val="0"/>
        </w:numPr>
        <w:ind w:leftChars="0"/>
        <w:jc w:val="both"/>
        <w:rPr>
          <w:rFonts w:hint="eastAsia" w:ascii="宋体" w:hAnsi="宋体" w:cs="宋体"/>
          <w:b/>
          <w:color w:val="auto"/>
          <w:sz w:val="24"/>
          <w:szCs w:val="24"/>
          <w:highlight w:val="none"/>
          <w:lang w:val="en-US" w:eastAsia="zh-CN"/>
        </w:rPr>
      </w:pPr>
    </w:p>
    <w:p w14:paraId="4C42E318">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报价一览表</w:t>
      </w:r>
    </w:p>
    <w:p w14:paraId="3FA1A86C">
      <w:pPr>
        <w:pStyle w:val="19"/>
        <w:rPr>
          <w:rFonts w:hint="eastAsia"/>
        </w:rPr>
      </w:pPr>
    </w:p>
    <w:p w14:paraId="60AE8EEC">
      <w:pPr>
        <w:pStyle w:val="19"/>
        <w:rPr>
          <w:rFonts w:hint="eastAsia"/>
        </w:rPr>
      </w:pPr>
      <w:r>
        <w:rPr>
          <w:rFonts w:hint="eastAsia"/>
        </w:rPr>
        <w:t xml:space="preserve">项目名称：                               </w:t>
      </w:r>
    </w:p>
    <w:p w14:paraId="5A618A15">
      <w:pPr>
        <w:pStyle w:val="19"/>
        <w:rPr>
          <w:rFonts w:hint="eastAsia"/>
        </w:rPr>
      </w:pPr>
      <w:r>
        <w:rPr>
          <w:rFonts w:hint="eastAsia"/>
        </w:rPr>
        <w:t>项目编号：</w:t>
      </w:r>
    </w:p>
    <w:p w14:paraId="2D66BE00">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单位：人民币</w:t>
      </w:r>
    </w:p>
    <w:tbl>
      <w:tblPr>
        <w:tblStyle w:val="20"/>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74"/>
      </w:tblGrid>
      <w:tr w14:paraId="0535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7D3A7ECF">
            <w:pPr>
              <w:pStyle w:val="9"/>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44A662E7">
            <w:pPr>
              <w:pStyle w:val="4"/>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74" w:type="dxa"/>
            <w:noWrap w:val="0"/>
            <w:vAlign w:val="center"/>
          </w:tcPr>
          <w:p w14:paraId="2A427A6F">
            <w:pPr>
              <w:pStyle w:val="4"/>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投标报价（总价）</w:t>
            </w:r>
          </w:p>
        </w:tc>
      </w:tr>
      <w:tr w14:paraId="09AE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7BED9E5F">
            <w:pPr>
              <w:pStyle w:val="9"/>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1D51AAC7">
            <w:pPr>
              <w:pStyle w:val="4"/>
              <w:keepNext w:val="0"/>
              <w:keepLines w:val="0"/>
              <w:pageBreakBefore w:val="0"/>
              <w:kinsoku/>
              <w:wordWrap/>
              <w:topLinePunct w:val="0"/>
              <w:autoSpaceDE/>
              <w:autoSpaceDN/>
              <w:bidi w:val="0"/>
              <w:snapToGrid/>
              <w:spacing w:line="500" w:lineRule="exact"/>
              <w:ind w:left="0" w:leftChars="0" w:firstLine="0" w:firstLineChars="0"/>
              <w:jc w:val="both"/>
              <w:textAlignment w:val="auto"/>
              <w:rPr>
                <w:rFonts w:hint="eastAsia" w:ascii="宋体" w:hAnsi="宋体" w:eastAsia="宋体" w:cs="宋体"/>
                <w:color w:val="auto"/>
                <w:sz w:val="24"/>
                <w:szCs w:val="24"/>
                <w:highlight w:val="none"/>
                <w:lang w:eastAsia="zh-CN"/>
              </w:rPr>
            </w:pPr>
          </w:p>
        </w:tc>
        <w:tc>
          <w:tcPr>
            <w:tcW w:w="5174" w:type="dxa"/>
            <w:noWrap w:val="0"/>
            <w:vAlign w:val="center"/>
          </w:tcPr>
          <w:p w14:paraId="0B002158">
            <w:pPr>
              <w:pStyle w:val="4"/>
              <w:keepNext w:val="0"/>
              <w:keepLines w:val="0"/>
              <w:pageBreakBefore w:val="0"/>
              <w:kinsoku/>
              <w:wordWrap/>
              <w:topLinePunct w:val="0"/>
              <w:autoSpaceDE/>
              <w:autoSpaceDN/>
              <w:bidi w:val="0"/>
              <w:snapToGrid/>
              <w:spacing w:line="500" w:lineRule="exact"/>
              <w:ind w:firstLine="960" w:firstLineChars="4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b/>
                <w:bCs/>
                <w:color w:val="auto"/>
                <w:sz w:val="24"/>
                <w:szCs w:val="24"/>
                <w:highlight w:val="none"/>
                <w:lang w:val="en-US" w:eastAsia="zh-CN"/>
              </w:rPr>
              <w:t>人民币</w:t>
            </w:r>
            <w:r>
              <w:rPr>
                <w:rFonts w:hint="eastAsia" w:ascii="宋体" w:hAnsi="宋体" w:eastAsia="宋体" w:cs="宋体"/>
                <w:b/>
                <w:bCs/>
                <w:color w:val="auto"/>
                <w:sz w:val="24"/>
                <w:szCs w:val="24"/>
                <w:highlight w:val="none"/>
                <w:u w:val="single"/>
                <w:lang w:val="en-US" w:eastAsia="zh-CN"/>
              </w:rPr>
              <w:t xml:space="preserve">        元</w:t>
            </w:r>
          </w:p>
          <w:p w14:paraId="21CA8783">
            <w:pPr>
              <w:pStyle w:val="4"/>
              <w:keepNext w:val="0"/>
              <w:keepLines w:val="0"/>
              <w:pageBreakBefore w:val="0"/>
              <w:kinsoku/>
              <w:wordWrap/>
              <w:topLinePunct w:val="0"/>
              <w:autoSpaceDE/>
              <w:autoSpaceDN/>
              <w:bidi w:val="0"/>
              <w:snapToGrid/>
              <w:spacing w:line="500" w:lineRule="exact"/>
              <w:ind w:firstLine="960" w:firstLineChars="4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元</w:t>
            </w:r>
          </w:p>
        </w:tc>
      </w:tr>
    </w:tbl>
    <w:p w14:paraId="138E985C">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sz w:val="24"/>
          <w:szCs w:val="24"/>
          <w:highlight w:val="none"/>
        </w:rPr>
        <w:t>说明：</w:t>
      </w:r>
      <w:r>
        <w:rPr>
          <w:rFonts w:hint="eastAsia" w:ascii="宋体" w:hAnsi="宋体" w:eastAsia="宋体" w:cs="宋体"/>
          <w:b/>
          <w:bCs w:val="0"/>
          <w:color w:val="auto"/>
          <w:sz w:val="24"/>
          <w:szCs w:val="24"/>
          <w:highlight w:val="none"/>
        </w:rPr>
        <w:t>1.</w:t>
      </w:r>
      <w:r>
        <w:rPr>
          <w:rFonts w:hint="eastAsia" w:ascii="宋体" w:hAnsi="宋体" w:cs="宋体"/>
          <w:b/>
          <w:bCs w:val="0"/>
          <w:color w:val="auto"/>
          <w:sz w:val="24"/>
          <w:szCs w:val="24"/>
          <w:highlight w:val="none"/>
          <w:lang w:val="en-US" w:eastAsia="zh-CN"/>
        </w:rPr>
        <w:t>磋商</w:t>
      </w:r>
      <w:r>
        <w:rPr>
          <w:rFonts w:hint="eastAsia" w:ascii="宋体" w:hAnsi="宋体" w:eastAsia="宋体" w:cs="宋体"/>
          <w:b/>
          <w:bCs w:val="0"/>
          <w:color w:val="auto"/>
          <w:sz w:val="24"/>
          <w:szCs w:val="24"/>
          <w:highlight w:val="none"/>
          <w:lang w:val="en-US" w:eastAsia="zh-CN"/>
        </w:rPr>
        <w:t>报价以元为单位，保留整数</w:t>
      </w:r>
      <w:r>
        <w:rPr>
          <w:rFonts w:hint="eastAsia" w:ascii="宋体" w:hAnsi="宋体" w:eastAsia="宋体" w:cs="宋体"/>
          <w:b/>
          <w:color w:val="auto"/>
          <w:kern w:val="2"/>
          <w:sz w:val="24"/>
          <w:szCs w:val="24"/>
          <w:highlight w:val="none"/>
          <w:lang w:val="en-US" w:eastAsia="zh-CN"/>
        </w:rPr>
        <w:t>。</w:t>
      </w:r>
    </w:p>
    <w:p w14:paraId="1E10B82B">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w:t>
      </w:r>
      <w:r>
        <w:rPr>
          <w:rFonts w:hint="eastAsia" w:ascii="宋体" w:hAnsi="宋体" w:cs="宋体"/>
          <w:bCs/>
          <w:color w:val="auto"/>
          <w:sz w:val="24"/>
          <w:szCs w:val="24"/>
          <w:highlight w:val="none"/>
          <w:lang w:eastAsia="zh-CN"/>
        </w:rPr>
        <w:t>磋商</w:t>
      </w:r>
      <w:r>
        <w:rPr>
          <w:rFonts w:hint="eastAsia" w:ascii="宋体" w:hAnsi="宋体" w:eastAsia="宋体" w:cs="宋体"/>
          <w:bCs/>
          <w:color w:val="auto"/>
          <w:sz w:val="24"/>
          <w:szCs w:val="24"/>
          <w:highlight w:val="none"/>
          <w:lang w:val="en-US" w:eastAsia="zh-CN"/>
        </w:rPr>
        <w:t>报</w:t>
      </w:r>
      <w:r>
        <w:rPr>
          <w:rFonts w:hint="eastAsia" w:ascii="宋体" w:hAnsi="宋体" w:eastAsia="宋体" w:cs="宋体"/>
          <w:bCs/>
          <w:color w:val="auto"/>
          <w:sz w:val="24"/>
          <w:szCs w:val="24"/>
          <w:highlight w:val="none"/>
        </w:rPr>
        <w:t>价是履行合同的最终</w:t>
      </w:r>
      <w:r>
        <w:rPr>
          <w:rFonts w:hint="eastAsia" w:ascii="宋体" w:hAnsi="宋体" w:eastAsia="宋体" w:cs="宋体"/>
          <w:bCs/>
          <w:color w:val="auto"/>
          <w:sz w:val="24"/>
          <w:szCs w:val="24"/>
          <w:highlight w:val="none"/>
          <w:lang w:val="en-US" w:eastAsia="zh-CN"/>
        </w:rPr>
        <w:t>报</w:t>
      </w:r>
      <w:r>
        <w:rPr>
          <w:rFonts w:hint="eastAsia" w:ascii="宋体" w:hAnsi="宋体" w:eastAsia="宋体" w:cs="宋体"/>
          <w:bCs/>
          <w:color w:val="auto"/>
          <w:sz w:val="24"/>
          <w:szCs w:val="24"/>
          <w:highlight w:val="none"/>
        </w:rPr>
        <w:t>价，包含本项目</w:t>
      </w:r>
      <w:r>
        <w:rPr>
          <w:rFonts w:hint="eastAsia" w:ascii="宋体" w:hAnsi="宋体" w:cs="宋体"/>
          <w:bCs/>
          <w:color w:val="auto"/>
          <w:sz w:val="24"/>
          <w:szCs w:val="24"/>
          <w:highlight w:val="none"/>
          <w:lang w:eastAsia="zh-CN"/>
        </w:rPr>
        <w:t>采购</w:t>
      </w:r>
      <w:r>
        <w:rPr>
          <w:rFonts w:hint="eastAsia" w:ascii="宋体" w:hAnsi="宋体" w:eastAsia="宋体" w:cs="宋体"/>
          <w:bCs/>
          <w:color w:val="auto"/>
          <w:sz w:val="24"/>
          <w:szCs w:val="24"/>
          <w:highlight w:val="none"/>
        </w:rPr>
        <w:t>内容及要求及合同约定所有服务内容所需所有</w:t>
      </w:r>
      <w:r>
        <w:rPr>
          <w:rFonts w:hint="eastAsia" w:ascii="宋体" w:hAnsi="宋体" w:cs="宋体"/>
          <w:bCs/>
          <w:color w:val="auto"/>
          <w:sz w:val="24"/>
          <w:szCs w:val="24"/>
          <w:highlight w:val="none"/>
          <w:lang w:eastAsia="zh-CN"/>
        </w:rPr>
        <w:t>服务</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服务费</w:t>
      </w:r>
      <w:r>
        <w:rPr>
          <w:rFonts w:hint="eastAsia" w:ascii="宋体" w:hAnsi="宋体" w:eastAsia="宋体" w:cs="宋体"/>
          <w:bCs/>
          <w:color w:val="auto"/>
          <w:sz w:val="24"/>
          <w:szCs w:val="24"/>
          <w:highlight w:val="none"/>
        </w:rPr>
        <w:t>、人工工资（含社会保险费、劳保用品、员工住宿交通差旅费用等）、规费、税费、企业管理费、利润、技术支持与培训、售后服务以及合同包含的所有风险、责任等各项应有费用。在合同服务期间内不得违反国家相关政策规定。（说明：如发生不可抗力及突发性事件，中标供应商要无条件听从采购人指挥，配合采购人。费用已包括在</w:t>
      </w:r>
      <w:r>
        <w:rPr>
          <w:rFonts w:hint="eastAsia" w:ascii="宋体" w:hAnsi="宋体" w:cs="宋体"/>
          <w:bCs/>
          <w:color w:val="auto"/>
          <w:sz w:val="24"/>
          <w:szCs w:val="24"/>
          <w:highlight w:val="none"/>
          <w:lang w:eastAsia="zh-CN"/>
        </w:rPr>
        <w:t>磋商</w:t>
      </w:r>
      <w:r>
        <w:rPr>
          <w:rFonts w:hint="eastAsia" w:ascii="宋体" w:hAnsi="宋体" w:eastAsia="宋体" w:cs="宋体"/>
          <w:bCs/>
          <w:color w:val="auto"/>
          <w:sz w:val="24"/>
          <w:szCs w:val="24"/>
          <w:highlight w:val="none"/>
        </w:rPr>
        <w:t>报价内，采购人不再另行支付其他费用。）本项目采用□固定单价方式结算，中标价为暂定合同价，合同最终支付金额依据合同单价（即投标人投标服务综合单价）和采购人实际所需提供服务时间计算。</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实行固定总价方式结算，有关本项目实施所涉及的一切费用均计入报价，今后不得以任何理由追加或调整。</w:t>
      </w:r>
    </w:p>
    <w:p w14:paraId="3FF8C27A">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cs="宋体"/>
          <w:b/>
          <w:color w:val="auto"/>
          <w:sz w:val="24"/>
          <w:szCs w:val="24"/>
          <w:highlight w:val="none"/>
          <w:u w:val="single"/>
          <w:lang w:val="en-US" w:eastAsia="zh-CN"/>
        </w:rPr>
        <w:t>响应文件</w:t>
      </w:r>
      <w:r>
        <w:rPr>
          <w:rFonts w:hint="eastAsia" w:ascii="宋体" w:hAnsi="宋体" w:eastAsia="宋体" w:cs="宋体"/>
          <w:b/>
          <w:color w:val="auto"/>
          <w:sz w:val="24"/>
          <w:szCs w:val="24"/>
          <w:highlight w:val="none"/>
          <w:u w:val="single"/>
        </w:rPr>
        <w:t>将被视为未实质性响应</w:t>
      </w:r>
      <w:r>
        <w:rPr>
          <w:rFonts w:hint="eastAsia" w:ascii="宋体" w:hAnsi="宋体" w:cs="宋体"/>
          <w:b/>
          <w:color w:val="auto"/>
          <w:sz w:val="24"/>
          <w:szCs w:val="24"/>
          <w:highlight w:val="none"/>
          <w:u w:val="single"/>
          <w:lang w:val="en-US" w:eastAsia="zh-CN"/>
        </w:rPr>
        <w:t>响应文件</w:t>
      </w:r>
      <w:r>
        <w:rPr>
          <w:rFonts w:hint="eastAsia" w:ascii="宋体" w:hAnsi="宋体" w:eastAsia="宋体" w:cs="宋体"/>
          <w:b/>
          <w:color w:val="auto"/>
          <w:sz w:val="24"/>
          <w:szCs w:val="24"/>
          <w:highlight w:val="none"/>
          <w:u w:val="single"/>
        </w:rPr>
        <w:t>。</w:t>
      </w:r>
    </w:p>
    <w:p w14:paraId="49FD347D">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w:t>
      </w:r>
      <w:r>
        <w:rPr>
          <w:rFonts w:hint="eastAsia" w:ascii="宋体" w:hAnsi="宋体" w:cs="宋体"/>
          <w:b/>
          <w:bCs/>
          <w:color w:val="auto"/>
          <w:kern w:val="0"/>
          <w:sz w:val="24"/>
          <w:szCs w:val="24"/>
          <w:highlight w:val="none"/>
          <w:lang w:val="en-US" w:eastAsia="zh-CN" w:bidi="ar-SA"/>
        </w:rPr>
        <w:t>响应文件</w:t>
      </w:r>
      <w:r>
        <w:rPr>
          <w:rFonts w:hint="eastAsia" w:ascii="宋体" w:hAnsi="宋体" w:eastAsia="宋体" w:cs="宋体"/>
          <w:b/>
          <w:bCs/>
          <w:color w:val="auto"/>
          <w:kern w:val="0"/>
          <w:sz w:val="24"/>
          <w:szCs w:val="24"/>
          <w:highlight w:val="none"/>
          <w:lang w:val="en-US" w:eastAsia="zh-CN" w:bidi="ar-SA"/>
        </w:rPr>
        <w:t>含有采购人不能接受的附加条件，投标无效。</w:t>
      </w:r>
    </w:p>
    <w:p w14:paraId="7EAF3CC4">
      <w:pPr>
        <w:pStyle w:val="19"/>
        <w:rPr>
          <w:rFonts w:hint="eastAsia"/>
          <w:lang w:val="en-US" w:eastAsia="zh-CN"/>
        </w:rPr>
      </w:pPr>
    </w:p>
    <w:p w14:paraId="1163FFA4">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4E2F1711">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28B8837A">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5A85304B">
      <w:pPr>
        <w:pStyle w:val="19"/>
        <w:rPr>
          <w:rFonts w:hint="eastAsia" w:ascii="宋体" w:hAnsi="宋体" w:eastAsia="宋体" w:cs="宋体"/>
          <w:color w:val="auto"/>
          <w:highlight w:val="none"/>
          <w:lang w:eastAsia="zh-CN"/>
        </w:rPr>
      </w:pPr>
    </w:p>
    <w:p w14:paraId="0B8361B0">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69" w:name="_Toc2416"/>
      <w:bookmarkStart w:id="70" w:name="_Toc16262"/>
      <w:bookmarkStart w:id="71" w:name="_Toc4749"/>
      <w:bookmarkStart w:id="72" w:name="_Toc13915"/>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zh-CN" w:eastAsia="zh-CN"/>
        </w:rPr>
        <w:t>评分</w:t>
      </w:r>
      <w:r>
        <w:rPr>
          <w:rFonts w:hint="eastAsia" w:ascii="宋体" w:hAnsi="宋体" w:eastAsia="宋体" w:cs="宋体"/>
          <w:color w:val="auto"/>
          <w:sz w:val="28"/>
          <w:szCs w:val="28"/>
          <w:highlight w:val="none"/>
          <w:lang w:val="zh-CN" w:eastAsia="zh-CN"/>
        </w:rPr>
        <w:t>办法及开标程序</w:t>
      </w:r>
      <w:bookmarkEnd w:id="69"/>
      <w:bookmarkEnd w:id="70"/>
      <w:bookmarkEnd w:id="71"/>
      <w:bookmarkEnd w:id="72"/>
      <w:bookmarkStart w:id="73" w:name="_Toc185"/>
      <w:bookmarkStart w:id="74" w:name="_Toc9554"/>
      <w:bookmarkStart w:id="75" w:name="_Toc27912"/>
      <w:bookmarkStart w:id="76" w:name="_Toc476644268"/>
    </w:p>
    <w:p w14:paraId="47870B56">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7" w:name="_Toc26885"/>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原则</w:t>
      </w:r>
      <w:bookmarkEnd w:id="73"/>
      <w:bookmarkEnd w:id="74"/>
      <w:bookmarkEnd w:id="75"/>
      <w:bookmarkEnd w:id="77"/>
    </w:p>
    <w:p w14:paraId="5E8F9936">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工作遵循公平、公正、科学、择优原则和诚实、信誉、效率的服务原则。本着科学、严谨的态度，认真进行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。择优选用，推进技术进步，确保服务质量、交货按期，节约投资，最大限度的保护当事人权益。严格按照</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进行综合评定，提出优选方案，编写评</w:t>
      </w:r>
      <w:r>
        <w:rPr>
          <w:rFonts w:hint="eastAsia" w:ascii="宋体" w:hAnsi="宋体" w:cs="宋体"/>
          <w:color w:val="auto"/>
          <w:sz w:val="24"/>
          <w:szCs w:val="24"/>
          <w:highlight w:val="none"/>
          <w:lang w:eastAsia="zh-CN"/>
        </w:rPr>
        <w:t>审</w:t>
      </w:r>
      <w:r>
        <w:rPr>
          <w:rFonts w:hint="eastAsia" w:ascii="宋体" w:hAnsi="宋体" w:eastAsia="宋体" w:cs="宋体"/>
          <w:color w:val="auto"/>
          <w:sz w:val="24"/>
          <w:szCs w:val="24"/>
          <w:highlight w:val="none"/>
        </w:rPr>
        <w:t>报告。对落标单位，评委会不做任何落标解释。</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不得以任何方式干扰招投标工作的进行，一经发现，其</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w:t>
      </w:r>
      <w:bookmarkStart w:id="78" w:name="_Toc17048"/>
      <w:bookmarkStart w:id="79" w:name="_Toc21777"/>
      <w:bookmarkStart w:id="80" w:name="_Toc7988"/>
      <w:bookmarkStart w:id="81" w:name="_Toc15574"/>
    </w:p>
    <w:p w14:paraId="37772FAF">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组织</w:t>
      </w:r>
      <w:bookmarkEnd w:id="78"/>
      <w:bookmarkEnd w:id="79"/>
      <w:bookmarkEnd w:id="80"/>
      <w:bookmarkEnd w:id="81"/>
    </w:p>
    <w:p w14:paraId="5C4CE4AC">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工作由招标代理机构负责组织，具体</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事务由</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由有关技术等方面的</w:t>
      </w:r>
      <w:r>
        <w:rPr>
          <w:rFonts w:hint="eastAsia" w:ascii="宋体" w:hAnsi="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组长，相关专家不少于成员总数的2/3。</w:t>
      </w:r>
    </w:p>
    <w:p w14:paraId="6E0F663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法人代表或法人授权代理人必须在场，负责解答有关事宜。如不在场，则事后不得对招标过程及结果提出异议。</w:t>
      </w:r>
    </w:p>
    <w:p w14:paraId="7BCAEBDB">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82" w:name="_Toc25931"/>
      <w:bookmarkStart w:id="83" w:name="_Toc10583"/>
      <w:bookmarkStart w:id="84" w:name="_Toc32336"/>
      <w:bookmarkStart w:id="85" w:name="_Toc11138"/>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程序</w:t>
      </w:r>
      <w:bookmarkEnd w:id="82"/>
      <w:bookmarkEnd w:id="83"/>
      <w:bookmarkEnd w:id="84"/>
      <w:bookmarkEnd w:id="85"/>
    </w:p>
    <w:p w14:paraId="2A8A701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的投标资格审查文件进行审查；然后对合格</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的商务技术文件进行评审；商务技术文件评审结束后即公布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商务技术得分情况，之后开报价文件；对报价文件评审后，根据综合评审结果，提交评审报告。</w:t>
      </w:r>
    </w:p>
    <w:p w14:paraId="229105F9">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86" w:name="_Toc1990"/>
      <w:bookmarkStart w:id="87" w:name="_Toc22388"/>
      <w:bookmarkStart w:id="88" w:name="_Toc2637"/>
      <w:bookmarkStart w:id="89" w:name="_Toc10496"/>
      <w:r>
        <w:rPr>
          <w:rFonts w:hint="eastAsia" w:ascii="宋体" w:hAnsi="宋体" w:eastAsia="宋体" w:cs="宋体"/>
          <w:color w:val="auto"/>
          <w:sz w:val="24"/>
          <w:szCs w:val="24"/>
          <w:highlight w:val="none"/>
        </w:rPr>
        <w:t>四、评</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办法</w:t>
      </w:r>
      <w:bookmarkEnd w:id="86"/>
      <w:bookmarkEnd w:id="87"/>
      <w:bookmarkEnd w:id="88"/>
      <w:bookmarkEnd w:id="89"/>
    </w:p>
    <w:p w14:paraId="0EA0D642">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评分</w:t>
      </w:r>
      <w:r>
        <w:rPr>
          <w:rFonts w:hint="eastAsia" w:ascii="宋体" w:hAnsi="宋体" w:eastAsia="宋体" w:cs="宋体"/>
          <w:color w:val="auto"/>
          <w:sz w:val="24"/>
          <w:szCs w:val="24"/>
          <w:highlight w:val="none"/>
        </w:rPr>
        <w:t>办法采用百分制综合评分法。根据本项目</w:t>
      </w:r>
      <w:r>
        <w:rPr>
          <w:rFonts w:hint="eastAsia" w:ascii="宋体" w:hAnsi="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的要求，按照本办法规定的内容和分值设置，资格审查采用合格制，商务技术为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中的商务技术、报价等内容进行评分，最终得出综合得分。</w:t>
      </w:r>
    </w:p>
    <w:p w14:paraId="014C8978">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90" w:name="_Toc6549"/>
      <w:bookmarkStart w:id="91" w:name="_Toc13906"/>
      <w:bookmarkStart w:id="92" w:name="_Toc22657"/>
      <w:bookmarkStart w:id="93" w:name="_Toc28686"/>
      <w:r>
        <w:rPr>
          <w:rFonts w:hint="eastAsia" w:ascii="宋体" w:hAnsi="宋体" w:eastAsia="宋体" w:cs="宋体"/>
          <w:color w:val="auto"/>
          <w:sz w:val="24"/>
          <w:szCs w:val="24"/>
          <w:highlight w:val="none"/>
        </w:rPr>
        <w:t>五、评分原则</w:t>
      </w:r>
      <w:bookmarkEnd w:id="90"/>
      <w:bookmarkEnd w:id="91"/>
      <w:bookmarkEnd w:id="92"/>
      <w:bookmarkEnd w:id="93"/>
    </w:p>
    <w:p w14:paraId="36B6CA39">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55633E7E">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成员按评分细则进行评审打分，每人一张评分计算表，并记名。</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各项评分内容由</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lang w:eastAsia="zh-CN"/>
        </w:rPr>
        <w:t>小组</w:t>
      </w:r>
      <w:r>
        <w:rPr>
          <w:rFonts w:hint="eastAsia" w:ascii="宋体" w:hAnsi="宋体" w:eastAsia="宋体" w:cs="宋体"/>
          <w:color w:val="auto"/>
          <w:sz w:val="24"/>
          <w:szCs w:val="24"/>
          <w:highlight w:val="none"/>
        </w:rPr>
        <w:t>成员各自独立评分，如某张表的一个因素项目超过规定的分值范围，则该张表无效。各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成员对各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的各项评分内容评分合计的算术平均值为各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最终商务技术文件得分（计算过程中小数点后按四舍五入保留2位）。</w:t>
      </w:r>
    </w:p>
    <w:p w14:paraId="1F352CE0">
      <w:pPr>
        <w:pStyle w:val="19"/>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862"/>
        <w:gridCol w:w="1114"/>
      </w:tblGrid>
      <w:tr w14:paraId="3B487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11512C7">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B2CD08A">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6A3D0C8A">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C66F6CD">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13A65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83FC0FE">
            <w:pPr>
              <w:keepNext w:val="0"/>
              <w:keepLines w:val="0"/>
              <w:pageBreakBefore w:val="0"/>
              <w:widowControl w:val="0"/>
              <w:kinsoku/>
              <w:overflowPunct/>
              <w:topLinePunct w:val="0"/>
              <w:bidi w:val="0"/>
              <w:spacing w:line="38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p>
        </w:tc>
        <w:tc>
          <w:tcPr>
            <w:tcW w:w="7662" w:type="dxa"/>
            <w:gridSpan w:val="2"/>
            <w:tcBorders>
              <w:top w:val="single" w:color="auto" w:sz="4" w:space="0"/>
              <w:left w:val="single" w:color="auto" w:sz="4" w:space="0"/>
              <w:bottom w:val="single" w:color="auto" w:sz="4" w:space="0"/>
              <w:right w:val="single" w:color="auto" w:sz="4" w:space="0"/>
            </w:tcBorders>
            <w:noWrap w:val="0"/>
            <w:vAlign w:val="center"/>
          </w:tcPr>
          <w:p w14:paraId="7E8CC6DF">
            <w:pPr>
              <w:pStyle w:val="16"/>
              <w:keepNext w:val="0"/>
              <w:keepLines w:val="0"/>
              <w:pageBreakBefore w:val="0"/>
              <w:widowControl w:val="0"/>
              <w:kinsoku/>
              <w:overflowPunct/>
              <w:topLinePunct w:val="0"/>
              <w:bidi w:val="0"/>
              <w:spacing w:line="38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商务分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29C041B">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color w:val="auto"/>
                <w:sz w:val="24"/>
                <w:szCs w:val="24"/>
              </w:rPr>
            </w:pPr>
            <w:r>
              <w:rPr>
                <w:rFonts w:hint="eastAsia" w:ascii="宋体" w:hAnsi="宋体" w:eastAsia="宋体" w:cs="宋体"/>
                <w:b/>
                <w:color w:val="000000"/>
                <w:sz w:val="24"/>
                <w:szCs w:val="24"/>
                <w:highlight w:val="none"/>
                <w:lang w:val="en-US" w:eastAsia="zh-CN"/>
              </w:rPr>
              <w:t>2</w:t>
            </w:r>
            <w:r>
              <w:rPr>
                <w:rFonts w:hint="eastAsia" w:ascii="宋体" w:eastAsia="宋体" w:cs="宋体"/>
                <w:b/>
                <w:color w:val="000000"/>
                <w:sz w:val="24"/>
                <w:szCs w:val="24"/>
                <w:highlight w:val="none"/>
                <w:lang w:val="en-US" w:eastAsia="zh-CN"/>
              </w:rPr>
              <w:t>9</w:t>
            </w:r>
            <w:r>
              <w:rPr>
                <w:rFonts w:hint="eastAsia" w:ascii="宋体" w:hAnsi="宋体" w:eastAsia="宋体" w:cs="宋体"/>
                <w:b/>
                <w:color w:val="000000"/>
                <w:sz w:val="24"/>
                <w:szCs w:val="24"/>
                <w:highlight w:val="none"/>
              </w:rPr>
              <w:t>分</w:t>
            </w:r>
          </w:p>
        </w:tc>
      </w:tr>
      <w:tr w14:paraId="2AE0D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5" w:hRule="atLeast"/>
          <w:jc w:val="center"/>
        </w:trPr>
        <w:tc>
          <w:tcPr>
            <w:tcW w:w="828" w:type="dxa"/>
            <w:tcBorders>
              <w:top w:val="single" w:color="auto" w:sz="4" w:space="0"/>
              <w:left w:val="single" w:color="auto" w:sz="4" w:space="0"/>
              <w:right w:val="single" w:color="auto" w:sz="4" w:space="0"/>
            </w:tcBorders>
            <w:noWrap w:val="0"/>
            <w:vAlign w:val="center"/>
          </w:tcPr>
          <w:p w14:paraId="07903C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800" w:type="dxa"/>
            <w:tcBorders>
              <w:top w:val="single" w:color="auto" w:sz="4" w:space="0"/>
              <w:left w:val="single" w:color="auto" w:sz="4" w:space="0"/>
              <w:right w:val="single" w:color="auto" w:sz="4" w:space="0"/>
            </w:tcBorders>
            <w:noWrap w:val="0"/>
            <w:vAlign w:val="center"/>
          </w:tcPr>
          <w:p w14:paraId="7DF70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成功案例</w:t>
            </w:r>
          </w:p>
        </w:tc>
        <w:tc>
          <w:tcPr>
            <w:tcW w:w="5862" w:type="dxa"/>
            <w:tcBorders>
              <w:top w:val="single" w:color="auto" w:sz="4" w:space="0"/>
              <w:left w:val="single" w:color="auto" w:sz="4" w:space="0"/>
              <w:right w:val="single" w:color="auto" w:sz="4" w:space="0"/>
            </w:tcBorders>
            <w:noWrap w:val="0"/>
            <w:vAlign w:val="center"/>
          </w:tcPr>
          <w:p w14:paraId="5015592B">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供应商</w:t>
            </w:r>
            <w:r>
              <w:rPr>
                <w:rFonts w:hint="eastAsia" w:ascii="宋体" w:hAnsi="宋体" w:eastAsia="宋体" w:cs="宋体"/>
                <w:color w:val="000000"/>
                <w:sz w:val="24"/>
                <w:szCs w:val="24"/>
                <w:highlight w:val="none"/>
                <w:lang w:val="en-US" w:eastAsia="zh-CN"/>
              </w:rPr>
              <w:t>具有2019年1月1日（时间以诉讼或仲裁裁判文书落款时间为准）以来完成过类似项目诉讼或仲裁事项专项法律服务</w:t>
            </w:r>
            <w:r>
              <w:rPr>
                <w:rFonts w:hint="eastAsia" w:ascii="宋体" w:hAnsi="宋体" w:eastAsia="宋体" w:cs="宋体"/>
                <w:strike w:val="0"/>
                <w:dstrike w:val="0"/>
                <w:color w:val="000000"/>
                <w:sz w:val="24"/>
                <w:szCs w:val="24"/>
                <w:highlight w:val="none"/>
                <w:lang w:val="en-US" w:eastAsia="zh-CN"/>
              </w:rPr>
              <w:t>案例的每个得1分，本项最高得1分。</w:t>
            </w:r>
          </w:p>
          <w:p w14:paraId="0E20CA53">
            <w:pPr>
              <w:pStyle w:val="19"/>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证明材料：须提供法律服务合同及民事判决书（或仲裁裁决书）原件扫描件，未按要求提供不得分。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A858B15">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63902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EEFC6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3D545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企业荣誉</w:t>
            </w:r>
          </w:p>
        </w:tc>
        <w:tc>
          <w:tcPr>
            <w:tcW w:w="5862" w:type="dxa"/>
            <w:tcBorders>
              <w:top w:val="single" w:color="auto" w:sz="4" w:space="0"/>
              <w:left w:val="single" w:color="auto" w:sz="4" w:space="0"/>
              <w:right w:val="single" w:color="auto" w:sz="4" w:space="0"/>
            </w:tcBorders>
            <w:noWrap w:val="0"/>
            <w:vAlign w:val="center"/>
          </w:tcPr>
          <w:p w14:paraId="6B4B11F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供应商获得</w:t>
            </w:r>
            <w:r>
              <w:rPr>
                <w:rFonts w:hint="eastAsia" w:ascii="宋体" w:hAnsi="宋体" w:eastAsia="宋体" w:cs="宋体"/>
                <w:i w:val="0"/>
                <w:color w:val="000000"/>
                <w:kern w:val="0"/>
                <w:sz w:val="24"/>
                <w:szCs w:val="24"/>
                <w:highlight w:val="none"/>
                <w:u w:val="none"/>
                <w:lang w:eastAsia="zh-CN" w:bidi="ar"/>
              </w:rPr>
              <w:t>过</w:t>
            </w:r>
            <w:r>
              <w:rPr>
                <w:rFonts w:hint="eastAsia" w:ascii="宋体" w:hAnsi="宋体" w:eastAsia="宋体" w:cs="宋体"/>
                <w:i w:val="0"/>
                <w:color w:val="000000"/>
                <w:kern w:val="0"/>
                <w:sz w:val="24"/>
                <w:szCs w:val="24"/>
                <w:highlight w:val="none"/>
                <w:u w:val="none"/>
                <w:lang w:val="en-US" w:eastAsia="zh-CN" w:bidi="ar"/>
              </w:rPr>
              <w:t>司法行政部门或律师协会颁发的荣誉，地市级荣誉每项得1分；省级及以上荣誉每项得2分；本项最高得5分。</w:t>
            </w:r>
          </w:p>
          <w:p w14:paraId="7F88C793">
            <w:pPr>
              <w:pStyle w:val="6"/>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证明材料：须</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荣誉</w:t>
            </w:r>
            <w:r>
              <w:rPr>
                <w:rFonts w:hint="eastAsia" w:ascii="宋体" w:hAnsi="宋体" w:eastAsia="宋体" w:cs="宋体"/>
                <w:b/>
                <w:bCs/>
                <w:color w:val="000000"/>
                <w:sz w:val="24"/>
                <w:szCs w:val="24"/>
                <w:highlight w:val="none"/>
              </w:rPr>
              <w:t>证书或文件扫描件，</w:t>
            </w:r>
            <w:r>
              <w:rPr>
                <w:rFonts w:hint="eastAsia" w:ascii="宋体" w:hAnsi="宋体" w:eastAsia="宋体" w:cs="宋体"/>
                <w:b/>
                <w:bCs/>
                <w:color w:val="000000"/>
                <w:sz w:val="24"/>
                <w:szCs w:val="24"/>
                <w:highlight w:val="none"/>
                <w:lang w:val="en-US" w:eastAsia="zh-CN"/>
              </w:rPr>
              <w:t>未按要求提供</w:t>
            </w:r>
            <w:r>
              <w:rPr>
                <w:rFonts w:hint="eastAsia" w:ascii="宋体" w:hAnsi="宋体" w:eastAsia="宋体" w:cs="宋体"/>
                <w:b/>
                <w:bCs/>
                <w:color w:val="000000"/>
                <w:sz w:val="24"/>
                <w:szCs w:val="24"/>
                <w:highlight w:val="none"/>
              </w:rPr>
              <w:t>不得分</w:t>
            </w:r>
            <w:r>
              <w:rPr>
                <w:rFonts w:hint="eastAsia" w:ascii="宋体" w:hAnsi="宋体" w:eastAsia="宋体" w:cs="宋体"/>
                <w:color w:val="000000"/>
                <w:sz w:val="24"/>
                <w:szCs w:val="24"/>
                <w:highlight w:val="none"/>
              </w:rPr>
              <w:t>。</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56C7095">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14:paraId="312E5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AB81D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2B5E3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团队</w:t>
            </w:r>
            <w:r>
              <w:rPr>
                <w:rFonts w:hint="eastAsia" w:ascii="宋体" w:hAnsi="宋体" w:eastAsia="宋体" w:cs="宋体"/>
                <w:color w:val="000000"/>
                <w:sz w:val="24"/>
                <w:szCs w:val="24"/>
                <w:highlight w:val="none"/>
              </w:rPr>
              <w:t>人员</w:t>
            </w:r>
          </w:p>
          <w:p w14:paraId="61E7F4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w:t>
            </w:r>
            <w:r>
              <w:rPr>
                <w:rFonts w:hint="eastAsia" w:ascii="宋体" w:hAnsi="宋体" w:eastAsia="宋体" w:cs="宋体"/>
                <w:color w:val="000000"/>
                <w:sz w:val="24"/>
                <w:szCs w:val="24"/>
                <w:highlight w:val="none"/>
                <w:lang w:val="en-US" w:eastAsia="zh-CN"/>
              </w:rPr>
              <w:t>历</w:t>
            </w:r>
          </w:p>
        </w:tc>
        <w:tc>
          <w:tcPr>
            <w:tcW w:w="5862" w:type="dxa"/>
            <w:tcBorders>
              <w:top w:val="single" w:color="auto" w:sz="4" w:space="0"/>
              <w:left w:val="single" w:color="auto" w:sz="4" w:space="0"/>
              <w:right w:val="single" w:color="auto" w:sz="4" w:space="0"/>
            </w:tcBorders>
            <w:noWrap w:val="0"/>
            <w:vAlign w:val="center"/>
          </w:tcPr>
          <w:p w14:paraId="0FF5FAE8">
            <w:pPr>
              <w:pStyle w:val="1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lang w:val="en-US" w:eastAsia="zh-CN" w:bidi="ar"/>
              </w:rPr>
              <w:t>1.</w:t>
            </w:r>
            <w:r>
              <w:rPr>
                <w:rFonts w:hint="eastAsia" w:ascii="宋体" w:hAnsi="宋体" w:eastAsia="宋体" w:cs="宋体"/>
                <w:b/>
                <w:bCs/>
                <w:i w:val="0"/>
                <w:color w:val="000000"/>
                <w:kern w:val="0"/>
                <w:sz w:val="24"/>
                <w:szCs w:val="24"/>
                <w:highlight w:val="none"/>
                <w:u w:val="none"/>
                <w:lang w:val="en-US" w:eastAsia="zh-CN" w:bidi="ar"/>
              </w:rPr>
              <w:t>项目负责人：</w:t>
            </w:r>
          </w:p>
          <w:p w14:paraId="727FFBC6">
            <w:pPr>
              <w:pStyle w:val="1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（1）具有四级律师职称的得</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分，具有三级及以上律师职称的得</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分，其余不得分。</w:t>
            </w:r>
            <w:r>
              <w:rPr>
                <w:rFonts w:hint="eastAsia" w:ascii="宋体" w:hAnsi="宋体" w:eastAsia="宋体" w:cs="宋体"/>
                <w:b/>
                <w:bCs/>
                <w:i w:val="0"/>
                <w:color w:val="000000"/>
                <w:kern w:val="0"/>
                <w:sz w:val="24"/>
                <w:szCs w:val="24"/>
                <w:highlight w:val="none"/>
                <w:u w:val="none"/>
                <w:lang w:val="en-US" w:eastAsia="zh-CN" w:bidi="ar"/>
              </w:rPr>
              <w:t>（0-</w:t>
            </w:r>
            <w:r>
              <w:rPr>
                <w:rFonts w:hint="eastAsia" w:ascii="宋体" w:hAnsi="宋体" w:cs="宋体"/>
                <w:b/>
                <w:bCs/>
                <w:i w:val="0"/>
                <w:color w:val="000000"/>
                <w:kern w:val="0"/>
                <w:sz w:val="24"/>
                <w:szCs w:val="24"/>
                <w:highlight w:val="none"/>
                <w:u w:val="none"/>
                <w:lang w:val="en-US" w:eastAsia="zh-CN" w:bidi="ar"/>
              </w:rPr>
              <w:t>3</w:t>
            </w:r>
            <w:r>
              <w:rPr>
                <w:rFonts w:hint="eastAsia" w:ascii="宋体" w:hAnsi="宋体" w:eastAsia="宋体" w:cs="宋体"/>
                <w:b/>
                <w:bCs/>
                <w:i w:val="0"/>
                <w:color w:val="000000"/>
                <w:kern w:val="0"/>
                <w:sz w:val="24"/>
                <w:szCs w:val="24"/>
                <w:highlight w:val="none"/>
                <w:u w:val="none"/>
                <w:lang w:val="en-US" w:eastAsia="zh-CN" w:bidi="ar"/>
              </w:rPr>
              <w:t>分）</w:t>
            </w:r>
          </w:p>
          <w:p w14:paraId="557D9394">
            <w:pPr>
              <w:pStyle w:val="1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（2）项目负责人执业年限15年（含）-20年（不含）的得2分，执业年限20年（含）-30年（不含）的得3分，执业年限30年（含）以上的得5分，其余不得分。</w:t>
            </w:r>
            <w:r>
              <w:rPr>
                <w:rFonts w:hint="eastAsia" w:ascii="宋体" w:hAnsi="宋体" w:eastAsia="宋体" w:cs="宋体"/>
                <w:b/>
                <w:bCs/>
                <w:i w:val="0"/>
                <w:color w:val="000000"/>
                <w:kern w:val="0"/>
                <w:sz w:val="24"/>
                <w:szCs w:val="24"/>
                <w:highlight w:val="none"/>
                <w:u w:val="none"/>
                <w:lang w:val="en-US" w:eastAsia="zh-CN" w:bidi="ar"/>
              </w:rPr>
              <w:t>（0-5分）</w:t>
            </w:r>
          </w:p>
          <w:p w14:paraId="27AC27C7">
            <w:pPr>
              <w:pStyle w:val="1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bCs/>
                <w:strike w:val="0"/>
                <w:dstrike w:val="0"/>
                <w:color w:val="000000"/>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（3）项目负责人</w:t>
            </w:r>
            <w:r>
              <w:rPr>
                <w:rFonts w:hint="eastAsia" w:ascii="宋体" w:hAnsi="宋体" w:eastAsia="宋体" w:cs="宋体"/>
                <w:color w:val="000000"/>
                <w:sz w:val="24"/>
                <w:szCs w:val="24"/>
                <w:highlight w:val="none"/>
                <w:lang w:val="en-US" w:eastAsia="zh-CN"/>
              </w:rPr>
              <w:t>自2019年1月1日（时间以诉讼或仲裁裁判文书落款时间为准）以来完成过类似项目诉讼或仲裁事项专项法律服务</w:t>
            </w:r>
            <w:r>
              <w:rPr>
                <w:rFonts w:hint="eastAsia" w:ascii="宋体" w:hAnsi="宋体" w:eastAsia="宋体" w:cs="宋体"/>
                <w:strike w:val="0"/>
                <w:dstrike w:val="0"/>
                <w:color w:val="000000"/>
                <w:sz w:val="24"/>
                <w:szCs w:val="24"/>
                <w:highlight w:val="none"/>
                <w:lang w:val="en-US" w:eastAsia="zh-CN"/>
              </w:rPr>
              <w:t>案例的每个得2分，本项最高得2分。</w:t>
            </w:r>
            <w:r>
              <w:rPr>
                <w:rFonts w:hint="eastAsia" w:ascii="宋体" w:hAnsi="宋体" w:eastAsia="宋体" w:cs="宋体"/>
                <w:b/>
                <w:bCs/>
                <w:strike w:val="0"/>
                <w:dstrike w:val="0"/>
                <w:color w:val="000000"/>
                <w:sz w:val="24"/>
                <w:szCs w:val="24"/>
                <w:highlight w:val="none"/>
                <w:lang w:val="en-US" w:eastAsia="zh-CN"/>
              </w:rPr>
              <w:t>（0-2分）</w:t>
            </w:r>
          </w:p>
          <w:p w14:paraId="59B358A3">
            <w:pPr>
              <w:pStyle w:val="6"/>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trike w:val="0"/>
                <w:dstrike w:val="0"/>
                <w:color w:val="000000"/>
                <w:sz w:val="24"/>
                <w:szCs w:val="24"/>
                <w:highlight w:val="none"/>
                <w:lang w:val="en-US" w:eastAsia="zh-CN"/>
              </w:rPr>
              <w:t>注：1、</w:t>
            </w:r>
            <w:r>
              <w:rPr>
                <w:rFonts w:hint="eastAsia" w:ascii="宋体" w:hAnsi="宋体" w:eastAsia="宋体" w:cs="宋体"/>
                <w:b/>
                <w:color w:val="000000"/>
                <w:sz w:val="24"/>
                <w:szCs w:val="24"/>
                <w:highlight w:val="none"/>
                <w:lang w:val="en-US" w:eastAsia="zh-CN"/>
              </w:rPr>
              <w:t>以上需提供人员职称证书（或文件）、</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AC7C13D">
            <w:pPr>
              <w:pStyle w:val="16"/>
              <w:keepNext w:val="0"/>
              <w:keepLines w:val="0"/>
              <w:pageBreakBefore w:val="0"/>
              <w:widowControl w:val="0"/>
              <w:kinsoku/>
              <w:overflowPunct/>
              <w:topLinePunct w:val="0"/>
              <w:bidi w:val="0"/>
              <w:spacing w:line="38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highlight w:val="none"/>
                <w:lang w:val="en-US" w:eastAsia="zh-CN"/>
              </w:rPr>
              <w:t>1</w:t>
            </w:r>
            <w:r>
              <w:rPr>
                <w:rFonts w:hint="eastAsia" w:ascii="宋体" w:eastAsia="宋体" w:cs="宋体"/>
                <w:color w:val="auto"/>
                <w:sz w:val="24"/>
                <w:szCs w:val="24"/>
                <w:highlight w:val="none"/>
                <w:lang w:val="en-US" w:eastAsia="zh-CN"/>
              </w:rPr>
              <w:t>0</w:t>
            </w:r>
            <w:r>
              <w:rPr>
                <w:rFonts w:hint="eastAsia" w:ascii="宋体" w:hAnsi="宋体" w:eastAsia="宋体" w:cs="宋体"/>
                <w:color w:val="auto"/>
                <w:sz w:val="24"/>
                <w:szCs w:val="24"/>
              </w:rPr>
              <w:t>分</w:t>
            </w:r>
          </w:p>
        </w:tc>
      </w:tr>
      <w:tr w14:paraId="2412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1" w:hRule="atLeast"/>
          <w:jc w:val="center"/>
        </w:trPr>
        <w:tc>
          <w:tcPr>
            <w:tcW w:w="828" w:type="dxa"/>
            <w:vMerge w:val="restart"/>
            <w:tcBorders>
              <w:top w:val="single" w:color="auto" w:sz="4" w:space="0"/>
              <w:left w:val="single" w:color="auto" w:sz="4" w:space="0"/>
              <w:right w:val="single" w:color="auto" w:sz="4" w:space="0"/>
            </w:tcBorders>
            <w:noWrap w:val="0"/>
            <w:vAlign w:val="center"/>
          </w:tcPr>
          <w:p w14:paraId="1B923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tc>
        <w:tc>
          <w:tcPr>
            <w:tcW w:w="1800" w:type="dxa"/>
            <w:vMerge w:val="restart"/>
            <w:tcBorders>
              <w:top w:val="single" w:color="auto" w:sz="4" w:space="0"/>
              <w:left w:val="single" w:color="auto" w:sz="4" w:space="0"/>
              <w:right w:val="single" w:color="auto" w:sz="4" w:space="0"/>
            </w:tcBorders>
            <w:noWrap w:val="0"/>
            <w:vAlign w:val="center"/>
          </w:tcPr>
          <w:p w14:paraId="4975E5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val="en-US" w:eastAsia="zh-CN"/>
              </w:rPr>
            </w:pPr>
          </w:p>
        </w:tc>
        <w:tc>
          <w:tcPr>
            <w:tcW w:w="5862" w:type="dxa"/>
            <w:tcBorders>
              <w:top w:val="single" w:color="auto" w:sz="4" w:space="0"/>
              <w:left w:val="single" w:color="auto" w:sz="4" w:space="0"/>
              <w:bottom w:val="single" w:color="auto" w:sz="4" w:space="0"/>
              <w:right w:val="single" w:color="auto" w:sz="4" w:space="0"/>
            </w:tcBorders>
            <w:noWrap w:val="0"/>
            <w:vAlign w:val="center"/>
          </w:tcPr>
          <w:p w14:paraId="5734E3E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律师执业证书扫描件；2、法律服务合同及诉讼或仲裁裁判文书原件扫描件，如诉讼或仲裁裁判文书不能体现项目负责人姓名的，不得分。以上未按要求提供不得分。</w:t>
            </w:r>
          </w:p>
          <w:p w14:paraId="711DC9D5">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b/>
                <w:color w:val="000000"/>
                <w:kern w:val="2"/>
                <w:sz w:val="24"/>
                <w:szCs w:val="24"/>
                <w:highlight w:val="none"/>
                <w:lang w:val="en-US" w:eastAsia="zh-CN" w:bidi="ar-SA"/>
              </w:rPr>
              <w:t>说明：执业年限计算从获取执业证书当年起算至开标截止日。</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8241685">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p>
        </w:tc>
      </w:tr>
      <w:tr w14:paraId="01948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3B5A39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p>
        </w:tc>
        <w:tc>
          <w:tcPr>
            <w:tcW w:w="1800" w:type="dxa"/>
            <w:vMerge w:val="continue"/>
            <w:tcBorders>
              <w:left w:val="single" w:color="auto" w:sz="4" w:space="0"/>
              <w:bottom w:val="single" w:color="auto" w:sz="4" w:space="0"/>
              <w:right w:val="single" w:color="auto" w:sz="4" w:space="0"/>
            </w:tcBorders>
            <w:noWrap w:val="0"/>
            <w:vAlign w:val="center"/>
          </w:tcPr>
          <w:p w14:paraId="45199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5862" w:type="dxa"/>
            <w:tcBorders>
              <w:top w:val="single" w:color="auto" w:sz="4" w:space="0"/>
              <w:left w:val="single" w:color="auto" w:sz="4" w:space="0"/>
              <w:bottom w:val="single" w:color="auto" w:sz="4" w:space="0"/>
              <w:right w:val="single" w:color="auto" w:sz="4" w:space="0"/>
            </w:tcBorders>
            <w:noWrap w:val="0"/>
            <w:vAlign w:val="center"/>
          </w:tcPr>
          <w:p w14:paraId="0DA276B4">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lang w:val="en-US" w:eastAsia="zh-CN" w:bidi="ar"/>
              </w:rPr>
              <w:t>2.</w:t>
            </w:r>
            <w:r>
              <w:rPr>
                <w:rFonts w:hint="eastAsia" w:ascii="宋体" w:hAnsi="宋体" w:eastAsia="宋体" w:cs="宋体"/>
                <w:b/>
                <w:bCs/>
                <w:color w:val="000000"/>
                <w:sz w:val="24"/>
                <w:szCs w:val="24"/>
                <w:highlight w:val="none"/>
                <w:lang w:val="en-US" w:eastAsia="zh-CN"/>
              </w:rPr>
              <w:t>拟派</w:t>
            </w:r>
            <w:r>
              <w:rPr>
                <w:rFonts w:hint="eastAsia" w:ascii="宋体" w:hAnsi="宋体" w:eastAsia="宋体" w:cs="宋体"/>
                <w:b/>
                <w:bCs/>
                <w:color w:val="000000"/>
                <w:sz w:val="24"/>
                <w:szCs w:val="24"/>
                <w:highlight w:val="none"/>
                <w:lang w:eastAsia="zh-CN"/>
              </w:rPr>
              <w:t>团队</w:t>
            </w:r>
            <w:r>
              <w:rPr>
                <w:rFonts w:hint="eastAsia" w:ascii="宋体" w:hAnsi="宋体" w:eastAsia="宋体" w:cs="宋体"/>
                <w:b/>
                <w:bCs/>
                <w:color w:val="000000"/>
                <w:sz w:val="24"/>
                <w:szCs w:val="24"/>
                <w:highlight w:val="none"/>
              </w:rPr>
              <w:t>人员</w:t>
            </w:r>
            <w:r>
              <w:rPr>
                <w:rFonts w:hint="eastAsia" w:ascii="宋体" w:hAnsi="宋体" w:eastAsia="宋体" w:cs="宋体"/>
                <w:b/>
                <w:bCs/>
                <w:color w:val="000000"/>
                <w:sz w:val="24"/>
                <w:szCs w:val="24"/>
                <w:highlight w:val="none"/>
                <w:lang w:eastAsia="zh-CN"/>
              </w:rPr>
              <w:t>（除</w:t>
            </w:r>
            <w:r>
              <w:rPr>
                <w:rFonts w:hint="eastAsia" w:ascii="宋体" w:hAnsi="宋体" w:eastAsia="宋体" w:cs="宋体"/>
                <w:b/>
                <w:bCs/>
                <w:color w:val="000000"/>
                <w:sz w:val="24"/>
                <w:szCs w:val="24"/>
                <w:highlight w:val="none"/>
                <w:lang w:val="en-US" w:eastAsia="zh-CN"/>
              </w:rPr>
              <w:t>项</w:t>
            </w:r>
            <w:r>
              <w:rPr>
                <w:rFonts w:hint="eastAsia" w:ascii="宋体" w:hAnsi="宋体" w:eastAsia="宋体" w:cs="宋体"/>
                <w:b/>
                <w:bCs/>
                <w:i w:val="0"/>
                <w:color w:val="000000"/>
                <w:kern w:val="0"/>
                <w:sz w:val="24"/>
                <w:szCs w:val="24"/>
                <w:highlight w:val="none"/>
                <w:u w:val="none"/>
                <w:lang w:val="en-US" w:eastAsia="zh-CN" w:bidi="ar"/>
              </w:rPr>
              <w:t>目负责人外）：</w:t>
            </w:r>
          </w:p>
          <w:p w14:paraId="4EEE486B">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（1）具有四级律师职称的每个得1分，具有三级</w:t>
            </w:r>
            <w:r>
              <w:rPr>
                <w:rFonts w:hint="eastAsia" w:ascii="宋体" w:hAnsi="宋体" w:cs="宋体"/>
                <w:i w:val="0"/>
                <w:color w:val="000000"/>
                <w:kern w:val="0"/>
                <w:sz w:val="24"/>
                <w:szCs w:val="24"/>
                <w:highlight w:val="none"/>
                <w:u w:val="none"/>
                <w:lang w:val="en-US" w:eastAsia="zh-CN" w:bidi="ar"/>
              </w:rPr>
              <w:t>及以上</w:t>
            </w:r>
            <w:r>
              <w:rPr>
                <w:rFonts w:hint="eastAsia" w:ascii="宋体" w:hAnsi="宋体" w:eastAsia="宋体" w:cs="宋体"/>
                <w:i w:val="0"/>
                <w:color w:val="000000"/>
                <w:kern w:val="0"/>
                <w:sz w:val="24"/>
                <w:szCs w:val="24"/>
                <w:highlight w:val="none"/>
                <w:u w:val="none"/>
                <w:lang w:val="en-US" w:eastAsia="zh-CN" w:bidi="ar"/>
              </w:rPr>
              <w:t>律师职称的每个得</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分，本项最高得</w:t>
            </w:r>
            <w:r>
              <w:rPr>
                <w:rFonts w:hint="eastAsia" w:ascii="宋体" w:hAnsi="宋体" w:cs="宋体"/>
                <w:i w:val="0"/>
                <w:color w:val="000000"/>
                <w:kern w:val="0"/>
                <w:sz w:val="24"/>
                <w:szCs w:val="24"/>
                <w:highlight w:val="none"/>
                <w:u w:val="none"/>
                <w:lang w:val="en-US" w:eastAsia="zh-CN" w:bidi="ar"/>
              </w:rPr>
              <w:t>9</w:t>
            </w:r>
            <w:r>
              <w:rPr>
                <w:rFonts w:hint="eastAsia" w:ascii="宋体" w:hAnsi="宋体" w:eastAsia="宋体" w:cs="宋体"/>
                <w:i w:val="0"/>
                <w:color w:val="000000"/>
                <w:kern w:val="0"/>
                <w:sz w:val="24"/>
                <w:szCs w:val="24"/>
                <w:highlight w:val="none"/>
                <w:u w:val="none"/>
                <w:lang w:val="en-US" w:eastAsia="zh-CN" w:bidi="ar"/>
              </w:rPr>
              <w:t>分。</w:t>
            </w:r>
            <w:r>
              <w:rPr>
                <w:rFonts w:hint="eastAsia" w:ascii="宋体" w:hAnsi="宋体" w:eastAsia="宋体" w:cs="宋体"/>
                <w:b/>
                <w:bCs/>
                <w:i w:val="0"/>
                <w:color w:val="000000"/>
                <w:kern w:val="0"/>
                <w:sz w:val="24"/>
                <w:szCs w:val="24"/>
                <w:highlight w:val="none"/>
                <w:u w:val="none"/>
                <w:lang w:val="en-US" w:eastAsia="zh-CN" w:bidi="ar"/>
              </w:rPr>
              <w:t>（0-</w:t>
            </w:r>
            <w:r>
              <w:rPr>
                <w:rFonts w:hint="eastAsia" w:ascii="宋体" w:hAnsi="宋体" w:cs="宋体"/>
                <w:b/>
                <w:bCs/>
                <w:i w:val="0"/>
                <w:color w:val="000000"/>
                <w:kern w:val="0"/>
                <w:sz w:val="24"/>
                <w:szCs w:val="24"/>
                <w:highlight w:val="none"/>
                <w:u w:val="none"/>
                <w:lang w:val="en-US" w:eastAsia="zh-CN" w:bidi="ar"/>
              </w:rPr>
              <w:t>9</w:t>
            </w:r>
            <w:r>
              <w:rPr>
                <w:rFonts w:hint="eastAsia" w:ascii="宋体" w:hAnsi="宋体" w:eastAsia="宋体" w:cs="宋体"/>
                <w:b/>
                <w:bCs/>
                <w:i w:val="0"/>
                <w:color w:val="000000"/>
                <w:kern w:val="0"/>
                <w:sz w:val="24"/>
                <w:szCs w:val="24"/>
                <w:highlight w:val="none"/>
                <w:u w:val="none"/>
                <w:lang w:val="en-US" w:eastAsia="zh-CN" w:bidi="ar"/>
              </w:rPr>
              <w:t>分）</w:t>
            </w:r>
          </w:p>
          <w:p w14:paraId="2D67CA2A">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2）拟派团队人员（除项目负责人外）执业年限在4年（含）-5年（不含）的得1分，执业年限在5年（含）以上的得2分，否则不得分。</w:t>
            </w:r>
            <w:r>
              <w:rPr>
                <w:rFonts w:hint="eastAsia" w:ascii="宋体" w:hAnsi="宋体" w:cs="宋体"/>
                <w:color w:val="000000"/>
                <w:sz w:val="24"/>
                <w:szCs w:val="24"/>
                <w:highlight w:val="none"/>
                <w:lang w:val="en-US" w:eastAsia="zh-CN"/>
              </w:rPr>
              <w:t>本项最高得2分。</w:t>
            </w:r>
            <w:r>
              <w:rPr>
                <w:rFonts w:hint="eastAsia" w:ascii="宋体" w:hAnsi="宋体" w:eastAsia="宋体" w:cs="宋体"/>
                <w:b/>
                <w:bCs/>
                <w:color w:val="000000"/>
                <w:sz w:val="24"/>
                <w:szCs w:val="24"/>
                <w:highlight w:val="none"/>
                <w:lang w:val="en-US" w:eastAsia="zh-CN"/>
              </w:rPr>
              <w:t>（0-2分）</w:t>
            </w:r>
          </w:p>
          <w:p w14:paraId="6E39063F">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（3）自2019年1月1日以来（时间以合同签订时间为准）拟派团队人员（除项目负责人外）中担任过年度法律顾问的每人得2分，本项最高得2分。</w:t>
            </w:r>
            <w:r>
              <w:rPr>
                <w:rFonts w:hint="eastAsia" w:ascii="宋体" w:hAnsi="宋体" w:eastAsia="宋体" w:cs="宋体"/>
                <w:b/>
                <w:bCs/>
                <w:color w:val="000000"/>
                <w:sz w:val="24"/>
                <w:szCs w:val="24"/>
                <w:highlight w:val="none"/>
                <w:lang w:val="en-US" w:eastAsia="zh-CN"/>
              </w:rPr>
              <w:t>（0-2分）</w:t>
            </w:r>
          </w:p>
          <w:p w14:paraId="5B19D39B">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注：1、</w:t>
            </w:r>
            <w:r>
              <w:rPr>
                <w:rFonts w:hint="eastAsia" w:ascii="宋体" w:hAnsi="宋体" w:eastAsia="宋体" w:cs="宋体"/>
                <w:b/>
                <w:color w:val="000000"/>
                <w:sz w:val="24"/>
                <w:szCs w:val="24"/>
                <w:highlight w:val="none"/>
                <w:lang w:val="en-US" w:eastAsia="zh-CN"/>
              </w:rPr>
              <w:t>以上需提供人员职称证书（或文件）、律师执业证书扫描件；2、年度法律顾问合同原件扫描件，如合同中不能体现团队人员姓名的，不得分。</w:t>
            </w:r>
          </w:p>
          <w:p w14:paraId="281031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未按要求提供不得分。</w:t>
            </w:r>
          </w:p>
          <w:p w14:paraId="79F582AE">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说明：执业年限计算从获取执业证书当年起算至开标截止日。</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D5691ED">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776F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59F5E41">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p>
        </w:tc>
        <w:tc>
          <w:tcPr>
            <w:tcW w:w="7662" w:type="dxa"/>
            <w:gridSpan w:val="2"/>
            <w:tcBorders>
              <w:top w:val="single" w:color="auto" w:sz="4" w:space="0"/>
              <w:left w:val="single" w:color="auto" w:sz="4" w:space="0"/>
              <w:bottom w:val="single" w:color="auto" w:sz="4" w:space="0"/>
              <w:right w:val="single" w:color="auto" w:sz="4" w:space="0"/>
            </w:tcBorders>
            <w:noWrap w:val="0"/>
            <w:vAlign w:val="center"/>
          </w:tcPr>
          <w:p w14:paraId="68C413BB">
            <w:pPr>
              <w:pStyle w:val="16"/>
              <w:keepNext w:val="0"/>
              <w:keepLines w:val="0"/>
              <w:pageBreakBefore w:val="0"/>
              <w:widowControl w:val="0"/>
              <w:kinsoku/>
              <w:wordWrap/>
              <w:overflowPunct/>
              <w:topLinePunct w:val="0"/>
              <w:autoSpaceDE/>
              <w:autoSpaceDN/>
              <w:bidi w:val="0"/>
              <w:adjustRightInd/>
              <w:snapToGrid/>
              <w:spacing w:line="360" w:lineRule="exact"/>
              <w:ind w:firstLine="45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D299233">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6</w:t>
            </w:r>
            <w:r>
              <w:rPr>
                <w:rFonts w:hint="eastAsia" w:asci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r>
      <w:tr w14:paraId="191D3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56C5D78">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kern w:val="2"/>
                <w:sz w:val="24"/>
                <w:szCs w:val="24"/>
                <w:lang w:val="en-US" w:eastAsia="zh-CN" w:bidi="ar-SA"/>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FB1D1FF">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项目认识</w:t>
            </w:r>
          </w:p>
          <w:p w14:paraId="505D10B3">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lang w:val="en-US" w:eastAsia="zh-CN"/>
              </w:rPr>
              <w:t>和理解</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0F259B94">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根据</w:t>
            </w:r>
            <w:r>
              <w:rPr>
                <w:rFonts w:hint="eastAsia" w:ascii="宋体" w:hAnsi="宋体" w:eastAsia="宋体" w:cs="宋体"/>
                <w:b w:val="0"/>
                <w:bCs w:val="0"/>
                <w:color w:val="000000"/>
                <w:sz w:val="24"/>
                <w:szCs w:val="24"/>
                <w:lang w:val="en-US" w:eastAsia="zh-CN"/>
              </w:rPr>
              <w:t>供应商对本项目的需求理解是否全面深入，对服务要求、工作方向等理解分析描述是否准确等进行综合评议：</w:t>
            </w:r>
          </w:p>
          <w:p w14:paraId="0B4637A0">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对于项目需求的理解全面充分，服务整体思路清晰、准确到位的得6-8分；</w:t>
            </w:r>
          </w:p>
          <w:p w14:paraId="6E172F2E">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对于项目需求理解较完整，服务整体思路较明晰、准确的得3-6分；</w:t>
            </w:r>
          </w:p>
          <w:p w14:paraId="7AF0B39E">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lang w:val="en-US" w:eastAsia="zh-CN"/>
              </w:rPr>
              <w:t>对于项目需求理解简单片面、未能充分理解采购人意图的得0-3分；不提供不得分。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252D8BA">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0-8分</w:t>
            </w:r>
          </w:p>
        </w:tc>
      </w:tr>
      <w:tr w14:paraId="4C373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jc w:val="center"/>
        </w:trPr>
        <w:tc>
          <w:tcPr>
            <w:tcW w:w="828" w:type="dxa"/>
            <w:vMerge w:val="restart"/>
            <w:tcBorders>
              <w:top w:val="single" w:color="auto" w:sz="4" w:space="0"/>
              <w:left w:val="single" w:color="auto" w:sz="4" w:space="0"/>
              <w:right w:val="single" w:color="auto" w:sz="4" w:space="0"/>
            </w:tcBorders>
            <w:noWrap w:val="0"/>
            <w:vAlign w:val="center"/>
          </w:tcPr>
          <w:p w14:paraId="62B8840D">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1800" w:type="dxa"/>
            <w:vMerge w:val="restart"/>
            <w:tcBorders>
              <w:top w:val="single" w:color="auto" w:sz="4" w:space="0"/>
              <w:left w:val="single" w:color="auto" w:sz="4" w:space="0"/>
              <w:right w:val="single" w:color="auto" w:sz="4" w:space="0"/>
            </w:tcBorders>
            <w:noWrap w:val="0"/>
            <w:vAlign w:val="center"/>
          </w:tcPr>
          <w:p w14:paraId="5DC55C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服务实施</w:t>
            </w:r>
          </w:p>
          <w:p w14:paraId="7BA79758">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zh-CN" w:eastAsia="zh-CN"/>
              </w:rPr>
              <w:t>方案</w:t>
            </w:r>
          </w:p>
        </w:tc>
        <w:tc>
          <w:tcPr>
            <w:tcW w:w="5862" w:type="dxa"/>
            <w:tcBorders>
              <w:top w:val="single" w:color="auto" w:sz="4" w:space="0"/>
              <w:left w:val="single" w:color="auto" w:sz="4" w:space="0"/>
              <w:bottom w:val="single" w:color="auto" w:sz="4" w:space="0"/>
              <w:right w:val="single" w:color="auto" w:sz="4" w:space="0"/>
            </w:tcBorders>
            <w:noWrap w:val="0"/>
            <w:vAlign w:val="center"/>
          </w:tcPr>
          <w:p w14:paraId="6F3A9897">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根据供应商为本项目提供法律服务的具体工作内容、具体工作计划、安排方案等针对性、可行性、匹配性进行综合评议：</w:t>
            </w:r>
          </w:p>
          <w:p w14:paraId="115FC51C">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针对性、可行性、匹配性好的得8-10分；针对性、可行性、匹配性较好的得6-8分；针对性、可行性、匹配性一般的得2-6分；其余较差的得0-2分。不提供不得分。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69EBA5E">
            <w:pPr>
              <w:pStyle w:val="16"/>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0-10分</w:t>
            </w:r>
          </w:p>
        </w:tc>
      </w:tr>
      <w:tr w14:paraId="1E901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24E481C5">
            <w:pPr>
              <w:pStyle w:val="16"/>
              <w:keepNext w:val="0"/>
              <w:keepLines w:val="0"/>
              <w:pageBreakBefore w:val="0"/>
              <w:widowControl w:val="0"/>
              <w:kinsoku/>
              <w:overflowPunct/>
              <w:topLinePunct w:val="0"/>
              <w:bidi w:val="0"/>
              <w:spacing w:line="380" w:lineRule="exact"/>
              <w:ind w:left="0" w:leftChars="0"/>
              <w:jc w:val="center"/>
              <w:textAlignment w:val="auto"/>
              <w:rPr>
                <w:rFonts w:hint="eastAsia" w:ascii="宋体" w:hAnsi="宋体" w:eastAsia="宋体" w:cs="宋体"/>
                <w:color w:val="auto"/>
                <w:kern w:val="2"/>
                <w:sz w:val="24"/>
                <w:szCs w:val="24"/>
                <w:lang w:val="en-US" w:eastAsia="zh-CN" w:bidi="ar-SA"/>
              </w:rPr>
            </w:pPr>
          </w:p>
        </w:tc>
        <w:tc>
          <w:tcPr>
            <w:tcW w:w="1800" w:type="dxa"/>
            <w:vMerge w:val="continue"/>
            <w:tcBorders>
              <w:left w:val="single" w:color="auto" w:sz="4" w:space="0"/>
              <w:bottom w:val="single" w:color="auto" w:sz="4" w:space="0"/>
              <w:right w:val="single" w:color="auto" w:sz="4" w:space="0"/>
            </w:tcBorders>
            <w:noWrap w:val="0"/>
            <w:vAlign w:val="center"/>
          </w:tcPr>
          <w:p w14:paraId="22737D30">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000000"/>
                <w:sz w:val="24"/>
                <w:szCs w:val="24"/>
                <w:lang w:val="en-US" w:eastAsia="zh-CN"/>
              </w:rPr>
            </w:pPr>
          </w:p>
        </w:tc>
        <w:tc>
          <w:tcPr>
            <w:tcW w:w="5862" w:type="dxa"/>
            <w:tcBorders>
              <w:top w:val="single" w:color="auto" w:sz="4" w:space="0"/>
              <w:left w:val="single" w:color="auto" w:sz="4" w:space="0"/>
              <w:bottom w:val="single" w:color="auto" w:sz="4" w:space="0"/>
              <w:right w:val="single" w:color="auto" w:sz="4" w:space="0"/>
            </w:tcBorders>
            <w:noWrap w:val="0"/>
            <w:vAlign w:val="center"/>
          </w:tcPr>
          <w:p w14:paraId="4F978D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zh-CN" w:eastAsia="zh-CN"/>
              </w:rPr>
              <w:t>根据供应商提供的</w:t>
            </w:r>
            <w:r>
              <w:rPr>
                <w:rFonts w:hint="eastAsia" w:ascii="宋体" w:hAnsi="宋体" w:eastAsia="宋体" w:cs="宋体"/>
                <w:b w:val="0"/>
                <w:bCs w:val="0"/>
                <w:color w:val="000000"/>
                <w:kern w:val="0"/>
                <w:sz w:val="24"/>
                <w:szCs w:val="24"/>
                <w:highlight w:val="none"/>
                <w:lang w:val="en-US" w:eastAsia="zh-CN"/>
              </w:rPr>
              <w:t>本项目法律服务相关重点、难点问题分析是否准确、透彻</w:t>
            </w:r>
            <w:r>
              <w:rPr>
                <w:rFonts w:hint="eastAsia" w:ascii="宋体" w:hAnsi="宋体" w:eastAsia="宋体" w:cs="宋体"/>
                <w:b w:val="0"/>
                <w:bCs w:val="0"/>
                <w:color w:val="000000"/>
                <w:kern w:val="0"/>
                <w:sz w:val="24"/>
                <w:szCs w:val="24"/>
                <w:highlight w:val="none"/>
                <w:lang w:eastAsia="zh-CN"/>
              </w:rPr>
              <w:t>进行综合评</w:t>
            </w:r>
            <w:r>
              <w:rPr>
                <w:rFonts w:hint="eastAsia" w:ascii="宋体" w:hAnsi="宋体" w:eastAsia="宋体" w:cs="宋体"/>
                <w:b w:val="0"/>
                <w:bCs w:val="0"/>
                <w:color w:val="000000"/>
                <w:kern w:val="0"/>
                <w:sz w:val="24"/>
                <w:szCs w:val="24"/>
                <w:highlight w:val="none"/>
                <w:lang w:val="en-US" w:eastAsia="zh-CN"/>
              </w:rPr>
              <w:t>议：</w:t>
            </w:r>
          </w:p>
          <w:p w14:paraId="2E31046A">
            <w:pPr>
              <w:pStyle w:val="1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highlight w:val="none"/>
                <w:lang w:val="en-US" w:eastAsia="zh-CN"/>
              </w:rPr>
              <w:t>对法律服务</w:t>
            </w:r>
            <w:r>
              <w:rPr>
                <w:rFonts w:hint="eastAsia" w:ascii="宋体" w:hAnsi="宋体" w:eastAsia="宋体" w:cs="宋体"/>
                <w:b w:val="0"/>
                <w:bCs w:val="0"/>
                <w:color w:val="000000"/>
                <w:sz w:val="24"/>
                <w:szCs w:val="24"/>
                <w:highlight w:val="none"/>
                <w:lang w:val="en-US" w:eastAsia="zh-CN"/>
              </w:rPr>
              <w:t>相关重点、难点问题</w:t>
            </w:r>
            <w:r>
              <w:rPr>
                <w:rFonts w:hint="eastAsia" w:ascii="宋体" w:hAnsi="宋体" w:eastAsia="宋体" w:cs="宋体"/>
                <w:b w:val="0"/>
                <w:bCs w:val="0"/>
                <w:color w:val="000000"/>
                <w:sz w:val="24"/>
                <w:szCs w:val="24"/>
                <w:highlight w:val="none"/>
                <w:lang w:eastAsia="zh-CN"/>
              </w:rPr>
              <w:t>理解准确、透彻的</w:t>
            </w:r>
            <w:r>
              <w:rPr>
                <w:rFonts w:hint="eastAsia" w:ascii="宋体" w:hAnsi="宋体" w:eastAsia="宋体" w:cs="宋体"/>
                <w:b w:val="0"/>
                <w:bCs w:val="0"/>
                <w:color w:val="000000"/>
                <w:sz w:val="24"/>
                <w:szCs w:val="24"/>
                <w:highlight w:val="none"/>
                <w:lang w:val="en-US" w:eastAsia="zh-CN"/>
              </w:rPr>
              <w:t>得8-10分；对相关重点、难点问题</w:t>
            </w:r>
            <w:r>
              <w:rPr>
                <w:rFonts w:hint="eastAsia" w:ascii="宋体" w:hAnsi="宋体" w:eastAsia="宋体" w:cs="宋体"/>
                <w:b w:val="0"/>
                <w:bCs w:val="0"/>
                <w:color w:val="000000"/>
                <w:sz w:val="24"/>
                <w:szCs w:val="24"/>
                <w:highlight w:val="none"/>
                <w:lang w:eastAsia="zh-CN"/>
              </w:rPr>
              <w:t>理解较准确、较透彻的</w:t>
            </w:r>
            <w:r>
              <w:rPr>
                <w:rFonts w:hint="eastAsia" w:ascii="宋体" w:hAnsi="宋体" w:eastAsia="宋体" w:cs="宋体"/>
                <w:b w:val="0"/>
                <w:bCs w:val="0"/>
                <w:color w:val="000000"/>
                <w:sz w:val="24"/>
                <w:szCs w:val="24"/>
                <w:highlight w:val="none"/>
                <w:lang w:val="en-US" w:eastAsia="zh-CN"/>
              </w:rPr>
              <w:t>得6-8分；对相关重点、难点问题理解一般、不够透彻的得2-6分，对相关重点、难点问题</w:t>
            </w:r>
            <w:r>
              <w:rPr>
                <w:rFonts w:hint="eastAsia" w:ascii="宋体" w:hAnsi="宋体" w:eastAsia="宋体" w:cs="宋体"/>
                <w:b w:val="0"/>
                <w:bCs w:val="0"/>
                <w:color w:val="000000"/>
                <w:sz w:val="24"/>
                <w:szCs w:val="24"/>
                <w:highlight w:val="none"/>
                <w:lang w:eastAsia="zh-CN"/>
              </w:rPr>
              <w:t>理解差、</w:t>
            </w:r>
            <w:r>
              <w:rPr>
                <w:rFonts w:hint="eastAsia" w:ascii="宋体" w:hAnsi="宋体" w:eastAsia="宋体" w:cs="宋体"/>
                <w:b w:val="0"/>
                <w:bCs w:val="0"/>
                <w:color w:val="000000"/>
                <w:sz w:val="24"/>
                <w:szCs w:val="24"/>
                <w:highlight w:val="none"/>
                <w:lang w:val="en-US" w:eastAsia="zh-CN"/>
              </w:rPr>
              <w:t>不在问题点上的得0-2分；不提供不得分。</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37A484F">
            <w:pPr>
              <w:pStyle w:val="16"/>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282AD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8" w:hRule="atLeast"/>
          <w:jc w:val="center"/>
        </w:trPr>
        <w:tc>
          <w:tcPr>
            <w:tcW w:w="828" w:type="dxa"/>
            <w:tcBorders>
              <w:top w:val="single" w:color="auto" w:sz="4" w:space="0"/>
              <w:left w:val="single" w:color="auto" w:sz="4" w:space="0"/>
              <w:right w:val="single" w:color="auto" w:sz="4" w:space="0"/>
            </w:tcBorders>
            <w:noWrap w:val="0"/>
            <w:vAlign w:val="center"/>
          </w:tcPr>
          <w:p w14:paraId="5239D7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00" w:type="dxa"/>
            <w:tcBorders>
              <w:top w:val="single" w:color="auto" w:sz="4" w:space="0"/>
              <w:left w:val="single" w:color="auto" w:sz="4" w:space="0"/>
              <w:right w:val="single" w:color="auto" w:sz="4" w:space="0"/>
            </w:tcBorders>
            <w:noWrap w:val="0"/>
            <w:vAlign w:val="center"/>
          </w:tcPr>
          <w:p w14:paraId="1E93797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eastAsia="zh-CN"/>
              </w:rPr>
              <w:t>管理制度</w:t>
            </w:r>
          </w:p>
        </w:tc>
        <w:tc>
          <w:tcPr>
            <w:tcW w:w="5862" w:type="dxa"/>
            <w:tcBorders>
              <w:top w:val="single" w:color="auto" w:sz="4" w:space="0"/>
              <w:left w:val="single" w:color="auto" w:sz="4" w:space="0"/>
              <w:right w:val="single" w:color="auto" w:sz="4" w:space="0"/>
            </w:tcBorders>
            <w:noWrap w:val="0"/>
            <w:vAlign w:val="center"/>
          </w:tcPr>
          <w:p w14:paraId="065446A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根据</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lang w:val="en-US" w:eastAsia="zh-CN"/>
              </w:rPr>
              <w:t>提供的内部管理制度，如人员管理制度、律所收费制度、</w:t>
            </w:r>
            <w:r>
              <w:rPr>
                <w:rFonts w:hint="eastAsia" w:ascii="宋体" w:hAnsi="宋体" w:eastAsia="宋体" w:cs="宋体"/>
                <w:b w:val="0"/>
                <w:bCs w:val="0"/>
                <w:color w:val="000000"/>
                <w:sz w:val="24"/>
                <w:szCs w:val="24"/>
                <w:highlight w:val="none"/>
                <w:lang w:eastAsia="zh-CN"/>
              </w:rPr>
              <w:t>案件讨论制度、</w:t>
            </w:r>
            <w:r>
              <w:rPr>
                <w:rFonts w:hint="eastAsia" w:ascii="宋体" w:hAnsi="宋体" w:eastAsia="宋体" w:cs="宋体"/>
                <w:b w:val="0"/>
                <w:bCs w:val="0"/>
                <w:color w:val="000000"/>
                <w:sz w:val="24"/>
                <w:szCs w:val="24"/>
                <w:highlight w:val="none"/>
                <w:lang w:val="en-US" w:eastAsia="zh-CN"/>
              </w:rPr>
              <w:t>执业利益冲突回避制度、</w:t>
            </w:r>
            <w:r>
              <w:rPr>
                <w:rFonts w:hint="eastAsia" w:ascii="宋体" w:hAnsi="宋体" w:eastAsia="宋体" w:cs="宋体"/>
                <w:b w:val="0"/>
                <w:bCs w:val="0"/>
                <w:color w:val="000000"/>
                <w:sz w:val="24"/>
                <w:szCs w:val="24"/>
                <w:highlight w:val="none"/>
                <w:lang w:eastAsia="zh-CN"/>
              </w:rPr>
              <w:t>收结案管理制度、档案管理制度、服务质量</w:t>
            </w:r>
            <w:r>
              <w:rPr>
                <w:rFonts w:hint="eastAsia" w:ascii="宋体" w:hAnsi="宋体" w:eastAsia="宋体" w:cs="宋体"/>
                <w:b w:val="0"/>
                <w:bCs w:val="0"/>
                <w:color w:val="000000"/>
                <w:sz w:val="24"/>
                <w:szCs w:val="24"/>
                <w:highlight w:val="none"/>
                <w:lang w:val="en-US" w:eastAsia="zh-CN"/>
              </w:rPr>
              <w:t>监督</w:t>
            </w:r>
            <w:r>
              <w:rPr>
                <w:rFonts w:hint="eastAsia" w:ascii="宋体" w:hAnsi="宋体" w:eastAsia="宋体" w:cs="宋体"/>
                <w:b w:val="0"/>
                <w:bCs w:val="0"/>
                <w:color w:val="000000"/>
                <w:sz w:val="24"/>
                <w:szCs w:val="24"/>
                <w:highlight w:val="none"/>
                <w:lang w:eastAsia="zh-CN"/>
              </w:rPr>
              <w:t>制度、投诉</w:t>
            </w:r>
            <w:r>
              <w:rPr>
                <w:rFonts w:hint="eastAsia" w:ascii="宋体" w:hAnsi="宋体" w:eastAsia="宋体" w:cs="宋体"/>
                <w:b w:val="0"/>
                <w:bCs w:val="0"/>
                <w:color w:val="000000"/>
                <w:sz w:val="24"/>
                <w:szCs w:val="24"/>
                <w:highlight w:val="none"/>
                <w:lang w:val="en-US" w:eastAsia="zh-CN"/>
              </w:rPr>
              <w:t>查处制度等</w:t>
            </w:r>
            <w:r>
              <w:rPr>
                <w:rFonts w:hint="eastAsia" w:ascii="宋体" w:hAnsi="宋体" w:eastAsia="宋体" w:cs="宋体"/>
                <w:b w:val="0"/>
                <w:bCs w:val="0"/>
                <w:color w:val="000000"/>
                <w:sz w:val="24"/>
                <w:szCs w:val="24"/>
                <w:highlight w:val="none"/>
                <w:lang w:eastAsia="zh-CN"/>
              </w:rPr>
              <w:t>的完整性、合理性进行综合评定。</w:t>
            </w:r>
          </w:p>
          <w:p w14:paraId="336FB0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供应商提供的</w:t>
            </w:r>
            <w:r>
              <w:rPr>
                <w:rFonts w:hint="eastAsia" w:ascii="宋体" w:hAnsi="宋体" w:eastAsia="宋体" w:cs="宋体"/>
                <w:b w:val="0"/>
                <w:bCs w:val="0"/>
                <w:color w:val="000000"/>
                <w:sz w:val="24"/>
                <w:szCs w:val="24"/>
                <w:highlight w:val="none"/>
                <w:lang w:eastAsia="zh-CN"/>
              </w:rPr>
              <w:t>管理制度完整、合理</w:t>
            </w:r>
            <w:r>
              <w:rPr>
                <w:rFonts w:hint="eastAsia" w:ascii="宋体" w:hAnsi="宋体" w:eastAsia="宋体" w:cs="宋体"/>
                <w:b w:val="0"/>
                <w:bCs w:val="0"/>
                <w:color w:val="000000"/>
                <w:sz w:val="24"/>
                <w:szCs w:val="24"/>
                <w:highlight w:val="none"/>
              </w:rPr>
              <w:t>的得</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eastAsia="zh-CN"/>
              </w:rPr>
              <w:t>管理制度较完整、较合理</w:t>
            </w:r>
            <w:r>
              <w:rPr>
                <w:rFonts w:hint="eastAsia" w:ascii="宋体" w:hAnsi="宋体" w:eastAsia="宋体" w:cs="宋体"/>
                <w:b w:val="0"/>
                <w:bCs w:val="0"/>
                <w:color w:val="000000"/>
                <w:sz w:val="24"/>
                <w:szCs w:val="24"/>
                <w:highlight w:val="none"/>
              </w:rPr>
              <w:t>的得</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eastAsia="zh-CN"/>
              </w:rPr>
              <w:t>管理制度不</w:t>
            </w:r>
            <w:r>
              <w:rPr>
                <w:rFonts w:hint="eastAsia" w:ascii="宋体" w:hAnsi="宋体" w:eastAsia="宋体" w:cs="宋体"/>
                <w:b w:val="0"/>
                <w:bCs w:val="0"/>
                <w:color w:val="000000"/>
                <w:sz w:val="24"/>
                <w:szCs w:val="24"/>
                <w:highlight w:val="none"/>
                <w:lang w:val="en-US" w:eastAsia="zh-CN"/>
              </w:rPr>
              <w:t>够</w:t>
            </w:r>
            <w:r>
              <w:rPr>
                <w:rFonts w:hint="eastAsia" w:ascii="宋体" w:hAnsi="宋体" w:eastAsia="宋体" w:cs="宋体"/>
                <w:b w:val="0"/>
                <w:bCs w:val="0"/>
                <w:color w:val="000000"/>
                <w:sz w:val="24"/>
                <w:szCs w:val="24"/>
                <w:highlight w:val="none"/>
                <w:lang w:eastAsia="zh-CN"/>
              </w:rPr>
              <w:t>完整、不</w:t>
            </w:r>
            <w:r>
              <w:rPr>
                <w:rFonts w:hint="eastAsia" w:ascii="宋体" w:hAnsi="宋体" w:eastAsia="宋体" w:cs="宋体"/>
                <w:b w:val="0"/>
                <w:bCs w:val="0"/>
                <w:color w:val="000000"/>
                <w:sz w:val="24"/>
                <w:szCs w:val="24"/>
                <w:highlight w:val="none"/>
                <w:lang w:val="en-US" w:eastAsia="zh-CN"/>
              </w:rPr>
              <w:t>够</w:t>
            </w:r>
            <w:r>
              <w:rPr>
                <w:rFonts w:hint="eastAsia" w:ascii="宋体" w:hAnsi="宋体" w:eastAsia="宋体" w:cs="宋体"/>
                <w:b w:val="0"/>
                <w:bCs w:val="0"/>
                <w:color w:val="000000"/>
                <w:sz w:val="24"/>
                <w:szCs w:val="24"/>
                <w:highlight w:val="none"/>
                <w:lang w:eastAsia="zh-CN"/>
              </w:rPr>
              <w:t>合理</w:t>
            </w:r>
            <w:r>
              <w:rPr>
                <w:rFonts w:hint="eastAsia" w:ascii="宋体" w:hAnsi="宋体" w:eastAsia="宋体" w:cs="宋体"/>
                <w:b w:val="0"/>
                <w:bCs w:val="0"/>
                <w:color w:val="000000"/>
                <w:sz w:val="24"/>
                <w:szCs w:val="24"/>
                <w:highlight w:val="none"/>
              </w:rPr>
              <w:t>的得</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r>
              <w:rPr>
                <w:rFonts w:hint="eastAsia" w:ascii="宋体" w:hAnsi="宋体" w:eastAsia="宋体" w:cs="宋体"/>
                <w:b w:val="0"/>
                <w:bCs w:val="0"/>
                <w:color w:val="000000"/>
                <w:sz w:val="24"/>
                <w:szCs w:val="24"/>
                <w:highlight w:val="none"/>
                <w:lang w:val="en-US" w:eastAsia="zh-CN"/>
              </w:rPr>
              <w:t>不提供不得分。</w:t>
            </w:r>
          </w:p>
        </w:tc>
        <w:tc>
          <w:tcPr>
            <w:tcW w:w="1114" w:type="dxa"/>
            <w:tcBorders>
              <w:top w:val="single" w:color="auto" w:sz="4" w:space="0"/>
              <w:left w:val="single" w:color="auto" w:sz="4" w:space="0"/>
              <w:right w:val="single" w:color="auto" w:sz="4" w:space="0"/>
            </w:tcBorders>
            <w:noWrap w:val="0"/>
            <w:vAlign w:val="center"/>
          </w:tcPr>
          <w:p w14:paraId="488461F0">
            <w:pPr>
              <w:pStyle w:val="16"/>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776D8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7" w:hRule="atLeast"/>
          <w:jc w:val="center"/>
        </w:trPr>
        <w:tc>
          <w:tcPr>
            <w:tcW w:w="828" w:type="dxa"/>
            <w:tcBorders>
              <w:top w:val="single" w:color="auto" w:sz="4" w:space="0"/>
              <w:left w:val="single" w:color="auto" w:sz="4" w:space="0"/>
              <w:right w:val="single" w:color="auto" w:sz="4" w:space="0"/>
            </w:tcBorders>
            <w:noWrap w:val="0"/>
            <w:vAlign w:val="center"/>
          </w:tcPr>
          <w:p w14:paraId="220420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800" w:type="dxa"/>
            <w:tcBorders>
              <w:top w:val="single" w:color="auto" w:sz="4" w:space="0"/>
              <w:left w:val="single" w:color="auto" w:sz="4" w:space="0"/>
              <w:right w:val="single" w:color="auto" w:sz="4" w:space="0"/>
            </w:tcBorders>
            <w:noWrap w:val="0"/>
            <w:vAlign w:val="center"/>
          </w:tcPr>
          <w:p w14:paraId="0AC6C01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zh-CN"/>
              </w:rPr>
              <w:t>服务承诺</w:t>
            </w:r>
            <w:r>
              <w:rPr>
                <w:rFonts w:hint="eastAsia" w:ascii="宋体" w:hAnsi="宋体" w:eastAsia="宋体" w:cs="宋体"/>
                <w:color w:val="000000"/>
                <w:kern w:val="0"/>
                <w:sz w:val="24"/>
                <w:szCs w:val="24"/>
                <w:highlight w:val="none"/>
                <w:lang w:val="en-US" w:eastAsia="zh-CN"/>
              </w:rPr>
              <w:t>及</w:t>
            </w:r>
          </w:p>
          <w:p w14:paraId="79D0AE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响应</w:t>
            </w:r>
          </w:p>
        </w:tc>
        <w:tc>
          <w:tcPr>
            <w:tcW w:w="5862" w:type="dxa"/>
            <w:tcBorders>
              <w:top w:val="single" w:color="auto" w:sz="4" w:space="0"/>
              <w:left w:val="single" w:color="auto" w:sz="4" w:space="0"/>
              <w:right w:val="single" w:color="auto" w:sz="4" w:space="0"/>
            </w:tcBorders>
            <w:noWrap w:val="0"/>
            <w:vAlign w:val="center"/>
          </w:tcPr>
          <w:p w14:paraId="50E739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根据供应商工作部署和安排，团队人员分工、工作进度、服务响应等承诺是否具备可操作性、适应性，科学性等</w:t>
            </w:r>
            <w:r>
              <w:rPr>
                <w:rFonts w:hint="eastAsia" w:ascii="宋体" w:hAnsi="宋体" w:eastAsia="宋体" w:cs="宋体"/>
                <w:b w:val="0"/>
                <w:bCs w:val="0"/>
                <w:color w:val="000000"/>
                <w:kern w:val="0"/>
                <w:sz w:val="24"/>
                <w:szCs w:val="24"/>
                <w:highlight w:val="none"/>
                <w:lang w:val="zh-CN" w:eastAsia="zh-CN"/>
              </w:rPr>
              <w:t>进行综合评</w:t>
            </w:r>
            <w:r>
              <w:rPr>
                <w:rFonts w:hint="eastAsia" w:ascii="宋体" w:hAnsi="宋体" w:eastAsia="宋体" w:cs="宋体"/>
                <w:b w:val="0"/>
                <w:bCs w:val="0"/>
                <w:color w:val="000000"/>
                <w:kern w:val="0"/>
                <w:sz w:val="24"/>
                <w:szCs w:val="24"/>
                <w:highlight w:val="none"/>
                <w:lang w:val="en-US" w:eastAsia="zh-CN"/>
              </w:rPr>
              <w:t>议：</w:t>
            </w:r>
          </w:p>
          <w:p w14:paraId="316DA7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服务承诺全面合理、切实可行的得</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kern w:val="0"/>
                <w:sz w:val="24"/>
                <w:szCs w:val="24"/>
                <w:highlight w:val="none"/>
                <w:lang w:val="en-US" w:eastAsia="zh-CN" w:bidi="ar-SA"/>
              </w:rPr>
              <w:t>分；</w:t>
            </w:r>
          </w:p>
          <w:p w14:paraId="6A4786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服务承诺较全面、可行性较好的得</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en-US" w:eastAsia="zh-CN" w:bidi="ar-SA"/>
              </w:rPr>
              <w:t>-</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分；</w:t>
            </w:r>
          </w:p>
          <w:p w14:paraId="37B9BC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服务承诺简单敷衍、可行性较差的得0-</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en-US" w:eastAsia="zh-CN" w:bidi="ar-SA"/>
              </w:rPr>
              <w:t>分。不提供不得分。</w:t>
            </w:r>
          </w:p>
        </w:tc>
        <w:tc>
          <w:tcPr>
            <w:tcW w:w="1114" w:type="dxa"/>
            <w:tcBorders>
              <w:top w:val="single" w:color="auto" w:sz="4" w:space="0"/>
              <w:left w:val="single" w:color="auto" w:sz="4" w:space="0"/>
              <w:right w:val="single" w:color="auto" w:sz="4" w:space="0"/>
            </w:tcBorders>
            <w:noWrap w:val="0"/>
            <w:vAlign w:val="center"/>
          </w:tcPr>
          <w:p w14:paraId="1F3CA63E">
            <w:pPr>
              <w:pStyle w:val="16"/>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eastAsia="宋体" w:cs="宋体"/>
                <w:color w:val="auto"/>
                <w:sz w:val="24"/>
                <w:szCs w:val="24"/>
                <w:lang w:val="en-US" w:eastAsia="zh-CN"/>
              </w:rPr>
              <w:t>6</w:t>
            </w:r>
            <w:r>
              <w:rPr>
                <w:rFonts w:hint="eastAsia" w:ascii="宋体" w:hAnsi="宋体" w:eastAsia="宋体" w:cs="宋体"/>
                <w:color w:val="auto"/>
                <w:sz w:val="24"/>
                <w:szCs w:val="24"/>
                <w:lang w:val="en-US" w:eastAsia="zh-CN"/>
              </w:rPr>
              <w:t>分</w:t>
            </w:r>
          </w:p>
        </w:tc>
      </w:tr>
      <w:tr w14:paraId="2A4AF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jc w:val="center"/>
        </w:trPr>
        <w:tc>
          <w:tcPr>
            <w:tcW w:w="828" w:type="dxa"/>
            <w:tcBorders>
              <w:top w:val="single" w:color="auto" w:sz="4" w:space="0"/>
              <w:left w:val="single" w:color="auto" w:sz="4" w:space="0"/>
              <w:right w:val="single" w:color="auto" w:sz="4" w:space="0"/>
            </w:tcBorders>
            <w:noWrap w:val="0"/>
            <w:vAlign w:val="center"/>
          </w:tcPr>
          <w:p w14:paraId="14FC8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00" w:type="dxa"/>
            <w:tcBorders>
              <w:top w:val="single" w:color="auto" w:sz="4" w:space="0"/>
              <w:left w:val="single" w:color="auto" w:sz="4" w:space="0"/>
              <w:right w:val="single" w:color="auto" w:sz="4" w:space="0"/>
            </w:tcBorders>
            <w:noWrap w:val="0"/>
            <w:vAlign w:val="center"/>
          </w:tcPr>
          <w:p w14:paraId="44686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法律</w:t>
            </w:r>
            <w:r>
              <w:rPr>
                <w:rFonts w:hint="eastAsia" w:ascii="宋体" w:hAnsi="宋体" w:eastAsia="宋体" w:cs="宋体"/>
                <w:color w:val="auto"/>
                <w:kern w:val="0"/>
                <w:sz w:val="24"/>
                <w:szCs w:val="24"/>
                <w:highlight w:val="none"/>
                <w:lang w:val="zh-CN"/>
              </w:rPr>
              <w:t>服务质量保证措施</w:t>
            </w:r>
          </w:p>
        </w:tc>
        <w:tc>
          <w:tcPr>
            <w:tcW w:w="5862" w:type="dxa"/>
            <w:tcBorders>
              <w:top w:val="single" w:color="auto" w:sz="4" w:space="0"/>
              <w:left w:val="single" w:color="auto" w:sz="4" w:space="0"/>
              <w:right w:val="single" w:color="auto" w:sz="4" w:space="0"/>
            </w:tcBorders>
            <w:noWrap w:val="0"/>
            <w:vAlign w:val="center"/>
          </w:tcPr>
          <w:p w14:paraId="7581161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供应商提供的质量保证措施</w:t>
            </w:r>
            <w:r>
              <w:rPr>
                <w:rFonts w:hint="eastAsia" w:ascii="宋体" w:hAnsi="宋体" w:eastAsia="宋体" w:cs="宋体"/>
                <w:b w:val="0"/>
                <w:bCs w:val="0"/>
                <w:color w:val="auto"/>
                <w:kern w:val="0"/>
                <w:sz w:val="24"/>
                <w:szCs w:val="24"/>
                <w:highlight w:val="none"/>
                <w:lang w:val="zh-CN" w:eastAsia="zh-CN"/>
              </w:rPr>
              <w:t>进行综合评定</w:t>
            </w:r>
            <w:r>
              <w:rPr>
                <w:rFonts w:hint="eastAsia" w:ascii="宋体" w:hAnsi="宋体" w:eastAsia="宋体" w:cs="宋体"/>
                <w:b w:val="0"/>
                <w:bCs w:val="0"/>
                <w:color w:val="auto"/>
                <w:sz w:val="24"/>
                <w:szCs w:val="24"/>
                <w:lang w:eastAsia="zh-CN"/>
              </w:rPr>
              <w:t>。</w:t>
            </w:r>
          </w:p>
          <w:p w14:paraId="650E01F5">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措施到位的得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bidi="ar-SA"/>
              </w:rPr>
              <w:t>分；措施比较到位的得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bidi="ar-SA"/>
              </w:rPr>
              <w:t>分；措施不到位的得0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bidi="ar-SA"/>
              </w:rPr>
              <w:t>分；未提供不得分。</w:t>
            </w:r>
          </w:p>
        </w:tc>
        <w:tc>
          <w:tcPr>
            <w:tcW w:w="1114" w:type="dxa"/>
            <w:tcBorders>
              <w:top w:val="single" w:color="auto" w:sz="4" w:space="0"/>
              <w:left w:val="single" w:color="auto" w:sz="4" w:space="0"/>
              <w:right w:val="single" w:color="auto" w:sz="4" w:space="0"/>
            </w:tcBorders>
            <w:noWrap w:val="0"/>
            <w:vAlign w:val="center"/>
          </w:tcPr>
          <w:p w14:paraId="12169E68">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0-6分</w:t>
            </w:r>
          </w:p>
        </w:tc>
      </w:tr>
      <w:tr w14:paraId="02600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6" w:hRule="atLeast"/>
          <w:jc w:val="center"/>
        </w:trPr>
        <w:tc>
          <w:tcPr>
            <w:tcW w:w="828" w:type="dxa"/>
            <w:tcBorders>
              <w:top w:val="single" w:color="auto" w:sz="4" w:space="0"/>
              <w:left w:val="single" w:color="auto" w:sz="4" w:space="0"/>
              <w:right w:val="single" w:color="auto" w:sz="4" w:space="0"/>
            </w:tcBorders>
            <w:noWrap w:val="0"/>
            <w:vAlign w:val="center"/>
          </w:tcPr>
          <w:p w14:paraId="2B049A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00" w:type="dxa"/>
            <w:tcBorders>
              <w:top w:val="single" w:color="auto" w:sz="4" w:space="0"/>
              <w:left w:val="single" w:color="auto" w:sz="4" w:space="0"/>
              <w:right w:val="single" w:color="auto" w:sz="4" w:space="0"/>
            </w:tcBorders>
            <w:noWrap w:val="0"/>
            <w:vAlign w:val="center"/>
          </w:tcPr>
          <w:p w14:paraId="0A8E4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保密措施</w:t>
            </w:r>
          </w:p>
        </w:tc>
        <w:tc>
          <w:tcPr>
            <w:tcW w:w="5862" w:type="dxa"/>
            <w:tcBorders>
              <w:top w:val="single" w:color="auto" w:sz="4" w:space="0"/>
              <w:left w:val="single" w:color="auto" w:sz="4" w:space="0"/>
              <w:right w:val="single" w:color="auto" w:sz="4" w:space="0"/>
            </w:tcBorders>
            <w:noWrap w:val="0"/>
            <w:vAlign w:val="center"/>
          </w:tcPr>
          <w:p w14:paraId="22B948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lang w:val="en-US" w:eastAsia="zh-CN"/>
              </w:rPr>
              <w:t>提供的</w:t>
            </w:r>
            <w:r>
              <w:rPr>
                <w:rFonts w:hint="eastAsia" w:ascii="宋体" w:hAnsi="宋体" w:eastAsia="宋体" w:cs="宋体"/>
                <w:b w:val="0"/>
                <w:bCs w:val="0"/>
                <w:color w:val="auto"/>
                <w:kern w:val="0"/>
                <w:sz w:val="24"/>
                <w:szCs w:val="24"/>
                <w:highlight w:val="none"/>
                <w:lang w:eastAsia="zh-CN"/>
              </w:rPr>
              <w:t>涉密信息、</w:t>
            </w:r>
            <w:r>
              <w:rPr>
                <w:rFonts w:hint="eastAsia" w:ascii="宋体" w:hAnsi="宋体" w:eastAsia="宋体" w:cs="宋体"/>
                <w:b w:val="0"/>
                <w:bCs w:val="0"/>
                <w:color w:val="auto"/>
                <w:kern w:val="0"/>
                <w:sz w:val="24"/>
                <w:szCs w:val="24"/>
                <w:highlight w:val="none"/>
                <w:lang w:val="en-US" w:eastAsia="zh-CN"/>
              </w:rPr>
              <w:t>文件</w:t>
            </w:r>
            <w:r>
              <w:rPr>
                <w:rFonts w:hint="eastAsia" w:ascii="宋体" w:hAnsi="宋体" w:eastAsia="宋体" w:cs="宋体"/>
                <w:b w:val="0"/>
                <w:bCs w:val="0"/>
                <w:color w:val="auto"/>
                <w:kern w:val="0"/>
                <w:sz w:val="24"/>
                <w:szCs w:val="24"/>
                <w:highlight w:val="none"/>
                <w:lang w:eastAsia="zh-CN"/>
              </w:rPr>
              <w:t>资料的保密措施情况</w:t>
            </w:r>
            <w:r>
              <w:rPr>
                <w:rFonts w:hint="eastAsia" w:ascii="宋体" w:hAnsi="宋体" w:eastAsia="宋体" w:cs="宋体"/>
                <w:b w:val="0"/>
                <w:bCs w:val="0"/>
                <w:color w:val="auto"/>
                <w:kern w:val="0"/>
                <w:sz w:val="24"/>
                <w:szCs w:val="24"/>
                <w:highlight w:val="none"/>
                <w:lang w:val="en-US" w:eastAsia="zh-CN"/>
              </w:rPr>
              <w:t>进行</w:t>
            </w:r>
            <w:r>
              <w:rPr>
                <w:rFonts w:hint="eastAsia" w:ascii="宋体" w:hAnsi="宋体" w:eastAsia="宋体" w:cs="宋体"/>
                <w:b w:val="0"/>
                <w:bCs w:val="0"/>
                <w:color w:val="auto"/>
                <w:kern w:val="0"/>
                <w:sz w:val="24"/>
                <w:szCs w:val="24"/>
                <w:highlight w:val="none"/>
                <w:lang w:eastAsia="zh-CN"/>
              </w:rPr>
              <w:t>综合评</w:t>
            </w:r>
            <w:r>
              <w:rPr>
                <w:rFonts w:hint="eastAsia" w:ascii="宋体" w:hAnsi="宋体" w:eastAsia="宋体" w:cs="宋体"/>
                <w:b w:val="0"/>
                <w:bCs w:val="0"/>
                <w:color w:val="auto"/>
                <w:kern w:val="0"/>
                <w:sz w:val="24"/>
                <w:szCs w:val="24"/>
                <w:highlight w:val="none"/>
                <w:lang w:val="en-US" w:eastAsia="zh-CN"/>
              </w:rPr>
              <w:t>议：</w:t>
            </w:r>
          </w:p>
          <w:p w14:paraId="74B6E6BA">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bidi="ar-SA"/>
              </w:rPr>
              <w:t>措施全面合理、切实可行的得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bidi="ar-SA"/>
              </w:rPr>
              <w:t>分；措施较完整、较为可行的得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bidi="ar-SA"/>
              </w:rPr>
              <w:t>分；措施简单、可行性较差的得0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bidi="ar-SA"/>
              </w:rPr>
              <w:t>分，不提供不得分。</w:t>
            </w:r>
          </w:p>
        </w:tc>
        <w:tc>
          <w:tcPr>
            <w:tcW w:w="1114" w:type="dxa"/>
            <w:tcBorders>
              <w:top w:val="single" w:color="auto" w:sz="4" w:space="0"/>
              <w:left w:val="single" w:color="auto" w:sz="4" w:space="0"/>
              <w:right w:val="single" w:color="auto" w:sz="4" w:space="0"/>
            </w:tcBorders>
            <w:noWrap w:val="0"/>
            <w:vAlign w:val="center"/>
          </w:tcPr>
          <w:p w14:paraId="0AC0F6CD">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eastAsia="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4B14A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828" w:type="dxa"/>
            <w:tcBorders>
              <w:top w:val="single" w:color="auto" w:sz="4" w:space="0"/>
              <w:left w:val="single" w:color="auto" w:sz="4" w:space="0"/>
              <w:right w:val="single" w:color="auto" w:sz="4" w:space="0"/>
            </w:tcBorders>
            <w:noWrap w:val="0"/>
            <w:vAlign w:val="center"/>
          </w:tcPr>
          <w:p w14:paraId="65A22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00" w:type="dxa"/>
            <w:tcBorders>
              <w:top w:val="single" w:color="auto" w:sz="4" w:space="0"/>
              <w:left w:val="single" w:color="auto" w:sz="4" w:space="0"/>
              <w:right w:val="single" w:color="auto" w:sz="4" w:space="0"/>
            </w:tcBorders>
            <w:noWrap w:val="0"/>
            <w:vAlign w:val="center"/>
          </w:tcPr>
          <w:p w14:paraId="0646A9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项目管控及</w:t>
            </w:r>
            <w:r>
              <w:rPr>
                <w:rFonts w:hint="eastAsia" w:ascii="宋体" w:hAnsi="宋体" w:eastAsia="宋体" w:cs="宋体"/>
                <w:color w:val="auto"/>
                <w:kern w:val="0"/>
                <w:sz w:val="24"/>
                <w:szCs w:val="24"/>
                <w:highlight w:val="none"/>
                <w:lang w:eastAsia="zh-CN"/>
              </w:rPr>
              <w:t>沟通方案</w:t>
            </w:r>
          </w:p>
        </w:tc>
        <w:tc>
          <w:tcPr>
            <w:tcW w:w="5862" w:type="dxa"/>
            <w:tcBorders>
              <w:top w:val="single" w:color="auto" w:sz="4" w:space="0"/>
              <w:left w:val="single" w:color="auto" w:sz="4" w:space="0"/>
              <w:right w:val="single" w:color="auto" w:sz="4" w:space="0"/>
            </w:tcBorders>
            <w:noWrap w:val="0"/>
            <w:vAlign w:val="center"/>
          </w:tcPr>
          <w:p w14:paraId="0AC039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根据供应商提供的方案全面性、周密性进行综合评定。</w:t>
            </w:r>
          </w:p>
          <w:p w14:paraId="0899B8CE">
            <w:pPr>
              <w:pStyle w:val="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方案的全面、周密的得6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val="0"/>
                <w:color w:val="auto"/>
                <w:sz w:val="24"/>
                <w:szCs w:val="24"/>
                <w:highlight w:val="none"/>
                <w:lang w:val="en-US" w:eastAsia="zh-CN"/>
              </w:rPr>
              <w:t>方案的较全面、较周密的得3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eastAsia="宋体" w:cs="宋体"/>
                <w:b w:val="0"/>
                <w:bCs w:val="0"/>
                <w:color w:val="auto"/>
                <w:sz w:val="24"/>
                <w:szCs w:val="24"/>
                <w:highlight w:val="none"/>
                <w:lang w:val="en-US" w:eastAsia="zh-CN"/>
              </w:rPr>
              <w:t>方案的全面性、较周性差的得0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bidi="ar-SA"/>
              </w:rPr>
              <w:t>分；未提供的得0分。</w:t>
            </w:r>
          </w:p>
        </w:tc>
        <w:tc>
          <w:tcPr>
            <w:tcW w:w="1114" w:type="dxa"/>
            <w:tcBorders>
              <w:top w:val="single" w:color="auto" w:sz="4" w:space="0"/>
              <w:left w:val="single" w:color="auto" w:sz="4" w:space="0"/>
              <w:right w:val="single" w:color="auto" w:sz="4" w:space="0"/>
            </w:tcBorders>
            <w:noWrap w:val="0"/>
            <w:vAlign w:val="center"/>
          </w:tcPr>
          <w:p w14:paraId="611ABD0A">
            <w:pPr>
              <w:pStyle w:val="16"/>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eastAsia="宋体" w:cs="宋体"/>
                <w:color w:val="auto"/>
                <w:sz w:val="24"/>
                <w:szCs w:val="24"/>
                <w:lang w:val="en-US" w:eastAsia="zh-CN"/>
              </w:rPr>
              <w:t>8</w:t>
            </w:r>
            <w:r>
              <w:rPr>
                <w:rFonts w:hint="eastAsia" w:ascii="宋体" w:hAnsi="宋体" w:eastAsia="宋体" w:cs="宋体"/>
                <w:color w:val="auto"/>
                <w:sz w:val="24"/>
                <w:szCs w:val="24"/>
                <w:lang w:val="en-US" w:eastAsia="zh-CN"/>
              </w:rPr>
              <w:t>分</w:t>
            </w:r>
          </w:p>
        </w:tc>
      </w:tr>
      <w:bookmarkEnd w:id="76"/>
    </w:tbl>
    <w:p w14:paraId="18AB033E">
      <w:pPr>
        <w:keepNext w:val="0"/>
        <w:keepLines w:val="0"/>
        <w:pageBreakBefore w:val="0"/>
        <w:widowControl/>
        <w:numPr>
          <w:ilvl w:val="0"/>
          <w:numId w:val="7"/>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lang w:eastAsia="zh-CN"/>
        </w:rPr>
      </w:pPr>
      <w:bookmarkStart w:id="94" w:name="_Toc20996"/>
      <w:bookmarkStart w:id="95" w:name="_Toc8190"/>
      <w:bookmarkStart w:id="96" w:name="_Toc3034"/>
      <w:bookmarkStart w:id="97" w:name="_Toc12749"/>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6CB5162D">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价格文件评分由各</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成员按评分细则进行评审打分，</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现场30分钟内提供书面说明，必要时提交相关证明材料;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应当将其作为无效投标处理。</w:t>
      </w:r>
    </w:p>
    <w:p w14:paraId="74B625CD">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本项目最高限价为</w:t>
      </w:r>
      <w:r>
        <w:rPr>
          <w:rFonts w:hint="eastAsia" w:ascii="宋体" w:hAnsi="宋体" w:eastAsia="宋体" w:cs="宋体"/>
          <w:color w:val="auto"/>
          <w:sz w:val="24"/>
          <w:szCs w:val="24"/>
          <w:highlight w:val="none"/>
          <w:u w:val="single"/>
          <w:lang w:val="en-US" w:eastAsia="zh-CN"/>
        </w:rPr>
        <w:t xml:space="preserve">  190  </w:t>
      </w:r>
      <w:r>
        <w:rPr>
          <w:rFonts w:hint="eastAsia" w:ascii="宋体" w:hAnsi="宋体" w:eastAsia="宋体" w:cs="宋体"/>
          <w:color w:val="auto"/>
          <w:sz w:val="24"/>
          <w:szCs w:val="24"/>
          <w:highlight w:val="none"/>
          <w:lang w:val="en-US" w:eastAsia="zh-CN"/>
        </w:rPr>
        <w:t>万元，供应商磋商报价超过最高限价的做否决投标处理。价格分采用低价优先法计算，即满足竞争性磋商文件要求且报价最低的投标报价为磋商基准价，其他供应商的价格分按照下列公式计算：</w:t>
      </w:r>
    </w:p>
    <w:p w14:paraId="567EEAB5">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价格分=（</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基准价/</w:t>
      </w:r>
      <w:r>
        <w:rPr>
          <w:rFonts w:hint="eastAsia" w:ascii="宋体" w:hAnsi="宋体" w:eastAsia="宋体" w:cs="宋体"/>
          <w:color w:val="auto"/>
          <w:sz w:val="24"/>
          <w:szCs w:val="24"/>
          <w:highlight w:val="none"/>
          <w:lang w:val="en-US" w:eastAsia="zh-CN"/>
        </w:rPr>
        <w:t>磋商</w:t>
      </w:r>
      <w:r>
        <w:rPr>
          <w:rFonts w:hint="default"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价格权值×100%</w:t>
      </w:r>
    </w:p>
    <w:p w14:paraId="7783148F">
      <w:pPr>
        <w:autoSpaceDE w:val="0"/>
        <w:autoSpaceDN w:val="0"/>
        <w:spacing w:line="360" w:lineRule="auto"/>
        <w:ind w:firstLine="482"/>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四</w:t>
      </w:r>
      <w:r>
        <w:rPr>
          <w:rFonts w:hint="eastAsia" w:ascii="宋体" w:hAnsi="宋体" w:eastAsia="宋体" w:cs="仿宋_GB2312"/>
          <w:sz w:val="24"/>
          <w:szCs w:val="24"/>
          <w:highlight w:val="none"/>
          <w:lang w:eastAsia="zh-CN"/>
        </w:rPr>
        <w:t>）其他</w:t>
      </w:r>
    </w:p>
    <w:p w14:paraId="5C87177A">
      <w:pPr>
        <w:autoSpaceDE w:val="0"/>
        <w:autoSpaceDN w:val="0"/>
        <w:spacing w:line="360" w:lineRule="auto"/>
        <w:ind w:firstLine="482"/>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评分时保留小数点后1位小数，计算评分值时保留小数点后2位小数，由</w:t>
      </w:r>
      <w:r>
        <w:rPr>
          <w:rFonts w:hint="eastAsia" w:ascii="宋体" w:hAnsi="宋体" w:cs="仿宋_GB2312"/>
          <w:sz w:val="24"/>
          <w:szCs w:val="24"/>
          <w:highlight w:val="none"/>
          <w:lang w:eastAsia="zh-CN"/>
        </w:rPr>
        <w:t>磋商小组</w:t>
      </w:r>
      <w:r>
        <w:rPr>
          <w:rFonts w:hint="eastAsia" w:ascii="宋体" w:hAnsi="宋体" w:eastAsia="宋体" w:cs="仿宋_GB2312"/>
          <w:sz w:val="24"/>
          <w:szCs w:val="24"/>
          <w:highlight w:val="none"/>
          <w:lang w:eastAsia="zh-CN"/>
        </w:rPr>
        <w:t>当场统一计算。</w:t>
      </w:r>
    </w:p>
    <w:p w14:paraId="5F22C0ED">
      <w:pPr>
        <w:autoSpaceDE w:val="0"/>
        <w:autoSpaceDN w:val="0"/>
        <w:spacing w:line="360" w:lineRule="auto"/>
        <w:ind w:firstLine="482"/>
        <w:rPr>
          <w:rFonts w:hint="eastAsia" w:ascii="宋体" w:hAnsi="宋体" w:eastAsia="宋体" w:cs="仿宋_GB2312"/>
          <w:sz w:val="24"/>
          <w:szCs w:val="24"/>
          <w:highlight w:val="none"/>
          <w:lang w:eastAsia="zh-CN"/>
        </w:rPr>
      </w:pPr>
      <w:r>
        <w:rPr>
          <w:rFonts w:hint="eastAsia" w:ascii="宋体" w:hAnsi="宋体" w:cs="仿宋_GB2312"/>
          <w:sz w:val="24"/>
          <w:szCs w:val="24"/>
          <w:highlight w:val="none"/>
          <w:lang w:eastAsia="zh-CN"/>
        </w:rPr>
        <w:t>供应商</w:t>
      </w:r>
      <w:r>
        <w:rPr>
          <w:rFonts w:hint="eastAsia" w:ascii="宋体" w:hAnsi="宋体" w:eastAsia="宋体" w:cs="仿宋_GB2312"/>
          <w:sz w:val="24"/>
          <w:szCs w:val="24"/>
          <w:highlight w:val="none"/>
          <w:lang w:eastAsia="zh-CN"/>
        </w:rPr>
        <w:t>的最终总得分为商务技术文件及报价部分二部分得分的总和。</w:t>
      </w:r>
    </w:p>
    <w:p w14:paraId="5C8E44B2">
      <w:pPr>
        <w:autoSpaceDE w:val="0"/>
        <w:autoSpaceDN w:val="0"/>
        <w:spacing w:line="360" w:lineRule="auto"/>
        <w:ind w:firstLine="482"/>
        <w:rPr>
          <w:rFonts w:hint="eastAsia" w:ascii="宋体" w:hAnsi="宋体" w:eastAsia="宋体" w:cs="仿宋_GB2312"/>
          <w:sz w:val="24"/>
          <w:szCs w:val="24"/>
          <w:highlight w:val="none"/>
          <w:lang w:eastAsia="zh-CN"/>
        </w:rPr>
      </w:pPr>
      <w:r>
        <w:rPr>
          <w:rFonts w:hint="eastAsia" w:ascii="宋体" w:hAnsi="宋体" w:eastAsia="宋体" w:cs="仿宋_GB2312"/>
          <w:sz w:val="24"/>
          <w:szCs w:val="24"/>
          <w:highlight w:val="none"/>
          <w:lang w:eastAsia="zh-CN"/>
        </w:rPr>
        <w:t>报价是中标的一个重要因素，但最低报价不是中标的唯一依据。</w:t>
      </w:r>
    </w:p>
    <w:p w14:paraId="6F2D2441">
      <w:pPr>
        <w:keepNext w:val="0"/>
        <w:keepLines w:val="0"/>
        <w:pageBreakBefore w:val="0"/>
        <w:widowControl/>
        <w:kinsoku/>
        <w:wordWrap/>
        <w:overflowPunct/>
        <w:topLinePunct w:val="0"/>
        <w:autoSpaceDE/>
        <w:autoSpaceDN/>
        <w:bidi w:val="0"/>
        <w:adjustRightInd/>
        <w:snapToGrid w:val="0"/>
        <w:spacing w:before="120" w:beforeLines="50" w:after="120" w:afterLines="50" w:line="6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94"/>
      <w:bookmarkEnd w:id="95"/>
      <w:bookmarkEnd w:id="96"/>
      <w:bookmarkEnd w:id="97"/>
    </w:p>
    <w:p w14:paraId="6A7ADEE9">
      <w:pPr>
        <w:autoSpaceDE w:val="0"/>
        <w:autoSpaceDN w:val="0"/>
        <w:spacing w:line="360" w:lineRule="auto"/>
        <w:ind w:firstLine="482"/>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1.本次</w:t>
      </w:r>
      <w:r>
        <w:rPr>
          <w:rFonts w:hint="eastAsia" w:ascii="宋体" w:hAnsi="宋体" w:cs="仿宋_GB2312"/>
          <w:sz w:val="24"/>
          <w:szCs w:val="24"/>
          <w:highlight w:val="none"/>
          <w:lang w:eastAsia="zh-CN"/>
        </w:rPr>
        <w:t>磋商</w:t>
      </w:r>
      <w:r>
        <w:rPr>
          <w:rFonts w:hint="eastAsia" w:ascii="宋体" w:hAnsi="宋体" w:eastAsia="宋体" w:cs="仿宋_GB2312"/>
          <w:sz w:val="24"/>
          <w:szCs w:val="24"/>
          <w:highlight w:val="none"/>
        </w:rPr>
        <w:t>由</w:t>
      </w:r>
      <w:r>
        <w:rPr>
          <w:rFonts w:hint="eastAsia" w:ascii="宋体" w:hAnsi="宋体" w:cs="仿宋_GB2312"/>
          <w:sz w:val="24"/>
          <w:szCs w:val="24"/>
          <w:highlight w:val="none"/>
          <w:lang w:eastAsia="zh-CN"/>
        </w:rPr>
        <w:t>磋商小组</w:t>
      </w:r>
      <w:r>
        <w:rPr>
          <w:rFonts w:hint="eastAsia" w:ascii="宋体" w:hAnsi="宋体" w:eastAsia="宋体" w:cs="仿宋_GB2312"/>
          <w:sz w:val="24"/>
          <w:szCs w:val="24"/>
          <w:highlight w:val="none"/>
        </w:rPr>
        <w:t>直接确定中标</w:t>
      </w:r>
      <w:r>
        <w:rPr>
          <w:rFonts w:hint="eastAsia" w:ascii="宋体" w:hAnsi="宋体" w:eastAsia="宋体" w:cs="仿宋_GB2312"/>
          <w:sz w:val="24"/>
          <w:szCs w:val="24"/>
          <w:highlight w:val="none"/>
          <w:lang w:val="zh-CN"/>
        </w:rPr>
        <w:t>候选人</w:t>
      </w:r>
      <w:r>
        <w:rPr>
          <w:rFonts w:hint="eastAsia" w:ascii="宋体" w:hAnsi="宋体" w:eastAsia="宋体" w:cs="仿宋_GB2312"/>
          <w:sz w:val="24"/>
          <w:szCs w:val="24"/>
          <w:highlight w:val="none"/>
        </w:rPr>
        <w:t>。</w:t>
      </w:r>
    </w:p>
    <w:p w14:paraId="6F0148D7">
      <w:pPr>
        <w:autoSpaceDE w:val="0"/>
        <w:autoSpaceDN w:val="0"/>
        <w:spacing w:line="360" w:lineRule="auto"/>
        <w:ind w:firstLine="482"/>
        <w:rPr>
          <w:rFonts w:hint="eastAsia" w:ascii="宋体" w:hAnsi="宋体" w:eastAsia="宋体" w:cs="仿宋_GB2312"/>
          <w:sz w:val="24"/>
          <w:szCs w:val="24"/>
          <w:highlight w:val="none"/>
          <w:lang w:val="zh-CN"/>
        </w:rPr>
      </w:pPr>
      <w:r>
        <w:rPr>
          <w:rFonts w:hint="eastAsia" w:ascii="宋体" w:hAnsi="宋体" w:eastAsia="宋体" w:cs="仿宋_GB2312"/>
          <w:sz w:val="24"/>
          <w:szCs w:val="24"/>
          <w:highlight w:val="none"/>
        </w:rPr>
        <w:t>2.由</w:t>
      </w:r>
      <w:r>
        <w:rPr>
          <w:rFonts w:hint="eastAsia" w:ascii="宋体" w:hAnsi="宋体" w:cs="仿宋_GB2312"/>
          <w:sz w:val="24"/>
          <w:szCs w:val="24"/>
          <w:highlight w:val="none"/>
          <w:lang w:eastAsia="zh-CN"/>
        </w:rPr>
        <w:t>磋商小组</w:t>
      </w:r>
      <w:r>
        <w:rPr>
          <w:rFonts w:hint="eastAsia" w:ascii="宋体" w:hAnsi="宋体" w:eastAsia="宋体" w:cs="仿宋_GB2312"/>
          <w:sz w:val="24"/>
          <w:szCs w:val="24"/>
          <w:highlight w:val="none"/>
        </w:rPr>
        <w:t>按</w:t>
      </w:r>
      <w:r>
        <w:rPr>
          <w:rFonts w:hint="eastAsia" w:ascii="宋体" w:hAnsi="宋体" w:cs="仿宋_GB2312"/>
          <w:sz w:val="24"/>
          <w:szCs w:val="24"/>
          <w:highlight w:val="none"/>
          <w:lang w:eastAsia="zh-CN"/>
        </w:rPr>
        <w:t>竞争性磋商文件</w:t>
      </w:r>
      <w:r>
        <w:rPr>
          <w:rFonts w:hint="eastAsia" w:ascii="宋体" w:hAnsi="宋体" w:eastAsia="宋体" w:cs="仿宋_GB2312"/>
          <w:sz w:val="24"/>
          <w:szCs w:val="24"/>
          <w:highlight w:val="none"/>
        </w:rPr>
        <w:t>中规定的各项因素进行综合评审，</w:t>
      </w:r>
      <w:r>
        <w:rPr>
          <w:rFonts w:hint="eastAsia" w:ascii="宋体" w:hAnsi="宋体" w:eastAsia="宋体" w:cs="仿宋_GB2312"/>
          <w:b/>
          <w:bCs/>
          <w:sz w:val="24"/>
          <w:szCs w:val="24"/>
          <w:highlight w:val="none"/>
        </w:rPr>
        <w:t>确定综合得分最高的供应商为</w:t>
      </w:r>
      <w:r>
        <w:rPr>
          <w:rFonts w:hint="eastAsia" w:ascii="宋体" w:hAnsi="宋体" w:eastAsia="宋体" w:cs="仿宋_GB2312"/>
          <w:b/>
          <w:bCs/>
          <w:sz w:val="24"/>
          <w:szCs w:val="24"/>
          <w:highlight w:val="none"/>
          <w:lang w:val="en-US" w:eastAsia="zh-CN"/>
        </w:rPr>
        <w:t>第一</w:t>
      </w:r>
      <w:r>
        <w:rPr>
          <w:rFonts w:hint="eastAsia" w:ascii="宋体" w:hAnsi="宋体" w:eastAsia="宋体" w:cs="仿宋_GB2312"/>
          <w:b/>
          <w:bCs/>
          <w:sz w:val="24"/>
          <w:szCs w:val="24"/>
          <w:highlight w:val="none"/>
        </w:rPr>
        <w:t>中标人</w:t>
      </w:r>
      <w:r>
        <w:rPr>
          <w:rFonts w:hint="eastAsia" w:ascii="宋体" w:hAnsi="宋体" w:eastAsia="宋体" w:cs="仿宋_GB2312"/>
          <w:b/>
          <w:bCs/>
          <w:sz w:val="24"/>
          <w:szCs w:val="24"/>
          <w:highlight w:val="none"/>
          <w:lang w:eastAsia="zh-CN"/>
        </w:rPr>
        <w:t>，得分第二高者为第二中标候选人，得分第</w:t>
      </w:r>
      <w:r>
        <w:rPr>
          <w:rFonts w:hint="eastAsia" w:ascii="宋体" w:hAnsi="宋体" w:eastAsia="宋体" w:cs="仿宋_GB2312"/>
          <w:b/>
          <w:bCs/>
          <w:sz w:val="24"/>
          <w:szCs w:val="24"/>
          <w:highlight w:val="none"/>
          <w:lang w:val="en-US" w:eastAsia="zh-CN"/>
        </w:rPr>
        <w:t>三</w:t>
      </w:r>
      <w:r>
        <w:rPr>
          <w:rFonts w:hint="eastAsia" w:ascii="宋体" w:hAnsi="宋体" w:eastAsia="宋体" w:cs="仿宋_GB2312"/>
          <w:b/>
          <w:bCs/>
          <w:sz w:val="24"/>
          <w:szCs w:val="24"/>
          <w:highlight w:val="none"/>
          <w:lang w:eastAsia="zh-CN"/>
        </w:rPr>
        <w:t>高者为第</w:t>
      </w:r>
      <w:r>
        <w:rPr>
          <w:rFonts w:hint="eastAsia" w:ascii="宋体" w:hAnsi="宋体" w:eastAsia="宋体" w:cs="仿宋_GB2312"/>
          <w:b/>
          <w:bCs/>
          <w:sz w:val="24"/>
          <w:szCs w:val="24"/>
          <w:highlight w:val="none"/>
          <w:lang w:val="en-US" w:eastAsia="zh-CN"/>
        </w:rPr>
        <w:t>三</w:t>
      </w:r>
      <w:r>
        <w:rPr>
          <w:rFonts w:hint="eastAsia" w:ascii="宋体" w:hAnsi="宋体" w:eastAsia="宋体" w:cs="仿宋_GB2312"/>
          <w:b/>
          <w:bCs/>
          <w:sz w:val="24"/>
          <w:szCs w:val="24"/>
          <w:highlight w:val="none"/>
          <w:lang w:eastAsia="zh-CN"/>
        </w:rPr>
        <w:t>中标候选人</w:t>
      </w:r>
      <w:r>
        <w:rPr>
          <w:rFonts w:hint="eastAsia" w:ascii="宋体" w:hAnsi="宋体" w:eastAsia="宋体" w:cs="仿宋_GB2312"/>
          <w:b/>
          <w:bCs/>
          <w:sz w:val="24"/>
          <w:szCs w:val="24"/>
          <w:highlight w:val="none"/>
        </w:rPr>
        <w:t>。</w:t>
      </w:r>
      <w:r>
        <w:rPr>
          <w:rFonts w:hint="eastAsia" w:ascii="宋体" w:hAnsi="宋体" w:eastAsia="宋体" w:cs="仿宋_GB2312"/>
          <w:sz w:val="24"/>
          <w:szCs w:val="24"/>
          <w:highlight w:val="none"/>
        </w:rPr>
        <w:t>如出现</w:t>
      </w:r>
      <w:r>
        <w:rPr>
          <w:rFonts w:hint="eastAsia" w:ascii="宋体" w:hAnsi="宋体" w:eastAsia="宋体" w:cs="仿宋_GB2312"/>
          <w:sz w:val="24"/>
          <w:szCs w:val="24"/>
          <w:highlight w:val="none"/>
          <w:lang w:val="en-US" w:eastAsia="zh-CN"/>
        </w:rPr>
        <w:t>综合</w:t>
      </w:r>
      <w:r>
        <w:rPr>
          <w:rFonts w:hint="eastAsia" w:ascii="宋体" w:hAnsi="宋体" w:eastAsia="宋体" w:cs="仿宋_GB2312"/>
          <w:sz w:val="24"/>
          <w:szCs w:val="24"/>
          <w:highlight w:val="none"/>
        </w:rPr>
        <w:t>得分相同时，</w:t>
      </w:r>
      <w:r>
        <w:rPr>
          <w:rFonts w:hint="eastAsia" w:ascii="宋体" w:hAnsi="宋体" w:cs="仿宋_GB2312"/>
          <w:sz w:val="24"/>
          <w:szCs w:val="24"/>
          <w:highlight w:val="none"/>
          <w:lang w:val="en-US" w:eastAsia="zh-CN"/>
        </w:rPr>
        <w:t>磋商</w:t>
      </w:r>
      <w:r>
        <w:rPr>
          <w:rFonts w:hint="eastAsia" w:ascii="宋体" w:hAnsi="宋体" w:eastAsia="宋体" w:cs="仿宋_GB2312"/>
          <w:sz w:val="24"/>
          <w:szCs w:val="24"/>
          <w:highlight w:val="none"/>
        </w:rPr>
        <w:t>报价低的优先；如综合得分和</w:t>
      </w:r>
      <w:r>
        <w:rPr>
          <w:rFonts w:hint="eastAsia" w:ascii="宋体" w:hAnsi="宋体" w:cs="仿宋_GB2312"/>
          <w:sz w:val="24"/>
          <w:szCs w:val="24"/>
          <w:highlight w:val="none"/>
          <w:lang w:eastAsia="zh-CN"/>
        </w:rPr>
        <w:t>磋商</w:t>
      </w:r>
      <w:r>
        <w:rPr>
          <w:rFonts w:hint="eastAsia" w:ascii="宋体" w:hAnsi="宋体" w:eastAsia="宋体" w:cs="仿宋_GB2312"/>
          <w:sz w:val="24"/>
          <w:szCs w:val="24"/>
          <w:highlight w:val="none"/>
        </w:rPr>
        <w:t>报价均相同，则现场抽签确定</w:t>
      </w:r>
      <w:r>
        <w:rPr>
          <w:rFonts w:hint="eastAsia" w:ascii="宋体" w:hAnsi="宋体" w:eastAsia="宋体" w:cs="仿宋_GB2312"/>
          <w:sz w:val="24"/>
          <w:szCs w:val="24"/>
          <w:highlight w:val="none"/>
          <w:lang w:val="zh-CN"/>
        </w:rPr>
        <w:t>。</w:t>
      </w:r>
    </w:p>
    <w:p w14:paraId="315AE28E">
      <w:pPr>
        <w:autoSpaceDE w:val="0"/>
        <w:autoSpaceDN w:val="0"/>
        <w:spacing w:line="360" w:lineRule="auto"/>
        <w:ind w:firstLine="482"/>
        <w:rPr>
          <w:rFonts w:hint="eastAsia"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3、如中标候选人放弃中标</w:t>
      </w:r>
      <w:r>
        <w:rPr>
          <w:rFonts w:hint="eastAsia" w:ascii="宋体" w:hAnsi="宋体" w:eastAsia="宋体" w:cs="仿宋_GB2312"/>
          <w:sz w:val="24"/>
          <w:szCs w:val="24"/>
          <w:highlight w:val="none"/>
        </w:rPr>
        <w:t>；</w:t>
      </w:r>
      <w:r>
        <w:rPr>
          <w:rFonts w:hint="eastAsia" w:ascii="宋体" w:hAnsi="宋体" w:eastAsia="宋体" w:cs="仿宋_GB2312"/>
          <w:sz w:val="24"/>
          <w:szCs w:val="24"/>
          <w:highlight w:val="none"/>
          <w:lang w:val="zh-CN"/>
        </w:rPr>
        <w:t>因不可抗力提出不能履行合同；或者</w:t>
      </w:r>
      <w:r>
        <w:rPr>
          <w:rFonts w:hint="eastAsia" w:ascii="宋体" w:hAnsi="宋体" w:cs="仿宋_GB2312"/>
          <w:sz w:val="24"/>
          <w:szCs w:val="24"/>
          <w:highlight w:val="none"/>
          <w:lang w:val="zh-CN"/>
        </w:rPr>
        <w:t>竞争性磋商文件</w:t>
      </w:r>
      <w:r>
        <w:rPr>
          <w:rFonts w:hint="eastAsia" w:ascii="宋体" w:hAnsi="宋体" w:eastAsia="宋体" w:cs="仿宋_GB2312"/>
          <w:sz w:val="24"/>
          <w:szCs w:val="24"/>
          <w:highlight w:val="none"/>
          <w:lang w:val="zh-CN"/>
        </w:rPr>
        <w:t>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仿宋_GB2312"/>
          <w:sz w:val="24"/>
          <w:szCs w:val="24"/>
          <w:highlight w:val="none"/>
          <w:lang w:val="en-US" w:eastAsia="zh-CN"/>
        </w:rPr>
        <w:t>可</w:t>
      </w:r>
      <w:r>
        <w:rPr>
          <w:rFonts w:hint="eastAsia" w:ascii="宋体" w:hAnsi="宋体" w:eastAsia="宋体" w:cs="仿宋_GB2312"/>
          <w:sz w:val="24"/>
          <w:szCs w:val="24"/>
          <w:highlight w:val="none"/>
          <w:lang w:val="zh-CN"/>
        </w:rPr>
        <w:t>重新招标。</w:t>
      </w:r>
    </w:p>
    <w:p w14:paraId="56F2236D">
      <w:pPr>
        <w:spacing w:line="360" w:lineRule="auto"/>
        <w:ind w:firstLine="482" w:firstLineChars="200"/>
        <w:rPr>
          <w:rFonts w:hint="default"/>
          <w:b/>
          <w:sz w:val="24"/>
          <w:szCs w:val="24"/>
          <w:highlight w:val="none"/>
        </w:rPr>
      </w:pPr>
      <w:r>
        <w:rPr>
          <w:b/>
          <w:sz w:val="24"/>
          <w:szCs w:val="24"/>
          <w:highlight w:val="none"/>
        </w:rPr>
        <w:t>五</w:t>
      </w:r>
      <w:r>
        <w:rPr>
          <w:rFonts w:hint="default"/>
          <w:b/>
          <w:sz w:val="24"/>
          <w:szCs w:val="24"/>
          <w:highlight w:val="none"/>
        </w:rPr>
        <w:t>、询标</w:t>
      </w:r>
    </w:p>
    <w:p w14:paraId="682375B8">
      <w:pPr>
        <w:pStyle w:val="5"/>
        <w:adjustRightInd w:val="0"/>
        <w:snapToGrid w:val="0"/>
        <w:spacing w:line="360" w:lineRule="auto"/>
        <w:ind w:firstLine="480" w:firstLineChars="200"/>
        <w:rPr>
          <w:rFonts w:hint="default" w:ascii="Times New Roman" w:hAnsi="Times New Roman"/>
          <w:bCs/>
          <w:sz w:val="24"/>
          <w:highlight w:val="none"/>
        </w:rPr>
      </w:pPr>
      <w:r>
        <w:rPr>
          <w:rFonts w:hint="default" w:ascii="Times New Roman" w:hAnsi="Times New Roman"/>
          <w:bCs/>
          <w:sz w:val="24"/>
          <w:highlight w:val="none"/>
        </w:rPr>
        <w:t>对</w:t>
      </w:r>
      <w:r>
        <w:rPr>
          <w:rFonts w:hint="eastAsia" w:ascii="Times New Roman" w:hAnsi="Times New Roman"/>
          <w:bCs/>
          <w:sz w:val="24"/>
          <w:highlight w:val="none"/>
          <w:lang w:eastAsia="zh-CN"/>
        </w:rPr>
        <w:t>响应文件</w:t>
      </w:r>
      <w:r>
        <w:rPr>
          <w:rFonts w:hint="default" w:ascii="Times New Roman" w:hAnsi="Times New Roman"/>
          <w:bCs/>
          <w:sz w:val="24"/>
          <w:highlight w:val="none"/>
        </w:rPr>
        <w:t>中存在含义不清楚的内容，必要时</w:t>
      </w:r>
      <w:r>
        <w:rPr>
          <w:rFonts w:hint="eastAsia" w:ascii="Times New Roman" w:hAnsi="Times New Roman"/>
          <w:bCs/>
          <w:sz w:val="24"/>
          <w:highlight w:val="none"/>
          <w:lang w:val="en-US" w:eastAsia="zh-CN"/>
        </w:rPr>
        <w:t>磋商</w:t>
      </w:r>
      <w:r>
        <w:rPr>
          <w:rFonts w:hint="eastAsia" w:ascii="Times New Roman" w:hAnsi="Times New Roman"/>
          <w:bCs/>
          <w:sz w:val="24"/>
          <w:highlight w:val="none"/>
          <w:lang w:eastAsia="zh-CN"/>
        </w:rPr>
        <w:t>小组</w:t>
      </w:r>
      <w:r>
        <w:rPr>
          <w:rFonts w:hint="default" w:ascii="Times New Roman" w:hAnsi="Times New Roman"/>
          <w:bCs/>
          <w:sz w:val="24"/>
          <w:highlight w:val="none"/>
        </w:rPr>
        <w:t>要求</w:t>
      </w:r>
      <w:r>
        <w:rPr>
          <w:rFonts w:ascii="Times New Roman" w:hAnsi="Times New Roman"/>
          <w:bCs/>
          <w:sz w:val="24"/>
          <w:highlight w:val="none"/>
        </w:rPr>
        <w:t>供应商</w:t>
      </w:r>
      <w:r>
        <w:rPr>
          <w:rFonts w:hint="default" w:ascii="Times New Roman" w:hAnsi="Times New Roman"/>
          <w:bCs/>
          <w:sz w:val="24"/>
          <w:highlight w:val="none"/>
        </w:rPr>
        <w:t>作必要的澄清、说明或补正。询标记录需</w:t>
      </w:r>
      <w:r>
        <w:rPr>
          <w:rFonts w:ascii="Times New Roman" w:hAnsi="Times New Roman"/>
          <w:bCs/>
          <w:sz w:val="24"/>
          <w:highlight w:val="none"/>
        </w:rPr>
        <w:t>供应商</w:t>
      </w:r>
      <w:r>
        <w:rPr>
          <w:rFonts w:hint="default" w:ascii="Times New Roman" w:hAnsi="Times New Roman"/>
          <w:bCs/>
          <w:sz w:val="24"/>
          <w:highlight w:val="none"/>
        </w:rPr>
        <w:t>授权代表签字确认，它将作为</w:t>
      </w:r>
      <w:r>
        <w:rPr>
          <w:rFonts w:hint="eastAsia" w:ascii="Times New Roman" w:hAnsi="Times New Roman"/>
          <w:bCs/>
          <w:sz w:val="24"/>
          <w:highlight w:val="none"/>
          <w:lang w:eastAsia="zh-CN"/>
        </w:rPr>
        <w:t>响应文件</w:t>
      </w:r>
      <w:r>
        <w:rPr>
          <w:rFonts w:hint="default" w:ascii="Times New Roman" w:hAnsi="Times New Roman"/>
          <w:bCs/>
          <w:sz w:val="24"/>
          <w:highlight w:val="none"/>
        </w:rPr>
        <w:t>的一部分。</w:t>
      </w:r>
    </w:p>
    <w:p w14:paraId="44E22516">
      <w:pPr>
        <w:spacing w:line="360" w:lineRule="auto"/>
        <w:ind w:firstLine="482" w:firstLineChars="200"/>
        <w:rPr>
          <w:rFonts w:hint="default"/>
          <w:b/>
          <w:sz w:val="24"/>
          <w:szCs w:val="24"/>
          <w:highlight w:val="none"/>
        </w:rPr>
      </w:pPr>
      <w:r>
        <w:rPr>
          <w:b/>
          <w:sz w:val="24"/>
          <w:szCs w:val="24"/>
          <w:highlight w:val="none"/>
        </w:rPr>
        <w:t>六、修改</w:t>
      </w:r>
      <w:r>
        <w:rPr>
          <w:rFonts w:hint="eastAsia"/>
          <w:b/>
          <w:sz w:val="24"/>
          <w:szCs w:val="24"/>
          <w:highlight w:val="none"/>
          <w:lang w:eastAsia="zh-CN"/>
        </w:rPr>
        <w:t>磋商</w:t>
      </w:r>
      <w:r>
        <w:rPr>
          <w:b/>
          <w:sz w:val="24"/>
          <w:szCs w:val="24"/>
          <w:highlight w:val="none"/>
        </w:rPr>
        <w:t>结果</w:t>
      </w:r>
    </w:p>
    <w:p w14:paraId="22807819">
      <w:pPr>
        <w:pStyle w:val="5"/>
        <w:adjustRightInd w:val="0"/>
        <w:snapToGrid w:val="0"/>
        <w:spacing w:line="360" w:lineRule="auto"/>
        <w:ind w:firstLine="480" w:firstLineChars="200"/>
        <w:rPr>
          <w:rFonts w:hint="default" w:ascii="Times New Roman" w:hAnsi="Times New Roman"/>
          <w:bCs/>
          <w:sz w:val="24"/>
          <w:highlight w:val="none"/>
        </w:rPr>
      </w:pPr>
      <w:r>
        <w:rPr>
          <w:rFonts w:hint="eastAsia" w:ascii="Times New Roman" w:hAnsi="Times New Roman"/>
          <w:bCs/>
          <w:sz w:val="24"/>
          <w:highlight w:val="none"/>
          <w:lang w:eastAsia="zh-CN"/>
        </w:rPr>
        <w:t>磋商</w:t>
      </w:r>
      <w:r>
        <w:rPr>
          <w:rFonts w:hint="default" w:ascii="Times New Roman" w:hAnsi="Times New Roman"/>
          <w:bCs/>
          <w:sz w:val="24"/>
          <w:highlight w:val="none"/>
        </w:rPr>
        <w:t>结果汇总完成后，除下列情形外，任何人不得修改</w:t>
      </w:r>
      <w:r>
        <w:rPr>
          <w:rFonts w:hint="eastAsia" w:ascii="Times New Roman" w:hAnsi="Times New Roman"/>
          <w:bCs/>
          <w:sz w:val="24"/>
          <w:highlight w:val="none"/>
          <w:lang w:eastAsia="zh-CN"/>
        </w:rPr>
        <w:t>磋商</w:t>
      </w:r>
      <w:r>
        <w:rPr>
          <w:rFonts w:hint="default" w:ascii="Times New Roman" w:hAnsi="Times New Roman"/>
          <w:bCs/>
          <w:sz w:val="24"/>
          <w:highlight w:val="none"/>
        </w:rPr>
        <w:t>结果：</w:t>
      </w:r>
    </w:p>
    <w:p w14:paraId="7F95B241">
      <w:pPr>
        <w:pStyle w:val="5"/>
        <w:adjustRightInd w:val="0"/>
        <w:snapToGrid w:val="0"/>
        <w:spacing w:line="360" w:lineRule="auto"/>
        <w:ind w:firstLine="480" w:firstLineChars="200"/>
        <w:rPr>
          <w:rFonts w:hint="default" w:ascii="Times New Roman" w:hAnsi="Times New Roman"/>
          <w:bCs/>
          <w:sz w:val="24"/>
          <w:highlight w:val="none"/>
        </w:rPr>
      </w:pPr>
      <w:r>
        <w:rPr>
          <w:rFonts w:hint="default" w:ascii="Times New Roman" w:hAnsi="Times New Roman"/>
          <w:bCs/>
          <w:sz w:val="24"/>
          <w:highlight w:val="none"/>
        </w:rPr>
        <w:t>（一）分值汇总计算错误的</w:t>
      </w:r>
    </w:p>
    <w:p w14:paraId="32BC8D87">
      <w:pPr>
        <w:pStyle w:val="5"/>
        <w:adjustRightInd w:val="0"/>
        <w:snapToGrid w:val="0"/>
        <w:spacing w:line="360" w:lineRule="auto"/>
        <w:ind w:firstLine="480" w:firstLineChars="200"/>
        <w:rPr>
          <w:rFonts w:hint="default" w:ascii="Times New Roman" w:hAnsi="Times New Roman"/>
          <w:bCs/>
          <w:sz w:val="24"/>
          <w:highlight w:val="none"/>
        </w:rPr>
      </w:pPr>
      <w:r>
        <w:rPr>
          <w:rFonts w:hint="default" w:ascii="Times New Roman" w:hAnsi="Times New Roman"/>
          <w:bCs/>
          <w:sz w:val="24"/>
          <w:highlight w:val="none"/>
        </w:rPr>
        <w:t>（二）分项评分超出评分标准范围的；</w:t>
      </w:r>
    </w:p>
    <w:p w14:paraId="1E1C0259">
      <w:pPr>
        <w:pStyle w:val="5"/>
        <w:adjustRightInd w:val="0"/>
        <w:snapToGrid w:val="0"/>
        <w:spacing w:line="360" w:lineRule="auto"/>
        <w:ind w:firstLine="480" w:firstLineChars="200"/>
        <w:rPr>
          <w:rFonts w:hint="default" w:ascii="Times New Roman" w:hAnsi="Times New Roman"/>
          <w:bCs/>
          <w:sz w:val="24"/>
          <w:highlight w:val="none"/>
        </w:rPr>
      </w:pPr>
      <w:r>
        <w:rPr>
          <w:rFonts w:hint="default" w:ascii="Times New Roman" w:hAnsi="Times New Roman"/>
          <w:bCs/>
          <w:sz w:val="24"/>
          <w:highlight w:val="none"/>
        </w:rPr>
        <w:t>（三）</w:t>
      </w:r>
      <w:r>
        <w:rPr>
          <w:rFonts w:hint="eastAsia" w:ascii="Times New Roman" w:hAnsi="Times New Roman"/>
          <w:bCs/>
          <w:sz w:val="24"/>
          <w:highlight w:val="none"/>
          <w:lang w:eastAsia="zh-CN"/>
        </w:rPr>
        <w:t>磋商小组</w:t>
      </w:r>
      <w:r>
        <w:rPr>
          <w:rFonts w:hint="default" w:ascii="Times New Roman" w:hAnsi="Times New Roman"/>
          <w:bCs/>
          <w:sz w:val="24"/>
          <w:highlight w:val="none"/>
        </w:rPr>
        <w:t>成员对客观评审因素评分不一致的；</w:t>
      </w:r>
    </w:p>
    <w:p w14:paraId="2E6CD863">
      <w:pPr>
        <w:pStyle w:val="5"/>
        <w:adjustRightInd w:val="0"/>
        <w:snapToGrid w:val="0"/>
        <w:spacing w:line="360" w:lineRule="auto"/>
        <w:ind w:firstLine="480" w:firstLineChars="200"/>
        <w:rPr>
          <w:rFonts w:hint="default" w:ascii="Times New Roman" w:hAnsi="Times New Roman"/>
          <w:bCs/>
          <w:sz w:val="24"/>
          <w:highlight w:val="none"/>
        </w:rPr>
      </w:pPr>
      <w:r>
        <w:rPr>
          <w:rFonts w:hint="default" w:ascii="Times New Roman" w:hAnsi="Times New Roman"/>
          <w:bCs/>
          <w:sz w:val="24"/>
          <w:highlight w:val="none"/>
        </w:rPr>
        <w:t>（四）经</w:t>
      </w:r>
      <w:r>
        <w:rPr>
          <w:rFonts w:hint="eastAsia" w:ascii="Times New Roman" w:hAnsi="Times New Roman"/>
          <w:bCs/>
          <w:sz w:val="24"/>
          <w:highlight w:val="none"/>
          <w:lang w:eastAsia="zh-CN"/>
        </w:rPr>
        <w:t>磋商小组</w:t>
      </w:r>
      <w:r>
        <w:rPr>
          <w:rFonts w:hint="default" w:ascii="Times New Roman" w:hAnsi="Times New Roman"/>
          <w:bCs/>
          <w:sz w:val="24"/>
          <w:highlight w:val="none"/>
        </w:rPr>
        <w:t>认定评分畸高、畸低的。</w:t>
      </w:r>
    </w:p>
    <w:p w14:paraId="196F5EB5">
      <w:pPr>
        <w:pStyle w:val="19"/>
        <w:rPr>
          <w:rFonts w:hint="eastAsia"/>
          <w:highlight w:val="none"/>
          <w:lang w:val="zh-CN"/>
        </w:rPr>
      </w:pPr>
    </w:p>
    <w:p w14:paraId="595ECA86">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40" w:firstLineChars="200"/>
        <w:jc w:val="both"/>
        <w:textAlignment w:val="auto"/>
        <w:rPr>
          <w:rFonts w:hint="eastAsia" w:ascii="宋体" w:hAnsi="宋体" w:eastAsia="宋体" w:cs="宋体"/>
          <w:color w:val="auto"/>
          <w:highlight w:val="none"/>
          <w:lang w:eastAsia="zh-CN"/>
        </w:rPr>
      </w:pPr>
    </w:p>
    <w:sectPr>
      <w:footerReference r:id="rId4" w:type="default"/>
      <w:pgSz w:w="11906" w:h="16838"/>
      <w:pgMar w:top="1134" w:right="1134" w:bottom="1134" w:left="1134" w:header="851" w:footer="85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297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-54610</wp:posOffset>
              </wp:positionV>
              <wp:extent cx="1308735" cy="2089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873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FC4C1">
                          <w:pPr>
                            <w:pStyle w:val="1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3pt;height:16.45pt;width:103.05pt;mso-position-horizontal:center;mso-position-horizontal-relative:margin;z-index:251659264;mso-width-relative:page;mso-height-relative:page;" filled="f" stroked="f" coordsize="21600,21600" o:gfxdata="UEsDBAoAAAAAAIdO4kAAAAAAAAAAAAAAAAAEAAAAZHJzL1BLAwQUAAAACACHTuJAbcdUgdYAAAAG&#10;AQAADwAAAGRycy9kb3ducmV2LnhtbE2PS0/DMBCE70j8B2uRuLV2CoqqNE4PPG68WkAqNydZkgh7&#10;HdmbtPx7zAluO5rRzLfl9uSsmDHEwZOGbKlAIDW+HajT8PZ6v1iDiGyoNdYTavjGCNvq/Kw0ReuP&#10;tMN5z51IJRQLo6FnHgspY9OjM3HpR6TkffrgDCcZOtkGc0zlzsqVUrl0ZqC00JsRb3psvvaT02AP&#10;MTzUij/m2+6RX57l9H6XPWl9eZGpDQjGE/+F4Rc/oUOVmGo/URuF1ZAeYQ2LdQ4iuSuVZyDqdFxf&#10;gaxK+R+/+gFQSwMEFAAAAAgAh07iQOBfXjE4AgAAYgQAAA4AAABkcnMvZTJvRG9jLnhtbK1UzY7T&#10;MBC+I/EOlu80aasuS9V0VbYqQqrYlQri7DpOY8n2GNtpUh4A3oDTXrjzXH0OxvnpooXDHri4Xzx/&#10;/r6Z6eKm0YochfMSTEbHo5QSYTjk0hwy+unj5tU1JT4wkzMFRmT0JDy9Wb58sajtXEygBJULRzCJ&#10;8fPaZrQMwc6TxPNSaOZHYIVBYwFOs4Cf7pDkjtWYXatkkqZXSQ0utw648B5v152R9hndcxJCUUgu&#10;1sArLUzosjqhWEBKvpTW02X72qIQPNwVhReBqIwi09CeWATxPp7JcsHmB8dsKXn/BPacJzzhpJk0&#10;WPSSas0CI5WTf6XSkjvwUIQRB510RFpFkMU4faLNrmRWtFxQam8vovv/l5Z/ON47IvOMTigxTGPD&#10;zz++nx9+nX9+I5MoT239HL12Fv1C8xYaHJrh3uNlZN0UTsdf5EPQjuKeLuKKJhAeg6bp9evpjBKO&#10;tkl6/WY8i2mSx2jrfHgnQJMIMuqwea2m7Lj1oXMdXGIxAxupVNtAZUid0avpLG0DLhZMrgzWiBy6&#10;t0YUmn3TE9tDfkJeDrrB8JZvJBbfMh/umcNJQCq4K+EOj0IBFoEeUVKC+/qv++iPDUIrJTVOVkb9&#10;l4o5QYl6b7B1cQwH4AawH4Cp9C3gsI5xCy1vIQa4oAZYONCfcYVWsQqamOFYK6NhgLehm29cQS5W&#10;q9apsk4eyi4AB8+ysDU7y2OZTspVFaCQrcpRok6XXjkcvbZP/ZrE2f7zu/V6/Gt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x1SB1gAAAAYBAAAPAAAAAAAAAAEAIAAAACIAAABkcnMvZG93bnJl&#10;di54bWxQSwECFAAUAAAACACHTuJA4F9eMTgCAABiBAAADgAAAAAAAAABACAAAAAlAQAAZHJzL2Uy&#10;b0RvYy54bWxQSwUGAAAAAAYABgBZAQAAzwUAAAAA&#10;">
              <v:fill on="f" focussize="0,0"/>
              <v:stroke on="f" weight="0.5pt"/>
              <v:imagedata o:title=""/>
              <o:lock v:ext="edit" aspectratio="f"/>
              <v:textbox inset="0mm,0mm,0mm,0mm">
                <w:txbxContent>
                  <w:p w14:paraId="006FC4C1">
                    <w:pPr>
                      <w:pStyle w:val="1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FAA7BD1">
      <w:pPr>
        <w:pStyle w:val="14"/>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12078"/>
    <w:multiLevelType w:val="singleLevel"/>
    <w:tmpl w:val="B9112078"/>
    <w:lvl w:ilvl="0" w:tentative="0">
      <w:start w:val="3"/>
      <w:numFmt w:val="chineseCounting"/>
      <w:suff w:val="space"/>
      <w:lvlText w:val="第%1章"/>
      <w:lvlJc w:val="left"/>
      <w:rPr>
        <w:rFonts w:hint="eastAsia"/>
      </w:rPr>
    </w:lvl>
  </w:abstractNum>
  <w:abstractNum w:abstractNumId="1">
    <w:nsid w:val="E0533E77"/>
    <w:multiLevelType w:val="singleLevel"/>
    <w:tmpl w:val="E0533E77"/>
    <w:lvl w:ilvl="0" w:tentative="0">
      <w:start w:val="2"/>
      <w:numFmt w:val="chineseCounting"/>
      <w:suff w:val="space"/>
      <w:lvlText w:val="第%1章"/>
      <w:lvlJc w:val="left"/>
      <w:rPr>
        <w:rFonts w:hint="eastAsia"/>
      </w:rPr>
    </w:lvl>
  </w:abstractNum>
  <w:abstractNum w:abstractNumId="2">
    <w:nsid w:val="F23A3BEC"/>
    <w:multiLevelType w:val="singleLevel"/>
    <w:tmpl w:val="F23A3BEC"/>
    <w:lvl w:ilvl="0" w:tentative="0">
      <w:start w:val="5"/>
      <w:numFmt w:val="chineseCounting"/>
      <w:suff w:val="space"/>
      <w:lvlText w:val="第%1章"/>
      <w:lvlJc w:val="left"/>
      <w:rPr>
        <w:rFonts w:hint="eastAsia"/>
      </w:rPr>
    </w:lvl>
  </w:abstractNum>
  <w:abstractNum w:abstractNumId="3">
    <w:nsid w:val="0E7D0BCA"/>
    <w:multiLevelType w:val="singleLevel"/>
    <w:tmpl w:val="0E7D0BCA"/>
    <w:lvl w:ilvl="0" w:tentative="0">
      <w:start w:val="2"/>
      <w:numFmt w:val="chineseCounting"/>
      <w:suff w:val="nothing"/>
      <w:lvlText w:val="%1、"/>
      <w:lvlJc w:val="left"/>
      <w:rPr>
        <w:rFonts w:hint="eastAsia"/>
      </w:rPr>
    </w:lvl>
  </w:abstractNum>
  <w:abstractNum w:abstractNumId="4">
    <w:nsid w:val="232B886E"/>
    <w:multiLevelType w:val="singleLevel"/>
    <w:tmpl w:val="232B886E"/>
    <w:lvl w:ilvl="0" w:tentative="0">
      <w:start w:val="3"/>
      <w:numFmt w:val="chineseCounting"/>
      <w:suff w:val="nothing"/>
      <w:lvlText w:val="（%1）"/>
      <w:lvlJc w:val="left"/>
      <w:rPr>
        <w:rFonts w:hint="eastAsia"/>
      </w:rPr>
    </w:lvl>
  </w:abstractNum>
  <w:abstractNum w:abstractNumId="5">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D56A236"/>
    <w:multiLevelType w:val="singleLevel"/>
    <w:tmpl w:val="7D56A236"/>
    <w:lvl w:ilvl="0" w:tentative="0">
      <w:start w:val="1"/>
      <w:numFmt w:val="decimal"/>
      <w:suff w:val="nothing"/>
      <w:lvlText w:val="（%1）"/>
      <w:lvlJc w:val="left"/>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TkzYzRmMTAwYWEwMThkYTBkY2RhNDc4ZDQ2NTMifQ=="/>
    <w:docVar w:name="KSO_WPS_MARK_KEY" w:val="c20451f3-8756-4c90-8915-40592f0ec964"/>
  </w:docVars>
  <w:rsids>
    <w:rsidRoot w:val="00000000"/>
    <w:rsid w:val="000F1C50"/>
    <w:rsid w:val="00BD5BC9"/>
    <w:rsid w:val="029435CD"/>
    <w:rsid w:val="033D4144"/>
    <w:rsid w:val="04705D22"/>
    <w:rsid w:val="069359E0"/>
    <w:rsid w:val="07147E86"/>
    <w:rsid w:val="07DD407F"/>
    <w:rsid w:val="09E623EC"/>
    <w:rsid w:val="0AC43BFC"/>
    <w:rsid w:val="0AC6444C"/>
    <w:rsid w:val="0AF1579B"/>
    <w:rsid w:val="0CAF2FD2"/>
    <w:rsid w:val="0D562095"/>
    <w:rsid w:val="0E021C9E"/>
    <w:rsid w:val="0E880840"/>
    <w:rsid w:val="0F0C3A4F"/>
    <w:rsid w:val="13177246"/>
    <w:rsid w:val="143C5C8D"/>
    <w:rsid w:val="14BE70C2"/>
    <w:rsid w:val="16714B03"/>
    <w:rsid w:val="179361F9"/>
    <w:rsid w:val="17BB0A5C"/>
    <w:rsid w:val="18527295"/>
    <w:rsid w:val="1976079B"/>
    <w:rsid w:val="19BC52DB"/>
    <w:rsid w:val="1A8D4E46"/>
    <w:rsid w:val="1C9F721E"/>
    <w:rsid w:val="1EA019EF"/>
    <w:rsid w:val="1EED1669"/>
    <w:rsid w:val="1F554B59"/>
    <w:rsid w:val="1F7E3A32"/>
    <w:rsid w:val="1FC066D7"/>
    <w:rsid w:val="1FFC39A7"/>
    <w:rsid w:val="20873F2F"/>
    <w:rsid w:val="20AB08EA"/>
    <w:rsid w:val="21CB084F"/>
    <w:rsid w:val="24FA2E92"/>
    <w:rsid w:val="254933EC"/>
    <w:rsid w:val="2565422B"/>
    <w:rsid w:val="25861231"/>
    <w:rsid w:val="25FC4B50"/>
    <w:rsid w:val="26653DB2"/>
    <w:rsid w:val="26BA03ED"/>
    <w:rsid w:val="28A931BC"/>
    <w:rsid w:val="29062314"/>
    <w:rsid w:val="2BCB18AC"/>
    <w:rsid w:val="2C4B7BFA"/>
    <w:rsid w:val="2CF471CC"/>
    <w:rsid w:val="2D695CD0"/>
    <w:rsid w:val="2EEA79FD"/>
    <w:rsid w:val="2F4B5643"/>
    <w:rsid w:val="315F58A9"/>
    <w:rsid w:val="31E108C7"/>
    <w:rsid w:val="322D7B8E"/>
    <w:rsid w:val="335B270F"/>
    <w:rsid w:val="33FB06ED"/>
    <w:rsid w:val="34A358DF"/>
    <w:rsid w:val="38BD6D1F"/>
    <w:rsid w:val="39054D24"/>
    <w:rsid w:val="39F63AC1"/>
    <w:rsid w:val="3C707612"/>
    <w:rsid w:val="3CA8662A"/>
    <w:rsid w:val="3CEC427B"/>
    <w:rsid w:val="3EB35D53"/>
    <w:rsid w:val="3F3A78E4"/>
    <w:rsid w:val="3F657B1C"/>
    <w:rsid w:val="40A80E9C"/>
    <w:rsid w:val="40BC1995"/>
    <w:rsid w:val="40D9394E"/>
    <w:rsid w:val="42023B71"/>
    <w:rsid w:val="42201CAB"/>
    <w:rsid w:val="42FF72D0"/>
    <w:rsid w:val="431B6E6C"/>
    <w:rsid w:val="43C36C3B"/>
    <w:rsid w:val="443D549C"/>
    <w:rsid w:val="449D11C1"/>
    <w:rsid w:val="4698770F"/>
    <w:rsid w:val="477062BD"/>
    <w:rsid w:val="4A82415D"/>
    <w:rsid w:val="4AA5254C"/>
    <w:rsid w:val="4AD96B41"/>
    <w:rsid w:val="4BBD76FF"/>
    <w:rsid w:val="4BE07BCE"/>
    <w:rsid w:val="4C7279F6"/>
    <w:rsid w:val="50241EA8"/>
    <w:rsid w:val="50964CC0"/>
    <w:rsid w:val="513D00E0"/>
    <w:rsid w:val="533C471A"/>
    <w:rsid w:val="53670770"/>
    <w:rsid w:val="53B2129B"/>
    <w:rsid w:val="54666D5A"/>
    <w:rsid w:val="549505A8"/>
    <w:rsid w:val="55B82975"/>
    <w:rsid w:val="56040874"/>
    <w:rsid w:val="56B13970"/>
    <w:rsid w:val="57F87E81"/>
    <w:rsid w:val="582241C7"/>
    <w:rsid w:val="58566416"/>
    <w:rsid w:val="58C0475C"/>
    <w:rsid w:val="58FD3402"/>
    <w:rsid w:val="5ABA7B4C"/>
    <w:rsid w:val="5B54771C"/>
    <w:rsid w:val="5C1836C5"/>
    <w:rsid w:val="5CDE0DE1"/>
    <w:rsid w:val="5D514A67"/>
    <w:rsid w:val="5F550079"/>
    <w:rsid w:val="5FEB62FE"/>
    <w:rsid w:val="60275AB3"/>
    <w:rsid w:val="612D471F"/>
    <w:rsid w:val="62C90F25"/>
    <w:rsid w:val="63AE1D66"/>
    <w:rsid w:val="63E24AC4"/>
    <w:rsid w:val="63E43B3C"/>
    <w:rsid w:val="6401649C"/>
    <w:rsid w:val="653E1551"/>
    <w:rsid w:val="675001B0"/>
    <w:rsid w:val="685C0573"/>
    <w:rsid w:val="69035A11"/>
    <w:rsid w:val="6A3A6264"/>
    <w:rsid w:val="6A436428"/>
    <w:rsid w:val="6B466D7E"/>
    <w:rsid w:val="6BEF7ADE"/>
    <w:rsid w:val="6BF344D5"/>
    <w:rsid w:val="6D2C2DE2"/>
    <w:rsid w:val="6DBA235A"/>
    <w:rsid w:val="6DEB1E84"/>
    <w:rsid w:val="6E5E705D"/>
    <w:rsid w:val="6E7C16FC"/>
    <w:rsid w:val="6FED466F"/>
    <w:rsid w:val="70AE58FF"/>
    <w:rsid w:val="719E45B7"/>
    <w:rsid w:val="745F1315"/>
    <w:rsid w:val="75291C82"/>
    <w:rsid w:val="75BB65DE"/>
    <w:rsid w:val="78587C6F"/>
    <w:rsid w:val="793C3787"/>
    <w:rsid w:val="799F3C44"/>
    <w:rsid w:val="79E80267"/>
    <w:rsid w:val="7AEF2DA3"/>
    <w:rsid w:val="7BED4431"/>
    <w:rsid w:val="7D4E5A07"/>
    <w:rsid w:val="7E320D2E"/>
    <w:rsid w:val="7FEB03DE"/>
    <w:rsid w:val="7FF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Indent"/>
    <w:basedOn w:val="1"/>
    <w:qFormat/>
    <w:uiPriority w:val="0"/>
    <w:pPr>
      <w:spacing w:line="360" w:lineRule="auto"/>
      <w:ind w:firstLine="435"/>
    </w:pPr>
    <w:rPr>
      <w:sz w:val="28"/>
      <w:szCs w:val="24"/>
    </w:rPr>
  </w:style>
  <w:style w:type="paragraph" w:styleId="6">
    <w:name w:val="Body Text"/>
    <w:basedOn w:val="1"/>
    <w:next w:val="7"/>
    <w:qFormat/>
    <w:uiPriority w:val="0"/>
    <w:pPr>
      <w:spacing w:after="120" w:afterLines="0" w:afterAutospacing="0"/>
    </w:pPr>
  </w:style>
  <w:style w:type="paragraph" w:styleId="7">
    <w:name w:val="Body Text First Indent"/>
    <w:basedOn w:val="6"/>
    <w:next w:val="1"/>
    <w:qFormat/>
    <w:uiPriority w:val="0"/>
    <w:pPr>
      <w:ind w:firstLine="420" w:firstLineChars="100"/>
    </w:pPr>
  </w:style>
  <w:style w:type="paragraph" w:styleId="8">
    <w:name w:val="toc 3"/>
    <w:basedOn w:val="1"/>
    <w:next w:val="1"/>
    <w:unhideWhenUsed/>
    <w:qFormat/>
    <w:uiPriority w:val="39"/>
    <w:pPr>
      <w:ind w:left="840" w:leftChars="400"/>
    </w:pPr>
    <w:rPr>
      <w:rFonts w:ascii="Times New Roman" w:hAnsi="Times New Roman" w:cs="Times New Roman"/>
      <w:szCs w:val="24"/>
    </w:rPr>
  </w:style>
  <w:style w:type="paragraph" w:styleId="9">
    <w:name w:val="Plain Text"/>
    <w:basedOn w:val="1"/>
    <w:next w:val="10"/>
    <w:qFormat/>
    <w:uiPriority w:val="0"/>
    <w:rPr>
      <w:rFonts w:ascii="宋体" w:hAnsi="Courier New"/>
    </w:rPr>
  </w:style>
  <w:style w:type="paragraph" w:styleId="10">
    <w:name w:val="Date"/>
    <w:basedOn w:val="1"/>
    <w:next w:val="1"/>
    <w:qFormat/>
    <w:uiPriority w:val="99"/>
    <w:pPr>
      <w:ind w:left="100" w:leftChars="2500"/>
    </w:pPr>
  </w:style>
  <w:style w:type="paragraph" w:styleId="11">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spacing w:line="720" w:lineRule="auto"/>
    </w:pPr>
    <w:rPr>
      <w:rFonts w:eastAsia="宋体"/>
      <w:sz w:val="28"/>
    </w:rPr>
  </w:style>
  <w:style w:type="paragraph" w:styleId="14">
    <w:name w:val="footnote text"/>
    <w:basedOn w:val="1"/>
    <w:qFormat/>
    <w:uiPriority w:val="0"/>
    <w:pPr>
      <w:snapToGrid w:val="0"/>
      <w:jc w:val="left"/>
    </w:pPr>
    <w:rPr>
      <w:rFonts w:ascii="仿宋_GB2312" w:eastAsia="仿宋_GB2312"/>
      <w:sz w:val="18"/>
      <w:szCs w:val="18"/>
    </w:rPr>
  </w:style>
  <w:style w:type="paragraph" w:styleId="15">
    <w:name w:val="toc 6"/>
    <w:basedOn w:val="1"/>
    <w:next w:val="1"/>
    <w:qFormat/>
    <w:uiPriority w:val="2"/>
    <w:pPr>
      <w:ind w:left="1400"/>
      <w:jc w:val="left"/>
    </w:pPr>
    <w:rPr>
      <w:rFonts w:ascii="Calibri" w:hAnsi="Calibri"/>
      <w:sz w:val="18"/>
      <w:szCs w:val="18"/>
    </w:rPr>
  </w:style>
  <w:style w:type="paragraph" w:styleId="16">
    <w:name w:val="Body Text Indent 3"/>
    <w:basedOn w:val="1"/>
    <w:qFormat/>
    <w:uiPriority w:val="0"/>
    <w:pPr>
      <w:spacing w:line="540" w:lineRule="exact"/>
      <w:ind w:left="479" w:leftChars="228"/>
    </w:pPr>
    <w:rPr>
      <w:rFonts w:ascii="隶书" w:hAnsi="宋体" w:eastAsia="隶书"/>
      <w:szCs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10"/>
    <w:pPr>
      <w:keepNext/>
      <w:keepLines/>
      <w:widowControl/>
      <w:tabs>
        <w:tab w:val="center" w:pos="540"/>
      </w:tabs>
      <w:spacing w:line="360" w:lineRule="auto"/>
      <w:outlineLvl w:val="0"/>
    </w:pPr>
    <w:rPr>
      <w:rFonts w:ascii="Arial" w:hAnsi="Arial" w:eastAsia="宋体"/>
      <w:b/>
      <w:bCs/>
      <w:sz w:val="28"/>
      <w:szCs w:val="32"/>
    </w:rPr>
  </w:style>
  <w:style w:type="paragraph" w:styleId="19">
    <w:name w:val="Body Text First Indent 2"/>
    <w:basedOn w:val="5"/>
    <w:qFormat/>
    <w:uiPriority w:val="0"/>
    <w:pPr>
      <w:spacing w:line="312" w:lineRule="auto"/>
      <w:ind w:firstLine="420" w:firstLineChars="200"/>
    </w:pPr>
    <w:rPr>
      <w:sz w:val="22"/>
    </w:r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footnote reference"/>
    <w:qFormat/>
    <w:uiPriority w:val="0"/>
    <w:rPr>
      <w:vertAlign w:val="superscript"/>
    </w:rPr>
  </w:style>
  <w:style w:type="paragraph" w:customStyle="1" w:styleId="25">
    <w:name w:val="列出段落1"/>
    <w:basedOn w:val="1"/>
    <w:qFormat/>
    <w:uiPriority w:val="0"/>
    <w:pPr>
      <w:autoSpaceDE/>
      <w:autoSpaceDN/>
      <w:adjustRightInd/>
      <w:ind w:firstLine="420" w:firstLineChars="200"/>
      <w:jc w:val="both"/>
    </w:pPr>
    <w:rPr>
      <w:kern w:val="2"/>
      <w:sz w:val="21"/>
      <w:szCs w:val="22"/>
    </w:rPr>
  </w:style>
  <w:style w:type="paragraph" w:styleId="26">
    <w:name w:val="List Paragraph"/>
    <w:basedOn w:val="1"/>
    <w:qFormat/>
    <w:uiPriority w:val="0"/>
  </w:style>
  <w:style w:type="paragraph" w:customStyle="1" w:styleId="27">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正文2"/>
    <w:basedOn w:val="1"/>
    <w:qFormat/>
    <w:uiPriority w:val="0"/>
    <w:pPr>
      <w:spacing w:before="156" w:line="360" w:lineRule="auto"/>
      <w:ind w:firstLine="510" w:firstLineChars="200"/>
    </w:pPr>
    <w:rPr>
      <w:sz w:val="24"/>
      <w:szCs w:val="20"/>
    </w:rPr>
  </w:style>
  <w:style w:type="character" w:customStyle="1" w:styleId="30">
    <w:name w:val="large1"/>
    <w:qFormat/>
    <w:uiPriority w:val="0"/>
    <w:rPr>
      <w:rFonts w:hint="eastAsia" w:ascii="宋体" w:hAnsi="宋体" w:eastAsia="宋体"/>
      <w:sz w:val="21"/>
      <w:szCs w:val="21"/>
    </w:rPr>
  </w:style>
  <w:style w:type="paragraph" w:customStyle="1" w:styleId="31">
    <w:name w:val="首行缩进"/>
    <w:basedOn w:val="1"/>
    <w:qFormat/>
    <w:uiPriority w:val="0"/>
    <w:pPr>
      <w:spacing w:line="360" w:lineRule="auto"/>
      <w:ind w:firstLine="480" w:firstLineChars="200"/>
    </w:pPr>
    <w:rPr>
      <w:rFonts w:hAnsi="宋体" w:cs="宋体"/>
      <w:sz w:val="24"/>
    </w:rPr>
  </w:style>
  <w:style w:type="paragraph" w:styleId="3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Body Text First Indent1"/>
    <w:basedOn w:val="6"/>
    <w:next w:val="1"/>
    <w:qFormat/>
    <w:uiPriority w:val="0"/>
    <w:pPr>
      <w:adjustRightInd w:val="0"/>
      <w:spacing w:line="360" w:lineRule="auto"/>
      <w:ind w:firstLine="420"/>
      <w:textAlignment w:val="baseline"/>
    </w:pPr>
    <w:rPr>
      <w:rFonts w:eastAsia="楷体_GB2312"/>
      <w:sz w:val="24"/>
    </w:rPr>
  </w:style>
  <w:style w:type="character" w:customStyle="1" w:styleId="34">
    <w:name w:val="font11"/>
    <w:basedOn w:val="21"/>
    <w:qFormat/>
    <w:uiPriority w:val="0"/>
    <w:rPr>
      <w:rFonts w:hint="eastAsia" w:ascii="宋体" w:hAnsi="宋体" w:eastAsia="宋体" w:cs="宋体"/>
      <w:color w:val="000000"/>
      <w:sz w:val="21"/>
      <w:szCs w:val="21"/>
      <w:u w:val="none"/>
    </w:rPr>
  </w:style>
  <w:style w:type="paragraph" w:customStyle="1" w:styleId="35">
    <w:name w:val="TOC 标题2"/>
    <w:basedOn w:val="3"/>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6">
    <w:name w:val="BodyText1I2"/>
    <w:next w:val="1"/>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BodyText"/>
    <w:basedOn w:val="1"/>
    <w:next w:val="39"/>
    <w:qFormat/>
    <w:uiPriority w:val="0"/>
    <w:pPr>
      <w:widowControl/>
      <w:spacing w:after="120"/>
      <w:jc w:val="left"/>
    </w:pPr>
    <w:rPr>
      <w:rFonts w:ascii="FuturaA Bk BT" w:hAnsi="FuturaA Bk BT" w:eastAsia="仿宋_GB2312"/>
      <w:kern w:val="0"/>
      <w:sz w:val="20"/>
    </w:rPr>
  </w:style>
  <w:style w:type="paragraph" w:customStyle="1" w:styleId="39">
    <w:name w:val="TOC2"/>
    <w:basedOn w:val="1"/>
    <w:next w:val="1"/>
    <w:qFormat/>
    <w:uiPriority w:val="0"/>
    <w:pPr>
      <w:ind w:left="420" w:leftChars="200"/>
      <w:jc w:val="both"/>
      <w:textAlignment w:val="baseline"/>
    </w:pPr>
  </w:style>
  <w:style w:type="paragraph" w:customStyle="1" w:styleId="40">
    <w:name w:val="正文缩进1"/>
    <w:basedOn w:val="1"/>
    <w:next w:val="5"/>
    <w:qFormat/>
    <w:uiPriority w:val="0"/>
    <w:pPr>
      <w:adjustRightInd w:val="0"/>
      <w:spacing w:before="100" w:beforeAutospacing="1" w:after="100" w:afterAutospacing="1" w:line="360" w:lineRule="auto"/>
      <w:ind w:left="200" w:leftChars="200" w:firstLine="454" w:firstLineChars="200"/>
      <w:textAlignment w:val="baseline"/>
    </w:pPr>
    <w:rPr>
      <w:rFonts w:eastAsia="仿宋" w:cs="Times New Roman"/>
      <w:kern w:val="0"/>
      <w:sz w:val="24"/>
    </w:rPr>
  </w:style>
  <w:style w:type="character" w:customStyle="1" w:styleId="41">
    <w:name w:val="NormalCharacter"/>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33111</Words>
  <Characters>34938</Characters>
  <Lines>0</Lines>
  <Paragraphs>0</Paragraphs>
  <TotalTime>29</TotalTime>
  <ScaleCrop>false</ScaleCrop>
  <LinksUpToDate>false</LinksUpToDate>
  <CharactersWithSpaces>37888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Administrator</dc:creator>
  <cp:lastModifiedBy>符丽秀</cp:lastModifiedBy>
  <cp:lastPrinted>2024-01-04T04:25:00Z</cp:lastPrinted>
  <dcterms:modified xsi:type="dcterms:W3CDTF">2024-07-22T11:57:06Z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FF4892441D564A59B137CD471A94C149_13</vt:lpwstr>
  </property>
</Properties>
</file>